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38D4" w14:textId="6EB8FBC5" w:rsidR="00991FAA" w:rsidRPr="00FA2069" w:rsidRDefault="00887A49" w:rsidP="00991FAA">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CA2F598">
          <v:rect id="_x0000_i1025" style="width:0;height:1.5pt" o:hralign="center" o:hrstd="t" o:hrnoshade="t" o:hr="t" fillcolor="#161616" stroked="f"/>
        </w:pict>
      </w:r>
    </w:p>
    <w:p w14:paraId="5C56053E" w14:textId="5BEA37C0" w:rsidR="00991FAA" w:rsidRDefault="00991FAA" w:rsidP="00991FAA">
      <w:pPr>
        <w:shd w:val="clear" w:color="auto" w:fill="FFFFFF"/>
        <w:spacing w:after="0" w:line="240" w:lineRule="auto"/>
        <w:rPr>
          <w:rFonts w:ascii="Times New Roman" w:eastAsia="Times New Roman" w:hAnsi="Times New Roman" w:cs="Times New Roman"/>
          <w:b/>
          <w:bCs/>
          <w:color w:val="161616"/>
          <w:kern w:val="0"/>
          <w:sz w:val="24"/>
          <w:szCs w:val="24"/>
          <w14:ligatures w14:val="none"/>
        </w:rPr>
      </w:pPr>
      <w:r>
        <w:rPr>
          <w:rFonts w:ascii="Times New Roman" w:eastAsia="Times New Roman" w:hAnsi="Times New Roman" w:cs="Times New Roman"/>
          <w:b/>
          <w:bCs/>
          <w:color w:val="161616"/>
          <w:kern w:val="0"/>
          <w:sz w:val="24"/>
          <w:szCs w:val="24"/>
          <w14:ligatures w14:val="none"/>
        </w:rPr>
        <w:t>Survey</w:t>
      </w:r>
      <w:r w:rsidRPr="00FA2069">
        <w:rPr>
          <w:rFonts w:ascii="Times New Roman" w:eastAsia="Times New Roman" w:hAnsi="Times New Roman" w:cs="Times New Roman"/>
          <w:b/>
          <w:bCs/>
          <w:color w:val="161616"/>
          <w:kern w:val="0"/>
          <w:sz w:val="24"/>
          <w:szCs w:val="24"/>
          <w14:ligatures w14:val="none"/>
        </w:rPr>
        <w:t xml:space="preserve"> on </w:t>
      </w:r>
      <w:r w:rsidR="00AF2D89">
        <w:rPr>
          <w:rFonts w:ascii="Times New Roman" w:eastAsia="Times New Roman" w:hAnsi="Times New Roman" w:cs="Times New Roman"/>
          <w:b/>
          <w:bCs/>
          <w:color w:val="161616"/>
          <w:kern w:val="0"/>
          <w:sz w:val="24"/>
          <w:szCs w:val="24"/>
          <w14:ligatures w14:val="none"/>
        </w:rPr>
        <w:t xml:space="preserve">the </w:t>
      </w:r>
      <w:r w:rsidR="002776C6">
        <w:rPr>
          <w:rFonts w:ascii="Times New Roman" w:eastAsia="Times New Roman" w:hAnsi="Times New Roman" w:cs="Times New Roman"/>
          <w:b/>
          <w:bCs/>
          <w:color w:val="161616"/>
          <w:kern w:val="0"/>
          <w:sz w:val="24"/>
          <w:szCs w:val="24"/>
          <w14:ligatures w14:val="none"/>
        </w:rPr>
        <w:t xml:space="preserve">Legal Status of </w:t>
      </w:r>
      <w:r w:rsidRPr="00FA2069">
        <w:rPr>
          <w:rFonts w:ascii="Times New Roman" w:eastAsia="Times New Roman" w:hAnsi="Times New Roman" w:cs="Times New Roman"/>
          <w:b/>
          <w:bCs/>
          <w:color w:val="161616"/>
          <w:kern w:val="0"/>
          <w:sz w:val="24"/>
          <w:szCs w:val="24"/>
          <w14:ligatures w14:val="none"/>
        </w:rPr>
        <w:t>Bills of Lading</w:t>
      </w:r>
    </w:p>
    <w:p w14:paraId="6D919E25" w14:textId="77777777" w:rsidR="00991FAA" w:rsidRDefault="00991FAA" w:rsidP="00991FAA">
      <w:pPr>
        <w:shd w:val="clear" w:color="auto" w:fill="FFFFFF"/>
        <w:spacing w:after="0" w:line="240" w:lineRule="auto"/>
        <w:rPr>
          <w:rFonts w:ascii="Times New Roman" w:eastAsia="Times New Roman" w:hAnsi="Times New Roman" w:cs="Times New Roman"/>
          <w:b/>
          <w:bCs/>
          <w:color w:val="161616"/>
          <w:kern w:val="0"/>
          <w:sz w:val="24"/>
          <w:szCs w:val="24"/>
          <w14:ligatures w14:val="none"/>
        </w:rPr>
      </w:pPr>
    </w:p>
    <w:p w14:paraId="13D24D9E" w14:textId="77777777" w:rsidR="0025599B" w:rsidRDefault="0025599B" w:rsidP="0025599B">
      <w:pPr>
        <w:shd w:val="clear" w:color="auto" w:fill="FFFFFF"/>
        <w:spacing w:after="0" w:line="240" w:lineRule="auto"/>
        <w:rPr>
          <w:rFonts w:eastAsia="Times New Roman" w:cstheme="minorHAnsi"/>
          <w:color w:val="161616"/>
          <w:kern w:val="0"/>
          <w14:ligatures w14:val="none"/>
        </w:rPr>
      </w:pPr>
      <w:r w:rsidRPr="0025599B">
        <w:rPr>
          <w:rFonts w:eastAsia="Times New Roman" w:cstheme="minorHAnsi"/>
          <w:color w:val="161616"/>
          <w:kern w:val="0"/>
          <w14:ligatures w14:val="none"/>
        </w:rPr>
        <w:t>Dear Respondent,</w:t>
      </w:r>
    </w:p>
    <w:p w14:paraId="19441D7C" w14:textId="77777777" w:rsidR="0025599B" w:rsidRPr="0025599B" w:rsidRDefault="0025599B" w:rsidP="0025599B">
      <w:pPr>
        <w:shd w:val="clear" w:color="auto" w:fill="FFFFFF"/>
        <w:spacing w:after="0" w:line="240" w:lineRule="auto"/>
        <w:rPr>
          <w:rFonts w:eastAsia="Times New Roman" w:cstheme="minorHAnsi"/>
          <w:color w:val="161616"/>
          <w:kern w:val="0"/>
          <w14:ligatures w14:val="none"/>
        </w:rPr>
      </w:pPr>
    </w:p>
    <w:p w14:paraId="05F85ADA" w14:textId="46134A6F" w:rsidR="0025599B" w:rsidRDefault="0025599B" w:rsidP="0025599B">
      <w:pPr>
        <w:shd w:val="clear" w:color="auto" w:fill="FFFFFF"/>
        <w:spacing w:after="0" w:line="240" w:lineRule="auto"/>
        <w:rPr>
          <w:rFonts w:eastAsia="Times New Roman" w:cstheme="minorHAnsi"/>
          <w:color w:val="161616"/>
          <w:kern w:val="0"/>
          <w14:ligatures w14:val="none"/>
        </w:rPr>
      </w:pPr>
      <w:r w:rsidRPr="0025599B">
        <w:rPr>
          <w:rFonts w:eastAsia="Times New Roman" w:cstheme="minorHAnsi"/>
          <w:color w:val="161616"/>
          <w:kern w:val="0"/>
          <w14:ligatures w14:val="none"/>
        </w:rPr>
        <w:t>Thank you for participating in this important survey conducted by the ICC Banking Commission Legal Committee. The purpose of this survey is to gather insights from legal experts across various jurisdictions on the legal status and implications of bills of lading in maritime shipping. Your responses will contribute to a comprehensive position paper aimed at providing practical guidance for stakeholders in trade and supply chain finance.</w:t>
      </w:r>
    </w:p>
    <w:p w14:paraId="5F5F18D7" w14:textId="77777777" w:rsidR="0025599B" w:rsidRPr="0025599B" w:rsidRDefault="0025599B" w:rsidP="0025599B">
      <w:pPr>
        <w:shd w:val="clear" w:color="auto" w:fill="FFFFFF"/>
        <w:spacing w:after="0" w:line="240" w:lineRule="auto"/>
        <w:rPr>
          <w:rFonts w:eastAsia="Times New Roman" w:cstheme="minorHAnsi"/>
          <w:color w:val="161616"/>
          <w:kern w:val="0"/>
          <w14:ligatures w14:val="none"/>
        </w:rPr>
      </w:pPr>
    </w:p>
    <w:p w14:paraId="23C2165E" w14:textId="10748D45" w:rsidR="0025599B" w:rsidRDefault="0025599B" w:rsidP="0025599B">
      <w:pPr>
        <w:shd w:val="clear" w:color="auto" w:fill="FFFFFF"/>
        <w:spacing w:after="0" w:line="240" w:lineRule="auto"/>
        <w:rPr>
          <w:rFonts w:eastAsia="Times New Roman" w:cstheme="minorHAnsi"/>
          <w:color w:val="161616"/>
          <w:kern w:val="0"/>
          <w14:ligatures w14:val="none"/>
        </w:rPr>
      </w:pPr>
      <w:r w:rsidRPr="0025599B">
        <w:rPr>
          <w:rFonts w:eastAsia="Times New Roman" w:cstheme="minorHAnsi"/>
          <w:color w:val="161616"/>
          <w:kern w:val="0"/>
          <w14:ligatures w14:val="none"/>
        </w:rPr>
        <w:t>We kindly ask you to answer the questions based on the legal framework and practices in your jurisdiction. Please provide detailed and specific information where possible, as this will enhance the quality and relevance of the findings. Your expertise and input are invaluable to this project, and we appreciate your time and effort in contributing to this initiative.</w:t>
      </w:r>
    </w:p>
    <w:p w14:paraId="29473CC9" w14:textId="77777777" w:rsidR="0025599B" w:rsidRPr="0025599B" w:rsidRDefault="0025599B" w:rsidP="0025599B">
      <w:pPr>
        <w:shd w:val="clear" w:color="auto" w:fill="FFFFFF"/>
        <w:spacing w:after="0" w:line="240" w:lineRule="auto"/>
        <w:rPr>
          <w:rFonts w:eastAsia="Times New Roman" w:cstheme="minorHAnsi"/>
          <w:color w:val="161616"/>
          <w:kern w:val="0"/>
          <w14:ligatures w14:val="none"/>
        </w:rPr>
      </w:pPr>
    </w:p>
    <w:p w14:paraId="67E0DE53" w14:textId="4E6524B9" w:rsidR="0025599B" w:rsidRDefault="0025599B" w:rsidP="0025599B">
      <w:pPr>
        <w:shd w:val="clear" w:color="auto" w:fill="FFFFFF"/>
        <w:spacing w:after="0" w:line="240" w:lineRule="auto"/>
        <w:rPr>
          <w:rFonts w:eastAsia="Times New Roman" w:cstheme="minorHAnsi"/>
          <w:color w:val="161616"/>
          <w:kern w:val="0"/>
          <w14:ligatures w14:val="none"/>
        </w:rPr>
      </w:pPr>
      <w:r w:rsidRPr="0025599B">
        <w:rPr>
          <w:rFonts w:eastAsia="Times New Roman" w:cstheme="minorHAnsi"/>
          <w:color w:val="161616"/>
          <w:kern w:val="0"/>
          <w14:ligatures w14:val="none"/>
        </w:rPr>
        <w:t xml:space="preserve">Please ensure that your responses are submitted to the working group </w:t>
      </w:r>
      <w:r w:rsidRPr="00BC6A9D">
        <w:rPr>
          <w:rFonts w:eastAsia="Times New Roman" w:cstheme="minorHAnsi"/>
          <w:color w:val="161616"/>
          <w:kern w:val="0"/>
          <w:u w:val="single"/>
          <w14:ligatures w14:val="none"/>
        </w:rPr>
        <w:t>no later than June 30</w:t>
      </w:r>
      <w:r w:rsidRPr="0025599B">
        <w:rPr>
          <w:rFonts w:eastAsia="Times New Roman" w:cstheme="minorHAnsi"/>
          <w:color w:val="161616"/>
          <w:kern w:val="0"/>
          <w14:ligatures w14:val="none"/>
        </w:rPr>
        <w:t>.</w:t>
      </w:r>
    </w:p>
    <w:p w14:paraId="4F6F03DA" w14:textId="77777777" w:rsidR="00353759" w:rsidRPr="0025599B" w:rsidRDefault="00353759" w:rsidP="0025599B">
      <w:pPr>
        <w:shd w:val="clear" w:color="auto" w:fill="FFFFFF"/>
        <w:spacing w:after="0" w:line="240" w:lineRule="auto"/>
        <w:rPr>
          <w:rFonts w:eastAsia="Times New Roman" w:cstheme="minorHAnsi"/>
          <w:color w:val="161616"/>
          <w:kern w:val="0"/>
          <w14:ligatures w14:val="none"/>
        </w:rPr>
      </w:pPr>
    </w:p>
    <w:p w14:paraId="38BE0F9D" w14:textId="1C758688" w:rsidR="0025599B" w:rsidRDefault="0025599B" w:rsidP="0025599B">
      <w:pPr>
        <w:shd w:val="clear" w:color="auto" w:fill="FFFFFF"/>
        <w:spacing w:after="0" w:line="240" w:lineRule="auto"/>
        <w:rPr>
          <w:rFonts w:eastAsia="Times New Roman" w:cstheme="minorHAnsi"/>
          <w:color w:val="161616"/>
          <w:kern w:val="0"/>
          <w14:ligatures w14:val="none"/>
        </w:rPr>
      </w:pPr>
      <w:r w:rsidRPr="0025599B">
        <w:rPr>
          <w:rFonts w:eastAsia="Times New Roman" w:cstheme="minorHAnsi"/>
          <w:color w:val="161616"/>
          <w:kern w:val="0"/>
          <w14:ligatures w14:val="none"/>
        </w:rPr>
        <w:t xml:space="preserve">If you have any questions or require further clarification while completing the survey, please do not hesitate to </w:t>
      </w:r>
      <w:r w:rsidRPr="00EA3F81">
        <w:rPr>
          <w:rFonts w:eastAsia="Times New Roman" w:cstheme="minorHAnsi"/>
          <w:color w:val="161616"/>
          <w:kern w:val="0"/>
          <w14:ligatures w14:val="none"/>
        </w:rPr>
        <w:t>contact us</w:t>
      </w:r>
      <w:r w:rsidR="00E369E8" w:rsidRPr="00EA3F81">
        <w:rPr>
          <w:rFonts w:eastAsia="Times New Roman" w:cstheme="minorHAnsi"/>
          <w:color w:val="161616"/>
          <w:kern w:val="0"/>
          <w14:ligatures w14:val="none"/>
        </w:rPr>
        <w:t xml:space="preserve"> at </w:t>
      </w:r>
      <w:r w:rsidR="005E4576">
        <w:rPr>
          <w:rFonts w:eastAsia="Times New Roman" w:cstheme="minorHAnsi"/>
          <w:color w:val="161616"/>
          <w:kern w:val="0"/>
          <w14:ligatures w14:val="none"/>
        </w:rPr>
        <w:t>christian.y.bergeron@jpmorgan.com</w:t>
      </w:r>
      <w:r w:rsidRPr="00EA3F81">
        <w:rPr>
          <w:rFonts w:eastAsia="Times New Roman" w:cstheme="minorHAnsi"/>
          <w:color w:val="161616"/>
          <w:kern w:val="0"/>
          <w14:ligatures w14:val="none"/>
        </w:rPr>
        <w:t>.</w:t>
      </w:r>
    </w:p>
    <w:p w14:paraId="1DC2E9E2" w14:textId="77777777" w:rsidR="0025599B" w:rsidRPr="0025599B" w:rsidRDefault="0025599B" w:rsidP="0025599B">
      <w:pPr>
        <w:shd w:val="clear" w:color="auto" w:fill="FFFFFF"/>
        <w:spacing w:after="0" w:line="240" w:lineRule="auto"/>
        <w:rPr>
          <w:rFonts w:eastAsia="Times New Roman" w:cstheme="minorHAnsi"/>
          <w:color w:val="161616"/>
          <w:kern w:val="0"/>
          <w14:ligatures w14:val="none"/>
        </w:rPr>
      </w:pPr>
    </w:p>
    <w:p w14:paraId="6E69BE5E" w14:textId="77777777" w:rsidR="0025599B" w:rsidRDefault="0025599B" w:rsidP="0025599B">
      <w:pPr>
        <w:shd w:val="clear" w:color="auto" w:fill="FFFFFF"/>
        <w:spacing w:after="0" w:line="240" w:lineRule="auto"/>
        <w:rPr>
          <w:rFonts w:eastAsia="Times New Roman" w:cstheme="minorHAnsi"/>
          <w:color w:val="161616"/>
          <w:kern w:val="0"/>
          <w14:ligatures w14:val="none"/>
        </w:rPr>
      </w:pPr>
      <w:r w:rsidRPr="0025599B">
        <w:rPr>
          <w:rFonts w:eastAsia="Times New Roman" w:cstheme="minorHAnsi"/>
          <w:color w:val="161616"/>
          <w:kern w:val="0"/>
          <w14:ligatures w14:val="none"/>
        </w:rPr>
        <w:t>Thank you for your participation.</w:t>
      </w:r>
    </w:p>
    <w:p w14:paraId="00BE30A3" w14:textId="77777777" w:rsidR="0025599B" w:rsidRPr="0025599B" w:rsidRDefault="0025599B" w:rsidP="0025599B">
      <w:pPr>
        <w:shd w:val="clear" w:color="auto" w:fill="FFFFFF"/>
        <w:spacing w:after="0" w:line="240" w:lineRule="auto"/>
        <w:rPr>
          <w:rFonts w:eastAsia="Times New Roman" w:cstheme="minorHAnsi"/>
          <w:color w:val="161616"/>
          <w:kern w:val="0"/>
          <w14:ligatures w14:val="none"/>
        </w:rPr>
      </w:pPr>
    </w:p>
    <w:p w14:paraId="69B90F29" w14:textId="77777777" w:rsidR="0025599B" w:rsidRPr="0025599B" w:rsidRDefault="0025599B" w:rsidP="0025599B">
      <w:pPr>
        <w:shd w:val="clear" w:color="auto" w:fill="FFFFFF"/>
        <w:spacing w:after="0" w:line="240" w:lineRule="auto"/>
        <w:rPr>
          <w:rFonts w:eastAsia="Times New Roman" w:cstheme="minorHAnsi"/>
          <w:color w:val="161616"/>
          <w:kern w:val="0"/>
          <w14:ligatures w14:val="none"/>
        </w:rPr>
      </w:pPr>
      <w:r w:rsidRPr="0025599B">
        <w:rPr>
          <w:rFonts w:eastAsia="Times New Roman" w:cstheme="minorHAnsi"/>
          <w:color w:val="161616"/>
          <w:kern w:val="0"/>
          <w14:ligatures w14:val="none"/>
        </w:rPr>
        <w:t>Sincerely,</w:t>
      </w:r>
    </w:p>
    <w:p w14:paraId="4B2FF091" w14:textId="77777777" w:rsidR="0025599B" w:rsidRDefault="0025599B" w:rsidP="0025599B">
      <w:pPr>
        <w:shd w:val="clear" w:color="auto" w:fill="FFFFFF"/>
        <w:spacing w:after="0" w:line="240" w:lineRule="auto"/>
        <w:rPr>
          <w:rFonts w:eastAsia="Times New Roman" w:cstheme="minorHAnsi"/>
          <w:color w:val="161616"/>
          <w:kern w:val="0"/>
          <w14:ligatures w14:val="none"/>
        </w:rPr>
      </w:pPr>
    </w:p>
    <w:p w14:paraId="7B879133" w14:textId="6BAC67EE" w:rsidR="0025599B" w:rsidRPr="0025599B" w:rsidRDefault="0025599B" w:rsidP="0025599B">
      <w:pPr>
        <w:shd w:val="clear" w:color="auto" w:fill="FFFFFF"/>
        <w:spacing w:after="0" w:line="240" w:lineRule="auto"/>
        <w:rPr>
          <w:rFonts w:eastAsia="Times New Roman" w:cstheme="minorHAnsi"/>
          <w:color w:val="161616"/>
          <w:kern w:val="0"/>
          <w14:ligatures w14:val="none"/>
        </w:rPr>
      </w:pPr>
      <w:r>
        <w:rPr>
          <w:rFonts w:eastAsia="Times New Roman" w:cstheme="minorHAnsi"/>
          <w:color w:val="161616"/>
          <w:kern w:val="0"/>
          <w14:ligatures w14:val="none"/>
        </w:rPr>
        <w:t>Christian</w:t>
      </w:r>
      <w:r w:rsidR="00E369E8">
        <w:rPr>
          <w:rFonts w:eastAsia="Times New Roman" w:cstheme="minorHAnsi"/>
          <w:color w:val="161616"/>
          <w:kern w:val="0"/>
          <w14:ligatures w14:val="none"/>
        </w:rPr>
        <w:t xml:space="preserve"> Bergeron</w:t>
      </w:r>
      <w:r>
        <w:rPr>
          <w:rFonts w:eastAsia="Times New Roman" w:cstheme="minorHAnsi"/>
          <w:color w:val="161616"/>
          <w:kern w:val="0"/>
          <w14:ligatures w14:val="none"/>
        </w:rPr>
        <w:t>, Lorna</w:t>
      </w:r>
      <w:r w:rsidR="00E369E8">
        <w:rPr>
          <w:rFonts w:eastAsia="Times New Roman" w:cstheme="minorHAnsi"/>
          <w:color w:val="161616"/>
          <w:kern w:val="0"/>
          <w14:ligatures w14:val="none"/>
        </w:rPr>
        <w:t xml:space="preserve"> Strong</w:t>
      </w:r>
      <w:r>
        <w:rPr>
          <w:rFonts w:eastAsia="Times New Roman" w:cstheme="minorHAnsi"/>
          <w:color w:val="161616"/>
          <w:kern w:val="0"/>
          <w14:ligatures w14:val="none"/>
        </w:rPr>
        <w:t>, Ahmed</w:t>
      </w:r>
      <w:r w:rsidR="00E369E8">
        <w:rPr>
          <w:rFonts w:eastAsia="Times New Roman" w:cstheme="minorHAnsi"/>
          <w:color w:val="161616"/>
          <w:kern w:val="0"/>
          <w14:ligatures w14:val="none"/>
        </w:rPr>
        <w:t xml:space="preserve"> Hadidi</w:t>
      </w:r>
      <w:r>
        <w:rPr>
          <w:rFonts w:eastAsia="Times New Roman" w:cstheme="minorHAnsi"/>
          <w:color w:val="161616"/>
          <w:kern w:val="0"/>
          <w14:ligatures w14:val="none"/>
        </w:rPr>
        <w:t xml:space="preserve">, Dr. </w:t>
      </w:r>
      <w:r w:rsidR="005625CC">
        <w:rPr>
          <w:rFonts w:eastAsia="Times New Roman" w:cstheme="minorHAnsi"/>
          <w:color w:val="161616"/>
          <w:kern w:val="0"/>
          <w14:ligatures w14:val="none"/>
        </w:rPr>
        <w:t xml:space="preserve">Xiang </w:t>
      </w:r>
      <w:r>
        <w:rPr>
          <w:rFonts w:eastAsia="Times New Roman" w:cstheme="minorHAnsi"/>
          <w:color w:val="161616"/>
          <w:kern w:val="0"/>
          <w14:ligatures w14:val="none"/>
        </w:rPr>
        <w:t>Gao</w:t>
      </w:r>
      <w:r w:rsidR="002B12F3">
        <w:rPr>
          <w:rFonts w:eastAsia="Times New Roman" w:cstheme="minorHAnsi"/>
          <w:color w:val="161616"/>
          <w:kern w:val="0"/>
          <w14:ligatures w14:val="none"/>
        </w:rPr>
        <w:t>,</w:t>
      </w:r>
      <w:r>
        <w:rPr>
          <w:rFonts w:eastAsia="Times New Roman" w:cstheme="minorHAnsi"/>
          <w:color w:val="161616"/>
          <w:kern w:val="0"/>
          <w14:ligatures w14:val="none"/>
        </w:rPr>
        <w:t xml:space="preserve"> and Philippe</w:t>
      </w:r>
      <w:r w:rsidR="00E369E8">
        <w:rPr>
          <w:rFonts w:eastAsia="Times New Roman" w:cstheme="minorHAnsi"/>
          <w:color w:val="161616"/>
          <w:kern w:val="0"/>
          <w14:ligatures w14:val="none"/>
        </w:rPr>
        <w:t xml:space="preserve"> Berta</w:t>
      </w:r>
      <w:r w:rsidRPr="0025599B">
        <w:rPr>
          <w:rFonts w:eastAsia="Times New Roman" w:cstheme="minorHAnsi"/>
          <w:color w:val="161616"/>
          <w:kern w:val="0"/>
          <w14:ligatures w14:val="none"/>
        </w:rPr>
        <w:br/>
      </w:r>
      <w:r>
        <w:rPr>
          <w:rFonts w:eastAsia="Times New Roman" w:cstheme="minorHAnsi"/>
          <w:color w:val="161616"/>
          <w:kern w:val="0"/>
          <w14:ligatures w14:val="none"/>
        </w:rPr>
        <w:t>Working Group Members</w:t>
      </w:r>
      <w:r w:rsidR="005625CC">
        <w:rPr>
          <w:rFonts w:eastAsia="Times New Roman" w:cstheme="minorHAnsi"/>
          <w:color w:val="161616"/>
          <w:kern w:val="0"/>
          <w14:ligatures w14:val="none"/>
        </w:rPr>
        <w:t xml:space="preserve">, </w:t>
      </w:r>
      <w:r w:rsidRPr="0025599B">
        <w:rPr>
          <w:rFonts w:eastAsia="Times New Roman" w:cstheme="minorHAnsi"/>
          <w:color w:val="161616"/>
          <w:kern w:val="0"/>
          <w14:ligatures w14:val="none"/>
        </w:rPr>
        <w:t>ICC Banking Commission Legal Committee</w:t>
      </w:r>
    </w:p>
    <w:p w14:paraId="6B3F3DC3" w14:textId="77777777" w:rsidR="00610045" w:rsidRDefault="00610045">
      <w:pPr>
        <w:rPr>
          <w:b/>
          <w:bCs/>
        </w:rPr>
      </w:pPr>
      <w:r>
        <w:rPr>
          <w:b/>
          <w:bCs/>
        </w:rPr>
        <w:br w:type="page"/>
      </w:r>
    </w:p>
    <w:p w14:paraId="5674EADE" w14:textId="7C0F1FAE" w:rsidR="00E369E8" w:rsidRPr="00C734CA" w:rsidRDefault="00E13D5F" w:rsidP="00E9639C">
      <w:pPr>
        <w:spacing w:before="240" w:line="240" w:lineRule="auto"/>
        <w:rPr>
          <w:b/>
          <w:bCs/>
        </w:rPr>
      </w:pPr>
      <w:r>
        <w:rPr>
          <w:b/>
          <w:bCs/>
        </w:rPr>
        <w:lastRenderedPageBreak/>
        <w:t xml:space="preserve">Key </w:t>
      </w:r>
      <w:r w:rsidR="00E369E8" w:rsidRPr="00C734CA">
        <w:rPr>
          <w:b/>
          <w:bCs/>
        </w:rPr>
        <w:t>Definition</w:t>
      </w:r>
      <w:r>
        <w:rPr>
          <w:b/>
          <w:bCs/>
        </w:rPr>
        <w:t>s</w:t>
      </w:r>
      <w:r w:rsidR="00E369E8" w:rsidRPr="00C734CA">
        <w:rPr>
          <w:b/>
          <w:bCs/>
        </w:rPr>
        <w:t>:</w:t>
      </w:r>
    </w:p>
    <w:p w14:paraId="215ABAB1" w14:textId="3AF82477" w:rsidR="00E369E8" w:rsidRPr="00E369E8" w:rsidRDefault="00E369E8" w:rsidP="008F6952">
      <w:pPr>
        <w:spacing w:line="240" w:lineRule="auto"/>
        <w:rPr>
          <w:lang w:val="en-GB"/>
        </w:rPr>
      </w:pPr>
      <w:r w:rsidRPr="00E369E8">
        <w:t xml:space="preserve">A </w:t>
      </w:r>
      <w:r w:rsidRPr="00E13D5F">
        <w:rPr>
          <w:b/>
          <w:bCs/>
        </w:rPr>
        <w:t>bill of lading</w:t>
      </w:r>
      <w:r w:rsidRPr="00E369E8">
        <w:t xml:space="preserve"> is a shipping document from a carrier that clearly and fully lists the type, quantity, and destination of cargo.</w:t>
      </w:r>
      <w:r w:rsidR="002776C6">
        <w:t xml:space="preserve"> It </w:t>
      </w:r>
      <w:r w:rsidRPr="00E369E8">
        <w:rPr>
          <w:lang w:val="en-GB"/>
        </w:rPr>
        <w:t>serves three main purposes:</w:t>
      </w:r>
    </w:p>
    <w:p w14:paraId="30B8DE96" w14:textId="77777777" w:rsidR="00E369E8" w:rsidRPr="00E369E8" w:rsidRDefault="00E369E8" w:rsidP="008F6952">
      <w:pPr>
        <w:numPr>
          <w:ilvl w:val="0"/>
          <w:numId w:val="5"/>
        </w:numPr>
        <w:spacing w:line="240" w:lineRule="auto"/>
        <w:ind w:left="714" w:hanging="357"/>
        <w:contextualSpacing/>
        <w:rPr>
          <w:lang w:val="en-GB"/>
        </w:rPr>
      </w:pPr>
      <w:r w:rsidRPr="00E369E8">
        <w:rPr>
          <w:lang w:val="en-GB"/>
        </w:rPr>
        <w:t>It acts as a receipt for goods, confirming that the carrier has received the specific items in the stated conditions.</w:t>
      </w:r>
    </w:p>
    <w:p w14:paraId="3F3FE281" w14:textId="57F2A88B" w:rsidR="00E369E8" w:rsidRPr="00E369E8" w:rsidRDefault="00E369E8" w:rsidP="008F6952">
      <w:pPr>
        <w:numPr>
          <w:ilvl w:val="0"/>
          <w:numId w:val="5"/>
        </w:numPr>
        <w:spacing w:line="240" w:lineRule="auto"/>
        <w:ind w:left="714" w:hanging="357"/>
        <w:contextualSpacing/>
        <w:rPr>
          <w:lang w:val="en-GB"/>
        </w:rPr>
      </w:pPr>
      <w:r w:rsidRPr="00E369E8">
        <w:rPr>
          <w:lang w:val="en-GB"/>
        </w:rPr>
        <w:t xml:space="preserve">It </w:t>
      </w:r>
      <w:r w:rsidR="002776C6">
        <w:rPr>
          <w:lang w:val="en-GB"/>
        </w:rPr>
        <w:t xml:space="preserve">provides </w:t>
      </w:r>
      <w:r w:rsidRPr="00E369E8">
        <w:rPr>
          <w:lang w:val="en-GB"/>
        </w:rPr>
        <w:t>evidence of the contract between the shipper and carrier, outlining the terms of transportation.</w:t>
      </w:r>
    </w:p>
    <w:p w14:paraId="194D1A75" w14:textId="71FF5BDD" w:rsidR="00E9639C" w:rsidRDefault="00E369E8" w:rsidP="00E9639C">
      <w:pPr>
        <w:numPr>
          <w:ilvl w:val="0"/>
          <w:numId w:val="5"/>
        </w:numPr>
        <w:spacing w:after="240" w:line="240" w:lineRule="auto"/>
        <w:ind w:left="714" w:hanging="357"/>
        <w:rPr>
          <w:lang w:val="en-GB"/>
        </w:rPr>
      </w:pPr>
      <w:r w:rsidRPr="00E369E8">
        <w:rPr>
          <w:lang w:val="en-GB"/>
        </w:rPr>
        <w:t>It</w:t>
      </w:r>
      <w:r>
        <w:rPr>
          <w:lang w:val="en-GB"/>
        </w:rPr>
        <w:t xml:space="preserve"> is intended to </w:t>
      </w:r>
      <w:r w:rsidRPr="00E369E8">
        <w:rPr>
          <w:lang w:val="en-GB"/>
        </w:rPr>
        <w:t xml:space="preserve">represent </w:t>
      </w:r>
      <w:r w:rsidR="003D7706">
        <w:rPr>
          <w:lang w:val="en-GB"/>
        </w:rPr>
        <w:t xml:space="preserve">possession and/or </w:t>
      </w:r>
      <w:r w:rsidRPr="00E369E8">
        <w:rPr>
          <w:lang w:val="en-GB"/>
        </w:rPr>
        <w:t>ownership of the goods</w:t>
      </w:r>
      <w:r>
        <w:rPr>
          <w:lang w:val="en-GB"/>
        </w:rPr>
        <w:t xml:space="preserve">, </w:t>
      </w:r>
      <w:r w:rsidRPr="00E369E8">
        <w:rPr>
          <w:lang w:val="en-GB"/>
        </w:rPr>
        <w:t>allowing the holder to claim them upon delivery</w:t>
      </w:r>
      <w:r>
        <w:rPr>
          <w:lang w:val="en-GB"/>
        </w:rPr>
        <w:t>.</w:t>
      </w:r>
    </w:p>
    <w:p w14:paraId="74910C63" w14:textId="61D6FF3C" w:rsidR="00E13D5F" w:rsidRPr="00E13D5F" w:rsidRDefault="00E13D5F" w:rsidP="00E13D5F">
      <w:pPr>
        <w:spacing w:line="240" w:lineRule="auto"/>
      </w:pPr>
      <w:r w:rsidRPr="00E13D5F">
        <w:t xml:space="preserve">A </w:t>
      </w:r>
      <w:r w:rsidRPr="00E13D5F">
        <w:rPr>
          <w:b/>
          <w:bCs/>
        </w:rPr>
        <w:t>received bill of lading</w:t>
      </w:r>
      <w:r w:rsidRPr="00E13D5F">
        <w:t xml:space="preserve"> is issued by the carrier when the goods have been received but not yet loaded onto the vessel. It acknowledges that the carrier has taken possession of the goods and is responsible for them, but it does not confirm that the goods have been loaded onto the ship.</w:t>
      </w:r>
    </w:p>
    <w:p w14:paraId="5B518706" w14:textId="636B751A" w:rsidR="00E13D5F" w:rsidRDefault="00E13D5F" w:rsidP="00E13D5F">
      <w:pPr>
        <w:spacing w:line="240" w:lineRule="auto"/>
      </w:pPr>
      <w:r w:rsidRPr="00E13D5F">
        <w:t xml:space="preserve">An </w:t>
      </w:r>
      <w:r w:rsidRPr="00E13D5F">
        <w:rPr>
          <w:b/>
          <w:bCs/>
        </w:rPr>
        <w:t>onboard bill of lading</w:t>
      </w:r>
      <w:r w:rsidRPr="00E13D5F">
        <w:t xml:space="preserve"> is issued once the goods have been loaded onto the vessel. It confirms that the goods are physically on board the ship and are ready for transport. This type of bill of lading is </w:t>
      </w:r>
      <w:r w:rsidR="00B345B7">
        <w:t xml:space="preserve">traditionally </w:t>
      </w:r>
      <w:r w:rsidRPr="00E13D5F">
        <w:t>required by banks and other financial institutions as proof that the goods have been shipped, especially in international trade transactions.</w:t>
      </w:r>
    </w:p>
    <w:p w14:paraId="4E37E162" w14:textId="77777777" w:rsidR="00610045" w:rsidRDefault="00610045">
      <w:pPr>
        <w:rPr>
          <w:b/>
          <w:bCs/>
        </w:rPr>
      </w:pPr>
      <w:r>
        <w:rPr>
          <w:b/>
          <w:bCs/>
        </w:rPr>
        <w:br w:type="page"/>
      </w:r>
    </w:p>
    <w:p w14:paraId="221B7952" w14:textId="2C9AEB0B" w:rsidR="00610045" w:rsidRPr="00E13D5F" w:rsidRDefault="00610045" w:rsidP="00E13D5F">
      <w:pPr>
        <w:spacing w:line="240" w:lineRule="auto"/>
        <w:rPr>
          <w:b/>
          <w:bCs/>
        </w:rPr>
      </w:pPr>
      <w:r w:rsidRPr="00610045">
        <w:rPr>
          <w:b/>
          <w:bCs/>
        </w:rPr>
        <w:lastRenderedPageBreak/>
        <w:t>General Information:</w:t>
      </w:r>
    </w:p>
    <w:tbl>
      <w:tblPr>
        <w:tblStyle w:val="TableGrid"/>
        <w:tblW w:w="0" w:type="auto"/>
        <w:tblLook w:val="04A0" w:firstRow="1" w:lastRow="0" w:firstColumn="1" w:lastColumn="0" w:noHBand="0" w:noVBand="1"/>
      </w:tblPr>
      <w:tblGrid>
        <w:gridCol w:w="4106"/>
        <w:gridCol w:w="5244"/>
      </w:tblGrid>
      <w:tr w:rsidR="00C734CA" w14:paraId="44EEF3F6" w14:textId="77777777" w:rsidTr="00E9639C">
        <w:tc>
          <w:tcPr>
            <w:tcW w:w="4106" w:type="dxa"/>
          </w:tcPr>
          <w:p w14:paraId="43FCEB80" w14:textId="4623B419" w:rsidR="00C734CA" w:rsidRPr="00E9639C" w:rsidRDefault="00E9639C">
            <w:pPr>
              <w:rPr>
                <w:b/>
                <w:bCs/>
              </w:rPr>
            </w:pPr>
            <w:r w:rsidRPr="00E9639C">
              <w:rPr>
                <w:b/>
                <w:bCs/>
              </w:rPr>
              <w:t>Jurisdiction</w:t>
            </w:r>
            <w:r w:rsidR="00BC6A9D">
              <w:rPr>
                <w:b/>
                <w:bCs/>
              </w:rPr>
              <w:t xml:space="preserve"> </w:t>
            </w:r>
            <w:r w:rsidRPr="00E9639C">
              <w:rPr>
                <w:b/>
                <w:bCs/>
              </w:rPr>
              <w:t>/ Country:</w:t>
            </w:r>
          </w:p>
          <w:p w14:paraId="5CE8C11C" w14:textId="6958DF88" w:rsidR="00E9639C" w:rsidRPr="00E9639C" w:rsidRDefault="00E9639C">
            <w:pPr>
              <w:rPr>
                <w:b/>
                <w:bCs/>
              </w:rPr>
            </w:pPr>
          </w:p>
        </w:tc>
        <w:tc>
          <w:tcPr>
            <w:tcW w:w="5244" w:type="dxa"/>
          </w:tcPr>
          <w:p w14:paraId="6845482E" w14:textId="77777777" w:rsidR="00C734CA" w:rsidRDefault="00C734CA">
            <w:pPr>
              <w:rPr>
                <w:b/>
                <w:bCs/>
              </w:rPr>
            </w:pPr>
          </w:p>
        </w:tc>
      </w:tr>
      <w:tr w:rsidR="00C734CA" w14:paraId="4388F8A6" w14:textId="77777777" w:rsidTr="00E9639C">
        <w:tc>
          <w:tcPr>
            <w:tcW w:w="4106" w:type="dxa"/>
          </w:tcPr>
          <w:p w14:paraId="1E1209BF" w14:textId="7734C54B" w:rsidR="00C734CA" w:rsidRPr="00E9639C" w:rsidRDefault="00E9639C">
            <w:pPr>
              <w:rPr>
                <w:b/>
                <w:bCs/>
              </w:rPr>
            </w:pPr>
            <w:r w:rsidRPr="00E9639C">
              <w:rPr>
                <w:b/>
                <w:bCs/>
              </w:rPr>
              <w:t>Name of Respondent completing survey:</w:t>
            </w:r>
          </w:p>
        </w:tc>
        <w:tc>
          <w:tcPr>
            <w:tcW w:w="5244" w:type="dxa"/>
          </w:tcPr>
          <w:p w14:paraId="4253BFDC" w14:textId="77777777" w:rsidR="00C734CA" w:rsidRDefault="00C734CA">
            <w:pPr>
              <w:rPr>
                <w:b/>
                <w:bCs/>
              </w:rPr>
            </w:pPr>
          </w:p>
          <w:p w14:paraId="350CB503" w14:textId="77777777" w:rsidR="00C16A41" w:rsidRDefault="00C16A41">
            <w:pPr>
              <w:rPr>
                <w:b/>
                <w:bCs/>
              </w:rPr>
            </w:pPr>
          </w:p>
        </w:tc>
      </w:tr>
      <w:tr w:rsidR="00E9639C" w14:paraId="34BF78C9" w14:textId="77777777" w:rsidTr="00E9639C">
        <w:tc>
          <w:tcPr>
            <w:tcW w:w="4106" w:type="dxa"/>
          </w:tcPr>
          <w:p w14:paraId="0B4D4392" w14:textId="59A4E997" w:rsidR="00E9639C" w:rsidRPr="00E9639C" w:rsidRDefault="00E9639C">
            <w:pPr>
              <w:rPr>
                <w:b/>
                <w:bCs/>
              </w:rPr>
            </w:pPr>
            <w:r w:rsidRPr="00E9639C">
              <w:rPr>
                <w:b/>
                <w:bCs/>
              </w:rPr>
              <w:t>Contact Email:</w:t>
            </w:r>
          </w:p>
          <w:p w14:paraId="172DA8E5" w14:textId="77777777" w:rsidR="00E9639C" w:rsidRPr="00E9639C" w:rsidRDefault="00E9639C">
            <w:pPr>
              <w:rPr>
                <w:b/>
                <w:bCs/>
              </w:rPr>
            </w:pPr>
          </w:p>
        </w:tc>
        <w:tc>
          <w:tcPr>
            <w:tcW w:w="5244" w:type="dxa"/>
          </w:tcPr>
          <w:p w14:paraId="4DB5064C" w14:textId="77777777" w:rsidR="00E9639C" w:rsidRDefault="00E9639C">
            <w:pPr>
              <w:rPr>
                <w:b/>
                <w:bCs/>
              </w:rPr>
            </w:pPr>
          </w:p>
        </w:tc>
      </w:tr>
    </w:tbl>
    <w:p w14:paraId="3683DE4E" w14:textId="77777777" w:rsidR="00320D5C" w:rsidRDefault="00320D5C" w:rsidP="00991FAA">
      <w:pPr>
        <w:rPr>
          <w:b/>
          <w:bCs/>
        </w:rPr>
      </w:pPr>
    </w:p>
    <w:p w14:paraId="32F3DB8E" w14:textId="5C3D4B70" w:rsidR="00991FAA" w:rsidRDefault="00991FAA" w:rsidP="00991FAA">
      <w:pPr>
        <w:rPr>
          <w:b/>
          <w:bCs/>
        </w:rPr>
      </w:pPr>
      <w:r w:rsidRPr="0025599B">
        <w:rPr>
          <w:b/>
          <w:bCs/>
        </w:rPr>
        <w:t>Questions</w:t>
      </w:r>
    </w:p>
    <w:tbl>
      <w:tblPr>
        <w:tblStyle w:val="TableGrid"/>
        <w:tblW w:w="0" w:type="auto"/>
        <w:tblLook w:val="04A0" w:firstRow="1" w:lastRow="0" w:firstColumn="1" w:lastColumn="0" w:noHBand="0" w:noVBand="1"/>
      </w:tblPr>
      <w:tblGrid>
        <w:gridCol w:w="562"/>
        <w:gridCol w:w="8788"/>
      </w:tblGrid>
      <w:tr w:rsidR="008F6952" w14:paraId="7DBCC7E9" w14:textId="77777777" w:rsidTr="008F6952">
        <w:tc>
          <w:tcPr>
            <w:tcW w:w="562" w:type="dxa"/>
          </w:tcPr>
          <w:p w14:paraId="5925FA5D" w14:textId="43825DE3" w:rsidR="008F6952" w:rsidRDefault="008F6952" w:rsidP="00991FAA">
            <w:pPr>
              <w:rPr>
                <w:b/>
                <w:bCs/>
              </w:rPr>
            </w:pPr>
            <w:r>
              <w:rPr>
                <w:b/>
                <w:bCs/>
              </w:rPr>
              <w:t>1</w:t>
            </w:r>
          </w:p>
        </w:tc>
        <w:tc>
          <w:tcPr>
            <w:tcW w:w="8788" w:type="dxa"/>
          </w:tcPr>
          <w:p w14:paraId="3BFDCBF7" w14:textId="63B6CBCC" w:rsidR="008F6952" w:rsidRDefault="00CF461A" w:rsidP="00C734CA">
            <w:pPr>
              <w:shd w:val="clear" w:color="auto" w:fill="FFFFFF"/>
              <w:jc w:val="both"/>
              <w:rPr>
                <w:rFonts w:eastAsia="Times New Roman" w:cstheme="minorHAnsi"/>
                <w:b/>
                <w:bCs/>
                <w:color w:val="161616"/>
                <w:kern w:val="0"/>
                <w14:ligatures w14:val="none"/>
              </w:rPr>
            </w:pPr>
            <w:r w:rsidRPr="00991FAA">
              <w:rPr>
                <w:rFonts w:eastAsia="Times New Roman" w:cstheme="minorHAnsi"/>
                <w:b/>
                <w:bCs/>
                <w:color w:val="161616"/>
                <w:kern w:val="0"/>
                <w14:ligatures w14:val="none"/>
              </w:rPr>
              <w:t xml:space="preserve">Jurisdiction </w:t>
            </w:r>
          </w:p>
          <w:p w14:paraId="062CFF93" w14:textId="77777777" w:rsidR="002B12F3" w:rsidRDefault="002B12F3" w:rsidP="00C734CA">
            <w:pPr>
              <w:pStyle w:val="ListParagraph"/>
              <w:numPr>
                <w:ilvl w:val="0"/>
                <w:numId w:val="6"/>
              </w:numPr>
              <w:shd w:val="clear" w:color="auto" w:fill="FFFFFF"/>
              <w:jc w:val="both"/>
              <w:rPr>
                <w:rFonts w:eastAsia="Times New Roman" w:cstheme="minorHAnsi"/>
                <w:color w:val="161616"/>
                <w:kern w:val="0"/>
                <w14:ligatures w14:val="none"/>
              </w:rPr>
            </w:pPr>
            <w:r w:rsidRPr="002B12F3">
              <w:rPr>
                <w:rFonts w:eastAsia="Times New Roman" w:cstheme="minorHAnsi"/>
                <w:color w:val="161616"/>
                <w:kern w:val="0"/>
                <w14:ligatures w14:val="none"/>
              </w:rPr>
              <w:t>Is your jurisdiction primarily based on civil law, common law, or another legal system?</w:t>
            </w:r>
          </w:p>
          <w:p w14:paraId="2102A691" w14:textId="005E6C47" w:rsidR="002776C6" w:rsidRPr="002B12F3" w:rsidRDefault="002776C6" w:rsidP="00C734CA">
            <w:pPr>
              <w:pStyle w:val="ListParagraph"/>
              <w:numPr>
                <w:ilvl w:val="0"/>
                <w:numId w:val="6"/>
              </w:numPr>
              <w:shd w:val="clear" w:color="auto" w:fill="FFFFFF"/>
              <w:jc w:val="both"/>
              <w:rPr>
                <w:rFonts w:eastAsia="Times New Roman" w:cstheme="minorHAnsi"/>
                <w:color w:val="161616"/>
                <w:kern w:val="0"/>
                <w14:ligatures w14:val="none"/>
              </w:rPr>
            </w:pPr>
            <w:r>
              <w:rPr>
                <w:rFonts w:eastAsia="Times New Roman" w:cstheme="minorHAnsi"/>
                <w:color w:val="161616"/>
                <w:kern w:val="0"/>
                <w14:ligatures w14:val="none"/>
              </w:rPr>
              <w:t>In your jurisdiction, what statute or regulation (if any) governs bills of lading?</w:t>
            </w:r>
          </w:p>
        </w:tc>
      </w:tr>
      <w:tr w:rsidR="002B12F3" w14:paraId="2BD07012" w14:textId="77777777" w:rsidTr="002B12F3">
        <w:tc>
          <w:tcPr>
            <w:tcW w:w="562" w:type="dxa"/>
            <w:shd w:val="clear" w:color="auto" w:fill="E7E6E6" w:themeFill="background2"/>
          </w:tcPr>
          <w:p w14:paraId="52FE9447" w14:textId="77777777" w:rsidR="002B12F3" w:rsidRDefault="002B12F3" w:rsidP="00991FAA">
            <w:pPr>
              <w:rPr>
                <w:b/>
                <w:bCs/>
              </w:rPr>
            </w:pPr>
          </w:p>
        </w:tc>
        <w:tc>
          <w:tcPr>
            <w:tcW w:w="8788" w:type="dxa"/>
          </w:tcPr>
          <w:p w14:paraId="627BD31C" w14:textId="77777777" w:rsidR="002B12F3" w:rsidRDefault="002B12F3" w:rsidP="00C734CA">
            <w:pPr>
              <w:jc w:val="both"/>
              <w:rPr>
                <w:b/>
                <w:bCs/>
              </w:rPr>
            </w:pPr>
          </w:p>
          <w:p w14:paraId="282ADBFF" w14:textId="77777777" w:rsidR="002B12F3" w:rsidRDefault="002B12F3" w:rsidP="00C734CA">
            <w:pPr>
              <w:jc w:val="both"/>
              <w:rPr>
                <w:b/>
                <w:bCs/>
              </w:rPr>
            </w:pPr>
          </w:p>
          <w:p w14:paraId="20F6D8CD" w14:textId="77777777" w:rsidR="002B12F3" w:rsidRDefault="002B12F3" w:rsidP="00C734CA">
            <w:pPr>
              <w:jc w:val="both"/>
              <w:rPr>
                <w:b/>
                <w:bCs/>
              </w:rPr>
            </w:pPr>
          </w:p>
          <w:p w14:paraId="2B350368" w14:textId="7C9749FE" w:rsidR="002B12F3" w:rsidRDefault="002B12F3" w:rsidP="00C734CA">
            <w:pPr>
              <w:jc w:val="both"/>
              <w:rPr>
                <w:b/>
                <w:bCs/>
              </w:rPr>
            </w:pPr>
          </w:p>
        </w:tc>
      </w:tr>
      <w:tr w:rsidR="008F6952" w14:paraId="22BEC7AD" w14:textId="77777777" w:rsidTr="008F6952">
        <w:tc>
          <w:tcPr>
            <w:tcW w:w="562" w:type="dxa"/>
          </w:tcPr>
          <w:p w14:paraId="76681A5C" w14:textId="7B58B0AB" w:rsidR="008F6952" w:rsidRDefault="008F6952" w:rsidP="00991FAA">
            <w:pPr>
              <w:rPr>
                <w:b/>
                <w:bCs/>
              </w:rPr>
            </w:pPr>
            <w:r>
              <w:rPr>
                <w:b/>
                <w:bCs/>
              </w:rPr>
              <w:t>2</w:t>
            </w:r>
          </w:p>
        </w:tc>
        <w:tc>
          <w:tcPr>
            <w:tcW w:w="8788" w:type="dxa"/>
          </w:tcPr>
          <w:p w14:paraId="515325F5" w14:textId="1E88C833" w:rsidR="002B12F3" w:rsidRDefault="002B12F3" w:rsidP="00C734CA">
            <w:pPr>
              <w:jc w:val="both"/>
              <w:rPr>
                <w:rFonts w:eastAsia="Times New Roman" w:cstheme="minorHAnsi"/>
                <w:b/>
                <w:bCs/>
                <w:color w:val="161616"/>
                <w:kern w:val="0"/>
                <w14:ligatures w14:val="none"/>
              </w:rPr>
            </w:pPr>
            <w:r w:rsidRPr="00991FAA">
              <w:rPr>
                <w:rFonts w:eastAsia="Times New Roman" w:cstheme="minorHAnsi"/>
                <w:b/>
                <w:bCs/>
                <w:color w:val="161616"/>
                <w:kern w:val="0"/>
                <w14:ligatures w14:val="none"/>
              </w:rPr>
              <w:t>Legal Status of Bills of Lading</w:t>
            </w:r>
          </w:p>
          <w:p w14:paraId="12C821A1" w14:textId="32549D3A" w:rsidR="008A1E80" w:rsidRPr="00320D5C" w:rsidRDefault="002B12F3" w:rsidP="00320D5C">
            <w:pPr>
              <w:pStyle w:val="ListParagraph"/>
              <w:numPr>
                <w:ilvl w:val="0"/>
                <w:numId w:val="7"/>
              </w:numPr>
              <w:jc w:val="both"/>
              <w:rPr>
                <w:rFonts w:eastAsia="Times New Roman" w:cstheme="minorHAnsi"/>
                <w:color w:val="161616"/>
                <w:kern w:val="0"/>
                <w14:ligatures w14:val="none"/>
              </w:rPr>
            </w:pPr>
            <w:r w:rsidRPr="002B12F3">
              <w:rPr>
                <w:rFonts w:eastAsia="Times New Roman" w:cstheme="minorHAnsi"/>
                <w:color w:val="161616"/>
                <w:kern w:val="0"/>
                <w14:ligatures w14:val="none"/>
              </w:rPr>
              <w:t>In your jurisdiction, are bills of lading recognized as title documents, possessory documents</w:t>
            </w:r>
            <w:r w:rsidR="00143993">
              <w:rPr>
                <w:rFonts w:eastAsia="Times New Roman" w:cstheme="minorHAnsi"/>
                <w:color w:val="161616"/>
                <w:kern w:val="0"/>
                <w14:ligatures w14:val="none"/>
              </w:rPr>
              <w:t xml:space="preserve"> (i.e. documents conferring deemed or constructive possession)</w:t>
            </w:r>
            <w:r w:rsidRPr="002B12F3">
              <w:rPr>
                <w:rFonts w:eastAsia="Times New Roman" w:cstheme="minorHAnsi"/>
                <w:color w:val="161616"/>
                <w:kern w:val="0"/>
                <w14:ligatures w14:val="none"/>
              </w:rPr>
              <w:t xml:space="preserve">, or </w:t>
            </w:r>
            <w:r w:rsidR="00320D5C">
              <w:rPr>
                <w:rFonts w:eastAsia="Times New Roman" w:cstheme="minorHAnsi"/>
                <w:color w:val="161616"/>
                <w:kern w:val="0"/>
                <w14:ligatures w14:val="none"/>
              </w:rPr>
              <w:t>classified differently</w:t>
            </w:r>
            <w:r w:rsidRPr="002B12F3">
              <w:rPr>
                <w:rFonts w:eastAsia="Times New Roman" w:cstheme="minorHAnsi"/>
                <w:color w:val="161616"/>
                <w:kern w:val="0"/>
                <w14:ligatures w14:val="none"/>
              </w:rPr>
              <w:t>?</w:t>
            </w:r>
          </w:p>
        </w:tc>
      </w:tr>
      <w:tr w:rsidR="008F6952" w14:paraId="4DC66F48" w14:textId="77777777" w:rsidTr="002B12F3">
        <w:tc>
          <w:tcPr>
            <w:tcW w:w="562" w:type="dxa"/>
            <w:shd w:val="clear" w:color="auto" w:fill="E7E6E6" w:themeFill="background2"/>
          </w:tcPr>
          <w:p w14:paraId="0BFEF571" w14:textId="77777777" w:rsidR="008F6952" w:rsidRDefault="008F6952" w:rsidP="00991FAA">
            <w:pPr>
              <w:rPr>
                <w:b/>
                <w:bCs/>
              </w:rPr>
            </w:pPr>
          </w:p>
        </w:tc>
        <w:tc>
          <w:tcPr>
            <w:tcW w:w="8788" w:type="dxa"/>
          </w:tcPr>
          <w:p w14:paraId="1C05ADC1" w14:textId="77777777" w:rsidR="008F6952" w:rsidRDefault="008F6952" w:rsidP="00C734CA">
            <w:pPr>
              <w:jc w:val="both"/>
              <w:rPr>
                <w:b/>
                <w:bCs/>
              </w:rPr>
            </w:pPr>
          </w:p>
          <w:p w14:paraId="20D32309" w14:textId="77777777" w:rsidR="002B12F3" w:rsidRDefault="002B12F3" w:rsidP="00C734CA">
            <w:pPr>
              <w:jc w:val="both"/>
              <w:rPr>
                <w:b/>
                <w:bCs/>
              </w:rPr>
            </w:pPr>
          </w:p>
          <w:p w14:paraId="4902640D" w14:textId="77777777" w:rsidR="002B12F3" w:rsidRDefault="002B12F3" w:rsidP="00C734CA">
            <w:pPr>
              <w:jc w:val="both"/>
              <w:rPr>
                <w:b/>
                <w:bCs/>
              </w:rPr>
            </w:pPr>
          </w:p>
          <w:p w14:paraId="4F1AAF5D" w14:textId="77777777" w:rsidR="002B12F3" w:rsidRDefault="002B12F3" w:rsidP="00C734CA">
            <w:pPr>
              <w:jc w:val="both"/>
              <w:rPr>
                <w:b/>
                <w:bCs/>
              </w:rPr>
            </w:pPr>
          </w:p>
        </w:tc>
      </w:tr>
      <w:tr w:rsidR="008F6952" w14:paraId="60840D36" w14:textId="77777777" w:rsidTr="008F6952">
        <w:tc>
          <w:tcPr>
            <w:tcW w:w="562" w:type="dxa"/>
          </w:tcPr>
          <w:p w14:paraId="50A7F798" w14:textId="147E7CD8" w:rsidR="008F6952" w:rsidRDefault="008F6952" w:rsidP="00991FAA">
            <w:pPr>
              <w:rPr>
                <w:b/>
                <w:bCs/>
              </w:rPr>
            </w:pPr>
            <w:r>
              <w:rPr>
                <w:b/>
                <w:bCs/>
              </w:rPr>
              <w:t>3</w:t>
            </w:r>
          </w:p>
        </w:tc>
        <w:tc>
          <w:tcPr>
            <w:tcW w:w="8788" w:type="dxa"/>
          </w:tcPr>
          <w:p w14:paraId="44ECDC7A" w14:textId="00750F38" w:rsidR="008F6952" w:rsidRDefault="002B12F3" w:rsidP="00C734CA">
            <w:pPr>
              <w:jc w:val="both"/>
              <w:rPr>
                <w:rFonts w:eastAsia="Times New Roman" w:cstheme="minorHAnsi"/>
                <w:b/>
                <w:bCs/>
                <w:color w:val="161616"/>
                <w:kern w:val="0"/>
                <w14:ligatures w14:val="none"/>
              </w:rPr>
            </w:pPr>
            <w:r w:rsidRPr="00991FAA">
              <w:rPr>
                <w:rFonts w:eastAsia="Times New Roman" w:cstheme="minorHAnsi"/>
                <w:b/>
                <w:bCs/>
                <w:color w:val="161616"/>
                <w:kern w:val="0"/>
                <w14:ligatures w14:val="none"/>
              </w:rPr>
              <w:t>Rights</w:t>
            </w:r>
          </w:p>
          <w:p w14:paraId="6A1CA447" w14:textId="735ECC54" w:rsidR="002B12F3" w:rsidRPr="00991FAA" w:rsidRDefault="00320D5C" w:rsidP="00C734CA">
            <w:pPr>
              <w:numPr>
                <w:ilvl w:val="0"/>
                <w:numId w:val="8"/>
              </w:numPr>
              <w:shd w:val="clear" w:color="auto" w:fill="FFFFFF"/>
              <w:jc w:val="both"/>
              <w:rPr>
                <w:rFonts w:eastAsia="Times New Roman" w:cstheme="minorHAnsi"/>
                <w:color w:val="161616"/>
                <w:kern w:val="0"/>
                <w14:ligatures w14:val="none"/>
              </w:rPr>
            </w:pPr>
            <w:r w:rsidRPr="002B12F3">
              <w:rPr>
                <w:rFonts w:eastAsia="Times New Roman" w:cstheme="minorHAnsi"/>
                <w:color w:val="161616"/>
                <w:kern w:val="0"/>
                <w14:ligatures w14:val="none"/>
              </w:rPr>
              <w:t xml:space="preserve">Does holding a bill of lading confer </w:t>
            </w:r>
            <w:r>
              <w:rPr>
                <w:rFonts w:eastAsia="Times New Roman" w:cstheme="minorHAnsi"/>
                <w:color w:val="161616"/>
                <w:kern w:val="0"/>
                <w14:ligatures w14:val="none"/>
              </w:rPr>
              <w:t xml:space="preserve">(i) </w:t>
            </w:r>
            <w:r w:rsidRPr="002B12F3">
              <w:rPr>
                <w:rFonts w:eastAsia="Times New Roman" w:cstheme="minorHAnsi"/>
                <w:color w:val="161616"/>
                <w:kern w:val="0"/>
                <w14:ligatures w14:val="none"/>
              </w:rPr>
              <w:t xml:space="preserve">full ownership rights over the goods, </w:t>
            </w:r>
            <w:r>
              <w:rPr>
                <w:rFonts w:eastAsia="Times New Roman" w:cstheme="minorHAnsi"/>
                <w:color w:val="161616"/>
                <w:kern w:val="0"/>
                <w14:ligatures w14:val="none"/>
              </w:rPr>
              <w:t>(ii)</w:t>
            </w:r>
            <w:r w:rsidRPr="002B12F3">
              <w:rPr>
                <w:rFonts w:eastAsia="Times New Roman" w:cstheme="minorHAnsi"/>
                <w:color w:val="161616"/>
                <w:kern w:val="0"/>
                <w14:ligatures w14:val="none"/>
              </w:rPr>
              <w:t xml:space="preserve"> </w:t>
            </w:r>
            <w:r w:rsidR="0025657F">
              <w:rPr>
                <w:rFonts w:eastAsia="Times New Roman" w:cstheme="minorHAnsi"/>
                <w:color w:val="161616"/>
                <w:kern w:val="0"/>
                <w14:ligatures w14:val="none"/>
              </w:rPr>
              <w:t xml:space="preserve">solely </w:t>
            </w:r>
            <w:r w:rsidRPr="002B12F3">
              <w:rPr>
                <w:rFonts w:eastAsia="Times New Roman" w:cstheme="minorHAnsi"/>
                <w:color w:val="161616"/>
                <w:kern w:val="0"/>
                <w14:ligatures w14:val="none"/>
              </w:rPr>
              <w:t>possessory rights</w:t>
            </w:r>
            <w:r>
              <w:rPr>
                <w:rFonts w:eastAsia="Times New Roman" w:cstheme="minorHAnsi"/>
                <w:color w:val="161616"/>
                <w:kern w:val="0"/>
                <w14:ligatures w14:val="none"/>
              </w:rPr>
              <w:t xml:space="preserve"> </w:t>
            </w:r>
            <w:r w:rsidR="0025657F">
              <w:rPr>
                <w:rFonts w:eastAsia="Times New Roman" w:cstheme="minorHAnsi"/>
                <w:color w:val="161616"/>
                <w:kern w:val="0"/>
                <w14:ligatures w14:val="none"/>
              </w:rPr>
              <w:t xml:space="preserve">akin to those of </w:t>
            </w:r>
            <w:r>
              <w:rPr>
                <w:rFonts w:eastAsia="Times New Roman" w:cstheme="minorHAnsi"/>
                <w:color w:val="161616"/>
                <w:kern w:val="0"/>
                <w14:ligatures w14:val="none"/>
              </w:rPr>
              <w:t>a secured creditor</w:t>
            </w:r>
            <w:r w:rsidR="00CE4CE3">
              <w:rPr>
                <w:rFonts w:eastAsia="Times New Roman" w:cstheme="minorHAnsi"/>
                <w:color w:val="161616"/>
                <w:kern w:val="0"/>
                <w14:ligatures w14:val="none"/>
              </w:rPr>
              <w:t xml:space="preserve"> in possession or control</w:t>
            </w:r>
            <w:r>
              <w:rPr>
                <w:rFonts w:eastAsia="Times New Roman" w:cstheme="minorHAnsi"/>
                <w:color w:val="161616"/>
                <w:kern w:val="0"/>
                <w14:ligatures w14:val="none"/>
              </w:rPr>
              <w:t xml:space="preserve">, or (iii) some other </w:t>
            </w:r>
            <w:r w:rsidR="0025657F">
              <w:rPr>
                <w:rFonts w:eastAsia="Times New Roman" w:cstheme="minorHAnsi"/>
                <w:color w:val="161616"/>
                <w:kern w:val="0"/>
                <w14:ligatures w14:val="none"/>
              </w:rPr>
              <w:t xml:space="preserve">type of </w:t>
            </w:r>
            <w:r w:rsidR="00CE4CE3">
              <w:rPr>
                <w:rFonts w:eastAsia="Times New Roman" w:cstheme="minorHAnsi"/>
                <w:color w:val="161616"/>
                <w:kern w:val="0"/>
                <w14:ligatures w14:val="none"/>
              </w:rPr>
              <w:t>proprietary</w:t>
            </w:r>
            <w:r w:rsidR="0091288F">
              <w:rPr>
                <w:rFonts w:eastAsia="Times New Roman" w:cstheme="minorHAnsi"/>
                <w:color w:val="161616"/>
                <w:kern w:val="0"/>
                <w14:ligatures w14:val="none"/>
              </w:rPr>
              <w:t>/</w:t>
            </w:r>
            <w:r w:rsidR="0091288F" w:rsidRPr="00887A49">
              <w:rPr>
                <w:rFonts w:eastAsia="Times New Roman" w:cstheme="minorHAnsi"/>
                <w:i/>
                <w:iCs/>
                <w:color w:val="161616"/>
                <w:kern w:val="0"/>
                <w14:ligatures w14:val="none"/>
              </w:rPr>
              <w:t>in rem</w:t>
            </w:r>
            <w:r w:rsidR="0091288F">
              <w:rPr>
                <w:rFonts w:eastAsia="Times New Roman" w:cstheme="minorHAnsi"/>
                <w:color w:val="161616"/>
                <w:kern w:val="0"/>
                <w14:ligatures w14:val="none"/>
              </w:rPr>
              <w:t xml:space="preserve"> </w:t>
            </w:r>
            <w:r>
              <w:rPr>
                <w:rFonts w:eastAsia="Times New Roman" w:cstheme="minorHAnsi"/>
                <w:color w:val="161616"/>
                <w:kern w:val="0"/>
                <w14:ligatures w14:val="none"/>
              </w:rPr>
              <w:t xml:space="preserve">rights (please </w:t>
            </w:r>
            <w:r w:rsidR="0025657F">
              <w:rPr>
                <w:rFonts w:eastAsia="Times New Roman" w:cstheme="minorHAnsi"/>
                <w:color w:val="161616"/>
                <w:kern w:val="0"/>
                <w14:ligatures w14:val="none"/>
              </w:rPr>
              <w:t>specify</w:t>
            </w:r>
            <w:r>
              <w:rPr>
                <w:rFonts w:eastAsia="Times New Roman" w:cstheme="minorHAnsi"/>
                <w:color w:val="161616"/>
                <w:kern w:val="0"/>
                <w14:ligatures w14:val="none"/>
              </w:rPr>
              <w:t>)</w:t>
            </w:r>
            <w:r w:rsidRPr="002B12F3">
              <w:rPr>
                <w:rFonts w:eastAsia="Times New Roman" w:cstheme="minorHAnsi"/>
                <w:color w:val="161616"/>
                <w:kern w:val="0"/>
                <w14:ligatures w14:val="none"/>
              </w:rPr>
              <w:t>?</w:t>
            </w:r>
          </w:p>
          <w:p w14:paraId="56D26546" w14:textId="44B7EC49" w:rsidR="002B12F3" w:rsidRPr="00C734CA" w:rsidRDefault="0025657F" w:rsidP="00C734CA">
            <w:pPr>
              <w:numPr>
                <w:ilvl w:val="0"/>
                <w:numId w:val="8"/>
              </w:numPr>
              <w:shd w:val="clear" w:color="auto" w:fill="FFFFFF"/>
              <w:jc w:val="both"/>
              <w:rPr>
                <w:rFonts w:eastAsia="Times New Roman" w:cstheme="minorHAnsi"/>
                <w:color w:val="161616"/>
                <w:kern w:val="0"/>
                <w14:ligatures w14:val="none"/>
              </w:rPr>
            </w:pPr>
            <w:r w:rsidRPr="0025657F">
              <w:rPr>
                <w:rFonts w:eastAsia="Times New Roman" w:cstheme="minorHAnsi"/>
                <w:color w:val="161616"/>
                <w:kern w:val="0"/>
                <w14:ligatures w14:val="none"/>
              </w:rPr>
              <w:t>Would these rights vary when comparing a received bill of lading to an onboard bill of lading?</w:t>
            </w:r>
          </w:p>
        </w:tc>
      </w:tr>
      <w:tr w:rsidR="00E13D5F" w14:paraId="15504525" w14:textId="77777777" w:rsidTr="002B12F3">
        <w:tc>
          <w:tcPr>
            <w:tcW w:w="562" w:type="dxa"/>
            <w:shd w:val="clear" w:color="auto" w:fill="E7E6E6" w:themeFill="background2"/>
          </w:tcPr>
          <w:p w14:paraId="55072374" w14:textId="77777777" w:rsidR="00E13D5F" w:rsidRDefault="00E13D5F" w:rsidP="00991FAA">
            <w:pPr>
              <w:rPr>
                <w:b/>
                <w:bCs/>
              </w:rPr>
            </w:pPr>
          </w:p>
        </w:tc>
        <w:tc>
          <w:tcPr>
            <w:tcW w:w="8788" w:type="dxa"/>
          </w:tcPr>
          <w:p w14:paraId="0DE7EBDD" w14:textId="77777777" w:rsidR="00E13D5F" w:rsidRDefault="00E13D5F" w:rsidP="00C734CA">
            <w:pPr>
              <w:jc w:val="both"/>
              <w:rPr>
                <w:b/>
                <w:bCs/>
              </w:rPr>
            </w:pPr>
          </w:p>
        </w:tc>
      </w:tr>
      <w:tr w:rsidR="00E13D5F" w14:paraId="5FDD83D1" w14:textId="77777777" w:rsidTr="00320D5C">
        <w:tc>
          <w:tcPr>
            <w:tcW w:w="562" w:type="dxa"/>
            <w:shd w:val="clear" w:color="auto" w:fill="FFFFFF" w:themeFill="background1"/>
          </w:tcPr>
          <w:p w14:paraId="7796BCB5" w14:textId="520FDE03" w:rsidR="00E13D5F" w:rsidRDefault="00E13D5F" w:rsidP="00991FAA">
            <w:pPr>
              <w:rPr>
                <w:b/>
                <w:bCs/>
              </w:rPr>
            </w:pPr>
            <w:r>
              <w:rPr>
                <w:b/>
                <w:bCs/>
              </w:rPr>
              <w:t>4</w:t>
            </w:r>
          </w:p>
        </w:tc>
        <w:tc>
          <w:tcPr>
            <w:tcW w:w="8788" w:type="dxa"/>
          </w:tcPr>
          <w:p w14:paraId="449AD618" w14:textId="77777777" w:rsidR="00E13D5F" w:rsidRDefault="00E13D5F" w:rsidP="00C734CA">
            <w:pPr>
              <w:jc w:val="both"/>
              <w:rPr>
                <w:b/>
                <w:bCs/>
              </w:rPr>
            </w:pPr>
            <w:r>
              <w:rPr>
                <w:b/>
                <w:bCs/>
              </w:rPr>
              <w:t>Liabilities</w:t>
            </w:r>
          </w:p>
          <w:p w14:paraId="3E3EA083" w14:textId="77777777" w:rsidR="00E13D5F" w:rsidRPr="00E13D5F" w:rsidRDefault="00E13D5F" w:rsidP="00E13D5F">
            <w:pPr>
              <w:numPr>
                <w:ilvl w:val="0"/>
                <w:numId w:val="17"/>
              </w:numPr>
              <w:shd w:val="clear" w:color="auto" w:fill="FFFFFF"/>
              <w:jc w:val="both"/>
            </w:pPr>
            <w:r>
              <w:rPr>
                <w:rFonts w:eastAsia="Times New Roman" w:cstheme="minorHAnsi"/>
                <w:color w:val="161616"/>
                <w:kern w:val="0"/>
                <w14:ligatures w14:val="none"/>
              </w:rPr>
              <w:t>In your jurisdiction, a</w:t>
            </w:r>
            <w:r w:rsidRPr="00991FAA">
              <w:rPr>
                <w:rFonts w:eastAsia="Times New Roman" w:cstheme="minorHAnsi"/>
                <w:color w:val="161616"/>
                <w:kern w:val="0"/>
                <w14:ligatures w14:val="none"/>
              </w:rPr>
              <w:t>re there any specific liabilities associated with holding a bill of l</w:t>
            </w:r>
            <w:r w:rsidRPr="00E13D5F">
              <w:rPr>
                <w:rFonts w:eastAsia="Times New Roman" w:cstheme="minorHAnsi"/>
                <w:color w:val="161616"/>
                <w:kern w:val="0"/>
                <w14:ligatures w14:val="none"/>
              </w:rPr>
              <w:t>ading?</w:t>
            </w:r>
          </w:p>
          <w:p w14:paraId="6CD26E47" w14:textId="67EC01CB" w:rsidR="00E13D5F" w:rsidRDefault="00E13D5F" w:rsidP="00E13D5F">
            <w:pPr>
              <w:numPr>
                <w:ilvl w:val="0"/>
                <w:numId w:val="17"/>
              </w:numPr>
              <w:shd w:val="clear" w:color="auto" w:fill="FFFFFF"/>
              <w:jc w:val="both"/>
              <w:rPr>
                <w:b/>
                <w:bCs/>
              </w:rPr>
            </w:pPr>
            <w:r w:rsidRPr="00E13D5F">
              <w:rPr>
                <w:rFonts w:eastAsia="Times New Roman" w:cstheme="minorHAnsi"/>
                <w:color w:val="161616"/>
                <w:kern w:val="0"/>
                <w14:ligatures w14:val="none"/>
              </w:rPr>
              <w:t>Would</w:t>
            </w:r>
            <w:r>
              <w:rPr>
                <w:rFonts w:eastAsia="Times New Roman" w:cstheme="minorHAnsi"/>
                <w:color w:val="161616"/>
                <w:kern w:val="0"/>
                <w14:ligatures w14:val="none"/>
              </w:rPr>
              <w:t xml:space="preserve"> </w:t>
            </w:r>
            <w:r w:rsidR="0025657F">
              <w:rPr>
                <w:rFonts w:eastAsia="Times New Roman" w:cstheme="minorHAnsi"/>
                <w:color w:val="161616"/>
                <w:kern w:val="0"/>
                <w14:ligatures w14:val="none"/>
              </w:rPr>
              <w:t xml:space="preserve">these </w:t>
            </w:r>
            <w:r w:rsidRPr="00E13D5F">
              <w:rPr>
                <w:rFonts w:eastAsia="Times New Roman" w:cstheme="minorHAnsi"/>
                <w:color w:val="161616"/>
                <w:kern w:val="0"/>
                <w14:ligatures w14:val="none"/>
              </w:rPr>
              <w:t xml:space="preserve">liabilities </w:t>
            </w:r>
            <w:r w:rsidR="0025657F" w:rsidRPr="0025657F">
              <w:rPr>
                <w:rFonts w:eastAsia="Times New Roman" w:cstheme="minorHAnsi"/>
                <w:color w:val="161616"/>
                <w:kern w:val="0"/>
                <w14:ligatures w14:val="none"/>
              </w:rPr>
              <w:t>vary when comparing a received bill of lading to an onboard bill of lading</w:t>
            </w:r>
            <w:r w:rsidRPr="00E13D5F">
              <w:rPr>
                <w:rFonts w:eastAsia="Times New Roman" w:cstheme="minorHAnsi"/>
                <w:color w:val="161616"/>
                <w:kern w:val="0"/>
                <w14:ligatures w14:val="none"/>
              </w:rPr>
              <w:t>?</w:t>
            </w:r>
          </w:p>
        </w:tc>
      </w:tr>
      <w:tr w:rsidR="008F6952" w14:paraId="45C2FA55" w14:textId="77777777" w:rsidTr="002B12F3">
        <w:tc>
          <w:tcPr>
            <w:tcW w:w="562" w:type="dxa"/>
            <w:shd w:val="clear" w:color="auto" w:fill="E7E6E6" w:themeFill="background2"/>
          </w:tcPr>
          <w:p w14:paraId="44FBC834" w14:textId="77777777" w:rsidR="008F6952" w:rsidRDefault="008F6952" w:rsidP="00991FAA">
            <w:pPr>
              <w:rPr>
                <w:b/>
                <w:bCs/>
              </w:rPr>
            </w:pPr>
          </w:p>
        </w:tc>
        <w:tc>
          <w:tcPr>
            <w:tcW w:w="8788" w:type="dxa"/>
          </w:tcPr>
          <w:p w14:paraId="4ECA26B0" w14:textId="77777777" w:rsidR="002B12F3" w:rsidRDefault="002B12F3" w:rsidP="00C734CA">
            <w:pPr>
              <w:jc w:val="both"/>
              <w:rPr>
                <w:b/>
                <w:bCs/>
              </w:rPr>
            </w:pPr>
          </w:p>
          <w:p w14:paraId="403E881C" w14:textId="77777777" w:rsidR="002B12F3" w:rsidRDefault="002B12F3" w:rsidP="00C734CA">
            <w:pPr>
              <w:jc w:val="both"/>
              <w:rPr>
                <w:b/>
                <w:bCs/>
              </w:rPr>
            </w:pPr>
          </w:p>
          <w:p w14:paraId="0D39753D" w14:textId="77777777" w:rsidR="002B12F3" w:rsidRDefault="002B12F3" w:rsidP="00C734CA">
            <w:pPr>
              <w:jc w:val="both"/>
              <w:rPr>
                <w:b/>
                <w:bCs/>
              </w:rPr>
            </w:pPr>
          </w:p>
          <w:p w14:paraId="0A3C48D6" w14:textId="77777777" w:rsidR="002B12F3" w:rsidRDefault="002B12F3" w:rsidP="00C734CA">
            <w:pPr>
              <w:jc w:val="both"/>
              <w:rPr>
                <w:b/>
                <w:bCs/>
              </w:rPr>
            </w:pPr>
          </w:p>
        </w:tc>
      </w:tr>
      <w:tr w:rsidR="008F6952" w14:paraId="62A2712D" w14:textId="77777777" w:rsidTr="008F6952">
        <w:tc>
          <w:tcPr>
            <w:tcW w:w="562" w:type="dxa"/>
          </w:tcPr>
          <w:p w14:paraId="640A5862" w14:textId="44E660C3" w:rsidR="008F6952" w:rsidRDefault="00320D5C" w:rsidP="00991FAA">
            <w:pPr>
              <w:rPr>
                <w:b/>
                <w:bCs/>
              </w:rPr>
            </w:pPr>
            <w:r>
              <w:rPr>
                <w:b/>
                <w:bCs/>
              </w:rPr>
              <w:t>5</w:t>
            </w:r>
          </w:p>
        </w:tc>
        <w:tc>
          <w:tcPr>
            <w:tcW w:w="8788" w:type="dxa"/>
          </w:tcPr>
          <w:p w14:paraId="45F30B25" w14:textId="25D57DC9" w:rsidR="002B12F3" w:rsidRPr="00991FAA" w:rsidRDefault="002B12F3" w:rsidP="00C734CA">
            <w:pPr>
              <w:shd w:val="clear" w:color="auto" w:fill="FFFFFF"/>
              <w:jc w:val="both"/>
              <w:rPr>
                <w:rFonts w:eastAsia="Times New Roman" w:cstheme="minorHAnsi"/>
                <w:color w:val="161616"/>
                <w:kern w:val="0"/>
                <w14:ligatures w14:val="none"/>
              </w:rPr>
            </w:pPr>
            <w:r w:rsidRPr="00991FAA">
              <w:rPr>
                <w:rFonts w:eastAsia="Times New Roman" w:cstheme="minorHAnsi"/>
                <w:b/>
                <w:bCs/>
                <w:color w:val="161616"/>
                <w:kern w:val="0"/>
                <w14:ligatures w14:val="none"/>
              </w:rPr>
              <w:t>Transfer of Rights</w:t>
            </w:r>
          </w:p>
          <w:p w14:paraId="17FF6ACD" w14:textId="63D17219" w:rsidR="002B12F3" w:rsidRDefault="002B12F3" w:rsidP="00C734CA">
            <w:pPr>
              <w:numPr>
                <w:ilvl w:val="0"/>
                <w:numId w:val="9"/>
              </w:numPr>
              <w:shd w:val="clear" w:color="auto" w:fill="FFFFFF"/>
              <w:jc w:val="both"/>
              <w:rPr>
                <w:rFonts w:eastAsia="Times New Roman" w:cstheme="minorHAnsi"/>
                <w:color w:val="161616"/>
                <w:kern w:val="0"/>
                <w14:ligatures w14:val="none"/>
              </w:rPr>
            </w:pPr>
            <w:r w:rsidRPr="00991FAA">
              <w:rPr>
                <w:rFonts w:eastAsia="Times New Roman" w:cstheme="minorHAnsi"/>
                <w:color w:val="161616"/>
                <w:kern w:val="0"/>
                <w14:ligatures w14:val="none"/>
              </w:rPr>
              <w:t xml:space="preserve">How are rights </w:t>
            </w:r>
            <w:r>
              <w:rPr>
                <w:rFonts w:eastAsia="Times New Roman" w:cstheme="minorHAnsi"/>
                <w:color w:val="161616"/>
                <w:kern w:val="0"/>
                <w14:ligatures w14:val="none"/>
              </w:rPr>
              <w:t xml:space="preserve">under </w:t>
            </w:r>
            <w:r w:rsidRPr="00991FAA">
              <w:rPr>
                <w:rFonts w:eastAsia="Times New Roman" w:cstheme="minorHAnsi"/>
                <w:color w:val="161616"/>
                <w:kern w:val="0"/>
                <w14:ligatures w14:val="none"/>
              </w:rPr>
              <w:t>a bill of lading</w:t>
            </w:r>
            <w:r>
              <w:rPr>
                <w:rFonts w:eastAsia="Times New Roman" w:cstheme="minorHAnsi"/>
                <w:color w:val="161616"/>
                <w:kern w:val="0"/>
                <w14:ligatures w14:val="none"/>
              </w:rPr>
              <w:t xml:space="preserve"> </w:t>
            </w:r>
            <w:r w:rsidRPr="00991FAA">
              <w:rPr>
                <w:rFonts w:eastAsia="Times New Roman" w:cstheme="minorHAnsi"/>
                <w:color w:val="161616"/>
                <w:kern w:val="0"/>
                <w14:ligatures w14:val="none"/>
              </w:rPr>
              <w:t>transferred to another party in your jurisdiction?</w:t>
            </w:r>
          </w:p>
          <w:p w14:paraId="7BED88B5" w14:textId="6F2AFE3B" w:rsidR="008F6952" w:rsidRPr="002B12F3" w:rsidRDefault="002B12F3" w:rsidP="00C734CA">
            <w:pPr>
              <w:numPr>
                <w:ilvl w:val="0"/>
                <w:numId w:val="9"/>
              </w:numPr>
              <w:shd w:val="clear" w:color="auto" w:fill="FFFFFF"/>
              <w:jc w:val="both"/>
              <w:rPr>
                <w:rFonts w:eastAsia="Times New Roman" w:cstheme="minorHAnsi"/>
                <w:color w:val="161616"/>
                <w:kern w:val="0"/>
                <w14:ligatures w14:val="none"/>
              </w:rPr>
            </w:pPr>
            <w:r w:rsidRPr="00991FAA">
              <w:rPr>
                <w:rFonts w:eastAsia="Times New Roman" w:cstheme="minorHAnsi"/>
                <w:color w:val="161616"/>
                <w:kern w:val="0"/>
                <w14:ligatures w14:val="none"/>
              </w:rPr>
              <w:t xml:space="preserve">Are there any legal requirements or formalities for the transfer of rights </w:t>
            </w:r>
            <w:r>
              <w:rPr>
                <w:rFonts w:eastAsia="Times New Roman" w:cstheme="minorHAnsi"/>
                <w:color w:val="161616"/>
                <w:kern w:val="0"/>
                <w14:ligatures w14:val="none"/>
              </w:rPr>
              <w:t>under</w:t>
            </w:r>
            <w:r w:rsidRPr="00991FAA">
              <w:rPr>
                <w:rFonts w:eastAsia="Times New Roman" w:cstheme="minorHAnsi"/>
                <w:color w:val="161616"/>
                <w:kern w:val="0"/>
                <w14:ligatures w14:val="none"/>
              </w:rPr>
              <w:t xml:space="preserve"> a bill of lading?</w:t>
            </w:r>
          </w:p>
        </w:tc>
      </w:tr>
      <w:tr w:rsidR="008F6952" w14:paraId="4C2777A2" w14:textId="77777777" w:rsidTr="002B12F3">
        <w:tc>
          <w:tcPr>
            <w:tcW w:w="562" w:type="dxa"/>
            <w:shd w:val="clear" w:color="auto" w:fill="E7E6E6" w:themeFill="background2"/>
          </w:tcPr>
          <w:p w14:paraId="0CDCBB12" w14:textId="77777777" w:rsidR="008F6952" w:rsidRDefault="008F6952" w:rsidP="00991FAA">
            <w:pPr>
              <w:rPr>
                <w:b/>
                <w:bCs/>
              </w:rPr>
            </w:pPr>
          </w:p>
        </w:tc>
        <w:tc>
          <w:tcPr>
            <w:tcW w:w="8788" w:type="dxa"/>
          </w:tcPr>
          <w:p w14:paraId="625F94AD" w14:textId="77777777" w:rsidR="002B12F3" w:rsidRDefault="002B12F3" w:rsidP="00991FAA">
            <w:pPr>
              <w:rPr>
                <w:b/>
                <w:bCs/>
              </w:rPr>
            </w:pPr>
          </w:p>
          <w:p w14:paraId="406207BE" w14:textId="77777777" w:rsidR="008F0FA4" w:rsidRDefault="008F0FA4" w:rsidP="00991FAA">
            <w:pPr>
              <w:rPr>
                <w:b/>
                <w:bCs/>
              </w:rPr>
            </w:pPr>
          </w:p>
          <w:p w14:paraId="121159CD" w14:textId="77777777" w:rsidR="002B12F3" w:rsidRDefault="002B12F3" w:rsidP="00991FAA">
            <w:pPr>
              <w:rPr>
                <w:b/>
                <w:bCs/>
              </w:rPr>
            </w:pPr>
          </w:p>
          <w:p w14:paraId="0B014E5A" w14:textId="77777777" w:rsidR="002B12F3" w:rsidRDefault="002B12F3" w:rsidP="00991FAA">
            <w:pPr>
              <w:rPr>
                <w:b/>
                <w:bCs/>
              </w:rPr>
            </w:pPr>
          </w:p>
        </w:tc>
      </w:tr>
      <w:tr w:rsidR="008F6952" w14:paraId="5A34731F" w14:textId="77777777" w:rsidTr="008F6952">
        <w:tc>
          <w:tcPr>
            <w:tcW w:w="562" w:type="dxa"/>
          </w:tcPr>
          <w:p w14:paraId="212570BF" w14:textId="072A3FE3" w:rsidR="008F6952" w:rsidRDefault="00320D5C" w:rsidP="00991FAA">
            <w:pPr>
              <w:rPr>
                <w:b/>
                <w:bCs/>
              </w:rPr>
            </w:pPr>
            <w:r>
              <w:rPr>
                <w:b/>
                <w:bCs/>
              </w:rPr>
              <w:t>6</w:t>
            </w:r>
          </w:p>
        </w:tc>
        <w:tc>
          <w:tcPr>
            <w:tcW w:w="8788" w:type="dxa"/>
          </w:tcPr>
          <w:p w14:paraId="625645BF" w14:textId="0A474278" w:rsidR="002B12F3" w:rsidRPr="00991FAA" w:rsidRDefault="002B12F3" w:rsidP="00C734CA">
            <w:pPr>
              <w:shd w:val="clear" w:color="auto" w:fill="FFFFFF"/>
              <w:jc w:val="both"/>
              <w:rPr>
                <w:rFonts w:eastAsia="Times New Roman" w:cstheme="minorHAnsi"/>
                <w:color w:val="161616"/>
                <w:kern w:val="0"/>
                <w14:ligatures w14:val="none"/>
              </w:rPr>
            </w:pPr>
            <w:r w:rsidRPr="00991FAA">
              <w:rPr>
                <w:rFonts w:eastAsia="Times New Roman" w:cstheme="minorHAnsi"/>
                <w:b/>
                <w:bCs/>
                <w:color w:val="161616"/>
                <w:kern w:val="0"/>
                <w14:ligatures w14:val="none"/>
              </w:rPr>
              <w:t>Security and Financing</w:t>
            </w:r>
          </w:p>
          <w:p w14:paraId="22BEA3B4" w14:textId="77777777" w:rsidR="002B12F3" w:rsidRPr="00991FAA" w:rsidRDefault="002B12F3" w:rsidP="00C734CA">
            <w:pPr>
              <w:numPr>
                <w:ilvl w:val="0"/>
                <w:numId w:val="10"/>
              </w:numPr>
              <w:shd w:val="clear" w:color="auto" w:fill="FFFFFF"/>
              <w:jc w:val="both"/>
              <w:rPr>
                <w:rFonts w:eastAsia="Times New Roman" w:cstheme="minorHAnsi"/>
                <w:color w:val="161616"/>
                <w:kern w:val="0"/>
                <w14:ligatures w14:val="none"/>
              </w:rPr>
            </w:pPr>
            <w:r w:rsidRPr="00991FAA">
              <w:rPr>
                <w:rFonts w:eastAsia="Times New Roman" w:cstheme="minorHAnsi"/>
                <w:color w:val="161616"/>
                <w:kern w:val="0"/>
                <w14:ligatures w14:val="none"/>
              </w:rPr>
              <w:t>Can bills of lading be used as security in lending</w:t>
            </w:r>
            <w:r>
              <w:rPr>
                <w:rFonts w:eastAsia="Times New Roman" w:cstheme="minorHAnsi"/>
                <w:color w:val="161616"/>
                <w:kern w:val="0"/>
                <w14:ligatures w14:val="none"/>
              </w:rPr>
              <w:t>/reimbursement</w:t>
            </w:r>
            <w:r w:rsidRPr="00991FAA">
              <w:rPr>
                <w:rFonts w:eastAsia="Times New Roman" w:cstheme="minorHAnsi"/>
                <w:color w:val="161616"/>
                <w:kern w:val="0"/>
                <w14:ligatures w14:val="none"/>
              </w:rPr>
              <w:t xml:space="preserve"> agreements in your jurisdiction?</w:t>
            </w:r>
          </w:p>
          <w:p w14:paraId="346322A2" w14:textId="41ED4193" w:rsidR="008F6952" w:rsidRPr="00AF238F" w:rsidRDefault="002B12F3" w:rsidP="00AF238F">
            <w:pPr>
              <w:numPr>
                <w:ilvl w:val="0"/>
                <w:numId w:val="10"/>
              </w:numPr>
              <w:shd w:val="clear" w:color="auto" w:fill="FFFFFF"/>
              <w:jc w:val="both"/>
              <w:rPr>
                <w:rFonts w:eastAsia="Times New Roman" w:cstheme="minorHAnsi"/>
                <w:color w:val="161616"/>
                <w:kern w:val="0"/>
                <w14:ligatures w14:val="none"/>
              </w:rPr>
            </w:pPr>
            <w:r>
              <w:rPr>
                <w:rFonts w:eastAsia="Times New Roman" w:cstheme="minorHAnsi"/>
                <w:color w:val="161616"/>
                <w:kern w:val="0"/>
                <w14:ligatures w14:val="none"/>
              </w:rPr>
              <w:lastRenderedPageBreak/>
              <w:t>Briefly, w</w:t>
            </w:r>
            <w:r w:rsidRPr="00991FAA">
              <w:rPr>
                <w:rFonts w:eastAsia="Times New Roman" w:cstheme="minorHAnsi"/>
                <w:color w:val="161616"/>
                <w:kern w:val="0"/>
                <w14:ligatures w14:val="none"/>
              </w:rPr>
              <w:t xml:space="preserve">hat are the legal </w:t>
            </w:r>
            <w:r>
              <w:rPr>
                <w:rFonts w:eastAsia="Times New Roman" w:cstheme="minorHAnsi"/>
                <w:color w:val="161616"/>
                <w:kern w:val="0"/>
                <w14:ligatures w14:val="none"/>
              </w:rPr>
              <w:t xml:space="preserve">rights and risks </w:t>
            </w:r>
            <w:r w:rsidRPr="00991FAA">
              <w:rPr>
                <w:rFonts w:eastAsia="Times New Roman" w:cstheme="minorHAnsi"/>
                <w:color w:val="161616"/>
                <w:kern w:val="0"/>
                <w14:ligatures w14:val="none"/>
              </w:rPr>
              <w:t xml:space="preserve">for financial institutions when </w:t>
            </w:r>
            <w:r>
              <w:rPr>
                <w:rFonts w:eastAsia="Times New Roman" w:cstheme="minorHAnsi"/>
                <w:color w:val="161616"/>
                <w:kern w:val="0"/>
                <w14:ligatures w14:val="none"/>
              </w:rPr>
              <w:t xml:space="preserve">taking </w:t>
            </w:r>
            <w:r w:rsidRPr="00991FAA">
              <w:rPr>
                <w:rFonts w:eastAsia="Times New Roman" w:cstheme="minorHAnsi"/>
                <w:color w:val="161616"/>
                <w:kern w:val="0"/>
                <w14:ligatures w14:val="none"/>
              </w:rPr>
              <w:t>bills of lading as collateral</w:t>
            </w:r>
            <w:r w:rsidR="0025657F">
              <w:rPr>
                <w:rFonts w:eastAsia="Times New Roman" w:cstheme="minorHAnsi"/>
                <w:color w:val="161616"/>
                <w:kern w:val="0"/>
                <w14:ligatures w14:val="none"/>
              </w:rPr>
              <w:t>?</w:t>
            </w:r>
          </w:p>
        </w:tc>
      </w:tr>
      <w:tr w:rsidR="008F6952" w14:paraId="37D54494" w14:textId="77777777" w:rsidTr="002B12F3">
        <w:tc>
          <w:tcPr>
            <w:tcW w:w="562" w:type="dxa"/>
            <w:shd w:val="clear" w:color="auto" w:fill="E7E6E6" w:themeFill="background2"/>
          </w:tcPr>
          <w:p w14:paraId="29315709" w14:textId="77777777" w:rsidR="008F6952" w:rsidRDefault="008F6952" w:rsidP="00991FAA">
            <w:pPr>
              <w:rPr>
                <w:b/>
                <w:bCs/>
              </w:rPr>
            </w:pPr>
          </w:p>
        </w:tc>
        <w:tc>
          <w:tcPr>
            <w:tcW w:w="8788" w:type="dxa"/>
          </w:tcPr>
          <w:p w14:paraId="396EBBFA" w14:textId="77777777" w:rsidR="002B12F3" w:rsidRDefault="002B12F3" w:rsidP="00991FAA">
            <w:pPr>
              <w:rPr>
                <w:b/>
                <w:bCs/>
              </w:rPr>
            </w:pPr>
          </w:p>
          <w:p w14:paraId="52A5F88C" w14:textId="77777777" w:rsidR="002B12F3" w:rsidRDefault="002B12F3" w:rsidP="00991FAA">
            <w:pPr>
              <w:rPr>
                <w:b/>
                <w:bCs/>
              </w:rPr>
            </w:pPr>
          </w:p>
          <w:p w14:paraId="70E11A3B" w14:textId="77777777" w:rsidR="002B12F3" w:rsidRDefault="002B12F3" w:rsidP="00991FAA">
            <w:pPr>
              <w:rPr>
                <w:b/>
                <w:bCs/>
              </w:rPr>
            </w:pPr>
          </w:p>
          <w:p w14:paraId="64E4C7E3" w14:textId="77777777" w:rsidR="002B12F3" w:rsidRDefault="002B12F3" w:rsidP="00991FAA">
            <w:pPr>
              <w:rPr>
                <w:b/>
                <w:bCs/>
              </w:rPr>
            </w:pPr>
          </w:p>
        </w:tc>
      </w:tr>
      <w:tr w:rsidR="008F6952" w14:paraId="596803EE" w14:textId="77777777" w:rsidTr="008F6952">
        <w:tc>
          <w:tcPr>
            <w:tcW w:w="562" w:type="dxa"/>
          </w:tcPr>
          <w:p w14:paraId="0BB4B7F0" w14:textId="394A4085" w:rsidR="008F6952" w:rsidRDefault="00320D5C" w:rsidP="00991FAA">
            <w:pPr>
              <w:rPr>
                <w:b/>
                <w:bCs/>
              </w:rPr>
            </w:pPr>
            <w:r>
              <w:rPr>
                <w:b/>
                <w:bCs/>
              </w:rPr>
              <w:t>7</w:t>
            </w:r>
          </w:p>
        </w:tc>
        <w:tc>
          <w:tcPr>
            <w:tcW w:w="8788" w:type="dxa"/>
          </w:tcPr>
          <w:p w14:paraId="080ACA14" w14:textId="6ACDA848" w:rsidR="002B12F3" w:rsidRPr="00991FAA" w:rsidRDefault="002B12F3" w:rsidP="002B12F3">
            <w:pPr>
              <w:shd w:val="clear" w:color="auto" w:fill="FFFFFF"/>
              <w:rPr>
                <w:rFonts w:eastAsia="Times New Roman" w:cstheme="minorHAnsi"/>
                <w:color w:val="161616"/>
                <w:kern w:val="0"/>
                <w14:ligatures w14:val="none"/>
              </w:rPr>
            </w:pPr>
            <w:r w:rsidRPr="00991FAA">
              <w:rPr>
                <w:rFonts w:eastAsia="Times New Roman" w:cstheme="minorHAnsi"/>
                <w:b/>
                <w:bCs/>
                <w:color w:val="161616"/>
                <w:kern w:val="0"/>
                <w14:ligatures w14:val="none"/>
              </w:rPr>
              <w:t>Enforcement of Rights</w:t>
            </w:r>
          </w:p>
          <w:p w14:paraId="53F95A27" w14:textId="77777777" w:rsidR="002B12F3" w:rsidRDefault="002B12F3" w:rsidP="00C734CA">
            <w:pPr>
              <w:numPr>
                <w:ilvl w:val="0"/>
                <w:numId w:val="11"/>
              </w:numPr>
              <w:shd w:val="clear" w:color="auto" w:fill="FFFFFF"/>
              <w:jc w:val="both"/>
              <w:rPr>
                <w:rFonts w:eastAsia="Times New Roman" w:cstheme="minorHAnsi"/>
                <w:color w:val="161616"/>
                <w:kern w:val="0"/>
                <w14:ligatures w14:val="none"/>
              </w:rPr>
            </w:pPr>
            <w:r w:rsidRPr="00991FAA">
              <w:rPr>
                <w:rFonts w:eastAsia="Times New Roman" w:cstheme="minorHAnsi"/>
                <w:color w:val="161616"/>
                <w:kern w:val="0"/>
                <w14:ligatures w14:val="none"/>
              </w:rPr>
              <w:t>If a bank holds a bill of lading and seeks to obtain possession of the goods at a port in your jurisdiction, what are the legal steps and procedures required to enforce its rights?</w:t>
            </w:r>
          </w:p>
          <w:p w14:paraId="3B8253A9" w14:textId="77777777" w:rsidR="002B12F3" w:rsidRDefault="002B12F3" w:rsidP="00C734CA">
            <w:pPr>
              <w:numPr>
                <w:ilvl w:val="1"/>
                <w:numId w:val="12"/>
              </w:numPr>
              <w:shd w:val="clear" w:color="auto" w:fill="FFFFFF"/>
              <w:jc w:val="both"/>
              <w:rPr>
                <w:rFonts w:eastAsia="Times New Roman" w:cstheme="minorHAnsi"/>
                <w:color w:val="161616"/>
                <w:kern w:val="0"/>
                <w14:ligatures w14:val="none"/>
              </w:rPr>
            </w:pPr>
            <w:r w:rsidRPr="002B12F3">
              <w:rPr>
                <w:rFonts w:eastAsia="Times New Roman" w:cstheme="minorHAnsi"/>
                <w:color w:val="161616"/>
                <w:kern w:val="0"/>
                <w14:ligatures w14:val="none"/>
              </w:rPr>
              <w:t>Are there any specific documents or authorizations needed to take possession of the goods?</w:t>
            </w:r>
          </w:p>
          <w:p w14:paraId="3567A5C3" w14:textId="77777777" w:rsidR="002B12F3" w:rsidRDefault="002B12F3" w:rsidP="00C734CA">
            <w:pPr>
              <w:numPr>
                <w:ilvl w:val="1"/>
                <w:numId w:val="12"/>
              </w:numPr>
              <w:shd w:val="clear" w:color="auto" w:fill="FFFFFF"/>
              <w:jc w:val="both"/>
              <w:rPr>
                <w:rFonts w:eastAsia="Times New Roman" w:cstheme="minorHAnsi"/>
                <w:color w:val="161616"/>
                <w:kern w:val="0"/>
                <w14:ligatures w14:val="none"/>
              </w:rPr>
            </w:pPr>
            <w:r w:rsidRPr="002B12F3">
              <w:rPr>
                <w:rFonts w:eastAsia="Times New Roman" w:cstheme="minorHAnsi"/>
                <w:color w:val="161616"/>
                <w:kern w:val="0"/>
                <w14:ligatures w14:val="none"/>
              </w:rPr>
              <w:t>Is court intervention required, or can the bank directly approach the port authorities or carrier?</w:t>
            </w:r>
          </w:p>
          <w:p w14:paraId="2F012152" w14:textId="757E317D" w:rsidR="008F6952" w:rsidRPr="00C734CA" w:rsidRDefault="002B12F3" w:rsidP="00991FAA">
            <w:pPr>
              <w:numPr>
                <w:ilvl w:val="1"/>
                <w:numId w:val="12"/>
              </w:numPr>
              <w:shd w:val="clear" w:color="auto" w:fill="FFFFFF"/>
              <w:jc w:val="both"/>
              <w:rPr>
                <w:rFonts w:eastAsia="Times New Roman" w:cstheme="minorHAnsi"/>
                <w:color w:val="161616"/>
                <w:kern w:val="0"/>
                <w14:ligatures w14:val="none"/>
              </w:rPr>
            </w:pPr>
            <w:r w:rsidRPr="002B12F3">
              <w:rPr>
                <w:rFonts w:eastAsia="Times New Roman" w:cstheme="minorHAnsi"/>
                <w:color w:val="161616"/>
                <w:kern w:val="0"/>
                <w14:ligatures w14:val="none"/>
              </w:rPr>
              <w:t>What are the typical timelines and potential challenges involved in this process?</w:t>
            </w:r>
          </w:p>
        </w:tc>
      </w:tr>
      <w:tr w:rsidR="008F6952" w14:paraId="703AA915" w14:textId="77777777" w:rsidTr="002B12F3">
        <w:tc>
          <w:tcPr>
            <w:tcW w:w="562" w:type="dxa"/>
            <w:shd w:val="clear" w:color="auto" w:fill="E7E6E6" w:themeFill="background2"/>
          </w:tcPr>
          <w:p w14:paraId="066BA3B2" w14:textId="77777777" w:rsidR="008F6952" w:rsidRDefault="008F6952" w:rsidP="00991FAA">
            <w:pPr>
              <w:rPr>
                <w:b/>
                <w:bCs/>
              </w:rPr>
            </w:pPr>
          </w:p>
        </w:tc>
        <w:tc>
          <w:tcPr>
            <w:tcW w:w="8788" w:type="dxa"/>
          </w:tcPr>
          <w:p w14:paraId="64BA5D4F" w14:textId="77777777" w:rsidR="008F6952" w:rsidRDefault="008F6952" w:rsidP="00991FAA">
            <w:pPr>
              <w:rPr>
                <w:b/>
                <w:bCs/>
              </w:rPr>
            </w:pPr>
          </w:p>
          <w:p w14:paraId="742B729C" w14:textId="77777777" w:rsidR="002B12F3" w:rsidRDefault="002B12F3" w:rsidP="00991FAA">
            <w:pPr>
              <w:rPr>
                <w:b/>
                <w:bCs/>
              </w:rPr>
            </w:pPr>
          </w:p>
          <w:p w14:paraId="355BEB8B" w14:textId="77777777" w:rsidR="002B12F3" w:rsidRDefault="002B12F3" w:rsidP="00991FAA">
            <w:pPr>
              <w:rPr>
                <w:b/>
                <w:bCs/>
              </w:rPr>
            </w:pPr>
          </w:p>
          <w:p w14:paraId="6A739C28" w14:textId="77777777" w:rsidR="002B12F3" w:rsidRDefault="002B12F3" w:rsidP="00991FAA">
            <w:pPr>
              <w:rPr>
                <w:b/>
                <w:bCs/>
              </w:rPr>
            </w:pPr>
          </w:p>
        </w:tc>
      </w:tr>
      <w:tr w:rsidR="008F6952" w14:paraId="1D1A8CD0" w14:textId="77777777" w:rsidTr="008F6952">
        <w:tc>
          <w:tcPr>
            <w:tcW w:w="562" w:type="dxa"/>
          </w:tcPr>
          <w:p w14:paraId="157582D1" w14:textId="6020B93C" w:rsidR="008F6952" w:rsidRDefault="00320D5C" w:rsidP="00991FAA">
            <w:pPr>
              <w:rPr>
                <w:b/>
                <w:bCs/>
              </w:rPr>
            </w:pPr>
            <w:r>
              <w:rPr>
                <w:b/>
                <w:bCs/>
              </w:rPr>
              <w:t>8</w:t>
            </w:r>
          </w:p>
        </w:tc>
        <w:tc>
          <w:tcPr>
            <w:tcW w:w="8788" w:type="dxa"/>
          </w:tcPr>
          <w:p w14:paraId="75B59B21" w14:textId="6EBDBA91" w:rsidR="002B12F3" w:rsidRPr="0025599B" w:rsidRDefault="002B12F3" w:rsidP="002B12F3">
            <w:pPr>
              <w:shd w:val="clear" w:color="auto" w:fill="FFFFFF"/>
              <w:rPr>
                <w:rFonts w:eastAsia="Times New Roman" w:cstheme="minorHAnsi"/>
                <w:color w:val="161616"/>
                <w:kern w:val="0"/>
                <w14:ligatures w14:val="none"/>
              </w:rPr>
            </w:pPr>
            <w:r w:rsidRPr="0025599B">
              <w:rPr>
                <w:rFonts w:eastAsia="Times New Roman" w:cstheme="minorHAnsi"/>
                <w:b/>
                <w:bCs/>
                <w:color w:val="161616"/>
                <w:kern w:val="0"/>
                <w14:ligatures w14:val="none"/>
              </w:rPr>
              <w:t>Disposition of Goods</w:t>
            </w:r>
          </w:p>
          <w:p w14:paraId="530D3CFE" w14:textId="77777777" w:rsidR="002B12F3" w:rsidRPr="0025599B" w:rsidRDefault="002B12F3" w:rsidP="00C734CA">
            <w:pPr>
              <w:numPr>
                <w:ilvl w:val="0"/>
                <w:numId w:val="13"/>
              </w:numPr>
              <w:shd w:val="clear" w:color="auto" w:fill="FFFFFF"/>
              <w:jc w:val="both"/>
              <w:rPr>
                <w:rFonts w:eastAsia="Times New Roman" w:cstheme="minorHAnsi"/>
                <w:color w:val="161616"/>
                <w:kern w:val="0"/>
                <w14:ligatures w14:val="none"/>
              </w:rPr>
            </w:pPr>
            <w:r w:rsidRPr="0025599B">
              <w:rPr>
                <w:rFonts w:eastAsia="Times New Roman" w:cstheme="minorHAnsi"/>
                <w:color w:val="161616"/>
                <w:kern w:val="0"/>
                <w14:ligatures w14:val="none"/>
              </w:rPr>
              <w:t>Once a bank has taken possession of goods under a bill of lading in your jurisdiction, does it have the legal right to sell the goods?</w:t>
            </w:r>
          </w:p>
          <w:p w14:paraId="3DE9CDCA" w14:textId="77777777" w:rsidR="002B12F3" w:rsidRPr="0025599B" w:rsidRDefault="002B12F3" w:rsidP="00C734CA">
            <w:pPr>
              <w:numPr>
                <w:ilvl w:val="1"/>
                <w:numId w:val="14"/>
              </w:numPr>
              <w:shd w:val="clear" w:color="auto" w:fill="FFFFFF"/>
              <w:jc w:val="both"/>
              <w:rPr>
                <w:rFonts w:eastAsia="Times New Roman" w:cstheme="minorHAnsi"/>
                <w:color w:val="161616"/>
                <w:kern w:val="0"/>
                <w14:ligatures w14:val="none"/>
              </w:rPr>
            </w:pPr>
            <w:r w:rsidRPr="0025599B">
              <w:rPr>
                <w:rFonts w:eastAsia="Times New Roman" w:cstheme="minorHAnsi"/>
                <w:color w:val="161616"/>
                <w:kern w:val="0"/>
                <w14:ligatures w14:val="none"/>
              </w:rPr>
              <w:t>What legal requirements or formalities must be fulfilled before the bank can sell the goods?</w:t>
            </w:r>
          </w:p>
          <w:p w14:paraId="4D889F57" w14:textId="343E8BCE" w:rsidR="002B12F3" w:rsidRPr="0025599B" w:rsidRDefault="002B12F3" w:rsidP="00C734CA">
            <w:pPr>
              <w:numPr>
                <w:ilvl w:val="1"/>
                <w:numId w:val="14"/>
              </w:numPr>
              <w:shd w:val="clear" w:color="auto" w:fill="FFFFFF"/>
              <w:jc w:val="both"/>
              <w:rPr>
                <w:rFonts w:eastAsia="Times New Roman" w:cstheme="minorHAnsi"/>
                <w:color w:val="161616"/>
                <w:kern w:val="0"/>
                <w14:ligatures w14:val="none"/>
              </w:rPr>
            </w:pPr>
            <w:r w:rsidRPr="0025599B">
              <w:rPr>
                <w:rFonts w:eastAsia="Times New Roman" w:cstheme="minorHAnsi"/>
                <w:color w:val="161616"/>
                <w:kern w:val="0"/>
                <w14:ligatures w14:val="none"/>
              </w:rPr>
              <w:t>Are there any restrictions or limitations on the bank</w:t>
            </w:r>
            <w:r w:rsidR="00610045">
              <w:rPr>
                <w:rFonts w:eastAsia="Times New Roman" w:cstheme="minorHAnsi"/>
                <w:color w:val="161616"/>
                <w:kern w:val="0"/>
                <w14:ligatures w14:val="none"/>
              </w:rPr>
              <w:t>’</w:t>
            </w:r>
            <w:r w:rsidRPr="0025599B">
              <w:rPr>
                <w:rFonts w:eastAsia="Times New Roman" w:cstheme="minorHAnsi"/>
                <w:color w:val="161616"/>
                <w:kern w:val="0"/>
                <w14:ligatures w14:val="none"/>
              </w:rPr>
              <w:t>s ability to sell the goods?</w:t>
            </w:r>
          </w:p>
          <w:p w14:paraId="58284CE3" w14:textId="200469DA" w:rsidR="008F6952" w:rsidRPr="00C734CA" w:rsidRDefault="002B12F3" w:rsidP="00991FAA">
            <w:pPr>
              <w:numPr>
                <w:ilvl w:val="1"/>
                <w:numId w:val="14"/>
              </w:numPr>
              <w:shd w:val="clear" w:color="auto" w:fill="FFFFFF"/>
              <w:jc w:val="both"/>
              <w:rPr>
                <w:rFonts w:eastAsia="Times New Roman" w:cstheme="minorHAnsi"/>
                <w:color w:val="161616"/>
                <w:kern w:val="0"/>
                <w14:ligatures w14:val="none"/>
              </w:rPr>
            </w:pPr>
            <w:r w:rsidRPr="0025599B">
              <w:rPr>
                <w:rFonts w:eastAsia="Times New Roman" w:cstheme="minorHAnsi"/>
                <w:color w:val="161616"/>
                <w:kern w:val="0"/>
                <w14:ligatures w14:val="none"/>
              </w:rPr>
              <w:t>How are the proceeds from the sale typically handled, and are there any obligations to account to other parties?</w:t>
            </w:r>
          </w:p>
        </w:tc>
      </w:tr>
      <w:tr w:rsidR="008F6952" w14:paraId="3C29F135" w14:textId="77777777" w:rsidTr="002B12F3">
        <w:tc>
          <w:tcPr>
            <w:tcW w:w="562" w:type="dxa"/>
            <w:shd w:val="clear" w:color="auto" w:fill="E7E6E6" w:themeFill="background2"/>
          </w:tcPr>
          <w:p w14:paraId="1E98D411" w14:textId="77777777" w:rsidR="008F6952" w:rsidRDefault="008F6952" w:rsidP="00991FAA">
            <w:pPr>
              <w:rPr>
                <w:b/>
                <w:bCs/>
              </w:rPr>
            </w:pPr>
          </w:p>
        </w:tc>
        <w:tc>
          <w:tcPr>
            <w:tcW w:w="8788" w:type="dxa"/>
          </w:tcPr>
          <w:p w14:paraId="0B841D0C" w14:textId="77777777" w:rsidR="008F6952" w:rsidRDefault="008F6952" w:rsidP="00991FAA">
            <w:pPr>
              <w:rPr>
                <w:b/>
                <w:bCs/>
              </w:rPr>
            </w:pPr>
          </w:p>
          <w:p w14:paraId="35968528" w14:textId="77777777" w:rsidR="002B12F3" w:rsidRDefault="002B12F3" w:rsidP="00991FAA">
            <w:pPr>
              <w:rPr>
                <w:b/>
                <w:bCs/>
              </w:rPr>
            </w:pPr>
          </w:p>
          <w:p w14:paraId="7132E191" w14:textId="77777777" w:rsidR="002B12F3" w:rsidRDefault="002B12F3" w:rsidP="00991FAA">
            <w:pPr>
              <w:rPr>
                <w:b/>
                <w:bCs/>
              </w:rPr>
            </w:pPr>
          </w:p>
          <w:p w14:paraId="680C551C" w14:textId="77777777" w:rsidR="002B12F3" w:rsidRDefault="002B12F3" w:rsidP="00991FAA">
            <w:pPr>
              <w:rPr>
                <w:b/>
                <w:bCs/>
              </w:rPr>
            </w:pPr>
          </w:p>
        </w:tc>
      </w:tr>
      <w:tr w:rsidR="008F6952" w14:paraId="7A53C003" w14:textId="77777777" w:rsidTr="008F6952">
        <w:tc>
          <w:tcPr>
            <w:tcW w:w="562" w:type="dxa"/>
          </w:tcPr>
          <w:p w14:paraId="30175685" w14:textId="5E29E280" w:rsidR="008F6952" w:rsidRDefault="00320D5C" w:rsidP="00991FAA">
            <w:pPr>
              <w:rPr>
                <w:b/>
                <w:bCs/>
              </w:rPr>
            </w:pPr>
            <w:r>
              <w:rPr>
                <w:b/>
                <w:bCs/>
              </w:rPr>
              <w:t>9</w:t>
            </w:r>
          </w:p>
        </w:tc>
        <w:tc>
          <w:tcPr>
            <w:tcW w:w="8788" w:type="dxa"/>
          </w:tcPr>
          <w:p w14:paraId="103D49BF" w14:textId="7FAB3E30" w:rsidR="002B12F3" w:rsidRPr="00991FAA" w:rsidRDefault="002B12F3" w:rsidP="002B12F3">
            <w:pPr>
              <w:shd w:val="clear" w:color="auto" w:fill="FFFFFF"/>
              <w:rPr>
                <w:rFonts w:eastAsia="Times New Roman" w:cstheme="minorHAnsi"/>
                <w:color w:val="161616"/>
                <w:kern w:val="0"/>
                <w14:ligatures w14:val="none"/>
              </w:rPr>
            </w:pPr>
            <w:r>
              <w:rPr>
                <w:rFonts w:eastAsia="Times New Roman" w:cstheme="minorHAnsi"/>
                <w:b/>
                <w:bCs/>
                <w:color w:val="161616"/>
                <w:kern w:val="0"/>
                <w14:ligatures w14:val="none"/>
              </w:rPr>
              <w:t>Industry Practice – Enforcing upon goods</w:t>
            </w:r>
          </w:p>
          <w:p w14:paraId="0A5F051C" w14:textId="0BEFDD75" w:rsidR="008F6952" w:rsidRPr="00C734CA" w:rsidRDefault="002B12F3" w:rsidP="00991FAA">
            <w:pPr>
              <w:numPr>
                <w:ilvl w:val="0"/>
                <w:numId w:val="2"/>
              </w:numPr>
              <w:shd w:val="clear" w:color="auto" w:fill="FFFFFF"/>
              <w:jc w:val="both"/>
              <w:rPr>
                <w:rFonts w:eastAsia="Times New Roman" w:cstheme="minorHAnsi"/>
                <w:color w:val="161616"/>
                <w:kern w:val="0"/>
                <w14:ligatures w14:val="none"/>
              </w:rPr>
            </w:pPr>
            <w:r>
              <w:rPr>
                <w:rFonts w:eastAsia="Times New Roman" w:cstheme="minorHAnsi"/>
                <w:color w:val="161616"/>
                <w:kern w:val="0"/>
                <w14:ligatures w14:val="none"/>
              </w:rPr>
              <w:t>Trade financing transactions are often described as “</w:t>
            </w:r>
            <w:r w:rsidR="008A1E80">
              <w:rPr>
                <w:rFonts w:eastAsia="Times New Roman" w:cstheme="minorHAnsi"/>
                <w:color w:val="161616"/>
                <w:kern w:val="0"/>
                <w14:ligatures w14:val="none"/>
              </w:rPr>
              <w:t>self-liquidating</w:t>
            </w:r>
            <w:r>
              <w:rPr>
                <w:rFonts w:eastAsia="Times New Roman" w:cstheme="minorHAnsi"/>
                <w:color w:val="161616"/>
                <w:kern w:val="0"/>
                <w14:ligatures w14:val="none"/>
              </w:rPr>
              <w:t xml:space="preserve">”, as the repayment of financing arises from the borrower’s sale of the goods.  Hence the goods are effectively the collateral for the financing. In your experience, how often </w:t>
            </w:r>
            <w:r w:rsidR="0025657F">
              <w:rPr>
                <w:rFonts w:eastAsia="Times New Roman" w:cstheme="minorHAnsi"/>
                <w:color w:val="161616"/>
                <w:kern w:val="0"/>
                <w14:ligatures w14:val="none"/>
              </w:rPr>
              <w:t xml:space="preserve">have you seen </w:t>
            </w:r>
            <w:r>
              <w:rPr>
                <w:rFonts w:eastAsia="Times New Roman" w:cstheme="minorHAnsi"/>
                <w:color w:val="161616"/>
                <w:kern w:val="0"/>
                <w14:ligatures w14:val="none"/>
              </w:rPr>
              <w:t>banks pursue enforcement against the goods</w:t>
            </w:r>
            <w:r w:rsidR="003B57DC">
              <w:rPr>
                <w:rFonts w:eastAsia="Times New Roman" w:cstheme="minorHAnsi"/>
                <w:color w:val="161616"/>
                <w:kern w:val="0"/>
                <w14:ligatures w14:val="none"/>
              </w:rPr>
              <w:t xml:space="preserve"> in your jurisdiction</w:t>
            </w:r>
            <w:r>
              <w:rPr>
                <w:rFonts w:eastAsia="Times New Roman" w:cstheme="minorHAnsi"/>
                <w:color w:val="161616"/>
                <w:kern w:val="0"/>
                <w14:ligatures w14:val="none"/>
              </w:rPr>
              <w:t xml:space="preserve">?  Is this only in certain sectors (e.g. commodities) or in certain circumstances (e.g. borrower </w:t>
            </w:r>
            <w:r w:rsidR="00143993">
              <w:rPr>
                <w:rFonts w:eastAsia="Times New Roman" w:cstheme="minorHAnsi"/>
                <w:color w:val="161616"/>
                <w:kern w:val="0"/>
                <w14:ligatures w14:val="none"/>
              </w:rPr>
              <w:t xml:space="preserve">having defaulted on a debt or subject to </w:t>
            </w:r>
            <w:r>
              <w:rPr>
                <w:rFonts w:eastAsia="Times New Roman" w:cstheme="minorHAnsi"/>
                <w:color w:val="161616"/>
                <w:kern w:val="0"/>
                <w14:ligatures w14:val="none"/>
              </w:rPr>
              <w:t xml:space="preserve">insolvency or bankruptcy </w:t>
            </w:r>
            <w:r w:rsidR="00143993">
              <w:rPr>
                <w:rFonts w:eastAsia="Times New Roman" w:cstheme="minorHAnsi"/>
                <w:color w:val="161616"/>
                <w:kern w:val="0"/>
                <w14:ligatures w14:val="none"/>
              </w:rPr>
              <w:t>proceedings</w:t>
            </w:r>
            <w:r>
              <w:rPr>
                <w:rFonts w:eastAsia="Times New Roman" w:cstheme="minorHAnsi"/>
                <w:color w:val="161616"/>
                <w:kern w:val="0"/>
                <w14:ligatures w14:val="none"/>
              </w:rPr>
              <w:t>)?</w:t>
            </w:r>
          </w:p>
        </w:tc>
      </w:tr>
      <w:tr w:rsidR="008F6952" w14:paraId="0F998623" w14:textId="77777777" w:rsidTr="002B12F3">
        <w:tc>
          <w:tcPr>
            <w:tcW w:w="562" w:type="dxa"/>
            <w:shd w:val="clear" w:color="auto" w:fill="E7E6E6" w:themeFill="background2"/>
          </w:tcPr>
          <w:p w14:paraId="79FA1FCF" w14:textId="77777777" w:rsidR="008F6952" w:rsidRDefault="008F6952" w:rsidP="00991FAA">
            <w:pPr>
              <w:rPr>
                <w:b/>
                <w:bCs/>
              </w:rPr>
            </w:pPr>
          </w:p>
        </w:tc>
        <w:tc>
          <w:tcPr>
            <w:tcW w:w="8788" w:type="dxa"/>
          </w:tcPr>
          <w:p w14:paraId="6B6FA767" w14:textId="77777777" w:rsidR="008F6952" w:rsidRDefault="008F6952" w:rsidP="00991FAA">
            <w:pPr>
              <w:rPr>
                <w:b/>
                <w:bCs/>
              </w:rPr>
            </w:pPr>
          </w:p>
          <w:p w14:paraId="0A282E24" w14:textId="77777777" w:rsidR="002B12F3" w:rsidRDefault="002B12F3" w:rsidP="00991FAA">
            <w:pPr>
              <w:rPr>
                <w:b/>
                <w:bCs/>
              </w:rPr>
            </w:pPr>
          </w:p>
          <w:p w14:paraId="183C72F0" w14:textId="77777777" w:rsidR="002B12F3" w:rsidRDefault="002B12F3" w:rsidP="00991FAA">
            <w:pPr>
              <w:rPr>
                <w:b/>
                <w:bCs/>
              </w:rPr>
            </w:pPr>
          </w:p>
          <w:p w14:paraId="0BA3379F" w14:textId="77777777" w:rsidR="002B12F3" w:rsidRDefault="002B12F3" w:rsidP="00991FAA">
            <w:pPr>
              <w:rPr>
                <w:b/>
                <w:bCs/>
              </w:rPr>
            </w:pPr>
          </w:p>
        </w:tc>
      </w:tr>
      <w:tr w:rsidR="008F6952" w14:paraId="71B3B955" w14:textId="77777777" w:rsidTr="008F6952">
        <w:tc>
          <w:tcPr>
            <w:tcW w:w="562" w:type="dxa"/>
          </w:tcPr>
          <w:p w14:paraId="0FBBA91C" w14:textId="22E201A8" w:rsidR="008F6952" w:rsidRDefault="00320D5C" w:rsidP="00991FAA">
            <w:pPr>
              <w:rPr>
                <w:b/>
                <w:bCs/>
              </w:rPr>
            </w:pPr>
            <w:r>
              <w:rPr>
                <w:b/>
                <w:bCs/>
              </w:rPr>
              <w:t>10</w:t>
            </w:r>
          </w:p>
        </w:tc>
        <w:tc>
          <w:tcPr>
            <w:tcW w:w="8788" w:type="dxa"/>
          </w:tcPr>
          <w:p w14:paraId="2360D840" w14:textId="677DBED5" w:rsidR="002B12F3" w:rsidRPr="00991FAA" w:rsidRDefault="002B12F3" w:rsidP="008F0FA4">
            <w:pPr>
              <w:shd w:val="clear" w:color="auto" w:fill="FFFFFF"/>
              <w:rPr>
                <w:rFonts w:eastAsia="Times New Roman" w:cstheme="minorHAnsi"/>
                <w:color w:val="161616"/>
                <w:kern w:val="0"/>
                <w14:ligatures w14:val="none"/>
              </w:rPr>
            </w:pPr>
            <w:r w:rsidRPr="00991FAA">
              <w:rPr>
                <w:rFonts w:eastAsia="Times New Roman" w:cstheme="minorHAnsi"/>
                <w:b/>
                <w:bCs/>
                <w:color w:val="161616"/>
                <w:kern w:val="0"/>
                <w14:ligatures w14:val="none"/>
              </w:rPr>
              <w:t>Practical Considerations</w:t>
            </w:r>
          </w:p>
          <w:p w14:paraId="5554E531" w14:textId="77777777" w:rsidR="002B12F3" w:rsidRPr="00991FAA" w:rsidRDefault="002B12F3" w:rsidP="00C734CA">
            <w:pPr>
              <w:numPr>
                <w:ilvl w:val="0"/>
                <w:numId w:val="15"/>
              </w:numPr>
              <w:shd w:val="clear" w:color="auto" w:fill="FFFFFF"/>
              <w:jc w:val="both"/>
              <w:rPr>
                <w:rFonts w:eastAsia="Times New Roman" w:cstheme="minorHAnsi"/>
                <w:color w:val="161616"/>
                <w:kern w:val="0"/>
                <w14:ligatures w14:val="none"/>
              </w:rPr>
            </w:pPr>
            <w:r w:rsidRPr="00991FAA">
              <w:rPr>
                <w:rFonts w:eastAsia="Times New Roman" w:cstheme="minorHAnsi"/>
                <w:color w:val="161616"/>
                <w:kern w:val="0"/>
                <w14:ligatures w14:val="none"/>
              </w:rPr>
              <w:t>Are there any practical challenges or considerations for stakeholders (e.g., financiers, shippers) when dealing with bills of lading in your jurisdiction?</w:t>
            </w:r>
          </w:p>
          <w:p w14:paraId="2D535A16" w14:textId="0C0F994A" w:rsidR="008F6952" w:rsidRPr="002B12F3" w:rsidRDefault="002B12F3" w:rsidP="00C734CA">
            <w:pPr>
              <w:numPr>
                <w:ilvl w:val="0"/>
                <w:numId w:val="15"/>
              </w:numPr>
              <w:shd w:val="clear" w:color="auto" w:fill="FFFFFF"/>
              <w:jc w:val="both"/>
              <w:rPr>
                <w:rFonts w:eastAsia="Times New Roman" w:cstheme="minorHAnsi"/>
                <w:color w:val="161616"/>
                <w:kern w:val="0"/>
                <w14:ligatures w14:val="none"/>
              </w:rPr>
            </w:pPr>
            <w:r w:rsidRPr="00991FAA">
              <w:rPr>
                <w:rFonts w:eastAsia="Times New Roman" w:cstheme="minorHAnsi"/>
                <w:color w:val="161616"/>
                <w:kern w:val="0"/>
                <w14:ligatures w14:val="none"/>
              </w:rPr>
              <w:t>What guidance would you provide to stakeholders using bills of lading?</w:t>
            </w:r>
          </w:p>
        </w:tc>
      </w:tr>
      <w:tr w:rsidR="0025657F" w14:paraId="44CDC262" w14:textId="77777777" w:rsidTr="002B12F3">
        <w:tc>
          <w:tcPr>
            <w:tcW w:w="562" w:type="dxa"/>
            <w:shd w:val="clear" w:color="auto" w:fill="E7E6E6" w:themeFill="background2"/>
          </w:tcPr>
          <w:p w14:paraId="2DFCED0C" w14:textId="77777777" w:rsidR="0025657F" w:rsidRDefault="0025657F" w:rsidP="00991FAA">
            <w:pPr>
              <w:rPr>
                <w:b/>
                <w:bCs/>
              </w:rPr>
            </w:pPr>
          </w:p>
        </w:tc>
        <w:tc>
          <w:tcPr>
            <w:tcW w:w="8788" w:type="dxa"/>
          </w:tcPr>
          <w:p w14:paraId="143A912F" w14:textId="77777777" w:rsidR="0025657F" w:rsidRDefault="0025657F" w:rsidP="00991FAA">
            <w:pPr>
              <w:rPr>
                <w:b/>
                <w:bCs/>
              </w:rPr>
            </w:pPr>
          </w:p>
          <w:p w14:paraId="2DB5EFF5" w14:textId="77777777" w:rsidR="00610045" w:rsidRDefault="00610045" w:rsidP="00991FAA">
            <w:pPr>
              <w:rPr>
                <w:b/>
                <w:bCs/>
              </w:rPr>
            </w:pPr>
          </w:p>
          <w:p w14:paraId="5A453065" w14:textId="77777777" w:rsidR="00610045" w:rsidRDefault="00610045" w:rsidP="00991FAA">
            <w:pPr>
              <w:rPr>
                <w:b/>
                <w:bCs/>
              </w:rPr>
            </w:pPr>
          </w:p>
          <w:p w14:paraId="61EEFE22" w14:textId="77777777" w:rsidR="00610045" w:rsidRDefault="00610045" w:rsidP="00991FAA">
            <w:pPr>
              <w:rPr>
                <w:b/>
                <w:bCs/>
              </w:rPr>
            </w:pPr>
          </w:p>
          <w:p w14:paraId="5B1EB9E1" w14:textId="77777777" w:rsidR="00610045" w:rsidRDefault="00610045" w:rsidP="00991FAA">
            <w:pPr>
              <w:rPr>
                <w:b/>
                <w:bCs/>
              </w:rPr>
            </w:pPr>
          </w:p>
        </w:tc>
      </w:tr>
      <w:tr w:rsidR="0025657F" w14:paraId="68F367C2" w14:textId="77777777" w:rsidTr="0025657F">
        <w:tc>
          <w:tcPr>
            <w:tcW w:w="562" w:type="dxa"/>
            <w:shd w:val="clear" w:color="auto" w:fill="FFFFFF" w:themeFill="background1"/>
          </w:tcPr>
          <w:p w14:paraId="06977D0E" w14:textId="34059133" w:rsidR="0025657F" w:rsidRDefault="0025657F" w:rsidP="00991FAA">
            <w:pPr>
              <w:rPr>
                <w:b/>
                <w:bCs/>
              </w:rPr>
            </w:pPr>
            <w:r>
              <w:rPr>
                <w:b/>
                <w:bCs/>
              </w:rPr>
              <w:lastRenderedPageBreak/>
              <w:t>11</w:t>
            </w:r>
          </w:p>
        </w:tc>
        <w:tc>
          <w:tcPr>
            <w:tcW w:w="8788" w:type="dxa"/>
          </w:tcPr>
          <w:p w14:paraId="46386B88" w14:textId="5E0ED3E8" w:rsidR="00140237" w:rsidRPr="00140237" w:rsidRDefault="00140237" w:rsidP="00140237">
            <w:pPr>
              <w:shd w:val="clear" w:color="auto" w:fill="FFFFFF"/>
              <w:rPr>
                <w:rFonts w:eastAsia="Times New Roman" w:cstheme="minorHAnsi"/>
                <w:b/>
                <w:bCs/>
                <w:color w:val="161616"/>
                <w:kern w:val="0"/>
                <w14:ligatures w14:val="none"/>
              </w:rPr>
            </w:pPr>
            <w:r w:rsidRPr="00140237">
              <w:rPr>
                <w:rFonts w:eastAsia="Times New Roman" w:cstheme="minorHAnsi"/>
                <w:b/>
                <w:bCs/>
                <w:color w:val="161616"/>
                <w:kern w:val="0"/>
                <w14:ligatures w14:val="none"/>
              </w:rPr>
              <w:t>Additional Comments</w:t>
            </w:r>
          </w:p>
          <w:p w14:paraId="7D822C3A" w14:textId="77777777" w:rsidR="00140237" w:rsidRPr="00140237" w:rsidRDefault="00140237" w:rsidP="00140237">
            <w:pPr>
              <w:shd w:val="clear" w:color="auto" w:fill="FFFFFF"/>
              <w:rPr>
                <w:rFonts w:eastAsia="Times New Roman" w:cstheme="minorHAnsi"/>
                <w:color w:val="161616"/>
                <w:kern w:val="0"/>
                <w14:ligatures w14:val="none"/>
              </w:rPr>
            </w:pPr>
            <w:r w:rsidRPr="00140237">
              <w:rPr>
                <w:rFonts w:eastAsia="Times New Roman" w:cstheme="minorHAnsi"/>
                <w:color w:val="161616"/>
                <w:kern w:val="0"/>
                <w14:ligatures w14:val="none"/>
              </w:rPr>
              <w:t>Please feel free to provide any additional comments, insights, or specifications that have not been addressed in the previous questions. Your input is valuable in ensuring a comprehensive understanding of the legal status and implications of bills of lading in your jurisdiction.</w:t>
            </w:r>
          </w:p>
          <w:p w14:paraId="7CA5351C" w14:textId="77777777" w:rsidR="0025657F" w:rsidRDefault="0025657F" w:rsidP="00991FAA">
            <w:pPr>
              <w:rPr>
                <w:b/>
                <w:bCs/>
              </w:rPr>
            </w:pPr>
          </w:p>
        </w:tc>
      </w:tr>
      <w:tr w:rsidR="008F6952" w14:paraId="318D381B" w14:textId="77777777" w:rsidTr="002B12F3">
        <w:tc>
          <w:tcPr>
            <w:tcW w:w="562" w:type="dxa"/>
            <w:shd w:val="clear" w:color="auto" w:fill="E7E6E6" w:themeFill="background2"/>
          </w:tcPr>
          <w:p w14:paraId="16D9ECB0" w14:textId="77777777" w:rsidR="008F6952" w:rsidRDefault="008F6952" w:rsidP="00991FAA">
            <w:pPr>
              <w:rPr>
                <w:b/>
                <w:bCs/>
              </w:rPr>
            </w:pPr>
          </w:p>
        </w:tc>
        <w:tc>
          <w:tcPr>
            <w:tcW w:w="8788" w:type="dxa"/>
          </w:tcPr>
          <w:p w14:paraId="2124EDE7" w14:textId="77777777" w:rsidR="008F6952" w:rsidRDefault="008F6952" w:rsidP="00991FAA">
            <w:pPr>
              <w:rPr>
                <w:b/>
                <w:bCs/>
              </w:rPr>
            </w:pPr>
          </w:p>
          <w:p w14:paraId="214028B7" w14:textId="77777777" w:rsidR="008F0FA4" w:rsidRDefault="008F0FA4" w:rsidP="00991FAA">
            <w:pPr>
              <w:rPr>
                <w:b/>
                <w:bCs/>
              </w:rPr>
            </w:pPr>
          </w:p>
          <w:p w14:paraId="72C3E27B" w14:textId="77777777" w:rsidR="008F0FA4" w:rsidRDefault="008F0FA4" w:rsidP="00991FAA">
            <w:pPr>
              <w:rPr>
                <w:b/>
                <w:bCs/>
              </w:rPr>
            </w:pPr>
          </w:p>
          <w:p w14:paraId="743E84B2" w14:textId="77777777" w:rsidR="008F0FA4" w:rsidRDefault="008F0FA4" w:rsidP="00991FAA">
            <w:pPr>
              <w:rPr>
                <w:b/>
                <w:bCs/>
              </w:rPr>
            </w:pPr>
          </w:p>
          <w:p w14:paraId="4159EAB0" w14:textId="77777777" w:rsidR="008F0FA4" w:rsidRDefault="008F0FA4" w:rsidP="00991FAA">
            <w:pPr>
              <w:rPr>
                <w:b/>
                <w:bCs/>
              </w:rPr>
            </w:pPr>
          </w:p>
        </w:tc>
      </w:tr>
    </w:tbl>
    <w:p w14:paraId="706D86C8" w14:textId="6BB0AC7B" w:rsidR="00A119C1" w:rsidRPr="00991FAA" w:rsidRDefault="00A119C1" w:rsidP="008F0FA4">
      <w:pPr>
        <w:shd w:val="clear" w:color="auto" w:fill="FFFFFF"/>
        <w:spacing w:after="0" w:line="240" w:lineRule="auto"/>
        <w:rPr>
          <w:rFonts w:eastAsia="Times New Roman" w:cstheme="minorHAnsi"/>
          <w:color w:val="161616"/>
          <w:kern w:val="0"/>
          <w14:ligatures w14:val="none"/>
        </w:rPr>
      </w:pPr>
    </w:p>
    <w:sectPr w:rsidR="00A119C1" w:rsidRPr="00991FAA" w:rsidSect="005E4576">
      <w:headerReference w:type="even" r:id="rId11"/>
      <w:headerReference w:type="default" r:id="rId12"/>
      <w:footerReference w:type="even" r:id="rId13"/>
      <w:footerReference w:type="default" r:id="rId14"/>
      <w:headerReference w:type="first" r:id="rId15"/>
      <w:footerReference w:type="first" r:id="rId16"/>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7B7B" w14:textId="77777777" w:rsidR="00665B75" w:rsidRDefault="00665B75" w:rsidP="00991FAA">
      <w:pPr>
        <w:spacing w:after="0" w:line="240" w:lineRule="auto"/>
      </w:pPr>
      <w:r>
        <w:separator/>
      </w:r>
    </w:p>
  </w:endnote>
  <w:endnote w:type="continuationSeparator" w:id="0">
    <w:p w14:paraId="40B693CA" w14:textId="77777777" w:rsidR="00665B75" w:rsidRDefault="00665B75" w:rsidP="0099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24A1" w14:textId="77777777" w:rsidR="00015020" w:rsidRDefault="00015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865A" w14:textId="77777777" w:rsidR="00015020" w:rsidRDefault="00015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12FA" w14:textId="77777777" w:rsidR="00015020" w:rsidRDefault="00015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A2BE" w14:textId="77777777" w:rsidR="00665B75" w:rsidRDefault="00665B75" w:rsidP="00991FAA">
      <w:pPr>
        <w:spacing w:after="0" w:line="240" w:lineRule="auto"/>
      </w:pPr>
      <w:r>
        <w:separator/>
      </w:r>
    </w:p>
  </w:footnote>
  <w:footnote w:type="continuationSeparator" w:id="0">
    <w:p w14:paraId="134C4244" w14:textId="77777777" w:rsidR="00665B75" w:rsidRDefault="00665B75" w:rsidP="00991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55E8" w14:textId="77777777" w:rsidR="00015020" w:rsidRDefault="00015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F518" w14:textId="77777777" w:rsidR="00015020" w:rsidRDefault="00015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5219" w14:textId="77777777" w:rsidR="00015020" w:rsidRDefault="00015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009"/>
    <w:multiLevelType w:val="multilevel"/>
    <w:tmpl w:val="EFB0B98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heme="minorHAnsi" w:eastAsia="Times New Roman" w:hAnsiTheme="minorHAnsi" w:cstheme="minorHAnsi"/>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6E60E1"/>
    <w:multiLevelType w:val="multilevel"/>
    <w:tmpl w:val="778EFBF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heme="minorHAnsi" w:eastAsia="Times New Roman" w:hAnsiTheme="minorHAnsi" w:cstheme="minorHAnsi"/>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A1E1C22"/>
    <w:multiLevelType w:val="multilevel"/>
    <w:tmpl w:val="374826A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heme="minorHAnsi" w:eastAsia="Times New Roman" w:hAnsiTheme="minorHAnsi" w:cstheme="minorHAnsi"/>
        <w:sz w:val="20"/>
      </w:rPr>
    </w:lvl>
    <w:lvl w:ilvl="2">
      <w:start w:val="1"/>
      <w:numFmt w:val="decimal"/>
      <w:lvlText w:val="%3."/>
      <w:lvlJc w:val="left"/>
      <w:pPr>
        <w:tabs>
          <w:tab w:val="num" w:pos="1800"/>
        </w:tabs>
        <w:ind w:left="1800" w:hanging="360"/>
      </w:pPr>
    </w:lvl>
    <w:lvl w:ilvl="3">
      <w:start w:val="1"/>
      <w:numFmt w:val="lowerRoman"/>
      <w:lvlText w:val="%4)"/>
      <w:lvlJc w:val="left"/>
      <w:pPr>
        <w:ind w:left="2880" w:hanging="72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A47ADB"/>
    <w:multiLevelType w:val="multilevel"/>
    <w:tmpl w:val="D200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D1156"/>
    <w:multiLevelType w:val="hybridMultilevel"/>
    <w:tmpl w:val="F798491A"/>
    <w:lvl w:ilvl="0" w:tplc="FFFFFFFF">
      <w:start w:val="1"/>
      <w:numFmt w:val="lowerLetter"/>
      <w:lvlText w:val="%1."/>
      <w:lvlJc w:val="left"/>
      <w:pPr>
        <w:ind w:left="360" w:hanging="360"/>
      </w:pPr>
      <w:rPr>
        <w:rFonts w:hint="default"/>
      </w:rPr>
    </w:lvl>
    <w:lvl w:ilvl="1" w:tplc="08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8E32B7"/>
    <w:multiLevelType w:val="multilevel"/>
    <w:tmpl w:val="377607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heme="minorHAnsi" w:eastAsia="Times New Roman" w:hAnsiTheme="minorHAnsi" w:cstheme="minorHAnsi"/>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4D836AC"/>
    <w:multiLevelType w:val="multilevel"/>
    <w:tmpl w:val="54F6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A128D"/>
    <w:multiLevelType w:val="hybridMultilevel"/>
    <w:tmpl w:val="A678EF04"/>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441AAF"/>
    <w:multiLevelType w:val="hybridMultilevel"/>
    <w:tmpl w:val="D570A3FC"/>
    <w:lvl w:ilvl="0" w:tplc="657CA9E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E54DE"/>
    <w:multiLevelType w:val="multilevel"/>
    <w:tmpl w:val="05DA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560A5"/>
    <w:multiLevelType w:val="multilevel"/>
    <w:tmpl w:val="4FDC387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heme="minorHAnsi" w:eastAsia="Times New Roman" w:hAnsiTheme="minorHAnsi" w:cstheme="minorHAnsi"/>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D231BDB"/>
    <w:multiLevelType w:val="multilevel"/>
    <w:tmpl w:val="8EBC631A"/>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22083B"/>
    <w:multiLevelType w:val="multilevel"/>
    <w:tmpl w:val="5662626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heme="minorHAnsi" w:eastAsia="Times New Roman" w:hAnsiTheme="minorHAnsi" w:cstheme="minorHAnsi"/>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C7D11DF"/>
    <w:multiLevelType w:val="multilevel"/>
    <w:tmpl w:val="9ACE6C8A"/>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224ADE"/>
    <w:multiLevelType w:val="multilevel"/>
    <w:tmpl w:val="5662626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heme="minorHAnsi" w:eastAsia="Times New Roman" w:hAnsiTheme="minorHAnsi" w:cstheme="minorHAnsi"/>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3187F16"/>
    <w:multiLevelType w:val="hybridMultilevel"/>
    <w:tmpl w:val="D206D93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DE3AB0"/>
    <w:multiLevelType w:val="multilevel"/>
    <w:tmpl w:val="20664E9A"/>
    <w:lvl w:ilvl="0">
      <w:start w:val="1"/>
      <w:numFmt w:val="lowerLetter"/>
      <w:lvlText w:val="%1."/>
      <w:lvlJc w:val="left"/>
      <w:pPr>
        <w:tabs>
          <w:tab w:val="num" w:pos="360"/>
        </w:tabs>
        <w:ind w:left="360" w:hanging="360"/>
      </w:pPr>
      <w:rPr>
        <w:rFonts w:hint="default"/>
      </w:rPr>
    </w:lvl>
    <w:lvl w:ilvl="1">
      <w:start w:val="1"/>
      <w:numFmt w:val="lowerRoman"/>
      <w:lvlText w:val="%2."/>
      <w:lvlJc w:val="righ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4AB2EBC"/>
    <w:multiLevelType w:val="hybridMultilevel"/>
    <w:tmpl w:val="2BBC25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685867"/>
    <w:multiLevelType w:val="multilevel"/>
    <w:tmpl w:val="C18E1A48"/>
    <w:lvl w:ilvl="0">
      <w:start w:val="1"/>
      <w:numFmt w:val="lowerLetter"/>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rPr>
        <w:rFonts w:asciiTheme="minorHAnsi" w:eastAsia="Times New Roman" w:hAnsiTheme="minorHAnsi" w:cstheme="minorHAnsi"/>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248343511">
    <w:abstractNumId w:val="8"/>
  </w:num>
  <w:num w:numId="2" w16cid:durableId="1037968778">
    <w:abstractNumId w:val="12"/>
  </w:num>
  <w:num w:numId="3" w16cid:durableId="1276786808">
    <w:abstractNumId w:val="13"/>
  </w:num>
  <w:num w:numId="4" w16cid:durableId="796142985">
    <w:abstractNumId w:val="11"/>
  </w:num>
  <w:num w:numId="5" w16cid:durableId="35811187">
    <w:abstractNumId w:val="9"/>
  </w:num>
  <w:num w:numId="6" w16cid:durableId="1341617438">
    <w:abstractNumId w:val="15"/>
  </w:num>
  <w:num w:numId="7" w16cid:durableId="1630865644">
    <w:abstractNumId w:val="0"/>
  </w:num>
  <w:num w:numId="8" w16cid:durableId="395011277">
    <w:abstractNumId w:val="10"/>
  </w:num>
  <w:num w:numId="9" w16cid:durableId="809057073">
    <w:abstractNumId w:val="1"/>
  </w:num>
  <w:num w:numId="10" w16cid:durableId="1738744607">
    <w:abstractNumId w:val="2"/>
  </w:num>
  <w:num w:numId="11" w16cid:durableId="1310398985">
    <w:abstractNumId w:val="5"/>
  </w:num>
  <w:num w:numId="12" w16cid:durableId="162596363">
    <w:abstractNumId w:val="16"/>
  </w:num>
  <w:num w:numId="13" w16cid:durableId="1607805752">
    <w:abstractNumId w:val="7"/>
  </w:num>
  <w:num w:numId="14" w16cid:durableId="671642560">
    <w:abstractNumId w:val="4"/>
  </w:num>
  <w:num w:numId="15" w16cid:durableId="672952739">
    <w:abstractNumId w:val="14"/>
  </w:num>
  <w:num w:numId="16" w16cid:durableId="136459864">
    <w:abstractNumId w:val="17"/>
  </w:num>
  <w:num w:numId="17" w16cid:durableId="603803734">
    <w:abstractNumId w:val="18"/>
  </w:num>
  <w:num w:numId="18" w16cid:durableId="1457409747">
    <w:abstractNumId w:val="6"/>
  </w:num>
  <w:num w:numId="19" w16cid:durableId="1561986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AA"/>
    <w:rsid w:val="00005FB4"/>
    <w:rsid w:val="00007423"/>
    <w:rsid w:val="00015020"/>
    <w:rsid w:val="000458DD"/>
    <w:rsid w:val="000956F2"/>
    <w:rsid w:val="000C3B96"/>
    <w:rsid w:val="00102DEA"/>
    <w:rsid w:val="00106A28"/>
    <w:rsid w:val="00106F11"/>
    <w:rsid w:val="00140237"/>
    <w:rsid w:val="00143993"/>
    <w:rsid w:val="001A17C0"/>
    <w:rsid w:val="001B4876"/>
    <w:rsid w:val="001B5AF3"/>
    <w:rsid w:val="001D39D8"/>
    <w:rsid w:val="00230902"/>
    <w:rsid w:val="002318D2"/>
    <w:rsid w:val="00237B6B"/>
    <w:rsid w:val="0025599B"/>
    <w:rsid w:val="0025657F"/>
    <w:rsid w:val="00263D3D"/>
    <w:rsid w:val="00275D6C"/>
    <w:rsid w:val="002776C6"/>
    <w:rsid w:val="002B12F3"/>
    <w:rsid w:val="002B7C9A"/>
    <w:rsid w:val="00306366"/>
    <w:rsid w:val="00320D5C"/>
    <w:rsid w:val="00330D32"/>
    <w:rsid w:val="00340093"/>
    <w:rsid w:val="00353759"/>
    <w:rsid w:val="00381E6C"/>
    <w:rsid w:val="003B57DC"/>
    <w:rsid w:val="003D3157"/>
    <w:rsid w:val="003D7706"/>
    <w:rsid w:val="00400848"/>
    <w:rsid w:val="004072AA"/>
    <w:rsid w:val="004D08D2"/>
    <w:rsid w:val="00516FC5"/>
    <w:rsid w:val="00523BEA"/>
    <w:rsid w:val="005456C5"/>
    <w:rsid w:val="005625CC"/>
    <w:rsid w:val="00580F4B"/>
    <w:rsid w:val="005A7809"/>
    <w:rsid w:val="005B35BA"/>
    <w:rsid w:val="005E4576"/>
    <w:rsid w:val="005F0EAD"/>
    <w:rsid w:val="00610045"/>
    <w:rsid w:val="00624BF2"/>
    <w:rsid w:val="006303A5"/>
    <w:rsid w:val="00631057"/>
    <w:rsid w:val="006355C1"/>
    <w:rsid w:val="00654377"/>
    <w:rsid w:val="00665B75"/>
    <w:rsid w:val="0067045D"/>
    <w:rsid w:val="006C0CEE"/>
    <w:rsid w:val="006D60B4"/>
    <w:rsid w:val="00707192"/>
    <w:rsid w:val="00720E31"/>
    <w:rsid w:val="007236CF"/>
    <w:rsid w:val="007461B1"/>
    <w:rsid w:val="00772B8E"/>
    <w:rsid w:val="007A2125"/>
    <w:rsid w:val="007E2C25"/>
    <w:rsid w:val="00813E07"/>
    <w:rsid w:val="0082613F"/>
    <w:rsid w:val="00830E35"/>
    <w:rsid w:val="00841A11"/>
    <w:rsid w:val="008427B2"/>
    <w:rsid w:val="00860BFC"/>
    <w:rsid w:val="00887A49"/>
    <w:rsid w:val="008A1E80"/>
    <w:rsid w:val="008A4AC3"/>
    <w:rsid w:val="008A739D"/>
    <w:rsid w:val="008D7A77"/>
    <w:rsid w:val="008F0FA4"/>
    <w:rsid w:val="008F6952"/>
    <w:rsid w:val="009004C4"/>
    <w:rsid w:val="0090302C"/>
    <w:rsid w:val="0091288F"/>
    <w:rsid w:val="00944981"/>
    <w:rsid w:val="0095015F"/>
    <w:rsid w:val="00957348"/>
    <w:rsid w:val="00991FAA"/>
    <w:rsid w:val="00992A40"/>
    <w:rsid w:val="00995475"/>
    <w:rsid w:val="009B57D3"/>
    <w:rsid w:val="009F008D"/>
    <w:rsid w:val="00A0454F"/>
    <w:rsid w:val="00A062B7"/>
    <w:rsid w:val="00A119C1"/>
    <w:rsid w:val="00A204B8"/>
    <w:rsid w:val="00A852A9"/>
    <w:rsid w:val="00A953CD"/>
    <w:rsid w:val="00A953E0"/>
    <w:rsid w:val="00AA4613"/>
    <w:rsid w:val="00AF238F"/>
    <w:rsid w:val="00AF2D89"/>
    <w:rsid w:val="00B345B7"/>
    <w:rsid w:val="00B37FA7"/>
    <w:rsid w:val="00BC6A9D"/>
    <w:rsid w:val="00BD28CE"/>
    <w:rsid w:val="00BE1BAB"/>
    <w:rsid w:val="00BF7F30"/>
    <w:rsid w:val="00C11A88"/>
    <w:rsid w:val="00C16A41"/>
    <w:rsid w:val="00C20C19"/>
    <w:rsid w:val="00C27ACF"/>
    <w:rsid w:val="00C30BF2"/>
    <w:rsid w:val="00C36071"/>
    <w:rsid w:val="00C41BB8"/>
    <w:rsid w:val="00C53C96"/>
    <w:rsid w:val="00C734CA"/>
    <w:rsid w:val="00C839FC"/>
    <w:rsid w:val="00C84942"/>
    <w:rsid w:val="00CB67D0"/>
    <w:rsid w:val="00CD6A05"/>
    <w:rsid w:val="00CE4CE3"/>
    <w:rsid w:val="00CF461A"/>
    <w:rsid w:val="00CF7ADB"/>
    <w:rsid w:val="00D17526"/>
    <w:rsid w:val="00D31760"/>
    <w:rsid w:val="00D655CA"/>
    <w:rsid w:val="00DC6EAF"/>
    <w:rsid w:val="00DC7111"/>
    <w:rsid w:val="00E13D5F"/>
    <w:rsid w:val="00E1751C"/>
    <w:rsid w:val="00E255DE"/>
    <w:rsid w:val="00E369E8"/>
    <w:rsid w:val="00E878E1"/>
    <w:rsid w:val="00E9639C"/>
    <w:rsid w:val="00E963AA"/>
    <w:rsid w:val="00EA0DD3"/>
    <w:rsid w:val="00EA3F81"/>
    <w:rsid w:val="00ED4024"/>
    <w:rsid w:val="00EE636E"/>
    <w:rsid w:val="00F07E87"/>
    <w:rsid w:val="00F302BC"/>
    <w:rsid w:val="00F33113"/>
    <w:rsid w:val="00F70967"/>
    <w:rsid w:val="00F82F2A"/>
    <w:rsid w:val="00F920FD"/>
    <w:rsid w:val="00FC3F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B69706"/>
  <w15:chartTrackingRefBased/>
  <w15:docId w15:val="{D82DDB34-D228-4E7B-BBCA-871FAF1B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FAA"/>
    <w:pPr>
      <w:ind w:left="720"/>
      <w:contextualSpacing/>
    </w:pPr>
  </w:style>
  <w:style w:type="paragraph" w:styleId="FootnoteText">
    <w:name w:val="footnote text"/>
    <w:basedOn w:val="Normal"/>
    <w:link w:val="FootnoteTextChar"/>
    <w:uiPriority w:val="99"/>
    <w:semiHidden/>
    <w:unhideWhenUsed/>
    <w:rsid w:val="00991F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FAA"/>
    <w:rPr>
      <w:sz w:val="20"/>
      <w:szCs w:val="20"/>
    </w:rPr>
  </w:style>
  <w:style w:type="character" w:styleId="FootnoteReference">
    <w:name w:val="footnote reference"/>
    <w:basedOn w:val="DefaultParagraphFont"/>
    <w:uiPriority w:val="99"/>
    <w:semiHidden/>
    <w:unhideWhenUsed/>
    <w:rsid w:val="00991FAA"/>
    <w:rPr>
      <w:vertAlign w:val="superscript"/>
    </w:rPr>
  </w:style>
  <w:style w:type="paragraph" w:styleId="NormalWeb">
    <w:name w:val="Normal (Web)"/>
    <w:basedOn w:val="Normal"/>
    <w:uiPriority w:val="99"/>
    <w:semiHidden/>
    <w:unhideWhenUsed/>
    <w:rsid w:val="00991F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91FAA"/>
    <w:rPr>
      <w:b/>
      <w:bCs/>
    </w:rPr>
  </w:style>
  <w:style w:type="paragraph" w:styleId="Header">
    <w:name w:val="header"/>
    <w:basedOn w:val="Normal"/>
    <w:link w:val="HeaderChar"/>
    <w:uiPriority w:val="99"/>
    <w:unhideWhenUsed/>
    <w:rsid w:val="00015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020"/>
  </w:style>
  <w:style w:type="paragraph" w:styleId="Footer">
    <w:name w:val="footer"/>
    <w:basedOn w:val="Normal"/>
    <w:link w:val="FooterChar"/>
    <w:uiPriority w:val="99"/>
    <w:unhideWhenUsed/>
    <w:rsid w:val="00015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020"/>
  </w:style>
  <w:style w:type="paragraph" w:styleId="Revision">
    <w:name w:val="Revision"/>
    <w:hidden/>
    <w:uiPriority w:val="99"/>
    <w:semiHidden/>
    <w:rsid w:val="001D39D8"/>
    <w:pPr>
      <w:spacing w:after="0" w:line="240" w:lineRule="auto"/>
    </w:pPr>
  </w:style>
  <w:style w:type="table" w:styleId="TableGrid">
    <w:name w:val="Table Grid"/>
    <w:basedOn w:val="TableNormal"/>
    <w:uiPriority w:val="39"/>
    <w:rsid w:val="008F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6FC5"/>
    <w:rPr>
      <w:sz w:val="16"/>
      <w:szCs w:val="16"/>
    </w:rPr>
  </w:style>
  <w:style w:type="paragraph" w:styleId="CommentText">
    <w:name w:val="annotation text"/>
    <w:basedOn w:val="Normal"/>
    <w:link w:val="CommentTextChar"/>
    <w:uiPriority w:val="99"/>
    <w:unhideWhenUsed/>
    <w:rsid w:val="00516FC5"/>
    <w:pPr>
      <w:spacing w:line="240" w:lineRule="auto"/>
    </w:pPr>
    <w:rPr>
      <w:sz w:val="20"/>
      <w:szCs w:val="20"/>
    </w:rPr>
  </w:style>
  <w:style w:type="character" w:customStyle="1" w:styleId="CommentTextChar">
    <w:name w:val="Comment Text Char"/>
    <w:basedOn w:val="DefaultParagraphFont"/>
    <w:link w:val="CommentText"/>
    <w:uiPriority w:val="99"/>
    <w:rsid w:val="00516FC5"/>
    <w:rPr>
      <w:sz w:val="20"/>
      <w:szCs w:val="20"/>
    </w:rPr>
  </w:style>
  <w:style w:type="paragraph" w:styleId="CommentSubject">
    <w:name w:val="annotation subject"/>
    <w:basedOn w:val="CommentText"/>
    <w:next w:val="CommentText"/>
    <w:link w:val="CommentSubjectChar"/>
    <w:uiPriority w:val="99"/>
    <w:semiHidden/>
    <w:unhideWhenUsed/>
    <w:rsid w:val="00516FC5"/>
    <w:rPr>
      <w:b/>
      <w:bCs/>
    </w:rPr>
  </w:style>
  <w:style w:type="character" w:customStyle="1" w:styleId="CommentSubjectChar">
    <w:name w:val="Comment Subject Char"/>
    <w:basedOn w:val="CommentTextChar"/>
    <w:link w:val="CommentSubject"/>
    <w:uiPriority w:val="99"/>
    <w:semiHidden/>
    <w:rsid w:val="00516F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4979">
      <w:bodyDiv w:val="1"/>
      <w:marLeft w:val="0"/>
      <w:marRight w:val="0"/>
      <w:marTop w:val="0"/>
      <w:marBottom w:val="0"/>
      <w:divBdr>
        <w:top w:val="none" w:sz="0" w:space="0" w:color="auto"/>
        <w:left w:val="none" w:sz="0" w:space="0" w:color="auto"/>
        <w:bottom w:val="none" w:sz="0" w:space="0" w:color="auto"/>
        <w:right w:val="none" w:sz="0" w:space="0" w:color="auto"/>
      </w:divBdr>
    </w:div>
    <w:div w:id="745805043">
      <w:bodyDiv w:val="1"/>
      <w:marLeft w:val="0"/>
      <w:marRight w:val="0"/>
      <w:marTop w:val="0"/>
      <w:marBottom w:val="0"/>
      <w:divBdr>
        <w:top w:val="none" w:sz="0" w:space="0" w:color="auto"/>
        <w:left w:val="none" w:sz="0" w:space="0" w:color="auto"/>
        <w:bottom w:val="none" w:sz="0" w:space="0" w:color="auto"/>
        <w:right w:val="none" w:sz="0" w:space="0" w:color="auto"/>
      </w:divBdr>
    </w:div>
    <w:div w:id="921375616">
      <w:bodyDiv w:val="1"/>
      <w:marLeft w:val="0"/>
      <w:marRight w:val="0"/>
      <w:marTop w:val="0"/>
      <w:marBottom w:val="0"/>
      <w:divBdr>
        <w:top w:val="none" w:sz="0" w:space="0" w:color="auto"/>
        <w:left w:val="none" w:sz="0" w:space="0" w:color="auto"/>
        <w:bottom w:val="none" w:sz="0" w:space="0" w:color="auto"/>
        <w:right w:val="none" w:sz="0" w:space="0" w:color="auto"/>
      </w:divBdr>
    </w:div>
    <w:div w:id="983435061">
      <w:bodyDiv w:val="1"/>
      <w:marLeft w:val="0"/>
      <w:marRight w:val="0"/>
      <w:marTop w:val="0"/>
      <w:marBottom w:val="0"/>
      <w:divBdr>
        <w:top w:val="none" w:sz="0" w:space="0" w:color="auto"/>
        <w:left w:val="none" w:sz="0" w:space="0" w:color="auto"/>
        <w:bottom w:val="none" w:sz="0" w:space="0" w:color="auto"/>
        <w:right w:val="none" w:sz="0" w:space="0" w:color="auto"/>
      </w:divBdr>
    </w:div>
    <w:div w:id="1071004672">
      <w:bodyDiv w:val="1"/>
      <w:marLeft w:val="0"/>
      <w:marRight w:val="0"/>
      <w:marTop w:val="0"/>
      <w:marBottom w:val="0"/>
      <w:divBdr>
        <w:top w:val="none" w:sz="0" w:space="0" w:color="auto"/>
        <w:left w:val="none" w:sz="0" w:space="0" w:color="auto"/>
        <w:bottom w:val="none" w:sz="0" w:space="0" w:color="auto"/>
        <w:right w:val="none" w:sz="0" w:space="0" w:color="auto"/>
      </w:divBdr>
    </w:div>
    <w:div w:id="1453208121">
      <w:bodyDiv w:val="1"/>
      <w:marLeft w:val="0"/>
      <w:marRight w:val="0"/>
      <w:marTop w:val="0"/>
      <w:marBottom w:val="0"/>
      <w:divBdr>
        <w:top w:val="none" w:sz="0" w:space="0" w:color="auto"/>
        <w:left w:val="none" w:sz="0" w:space="0" w:color="auto"/>
        <w:bottom w:val="none" w:sz="0" w:space="0" w:color="auto"/>
        <w:right w:val="none" w:sz="0" w:space="0" w:color="auto"/>
      </w:divBdr>
    </w:div>
    <w:div w:id="1514417772">
      <w:bodyDiv w:val="1"/>
      <w:marLeft w:val="0"/>
      <w:marRight w:val="0"/>
      <w:marTop w:val="0"/>
      <w:marBottom w:val="0"/>
      <w:divBdr>
        <w:top w:val="none" w:sz="0" w:space="0" w:color="auto"/>
        <w:left w:val="none" w:sz="0" w:space="0" w:color="auto"/>
        <w:bottom w:val="none" w:sz="0" w:space="0" w:color="auto"/>
        <w:right w:val="none" w:sz="0" w:space="0" w:color="auto"/>
      </w:divBdr>
    </w:div>
    <w:div w:id="1720393781">
      <w:bodyDiv w:val="1"/>
      <w:marLeft w:val="0"/>
      <w:marRight w:val="0"/>
      <w:marTop w:val="0"/>
      <w:marBottom w:val="0"/>
      <w:divBdr>
        <w:top w:val="none" w:sz="0" w:space="0" w:color="auto"/>
        <w:left w:val="none" w:sz="0" w:space="0" w:color="auto"/>
        <w:bottom w:val="none" w:sz="0" w:space="0" w:color="auto"/>
        <w:right w:val="none" w:sz="0" w:space="0" w:color="auto"/>
      </w:divBdr>
    </w:div>
    <w:div w:id="177231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8"?>
<properties xmlns="http://www.imanage.com/work/xmlschema">
  <documentid>AMER_ACTIVE!103754503.1</documentid>
  <senderid>V698326</senderid>
  <senderemail>CHRISTIAN.Y.BERGERON@JPMORGAN.COM</senderemail>
  <lastmodified>2025-04-22T14:07:00.0000000-04:00</lastmodified>
  <database>AMER_ACTIVE</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2e2bce-bb59-4db5-8f52-205aa3084ca9">
      <Terms xmlns="http://schemas.microsoft.com/office/infopath/2007/PartnerControls"/>
    </lcf76f155ced4ddcb4097134ff3c332f>
    <TaxCatchAll xmlns="af3124c1-1bda-42f5-bc42-7599b691084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DC10CA0A1961488693C50D395F052C" ma:contentTypeVersion="18" ma:contentTypeDescription="Crée un document." ma:contentTypeScope="" ma:versionID="f040819394e362a8aeeb8fdc738d12ff">
  <xsd:schema xmlns:xsd="http://www.w3.org/2001/XMLSchema" xmlns:xs="http://www.w3.org/2001/XMLSchema" xmlns:p="http://schemas.microsoft.com/office/2006/metadata/properties" xmlns:ns2="572e2bce-bb59-4db5-8f52-205aa3084ca9" xmlns:ns3="af3124c1-1bda-42f5-bc42-7599b6910842" targetNamespace="http://schemas.microsoft.com/office/2006/metadata/properties" ma:root="true" ma:fieldsID="d34bb93ecfd1758dcc0f0f5e51f16d6b" ns2:_="" ns3:_="">
    <xsd:import namespace="572e2bce-bb59-4db5-8f52-205aa3084ca9"/>
    <xsd:import namespace="af3124c1-1bda-42f5-bc42-7599b69108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bce-bb59-4db5-8f52-205aa3084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a7dad02-e8d4-492f-855d-bc9b529d26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124c1-1bda-42f5-bc42-7599b6910842"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3417730-ad02-4af9-8d02-46cabb6cec7e}" ma:internalName="TaxCatchAll" ma:showField="CatchAllData" ma:web="af3124c1-1bda-42f5-bc42-7599b6910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EA6E4-B807-4321-B373-152B4421D59A}">
  <ds:schemaRefs>
    <ds:schemaRef ds:uri="http://schemas.microsoft.com/sharepoint/v3/contenttype/forms"/>
  </ds:schemaRefs>
</ds:datastoreItem>
</file>

<file path=customXml/itemProps2.xml><?xml version="1.0" encoding="utf-8"?>
<ds:datastoreItem xmlns:ds="http://schemas.openxmlformats.org/officeDocument/2006/customXml" ds:itemID="{10D19DBA-0C4C-4D09-A082-86FC29C7C01E}">
  <ds:schemaRefs>
    <ds:schemaRef ds:uri="http://schemas.microsoft.com/office/2006/metadata/properties"/>
    <ds:schemaRef ds:uri="http://schemas.microsoft.com/office/infopath/2007/PartnerControls"/>
    <ds:schemaRef ds:uri="572e2bce-bb59-4db5-8f52-205aa3084ca9"/>
    <ds:schemaRef ds:uri="af3124c1-1bda-42f5-bc42-7599b6910842"/>
  </ds:schemaRefs>
</ds:datastoreItem>
</file>

<file path=customXml/itemProps3.xml><?xml version="1.0" encoding="utf-8"?>
<ds:datastoreItem xmlns:ds="http://schemas.openxmlformats.org/officeDocument/2006/customXml" ds:itemID="{5BD5B6C5-0765-4205-A360-C465D24122F8}">
  <ds:schemaRefs>
    <ds:schemaRef ds:uri="http://schemas.openxmlformats.org/officeDocument/2006/bibliography"/>
  </ds:schemaRefs>
</ds:datastoreItem>
</file>

<file path=customXml/itemProps4.xml><?xml version="1.0" encoding="utf-8"?>
<ds:datastoreItem xmlns:ds="http://schemas.openxmlformats.org/officeDocument/2006/customXml" ds:itemID="{3AD5801F-AEFC-4D9C-AC32-A362DED74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bce-bb59-4db5-8f52-205aa3084ca9"/>
    <ds:schemaRef ds:uri="af3124c1-1bda-42f5-bc42-7599b6910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5160</Characters>
  <Application>Microsoft Office Word</Application>
  <DocSecurity>0</DocSecurity>
  <Lines>184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Bergeron, Christian Y (Legal, USA)</dc:creator>
  <cp:keywords/>
  <dc:description/>
  <cp:lastModifiedBy>Bergeron, Christian Y (Legal, USA)</cp:lastModifiedBy>
  <cp:revision>2</cp:revision>
  <dcterms:created xsi:type="dcterms:W3CDTF">2025-04-22T18:07:00Z</dcterms:created>
  <dcterms:modified xsi:type="dcterms:W3CDTF">2025-04-22T18:07:00Z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0x010100AFDC10CA0A1961488693C50D395F052C</vt:lpwstr>
  </property>
</Properties>
</file>