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0DB3" w14:textId="77777777" w:rsidR="00723385" w:rsidRDefault="00723385" w:rsidP="00D20615">
      <w:pPr>
        <w:spacing w:after="120"/>
        <w:jc w:val="center"/>
        <w:rPr>
          <w:rFonts w:ascii="Gellix" w:hAnsi="Gellix"/>
          <w:b/>
          <w:bCs/>
          <w:sz w:val="36"/>
          <w:szCs w:val="36"/>
          <w:lang w:val="en-US"/>
        </w:rPr>
      </w:pPr>
    </w:p>
    <w:p w14:paraId="30F04DD0" w14:textId="77777777" w:rsidR="00723385" w:rsidRDefault="00D20615" w:rsidP="00D20615">
      <w:pPr>
        <w:spacing w:after="120"/>
        <w:jc w:val="center"/>
        <w:rPr>
          <w:rFonts w:ascii="Gellix" w:hAnsi="Gellix"/>
          <w:b/>
          <w:bCs/>
          <w:sz w:val="36"/>
          <w:szCs w:val="36"/>
          <w:lang w:val="en-US"/>
        </w:rPr>
      </w:pPr>
      <w:r w:rsidRPr="004E7091">
        <w:rPr>
          <w:rFonts w:ascii="Gellix" w:hAnsi="Gellix"/>
          <w:b/>
          <w:bCs/>
          <w:sz w:val="36"/>
          <w:szCs w:val="36"/>
          <w:lang w:val="en-US"/>
        </w:rPr>
        <w:t>Policy brief</w:t>
      </w:r>
    </w:p>
    <w:p w14:paraId="639DF877" w14:textId="753297A3" w:rsidR="00D20615" w:rsidRPr="009454C1" w:rsidRDefault="00D20615" w:rsidP="00D20615">
      <w:pPr>
        <w:spacing w:after="120"/>
        <w:jc w:val="center"/>
        <w:rPr>
          <w:rFonts w:ascii="Gellix" w:hAnsi="Gellix"/>
          <w:b/>
          <w:bCs/>
          <w:sz w:val="36"/>
          <w:szCs w:val="36"/>
          <w:lang w:val="en-GB"/>
        </w:rPr>
      </w:pPr>
      <w:r>
        <w:rPr>
          <w:rFonts w:ascii="Gellix" w:hAnsi="Gellix"/>
          <w:b/>
          <w:bCs/>
          <w:sz w:val="36"/>
          <w:szCs w:val="36"/>
          <w:lang w:val="en-US"/>
        </w:rPr>
        <w:t>D</w:t>
      </w:r>
      <w:r w:rsidRPr="004E7091">
        <w:rPr>
          <w:rFonts w:ascii="Gellix" w:hAnsi="Gellix"/>
          <w:b/>
          <w:bCs/>
          <w:sz w:val="36"/>
          <w:szCs w:val="36"/>
          <w:lang w:val="en-US"/>
        </w:rPr>
        <w:t xml:space="preserve">ata flows in </w:t>
      </w:r>
      <w:r>
        <w:rPr>
          <w:rFonts w:ascii="Gellix" w:hAnsi="Gellix"/>
          <w:b/>
          <w:bCs/>
          <w:sz w:val="36"/>
          <w:szCs w:val="36"/>
          <w:lang w:val="en-US"/>
        </w:rPr>
        <w:t>supply chains</w:t>
      </w:r>
    </w:p>
    <w:p w14:paraId="210B5AEA" w14:textId="52B385D6" w:rsidR="002418C7" w:rsidRDefault="00251234" w:rsidP="001E26FF">
      <w:pPr>
        <w:spacing w:after="120"/>
        <w:jc w:val="center"/>
        <w:rPr>
          <w:rFonts w:ascii="Gellix" w:hAnsi="Gellix"/>
          <w:b/>
          <w:bCs/>
          <w:sz w:val="28"/>
          <w:szCs w:val="28"/>
          <w:lang w:val="en-GB"/>
        </w:rPr>
      </w:pPr>
      <w:r>
        <w:rPr>
          <w:rFonts w:ascii="Gellix" w:hAnsi="Gellix"/>
          <w:b/>
          <w:bCs/>
          <w:sz w:val="28"/>
          <w:szCs w:val="28"/>
          <w:lang w:val="en-GB"/>
        </w:rPr>
        <w:t>FIRST DRAFT</w:t>
      </w:r>
    </w:p>
    <w:p w14:paraId="574A3F82" w14:textId="77777777" w:rsidR="001E26FF" w:rsidRPr="001E26FF" w:rsidRDefault="001E26FF" w:rsidP="001E26FF">
      <w:pPr>
        <w:spacing w:after="120"/>
        <w:jc w:val="center"/>
        <w:rPr>
          <w:rFonts w:ascii="Gellix" w:hAnsi="Gellix"/>
          <w:b/>
          <w:bCs/>
          <w:sz w:val="28"/>
          <w:szCs w:val="28"/>
          <w:lang w:val="en-GB"/>
        </w:rPr>
      </w:pPr>
    </w:p>
    <w:p w14:paraId="0023E0A3" w14:textId="7610BD10" w:rsidR="002418C7" w:rsidRDefault="002418C7" w:rsidP="00686052">
      <w:pPr>
        <w:rPr>
          <w:rFonts w:ascii="Gellix" w:hAnsi="Gellix"/>
          <w:b/>
          <w:bCs/>
          <w:lang w:val="en-GB"/>
        </w:rPr>
      </w:pPr>
      <w:r>
        <w:rPr>
          <w:rFonts w:ascii="Gellix" w:hAnsi="Gellix"/>
          <w:b/>
          <w:bCs/>
          <w:lang w:val="en-GB"/>
        </w:rPr>
        <w:t>Executive Summary</w:t>
      </w:r>
    </w:p>
    <w:p w14:paraId="757C52DF" w14:textId="1EE169DB" w:rsidR="002418C7" w:rsidRDefault="002418C7" w:rsidP="00686052">
      <w:pPr>
        <w:rPr>
          <w:rFonts w:ascii="Gellix" w:hAnsi="Gellix"/>
          <w:b/>
          <w:bCs/>
          <w:lang w:val="en-GB"/>
        </w:rPr>
      </w:pPr>
      <w:r>
        <w:rPr>
          <w:rFonts w:ascii="Gellix" w:hAnsi="Gellix"/>
          <w:b/>
          <w:bCs/>
          <w:lang w:val="en-GB"/>
        </w:rPr>
        <w:t>[To come]</w:t>
      </w:r>
    </w:p>
    <w:p w14:paraId="322A3A4F" w14:textId="0824A03C" w:rsidR="002961AB" w:rsidRPr="00686052" w:rsidRDefault="002961AB" w:rsidP="00686052">
      <w:pPr>
        <w:rPr>
          <w:rFonts w:ascii="Gellix" w:hAnsi="Gellix"/>
          <w:b/>
          <w:bCs/>
          <w:lang w:val="en-GB"/>
        </w:rPr>
      </w:pPr>
      <w:r w:rsidRPr="00686052">
        <w:rPr>
          <w:rFonts w:ascii="Gellix" w:hAnsi="Gellix"/>
          <w:b/>
          <w:bCs/>
          <w:lang w:val="en-GB"/>
        </w:rPr>
        <w:t>Introduction</w:t>
      </w:r>
    </w:p>
    <w:p w14:paraId="190BC28A" w14:textId="1A9F4070" w:rsidR="002961AB" w:rsidRPr="00686052" w:rsidRDefault="00F00CFD" w:rsidP="00686052">
      <w:pPr>
        <w:spacing w:after="120"/>
        <w:rPr>
          <w:rFonts w:ascii="Gellix" w:hAnsi="Gellix"/>
          <w:sz w:val="21"/>
          <w:szCs w:val="21"/>
          <w:lang w:val="en-GB"/>
        </w:rPr>
      </w:pPr>
      <w:r>
        <w:rPr>
          <w:rFonts w:ascii="Gellix" w:hAnsi="Gellix"/>
          <w:sz w:val="21"/>
          <w:szCs w:val="21"/>
          <w:lang w:val="en-GB"/>
        </w:rPr>
        <w:t>Cross-border d</w:t>
      </w:r>
      <w:r w:rsidR="002961AB" w:rsidRPr="00686052">
        <w:rPr>
          <w:rFonts w:ascii="Gellix" w:hAnsi="Gellix"/>
          <w:sz w:val="21"/>
          <w:szCs w:val="21"/>
          <w:lang w:val="en-GB"/>
        </w:rPr>
        <w:t xml:space="preserve">ata flows are essential for efficient, resilient and interconnected global supply chains. </w:t>
      </w:r>
      <w:r w:rsidR="00391C15">
        <w:rPr>
          <w:rFonts w:ascii="Gellix" w:hAnsi="Gellix"/>
          <w:sz w:val="21"/>
          <w:szCs w:val="21"/>
          <w:lang w:val="en-GB"/>
        </w:rPr>
        <w:t>All industries, including</w:t>
      </w:r>
      <w:r w:rsidR="00CC11BB" w:rsidRPr="00686052">
        <w:rPr>
          <w:rFonts w:ascii="Gellix" w:hAnsi="Gellix"/>
          <w:sz w:val="21"/>
          <w:szCs w:val="21"/>
          <w:lang w:val="en-GB"/>
        </w:rPr>
        <w:t xml:space="preserve"> information services, high-value manufacturing, financial services, and e-commerce</w:t>
      </w:r>
      <w:r w:rsidR="004E2EAC">
        <w:rPr>
          <w:rFonts w:ascii="Gellix" w:hAnsi="Gellix"/>
          <w:sz w:val="21"/>
          <w:szCs w:val="21"/>
          <w:lang w:val="en-GB"/>
        </w:rPr>
        <w:t>,</w:t>
      </w:r>
      <w:r w:rsidR="00CC11BB" w:rsidRPr="00686052">
        <w:rPr>
          <w:rFonts w:ascii="Gellix" w:hAnsi="Gellix"/>
          <w:sz w:val="21"/>
          <w:szCs w:val="21"/>
          <w:lang w:val="en-GB"/>
        </w:rPr>
        <w:t xml:space="preserve"> depend heavily on </w:t>
      </w:r>
      <w:r w:rsidR="002961AB" w:rsidRPr="00686052">
        <w:rPr>
          <w:rFonts w:ascii="Gellix" w:hAnsi="Gellix"/>
          <w:sz w:val="21"/>
          <w:szCs w:val="21"/>
          <w:lang w:val="en-GB"/>
        </w:rPr>
        <w:t xml:space="preserve">real-time data exchange to manage all aspects of their operations. </w:t>
      </w:r>
      <w:r w:rsidR="002B6B30">
        <w:rPr>
          <w:rFonts w:ascii="Gellix" w:hAnsi="Gellix"/>
          <w:sz w:val="21"/>
          <w:szCs w:val="21"/>
          <w:lang w:val="en-GB"/>
        </w:rPr>
        <w:t xml:space="preserve">According to recent studies, </w:t>
      </w:r>
      <w:r w:rsidR="001D1E32">
        <w:rPr>
          <w:rFonts w:ascii="Gellix" w:hAnsi="Gellix"/>
          <w:sz w:val="21"/>
          <w:szCs w:val="21"/>
          <w:lang w:val="en-GB"/>
        </w:rPr>
        <w:t>c</w:t>
      </w:r>
      <w:r w:rsidR="001D1E32" w:rsidRPr="001D1E32">
        <w:rPr>
          <w:rFonts w:ascii="Gellix" w:hAnsi="Gellix"/>
          <w:sz w:val="21"/>
          <w:szCs w:val="21"/>
          <w:lang w:val="en-GB"/>
        </w:rPr>
        <w:t>ross-border data flows can drive a 145% increase in exports for every 0.1-point reduction in digital restrictions</w:t>
      </w:r>
      <w:r w:rsidR="001D1E32">
        <w:rPr>
          <w:rStyle w:val="FootnoteReference"/>
          <w:rFonts w:ascii="Gellix" w:hAnsi="Gellix"/>
          <w:sz w:val="21"/>
          <w:szCs w:val="21"/>
          <w:lang w:val="en-GB"/>
        </w:rPr>
        <w:footnoteReference w:id="2"/>
      </w:r>
      <w:r w:rsidR="001D1E32" w:rsidRPr="001D1E32">
        <w:rPr>
          <w:rFonts w:ascii="Gellix" w:hAnsi="Gellix"/>
          <w:sz w:val="21"/>
          <w:szCs w:val="21"/>
          <w:lang w:val="en-GB"/>
        </w:rPr>
        <w:t>.</w:t>
      </w:r>
    </w:p>
    <w:p w14:paraId="70ECC1D8" w14:textId="2E3D879E" w:rsidR="00E05429" w:rsidRPr="00997B2C" w:rsidRDefault="007432FD" w:rsidP="00E05429">
      <w:pPr>
        <w:spacing w:after="120"/>
        <w:rPr>
          <w:rFonts w:ascii="Gellix" w:hAnsi="Gellix"/>
          <w:sz w:val="21"/>
          <w:szCs w:val="21"/>
          <w:lang w:val="en-GB"/>
        </w:rPr>
      </w:pPr>
      <w:r w:rsidRPr="00686052">
        <w:rPr>
          <w:rFonts w:ascii="Gellix" w:hAnsi="Gellix"/>
          <w:sz w:val="21"/>
          <w:szCs w:val="21"/>
          <w:lang w:val="en-GB"/>
        </w:rPr>
        <w:t xml:space="preserve">Despite their critical role, cross-border data flows face growing regulatory hurdles. </w:t>
      </w:r>
      <w:r w:rsidR="00D36ADD">
        <w:rPr>
          <w:rFonts w:ascii="Gellix" w:hAnsi="Gellix"/>
          <w:sz w:val="21"/>
          <w:szCs w:val="21"/>
          <w:lang w:val="en-GB"/>
        </w:rPr>
        <w:t>T</w:t>
      </w:r>
      <w:r w:rsidR="002961AB" w:rsidRPr="00686052">
        <w:rPr>
          <w:rFonts w:ascii="Gellix" w:hAnsi="Gellix"/>
          <w:sz w:val="21"/>
          <w:szCs w:val="21"/>
          <w:lang w:val="en-GB"/>
        </w:rPr>
        <w:t xml:space="preserve">he lack of multilateral coordination and </w:t>
      </w:r>
      <w:r w:rsidR="00134E22">
        <w:rPr>
          <w:rFonts w:ascii="Gellix" w:hAnsi="Gellix"/>
          <w:sz w:val="21"/>
          <w:szCs w:val="21"/>
          <w:lang w:val="en-GB"/>
        </w:rPr>
        <w:t xml:space="preserve">a </w:t>
      </w:r>
      <w:r w:rsidR="002961AB" w:rsidRPr="00686052">
        <w:rPr>
          <w:rFonts w:ascii="Gellix" w:hAnsi="Gellix"/>
          <w:sz w:val="21"/>
          <w:szCs w:val="21"/>
          <w:lang w:val="en-GB"/>
        </w:rPr>
        <w:t>fragmented regulatory landscape</w:t>
      </w:r>
      <w:r w:rsidR="004535D3">
        <w:rPr>
          <w:rFonts w:ascii="Gellix" w:hAnsi="Gellix"/>
          <w:sz w:val="21"/>
          <w:szCs w:val="21"/>
          <w:lang w:val="en-GB"/>
        </w:rPr>
        <w:t xml:space="preserve"> </w:t>
      </w:r>
      <w:r w:rsidR="002961AB" w:rsidRPr="00686052">
        <w:rPr>
          <w:rFonts w:ascii="Gellix" w:hAnsi="Gellix"/>
          <w:sz w:val="21"/>
          <w:szCs w:val="21"/>
          <w:lang w:val="en-US"/>
        </w:rPr>
        <w:t>create barriers to trade</w:t>
      </w:r>
      <w:r w:rsidR="00BB3555">
        <w:rPr>
          <w:rFonts w:ascii="Gellix" w:hAnsi="Gellix"/>
          <w:sz w:val="21"/>
          <w:szCs w:val="21"/>
          <w:lang w:val="en-US"/>
        </w:rPr>
        <w:t xml:space="preserve"> and disrupt supply chains</w:t>
      </w:r>
      <w:r w:rsidR="002961AB" w:rsidRPr="00686052">
        <w:rPr>
          <w:rFonts w:ascii="Gellix" w:hAnsi="Gellix"/>
          <w:sz w:val="21"/>
          <w:szCs w:val="21"/>
          <w:lang w:val="en-US"/>
        </w:rPr>
        <w:t xml:space="preserve">.  Key issues </w:t>
      </w:r>
      <w:r w:rsidR="008B29C0">
        <w:rPr>
          <w:rFonts w:ascii="Gellix" w:hAnsi="Gellix"/>
          <w:sz w:val="21"/>
          <w:szCs w:val="21"/>
          <w:lang w:val="en-US"/>
        </w:rPr>
        <w:t xml:space="preserve">-- </w:t>
      </w:r>
      <w:r w:rsidR="004E7170">
        <w:rPr>
          <w:rFonts w:ascii="Gellix" w:hAnsi="Gellix"/>
          <w:sz w:val="21"/>
          <w:szCs w:val="21"/>
          <w:lang w:val="en-US"/>
        </w:rPr>
        <w:t xml:space="preserve">ranging from </w:t>
      </w:r>
      <w:r w:rsidR="002961AB" w:rsidRPr="00686052">
        <w:rPr>
          <w:rFonts w:ascii="Gellix" w:hAnsi="Gellix"/>
          <w:sz w:val="21"/>
          <w:szCs w:val="21"/>
          <w:lang w:val="en-US"/>
        </w:rPr>
        <w:t xml:space="preserve">data </w:t>
      </w:r>
      <w:proofErr w:type="spellStart"/>
      <w:r w:rsidR="002961AB" w:rsidRPr="00686052">
        <w:rPr>
          <w:rFonts w:ascii="Gellix" w:hAnsi="Gellix"/>
          <w:sz w:val="21"/>
          <w:szCs w:val="21"/>
          <w:lang w:val="en-US"/>
        </w:rPr>
        <w:t>locali</w:t>
      </w:r>
      <w:r w:rsidR="00AE659F">
        <w:rPr>
          <w:rFonts w:ascii="Gellix" w:hAnsi="Gellix"/>
          <w:sz w:val="21"/>
          <w:szCs w:val="21"/>
          <w:lang w:val="en-US"/>
        </w:rPr>
        <w:t>s</w:t>
      </w:r>
      <w:r w:rsidR="002961AB" w:rsidRPr="00686052">
        <w:rPr>
          <w:rFonts w:ascii="Gellix" w:hAnsi="Gellix"/>
          <w:sz w:val="21"/>
          <w:szCs w:val="21"/>
          <w:lang w:val="en-US"/>
        </w:rPr>
        <w:t>ation</w:t>
      </w:r>
      <w:proofErr w:type="spellEnd"/>
      <w:r w:rsidR="002961AB" w:rsidRPr="00686052">
        <w:rPr>
          <w:rFonts w:ascii="Gellix" w:hAnsi="Gellix"/>
          <w:sz w:val="21"/>
          <w:szCs w:val="21"/>
          <w:lang w:val="en-US"/>
        </w:rPr>
        <w:t xml:space="preserve"> requirements</w:t>
      </w:r>
      <w:r w:rsidR="004E7170">
        <w:rPr>
          <w:rFonts w:ascii="Gellix" w:hAnsi="Gellix"/>
          <w:sz w:val="21"/>
          <w:szCs w:val="21"/>
          <w:lang w:val="en-US"/>
        </w:rPr>
        <w:t xml:space="preserve"> to </w:t>
      </w:r>
      <w:r w:rsidR="002961AB" w:rsidRPr="00686052">
        <w:rPr>
          <w:rFonts w:ascii="Gellix" w:hAnsi="Gellix"/>
          <w:sz w:val="21"/>
          <w:szCs w:val="21"/>
          <w:lang w:val="en-US"/>
        </w:rPr>
        <w:t>varying data protection laws</w:t>
      </w:r>
      <w:r w:rsidR="00C92247">
        <w:rPr>
          <w:rFonts w:ascii="Gellix" w:hAnsi="Gellix"/>
          <w:sz w:val="21"/>
          <w:szCs w:val="21"/>
          <w:lang w:val="en-US"/>
        </w:rPr>
        <w:t xml:space="preserve"> and</w:t>
      </w:r>
      <w:r w:rsidR="002961AB" w:rsidRPr="00686052">
        <w:rPr>
          <w:rFonts w:ascii="Gellix" w:hAnsi="Gellix"/>
          <w:sz w:val="21"/>
          <w:szCs w:val="21"/>
          <w:lang w:val="en-US"/>
        </w:rPr>
        <w:t xml:space="preserve"> cybersecurity</w:t>
      </w:r>
      <w:r w:rsidR="00C92247">
        <w:rPr>
          <w:rFonts w:ascii="Gellix" w:hAnsi="Gellix"/>
          <w:sz w:val="21"/>
          <w:szCs w:val="21"/>
          <w:lang w:val="en-US"/>
        </w:rPr>
        <w:t xml:space="preserve"> rules - </w:t>
      </w:r>
      <w:r w:rsidR="008A011F">
        <w:rPr>
          <w:rFonts w:ascii="Gellix" w:hAnsi="Gellix"/>
          <w:sz w:val="21"/>
          <w:szCs w:val="21"/>
          <w:lang w:val="en-US"/>
        </w:rPr>
        <w:t xml:space="preserve"> pose costly compliance issues</w:t>
      </w:r>
      <w:r w:rsidR="002961AB" w:rsidRPr="00686052">
        <w:rPr>
          <w:rFonts w:ascii="Gellix" w:hAnsi="Gellix"/>
          <w:sz w:val="21"/>
          <w:szCs w:val="21"/>
          <w:lang w:val="en-US"/>
        </w:rPr>
        <w:t xml:space="preserve">. </w:t>
      </w:r>
      <w:r w:rsidR="00E05429">
        <w:rPr>
          <w:rFonts w:ascii="Gellix" w:hAnsi="Gellix"/>
          <w:sz w:val="21"/>
          <w:szCs w:val="21"/>
          <w:lang w:val="en-US"/>
        </w:rPr>
        <w:t xml:space="preserve">According to the OECD, </w:t>
      </w:r>
      <w:r w:rsidR="00083FE9" w:rsidRPr="00083FE9">
        <w:rPr>
          <w:rFonts w:ascii="Gellix" w:hAnsi="Gellix"/>
          <w:sz w:val="21"/>
          <w:szCs w:val="21"/>
          <w:lang w:val="en-GB"/>
        </w:rPr>
        <w:t>data autarky</w:t>
      </w:r>
      <w:r w:rsidR="00997D25">
        <w:rPr>
          <w:rFonts w:ascii="Gellix" w:hAnsi="Gellix"/>
          <w:sz w:val="21"/>
          <w:szCs w:val="21"/>
          <w:lang w:val="en-GB"/>
        </w:rPr>
        <w:t xml:space="preserve"> - </w:t>
      </w:r>
      <w:r w:rsidR="00083FE9" w:rsidRPr="00083FE9">
        <w:rPr>
          <w:rFonts w:ascii="Gellix" w:hAnsi="Gellix"/>
          <w:sz w:val="21"/>
          <w:szCs w:val="21"/>
          <w:lang w:val="en-GB"/>
        </w:rPr>
        <w:t xml:space="preserve">or </w:t>
      </w:r>
      <w:r w:rsidR="00083FE9" w:rsidRPr="000A060F">
        <w:rPr>
          <w:rFonts w:ascii="Gellix" w:hAnsi="Gellix"/>
          <w:sz w:val="21"/>
          <w:szCs w:val="21"/>
          <w:lang w:val="en-GB"/>
        </w:rPr>
        <w:t>full fragmentation</w:t>
      </w:r>
      <w:r w:rsidR="00083FE9" w:rsidRPr="00083FE9">
        <w:rPr>
          <w:rFonts w:ascii="Gellix" w:hAnsi="Gellix"/>
          <w:sz w:val="21"/>
          <w:szCs w:val="21"/>
          <w:lang w:val="en-GB"/>
        </w:rPr>
        <w:t xml:space="preserve">, where all economies fully restrict their data flows </w:t>
      </w:r>
      <w:r w:rsidR="003D421A">
        <w:rPr>
          <w:rFonts w:ascii="Gellix" w:hAnsi="Gellix"/>
          <w:sz w:val="21"/>
          <w:szCs w:val="21"/>
          <w:lang w:val="en-GB"/>
        </w:rPr>
        <w:t xml:space="preserve">-- </w:t>
      </w:r>
      <w:r w:rsidR="00F72C61">
        <w:rPr>
          <w:rFonts w:ascii="Gellix" w:hAnsi="Gellix"/>
          <w:sz w:val="21"/>
          <w:szCs w:val="21"/>
          <w:lang w:val="en-GB"/>
        </w:rPr>
        <w:t>c</w:t>
      </w:r>
      <w:r w:rsidR="00E05429" w:rsidRPr="00997B2C">
        <w:rPr>
          <w:rFonts w:ascii="Gellix" w:hAnsi="Gellix"/>
          <w:sz w:val="21"/>
          <w:szCs w:val="21"/>
          <w:lang w:val="en-GB"/>
        </w:rPr>
        <w:t xml:space="preserve">ould </w:t>
      </w:r>
      <w:r w:rsidR="00B46CC4">
        <w:rPr>
          <w:rFonts w:ascii="Gellix" w:hAnsi="Gellix"/>
          <w:sz w:val="21"/>
          <w:szCs w:val="21"/>
          <w:lang w:val="en-GB"/>
        </w:rPr>
        <w:t xml:space="preserve">reduce </w:t>
      </w:r>
      <w:r w:rsidR="00E05429" w:rsidRPr="00997B2C">
        <w:rPr>
          <w:rFonts w:ascii="Gellix" w:hAnsi="Gellix"/>
          <w:sz w:val="21"/>
          <w:szCs w:val="21"/>
          <w:lang w:val="en-GB"/>
        </w:rPr>
        <w:t xml:space="preserve">global GDP </w:t>
      </w:r>
      <w:r w:rsidR="00B46CC4">
        <w:rPr>
          <w:rFonts w:ascii="Gellix" w:hAnsi="Gellix"/>
          <w:sz w:val="21"/>
          <w:szCs w:val="21"/>
          <w:lang w:val="en-GB"/>
        </w:rPr>
        <w:t xml:space="preserve">by </w:t>
      </w:r>
      <w:r w:rsidR="00E05429" w:rsidRPr="00997B2C">
        <w:rPr>
          <w:rFonts w:ascii="Gellix" w:hAnsi="Gellix"/>
          <w:sz w:val="21"/>
          <w:szCs w:val="21"/>
          <w:lang w:val="en-GB"/>
        </w:rPr>
        <w:t xml:space="preserve">4.5% and </w:t>
      </w:r>
      <w:r w:rsidR="00B46CC4">
        <w:rPr>
          <w:rFonts w:ascii="Gellix" w:hAnsi="Gellix"/>
          <w:sz w:val="21"/>
          <w:szCs w:val="21"/>
          <w:lang w:val="en-GB"/>
        </w:rPr>
        <w:t xml:space="preserve">cut </w:t>
      </w:r>
      <w:r w:rsidR="00E05429" w:rsidRPr="00997B2C">
        <w:rPr>
          <w:rFonts w:ascii="Gellix" w:hAnsi="Gellix"/>
          <w:sz w:val="21"/>
          <w:szCs w:val="21"/>
          <w:lang w:val="en-GB"/>
        </w:rPr>
        <w:t xml:space="preserve">exports </w:t>
      </w:r>
      <w:r w:rsidR="00B46CC4">
        <w:rPr>
          <w:rFonts w:ascii="Gellix" w:hAnsi="Gellix"/>
          <w:sz w:val="21"/>
          <w:szCs w:val="21"/>
          <w:lang w:val="en-GB"/>
        </w:rPr>
        <w:t xml:space="preserve">by </w:t>
      </w:r>
      <w:r w:rsidR="00E05429" w:rsidRPr="00997B2C">
        <w:rPr>
          <w:rFonts w:ascii="Gellix" w:hAnsi="Gellix"/>
          <w:sz w:val="21"/>
          <w:szCs w:val="21"/>
          <w:lang w:val="en-GB"/>
        </w:rPr>
        <w:t>8.5%</w:t>
      </w:r>
      <w:r w:rsidR="00E05429">
        <w:rPr>
          <w:rStyle w:val="FootnoteReference"/>
          <w:rFonts w:ascii="Gellix" w:hAnsi="Gellix"/>
          <w:sz w:val="21"/>
          <w:szCs w:val="21"/>
          <w:lang w:val="en-GB"/>
        </w:rPr>
        <w:footnoteReference w:id="3"/>
      </w:r>
      <w:r w:rsidR="00E05429" w:rsidRPr="00997B2C">
        <w:rPr>
          <w:rFonts w:ascii="Gellix" w:hAnsi="Gellix"/>
          <w:sz w:val="21"/>
          <w:szCs w:val="21"/>
          <w:lang w:val="en-GB"/>
        </w:rPr>
        <w:t>.</w:t>
      </w:r>
    </w:p>
    <w:p w14:paraId="33D38FA9" w14:textId="4DA39997" w:rsidR="00CF1390" w:rsidRDefault="009242AB" w:rsidP="005F1F3D">
      <w:pPr>
        <w:spacing w:after="120"/>
        <w:rPr>
          <w:rFonts w:ascii="Gellix" w:hAnsi="Gellix"/>
          <w:sz w:val="21"/>
          <w:szCs w:val="21"/>
          <w:lang w:val="en-GB"/>
        </w:rPr>
      </w:pPr>
      <w:r w:rsidRPr="00686052">
        <w:rPr>
          <w:rFonts w:ascii="Gellix" w:hAnsi="Gellix"/>
          <w:sz w:val="21"/>
          <w:szCs w:val="21"/>
          <w:lang w:val="en-US"/>
        </w:rPr>
        <w:t xml:space="preserve">Such </w:t>
      </w:r>
      <w:r w:rsidRPr="009242AB">
        <w:rPr>
          <w:rFonts w:ascii="Gellix" w:hAnsi="Gellix"/>
          <w:sz w:val="21"/>
          <w:szCs w:val="21"/>
          <w:lang w:val="en-US"/>
        </w:rPr>
        <w:t>r</w:t>
      </w:r>
      <w:r w:rsidR="002961AB" w:rsidRPr="00686052">
        <w:rPr>
          <w:rFonts w:ascii="Gellix" w:hAnsi="Gellix"/>
          <w:sz w:val="21"/>
          <w:szCs w:val="21"/>
          <w:lang w:val="en-US"/>
        </w:rPr>
        <w:t xml:space="preserve">estrictive </w:t>
      </w:r>
      <w:r w:rsidR="000E4EBC">
        <w:rPr>
          <w:rFonts w:ascii="Gellix" w:hAnsi="Gellix"/>
          <w:sz w:val="21"/>
          <w:szCs w:val="21"/>
          <w:lang w:val="en-US"/>
        </w:rPr>
        <w:t xml:space="preserve">and </w:t>
      </w:r>
      <w:r w:rsidR="002961AB" w:rsidRPr="00686052">
        <w:rPr>
          <w:rFonts w:ascii="Gellix" w:hAnsi="Gellix"/>
          <w:sz w:val="21"/>
          <w:szCs w:val="21"/>
          <w:lang w:val="en-US"/>
        </w:rPr>
        <w:t xml:space="preserve">fragmented data policies </w:t>
      </w:r>
      <w:r w:rsidR="005144FC">
        <w:rPr>
          <w:rFonts w:ascii="Gellix" w:hAnsi="Gellix"/>
          <w:sz w:val="21"/>
          <w:szCs w:val="21"/>
          <w:lang w:val="en-US"/>
        </w:rPr>
        <w:t xml:space="preserve">are </w:t>
      </w:r>
      <w:r w:rsidR="0083430A">
        <w:rPr>
          <w:rFonts w:ascii="Gellix" w:hAnsi="Gellix"/>
          <w:sz w:val="21"/>
          <w:szCs w:val="21"/>
          <w:lang w:val="en-US"/>
        </w:rPr>
        <w:t xml:space="preserve">driving up </w:t>
      </w:r>
      <w:r w:rsidR="002961AB" w:rsidRPr="00686052">
        <w:rPr>
          <w:rFonts w:ascii="Gellix" w:hAnsi="Gellix"/>
          <w:sz w:val="21"/>
          <w:szCs w:val="21"/>
          <w:lang w:val="en-US"/>
        </w:rPr>
        <w:t xml:space="preserve">costs, </w:t>
      </w:r>
      <w:r w:rsidR="001722E7">
        <w:rPr>
          <w:rFonts w:ascii="Gellix" w:hAnsi="Gellix"/>
          <w:sz w:val="21"/>
          <w:szCs w:val="21"/>
          <w:lang w:val="en-US"/>
        </w:rPr>
        <w:t xml:space="preserve">creating </w:t>
      </w:r>
      <w:r w:rsidR="002961AB" w:rsidRPr="00686052">
        <w:rPr>
          <w:rFonts w:ascii="Gellix" w:hAnsi="Gellix"/>
          <w:sz w:val="21"/>
          <w:szCs w:val="21"/>
          <w:lang w:val="en-US"/>
        </w:rPr>
        <w:t xml:space="preserve">inefficiencies, and </w:t>
      </w:r>
      <w:r w:rsidR="001722E7">
        <w:rPr>
          <w:rFonts w:ascii="Gellix" w:hAnsi="Gellix"/>
          <w:sz w:val="21"/>
          <w:szCs w:val="21"/>
          <w:lang w:val="en-US"/>
        </w:rPr>
        <w:t xml:space="preserve">limiting </w:t>
      </w:r>
      <w:r w:rsidR="002961AB" w:rsidRPr="00686052">
        <w:rPr>
          <w:rFonts w:ascii="Gellix" w:hAnsi="Gellix"/>
          <w:sz w:val="21"/>
          <w:szCs w:val="21"/>
          <w:lang w:val="en-US"/>
        </w:rPr>
        <w:t xml:space="preserve">business opportunities, </w:t>
      </w:r>
      <w:r w:rsidR="00F337ED">
        <w:rPr>
          <w:rFonts w:ascii="Gellix" w:hAnsi="Gellix"/>
          <w:sz w:val="21"/>
          <w:szCs w:val="21"/>
          <w:lang w:val="en-US"/>
        </w:rPr>
        <w:t xml:space="preserve">undermining </w:t>
      </w:r>
      <w:r w:rsidR="002961AB" w:rsidRPr="00686052">
        <w:rPr>
          <w:rFonts w:ascii="Gellix" w:hAnsi="Gellix"/>
          <w:sz w:val="21"/>
          <w:szCs w:val="21"/>
          <w:lang w:val="en-GB"/>
        </w:rPr>
        <w:t xml:space="preserve">companies’ ability to </w:t>
      </w:r>
      <w:r w:rsidRPr="00686052">
        <w:rPr>
          <w:rFonts w:ascii="Gellix" w:hAnsi="Gellix"/>
          <w:sz w:val="21"/>
          <w:szCs w:val="21"/>
          <w:lang w:val="en-GB"/>
        </w:rPr>
        <w:t>optimi</w:t>
      </w:r>
      <w:r>
        <w:rPr>
          <w:rFonts w:ascii="Gellix" w:hAnsi="Gellix"/>
          <w:sz w:val="21"/>
          <w:szCs w:val="21"/>
          <w:lang w:val="en-GB"/>
        </w:rPr>
        <w:t>s</w:t>
      </w:r>
      <w:r w:rsidRPr="00686052">
        <w:rPr>
          <w:rFonts w:ascii="Gellix" w:hAnsi="Gellix"/>
          <w:sz w:val="21"/>
          <w:szCs w:val="21"/>
          <w:lang w:val="en-GB"/>
        </w:rPr>
        <w:t xml:space="preserve">e </w:t>
      </w:r>
      <w:r w:rsidR="002961AB" w:rsidRPr="00686052">
        <w:rPr>
          <w:rFonts w:ascii="Gellix" w:hAnsi="Gellix"/>
          <w:sz w:val="21"/>
          <w:szCs w:val="21"/>
          <w:lang w:val="en-GB"/>
        </w:rPr>
        <w:t>supply chain</w:t>
      </w:r>
      <w:r w:rsidR="00F337ED">
        <w:rPr>
          <w:rFonts w:ascii="Gellix" w:hAnsi="Gellix"/>
          <w:sz w:val="21"/>
          <w:szCs w:val="21"/>
          <w:lang w:val="en-GB"/>
        </w:rPr>
        <w:t xml:space="preserve"> operations, remain competitive and scale internationally. </w:t>
      </w:r>
      <w:r w:rsidR="002961AB" w:rsidRPr="00686052">
        <w:rPr>
          <w:rFonts w:ascii="Gellix" w:hAnsi="Gellix"/>
          <w:sz w:val="21"/>
          <w:szCs w:val="21"/>
          <w:lang w:val="en-GB"/>
        </w:rPr>
        <w:t xml:space="preserve"> </w:t>
      </w:r>
      <w:r w:rsidR="00541C93">
        <w:rPr>
          <w:rFonts w:ascii="Gellix" w:hAnsi="Gellix"/>
          <w:sz w:val="21"/>
          <w:szCs w:val="21"/>
          <w:lang w:val="en-GB"/>
        </w:rPr>
        <w:t xml:space="preserve">Acting </w:t>
      </w:r>
      <w:r w:rsidR="002961AB" w:rsidRPr="00686052">
        <w:rPr>
          <w:rFonts w:ascii="Gellix" w:hAnsi="Gellix"/>
          <w:sz w:val="21"/>
          <w:szCs w:val="21"/>
          <w:lang w:val="en-GB"/>
        </w:rPr>
        <w:t xml:space="preserve">as non-tariff barriers, </w:t>
      </w:r>
      <w:r w:rsidR="00531C16">
        <w:rPr>
          <w:rFonts w:ascii="Gellix" w:hAnsi="Gellix"/>
          <w:sz w:val="21"/>
          <w:szCs w:val="21"/>
          <w:lang w:val="en-GB"/>
        </w:rPr>
        <w:t xml:space="preserve">they </w:t>
      </w:r>
      <w:r w:rsidR="002961AB" w:rsidRPr="00686052">
        <w:rPr>
          <w:rFonts w:ascii="Gellix" w:hAnsi="Gellix"/>
          <w:sz w:val="21"/>
          <w:szCs w:val="21"/>
          <w:lang w:val="en-GB"/>
        </w:rPr>
        <w:t>reduc</w:t>
      </w:r>
      <w:r w:rsidR="00531C16">
        <w:rPr>
          <w:rFonts w:ascii="Gellix" w:hAnsi="Gellix"/>
          <w:sz w:val="21"/>
          <w:szCs w:val="21"/>
          <w:lang w:val="en-GB"/>
        </w:rPr>
        <w:t xml:space="preserve">e </w:t>
      </w:r>
      <w:r w:rsidR="002961AB" w:rsidRPr="00686052">
        <w:rPr>
          <w:rFonts w:ascii="Gellix" w:hAnsi="Gellix"/>
          <w:sz w:val="21"/>
          <w:szCs w:val="21"/>
          <w:lang w:val="en-GB"/>
        </w:rPr>
        <w:t xml:space="preserve">firms’ ability to expand into global markets and </w:t>
      </w:r>
      <w:proofErr w:type="spellStart"/>
      <w:r w:rsidR="00531C16">
        <w:rPr>
          <w:rFonts w:ascii="Gellix" w:hAnsi="Gellix"/>
          <w:sz w:val="21"/>
          <w:szCs w:val="21"/>
          <w:lang w:val="en-GB"/>
        </w:rPr>
        <w:t>sl</w:t>
      </w:r>
      <w:r w:rsidR="002961AB" w:rsidRPr="00686052">
        <w:rPr>
          <w:rFonts w:ascii="Gellix" w:hAnsi="Gellix"/>
          <w:sz w:val="21"/>
          <w:szCs w:val="21"/>
          <w:lang w:val="en-GB"/>
        </w:rPr>
        <w:t>the</w:t>
      </w:r>
      <w:proofErr w:type="spellEnd"/>
      <w:r w:rsidR="002961AB" w:rsidRPr="00686052">
        <w:rPr>
          <w:rFonts w:ascii="Gellix" w:hAnsi="Gellix"/>
          <w:sz w:val="21"/>
          <w:szCs w:val="21"/>
          <w:lang w:val="en-GB"/>
        </w:rPr>
        <w:t xml:space="preserve"> </w:t>
      </w:r>
      <w:r w:rsidR="00531C16">
        <w:rPr>
          <w:rFonts w:ascii="Gellix" w:hAnsi="Gellix"/>
          <w:sz w:val="21"/>
          <w:szCs w:val="21"/>
          <w:lang w:val="en-GB"/>
        </w:rPr>
        <w:t xml:space="preserve">ow </w:t>
      </w:r>
      <w:r w:rsidR="002961AB" w:rsidRPr="00686052">
        <w:rPr>
          <w:rFonts w:ascii="Gellix" w:hAnsi="Gellix"/>
          <w:sz w:val="21"/>
          <w:szCs w:val="21"/>
          <w:lang w:val="en-GB"/>
        </w:rPr>
        <w:t>growth of digital trade</w:t>
      </w:r>
      <w:r w:rsidR="000C1DB8">
        <w:rPr>
          <w:rFonts w:ascii="Gellix" w:hAnsi="Gellix"/>
          <w:sz w:val="21"/>
          <w:szCs w:val="21"/>
          <w:lang w:val="en-GB"/>
        </w:rPr>
        <w:t xml:space="preserve"> –</w:t>
      </w:r>
      <w:r w:rsidR="003B5EF1">
        <w:rPr>
          <w:rFonts w:ascii="Gellix" w:hAnsi="Gellix"/>
          <w:sz w:val="21"/>
          <w:szCs w:val="21"/>
          <w:lang w:val="en-GB"/>
        </w:rPr>
        <w:t xml:space="preserve">ultimately, </w:t>
      </w:r>
      <w:r w:rsidR="00B50F03">
        <w:rPr>
          <w:rFonts w:ascii="Gellix" w:hAnsi="Gellix"/>
          <w:sz w:val="21"/>
          <w:szCs w:val="21"/>
          <w:lang w:val="en-GB"/>
        </w:rPr>
        <w:t xml:space="preserve">weakening supply chain resilience. </w:t>
      </w:r>
    </w:p>
    <w:p w14:paraId="6BC0D411" w14:textId="6BA33FB8" w:rsidR="006A0EC5" w:rsidRDefault="000D5A86" w:rsidP="005F1F3D">
      <w:pPr>
        <w:spacing w:after="120"/>
        <w:rPr>
          <w:rFonts w:ascii="Gellix" w:hAnsi="Gellix"/>
          <w:sz w:val="21"/>
          <w:szCs w:val="21"/>
          <w:lang w:val="en-GB"/>
        </w:rPr>
      </w:pPr>
      <w:r w:rsidRPr="000D5A86">
        <w:rPr>
          <w:rFonts w:ascii="Gellix" w:hAnsi="Gellix"/>
          <w:sz w:val="21"/>
          <w:szCs w:val="21"/>
          <w:lang w:val="en-GB"/>
        </w:rPr>
        <w:lastRenderedPageBreak/>
        <w:t xml:space="preserve">This policy brief </w:t>
      </w:r>
      <w:r w:rsidR="00494F25">
        <w:rPr>
          <w:rFonts w:ascii="Gellix" w:hAnsi="Gellix"/>
          <w:sz w:val="21"/>
          <w:szCs w:val="21"/>
          <w:lang w:val="en-GB"/>
        </w:rPr>
        <w:t xml:space="preserve">examines </w:t>
      </w:r>
      <w:r w:rsidRPr="000D5A86">
        <w:rPr>
          <w:rFonts w:ascii="Gellix" w:hAnsi="Gellix"/>
          <w:sz w:val="21"/>
          <w:szCs w:val="21"/>
          <w:lang w:val="en-GB"/>
        </w:rPr>
        <w:t>the critical role of data flows in</w:t>
      </w:r>
      <w:r w:rsidR="002E313B">
        <w:rPr>
          <w:rFonts w:ascii="Gellix" w:hAnsi="Gellix"/>
          <w:sz w:val="21"/>
          <w:szCs w:val="21"/>
          <w:lang w:val="en-GB"/>
        </w:rPr>
        <w:t xml:space="preserve"> the functioning of</w:t>
      </w:r>
      <w:r w:rsidRPr="000D5A86">
        <w:rPr>
          <w:rFonts w:ascii="Gellix" w:hAnsi="Gellix"/>
          <w:sz w:val="21"/>
          <w:szCs w:val="21"/>
          <w:lang w:val="en-GB"/>
        </w:rPr>
        <w:t xml:space="preserve"> global supply chains</w:t>
      </w:r>
      <w:r w:rsidR="00404FE7">
        <w:rPr>
          <w:rFonts w:ascii="Gellix" w:hAnsi="Gellix"/>
          <w:sz w:val="21"/>
          <w:szCs w:val="21"/>
          <w:lang w:val="en-GB"/>
        </w:rPr>
        <w:t xml:space="preserve"> </w:t>
      </w:r>
      <w:r w:rsidR="00905BA8">
        <w:rPr>
          <w:rFonts w:ascii="Gellix" w:hAnsi="Gellix"/>
          <w:sz w:val="21"/>
          <w:szCs w:val="21"/>
          <w:lang w:val="en-GB"/>
        </w:rPr>
        <w:t xml:space="preserve">and the </w:t>
      </w:r>
      <w:r w:rsidR="005F1F3D" w:rsidRPr="00686052">
        <w:rPr>
          <w:rFonts w:ascii="Gellix" w:hAnsi="Gellix"/>
          <w:sz w:val="21"/>
          <w:szCs w:val="21"/>
          <w:lang w:val="en-GB"/>
        </w:rPr>
        <w:t xml:space="preserve">adverse </w:t>
      </w:r>
      <w:r w:rsidR="00905BA8">
        <w:rPr>
          <w:rFonts w:ascii="Gellix" w:hAnsi="Gellix"/>
          <w:sz w:val="21"/>
          <w:szCs w:val="21"/>
          <w:lang w:val="en-GB"/>
        </w:rPr>
        <w:t xml:space="preserve">impacts </w:t>
      </w:r>
      <w:r w:rsidR="005F1F3D" w:rsidRPr="00686052">
        <w:rPr>
          <w:rFonts w:ascii="Gellix" w:hAnsi="Gellix"/>
          <w:sz w:val="21"/>
          <w:szCs w:val="21"/>
          <w:lang w:val="en-GB"/>
        </w:rPr>
        <w:t>of restrictive data policies on trade</w:t>
      </w:r>
      <w:r w:rsidR="000868B4">
        <w:rPr>
          <w:rFonts w:ascii="Gellix" w:hAnsi="Gellix"/>
          <w:sz w:val="21"/>
          <w:szCs w:val="21"/>
          <w:lang w:val="en-GB"/>
        </w:rPr>
        <w:t xml:space="preserve">. It </w:t>
      </w:r>
      <w:r w:rsidR="005F1F3D" w:rsidRPr="00686052">
        <w:rPr>
          <w:rFonts w:ascii="Gellix" w:hAnsi="Gellix"/>
          <w:sz w:val="21"/>
          <w:szCs w:val="21"/>
          <w:lang w:val="en-GB"/>
        </w:rPr>
        <w:t>provide</w:t>
      </w:r>
      <w:r w:rsidR="000B5D7F">
        <w:rPr>
          <w:rFonts w:ascii="Gellix" w:hAnsi="Gellix"/>
          <w:sz w:val="21"/>
          <w:szCs w:val="21"/>
          <w:lang w:val="en-GB"/>
        </w:rPr>
        <w:t>s</w:t>
      </w:r>
      <w:r w:rsidR="005F1F3D" w:rsidRPr="00686052">
        <w:rPr>
          <w:rFonts w:ascii="Gellix" w:hAnsi="Gellix"/>
          <w:sz w:val="21"/>
          <w:szCs w:val="21"/>
          <w:lang w:val="en-GB"/>
        </w:rPr>
        <w:t xml:space="preserve"> recommendations for fostering trade policies that allow secure and trusted cross-border data flows</w:t>
      </w:r>
      <w:r w:rsidR="00C861AB">
        <w:rPr>
          <w:rFonts w:ascii="Gellix" w:hAnsi="Gellix"/>
          <w:sz w:val="21"/>
          <w:szCs w:val="21"/>
          <w:lang w:val="en-GB"/>
        </w:rPr>
        <w:t>.</w:t>
      </w:r>
      <w:r w:rsidR="00D06093" w:rsidRPr="00D06093">
        <w:rPr>
          <w:lang w:val="en-GB"/>
        </w:rPr>
        <w:t xml:space="preserve"> </w:t>
      </w:r>
      <w:r w:rsidR="008A731D">
        <w:rPr>
          <w:rFonts w:ascii="Gellix" w:hAnsi="Gellix"/>
          <w:sz w:val="21"/>
          <w:szCs w:val="21"/>
          <w:lang w:val="en-GB"/>
        </w:rPr>
        <w:t xml:space="preserve">Without </w:t>
      </w:r>
      <w:r w:rsidR="001843DE">
        <w:rPr>
          <w:rFonts w:ascii="Gellix" w:hAnsi="Gellix"/>
          <w:sz w:val="21"/>
          <w:szCs w:val="21"/>
          <w:lang w:val="en-GB"/>
        </w:rPr>
        <w:t xml:space="preserve">them </w:t>
      </w:r>
      <w:r w:rsidR="00D06093" w:rsidRPr="00D06093">
        <w:rPr>
          <w:rFonts w:ascii="Gellix" w:hAnsi="Gellix"/>
          <w:sz w:val="21"/>
          <w:szCs w:val="21"/>
          <w:lang w:val="en-GB"/>
        </w:rPr>
        <w:t>, supply chains cannot operate efficiently or at scale.</w:t>
      </w:r>
      <w:r w:rsidR="008A731D">
        <w:rPr>
          <w:rFonts w:ascii="Gellix" w:hAnsi="Gellix"/>
          <w:sz w:val="21"/>
          <w:szCs w:val="21"/>
          <w:lang w:val="en-GB"/>
        </w:rPr>
        <w:t xml:space="preserve"> In</w:t>
      </w:r>
      <w:r w:rsidR="005752A1">
        <w:rPr>
          <w:rFonts w:ascii="Gellix" w:hAnsi="Gellix"/>
          <w:sz w:val="21"/>
          <w:szCs w:val="21"/>
          <w:lang w:val="en-GB"/>
        </w:rPr>
        <w:t xml:space="preserve"> short</w:t>
      </w:r>
      <w:r w:rsidR="008A731D">
        <w:rPr>
          <w:rFonts w:ascii="Gellix" w:hAnsi="Gellix"/>
          <w:sz w:val="21"/>
          <w:szCs w:val="21"/>
          <w:lang w:val="en-GB"/>
        </w:rPr>
        <w:t xml:space="preserve">, </w:t>
      </w:r>
      <w:r w:rsidR="00F10CC8">
        <w:rPr>
          <w:rFonts w:ascii="Gellix" w:hAnsi="Gellix"/>
          <w:sz w:val="21"/>
          <w:szCs w:val="21"/>
          <w:lang w:val="en-GB"/>
        </w:rPr>
        <w:t>moving data across borders is as essential to supply chains as the movement of goods and services – it</w:t>
      </w:r>
      <w:r w:rsidR="00AB6A1F">
        <w:rPr>
          <w:rFonts w:ascii="Gellix" w:hAnsi="Gellix"/>
          <w:sz w:val="21"/>
          <w:szCs w:val="21"/>
          <w:lang w:val="en-GB"/>
        </w:rPr>
        <w:t xml:space="preserve"> is</w:t>
      </w:r>
      <w:r w:rsidR="00F10CC8">
        <w:rPr>
          <w:rFonts w:ascii="Gellix" w:hAnsi="Gellix"/>
          <w:sz w:val="21"/>
          <w:szCs w:val="21"/>
          <w:lang w:val="en-GB"/>
        </w:rPr>
        <w:t>a supply chain imperative.</w:t>
      </w:r>
    </w:p>
    <w:p w14:paraId="4DF1D19E" w14:textId="03D0FB7B" w:rsidR="00C43C0E" w:rsidRDefault="001E26FF" w:rsidP="00C43C0E">
      <w:pPr>
        <w:jc w:val="center"/>
        <w:rPr>
          <w:rFonts w:ascii="Gellix" w:hAnsi="Gellix"/>
          <w:sz w:val="21"/>
          <w:szCs w:val="21"/>
          <w:lang w:val="en-GB"/>
        </w:rPr>
      </w:pPr>
      <w:r w:rsidRPr="001E26FF">
        <w:rPr>
          <w:rFonts w:ascii="Gellix" w:hAnsi="Gellix"/>
          <w:sz w:val="21"/>
          <w:szCs w:val="21"/>
          <w:lang w:val="en-GB"/>
        </w:rPr>
        <w:drawing>
          <wp:inline distT="0" distB="0" distL="0" distR="0" wp14:anchorId="034C5D87" wp14:editId="1F6C2CDB">
            <wp:extent cx="5943600" cy="6724015"/>
            <wp:effectExtent l="0" t="0" r="0" b="635"/>
            <wp:docPr id="94497313" name="Picture 1" descr="A diagram of a coffee supply ch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7313" name="Picture 1" descr="A diagram of a coffee supply chain&#10;&#10;AI-generated content may be incorrect."/>
                    <pic:cNvPicPr/>
                  </pic:nvPicPr>
                  <pic:blipFill>
                    <a:blip r:embed="rId11"/>
                    <a:stretch>
                      <a:fillRect/>
                    </a:stretch>
                  </pic:blipFill>
                  <pic:spPr>
                    <a:xfrm>
                      <a:off x="0" y="0"/>
                      <a:ext cx="5943600" cy="6724015"/>
                    </a:xfrm>
                    <a:prstGeom prst="rect">
                      <a:avLst/>
                    </a:prstGeom>
                  </pic:spPr>
                </pic:pic>
              </a:graphicData>
            </a:graphic>
          </wp:inline>
        </w:drawing>
      </w:r>
    </w:p>
    <w:p w14:paraId="1E2D682B" w14:textId="5D3A7430" w:rsidR="006A0EC5" w:rsidRPr="009A3850" w:rsidRDefault="006A0EC5" w:rsidP="006A0EC5">
      <w:pPr>
        <w:rPr>
          <w:rFonts w:ascii="Gellix" w:hAnsi="Gellix"/>
          <w:sz w:val="21"/>
          <w:szCs w:val="21"/>
          <w:lang w:val="en-GB"/>
        </w:rPr>
      </w:pPr>
      <w:r>
        <w:rPr>
          <w:rFonts w:ascii="Gellix" w:hAnsi="Gellix"/>
          <w:b/>
          <w:bCs/>
          <w:sz w:val="21"/>
          <w:szCs w:val="21"/>
          <w:lang w:val="en-GB"/>
        </w:rPr>
        <w:lastRenderedPageBreak/>
        <w:t xml:space="preserve">Diagram </w:t>
      </w:r>
      <w:r w:rsidRPr="009A3850">
        <w:rPr>
          <w:rFonts w:ascii="Gellix" w:hAnsi="Gellix"/>
          <w:b/>
          <w:bCs/>
          <w:sz w:val="21"/>
          <w:szCs w:val="21"/>
          <w:lang w:val="en-GB"/>
        </w:rPr>
        <w:t xml:space="preserve">1:  Data Flows in </w:t>
      </w:r>
      <w:r w:rsidR="008737CB">
        <w:rPr>
          <w:rFonts w:ascii="Gellix" w:hAnsi="Gellix"/>
          <w:b/>
          <w:bCs/>
          <w:sz w:val="21"/>
          <w:szCs w:val="21"/>
          <w:lang w:val="en-GB"/>
        </w:rPr>
        <w:t xml:space="preserve">Coffee </w:t>
      </w:r>
      <w:r w:rsidRPr="009A3850">
        <w:rPr>
          <w:rFonts w:ascii="Gellix" w:hAnsi="Gellix"/>
          <w:b/>
          <w:bCs/>
          <w:sz w:val="21"/>
          <w:szCs w:val="21"/>
          <w:lang w:val="en-GB"/>
        </w:rPr>
        <w:t>Supply Chain</w:t>
      </w:r>
      <w:r w:rsidR="008737CB">
        <w:rPr>
          <w:rFonts w:ascii="Gellix" w:hAnsi="Gellix"/>
          <w:b/>
          <w:bCs/>
          <w:sz w:val="21"/>
          <w:szCs w:val="21"/>
          <w:lang w:val="en-GB"/>
        </w:rPr>
        <w:t xml:space="preserve"> </w:t>
      </w:r>
      <w:r w:rsidRPr="009A3850">
        <w:rPr>
          <w:rFonts w:ascii="Gellix" w:hAnsi="Gellix"/>
          <w:b/>
          <w:bCs/>
          <w:sz w:val="21"/>
          <w:szCs w:val="21"/>
          <w:lang w:val="en-GB"/>
        </w:rPr>
        <w:t xml:space="preserve"> – Key Stages, Data Types, and Business Interactions</w:t>
      </w:r>
    </w:p>
    <w:p w14:paraId="493AE73A" w14:textId="7EB4CFA7" w:rsidR="006A0EC5" w:rsidRPr="00686052" w:rsidRDefault="006A0EC5" w:rsidP="00686052">
      <w:pPr>
        <w:rPr>
          <w:rFonts w:ascii="Gellix" w:hAnsi="Gellix"/>
          <w:sz w:val="21"/>
          <w:szCs w:val="21"/>
          <w:lang w:val="en-GB"/>
        </w:rPr>
      </w:pPr>
      <w:r w:rsidRPr="00686052">
        <w:rPr>
          <w:rFonts w:ascii="Gellix" w:hAnsi="Gellix"/>
          <w:sz w:val="21"/>
          <w:szCs w:val="21"/>
          <w:lang w:val="en-GB"/>
        </w:rPr>
        <w:t>This diagram illustrate</w:t>
      </w:r>
      <w:r w:rsidR="00A84173">
        <w:rPr>
          <w:rFonts w:ascii="Gellix" w:hAnsi="Gellix"/>
          <w:sz w:val="21"/>
          <w:szCs w:val="21"/>
          <w:lang w:val="en-GB"/>
        </w:rPr>
        <w:t>s</w:t>
      </w:r>
      <w:r w:rsidRPr="00686052">
        <w:rPr>
          <w:rFonts w:ascii="Gellix" w:hAnsi="Gellix"/>
          <w:sz w:val="21"/>
          <w:szCs w:val="21"/>
          <w:lang w:val="en-GB"/>
        </w:rPr>
        <w:t xml:space="preserve"> how </w:t>
      </w:r>
      <w:r w:rsidR="008737CB">
        <w:rPr>
          <w:rFonts w:ascii="Gellix" w:hAnsi="Gellix"/>
          <w:sz w:val="21"/>
          <w:szCs w:val="21"/>
          <w:lang w:val="en-GB"/>
        </w:rPr>
        <w:t xml:space="preserve">cross-border </w:t>
      </w:r>
      <w:r w:rsidRPr="00686052">
        <w:rPr>
          <w:rFonts w:ascii="Gellix" w:hAnsi="Gellix"/>
          <w:sz w:val="21"/>
          <w:szCs w:val="21"/>
          <w:lang w:val="en-GB"/>
        </w:rPr>
        <w:t xml:space="preserve">data flows </w:t>
      </w:r>
      <w:r w:rsidR="006D52E1">
        <w:rPr>
          <w:rFonts w:ascii="Gellix" w:hAnsi="Gellix"/>
          <w:sz w:val="21"/>
          <w:szCs w:val="21"/>
          <w:lang w:val="en-GB"/>
        </w:rPr>
        <w:t xml:space="preserve">underpin each </w:t>
      </w:r>
      <w:r w:rsidRPr="00686052">
        <w:rPr>
          <w:rFonts w:ascii="Gellix" w:hAnsi="Gellix"/>
          <w:sz w:val="21"/>
          <w:szCs w:val="21"/>
          <w:lang w:val="en-GB"/>
        </w:rPr>
        <w:t>stage of the</w:t>
      </w:r>
      <w:r w:rsidR="00617216">
        <w:rPr>
          <w:rFonts w:ascii="Gellix" w:hAnsi="Gellix"/>
          <w:sz w:val="21"/>
          <w:szCs w:val="21"/>
          <w:lang w:val="en-GB"/>
        </w:rPr>
        <w:t xml:space="preserve"> coffee</w:t>
      </w:r>
      <w:r w:rsidRPr="00686052">
        <w:rPr>
          <w:rFonts w:ascii="Gellix" w:hAnsi="Gellix"/>
          <w:sz w:val="21"/>
          <w:szCs w:val="21"/>
          <w:lang w:val="en-GB"/>
        </w:rPr>
        <w:t xml:space="preserve"> supply chain</w:t>
      </w:r>
      <w:r w:rsidR="006D52E1">
        <w:rPr>
          <w:rFonts w:ascii="Gellix" w:hAnsi="Gellix"/>
          <w:sz w:val="21"/>
          <w:szCs w:val="21"/>
          <w:lang w:val="en-GB"/>
        </w:rPr>
        <w:t xml:space="preserve"> – from sourcing raw materials to delivering products to end consumers</w:t>
      </w:r>
      <w:r w:rsidR="00F30170">
        <w:rPr>
          <w:rFonts w:ascii="Gellix" w:hAnsi="Gellix"/>
          <w:sz w:val="21"/>
          <w:szCs w:val="21"/>
          <w:lang w:val="en-GB"/>
        </w:rPr>
        <w:t>. I</w:t>
      </w:r>
      <w:r w:rsidR="00F30170" w:rsidRPr="00F30170">
        <w:rPr>
          <w:rFonts w:ascii="Gellix" w:hAnsi="Gellix"/>
          <w:sz w:val="21"/>
          <w:szCs w:val="21"/>
          <w:lang w:val="en-GB"/>
        </w:rPr>
        <w:t>t highlights how both non-personal and personal data are used to coordinate production, manage logistics, and respond to consumer needs. Efficient data flows enable companies to optimi</w:t>
      </w:r>
      <w:r w:rsidR="00803C11">
        <w:rPr>
          <w:rFonts w:ascii="Gellix" w:hAnsi="Gellix"/>
          <w:sz w:val="21"/>
          <w:szCs w:val="21"/>
          <w:lang w:val="en-GB"/>
        </w:rPr>
        <w:t>s</w:t>
      </w:r>
      <w:r w:rsidR="00F30170" w:rsidRPr="00F30170">
        <w:rPr>
          <w:rFonts w:ascii="Gellix" w:hAnsi="Gellix"/>
          <w:sz w:val="21"/>
          <w:szCs w:val="21"/>
          <w:lang w:val="en-GB"/>
        </w:rPr>
        <w:t>e operations, reduce delays, and enhance customer satisfaction—making data a critical input for modern, resilient supply chains.</w:t>
      </w:r>
    </w:p>
    <w:p w14:paraId="3A08A98D" w14:textId="23FB33C6" w:rsidR="00242117" w:rsidRPr="00C10876" w:rsidRDefault="00B43932" w:rsidP="00242117">
      <w:pPr>
        <w:keepNext/>
        <w:keepLines/>
        <w:jc w:val="center"/>
        <w:rPr>
          <w:rFonts w:ascii="Gellix" w:hAnsi="Gellix"/>
          <w:b/>
          <w:bCs/>
          <w:sz w:val="21"/>
          <w:szCs w:val="21"/>
          <w:highlight w:val="yellow"/>
          <w:lang w:val="en-GB"/>
        </w:rPr>
      </w:pPr>
      <w:r w:rsidRPr="00C10876">
        <w:rPr>
          <w:rFonts w:ascii="Gellix" w:hAnsi="Gellix"/>
          <w:b/>
          <w:bCs/>
          <w:sz w:val="21"/>
          <w:szCs w:val="21"/>
          <w:highlight w:val="yellow"/>
          <w:lang w:val="en-GB"/>
        </w:rPr>
        <w:t>[VISUAL TO BE ADDED HERE</w:t>
      </w:r>
      <w:r w:rsidR="00B235A5">
        <w:rPr>
          <w:rFonts w:ascii="Gellix" w:hAnsi="Gellix"/>
          <w:b/>
          <w:bCs/>
          <w:sz w:val="21"/>
          <w:szCs w:val="21"/>
          <w:highlight w:val="yellow"/>
          <w:lang w:val="en-GB"/>
        </w:rPr>
        <w:t xml:space="preserve"> – COFFEE PRODUCTION EXAMPLE AND THE BARRIERS CAUSED BY DATA FLOW RESTRICTIONS ACROSS THE SUPPLY CHAIN LIFECYCLE</w:t>
      </w:r>
      <w:r w:rsidRPr="00C10876">
        <w:rPr>
          <w:rFonts w:ascii="Gellix" w:hAnsi="Gellix"/>
          <w:b/>
          <w:bCs/>
          <w:sz w:val="21"/>
          <w:szCs w:val="21"/>
          <w:highlight w:val="yellow"/>
          <w:lang w:val="en-GB"/>
        </w:rPr>
        <w:t>]</w:t>
      </w:r>
    </w:p>
    <w:p w14:paraId="56320E6E" w14:textId="3EF78DD3" w:rsidR="002961AB" w:rsidRPr="00C10876" w:rsidRDefault="002961AB" w:rsidP="000636F2">
      <w:pPr>
        <w:keepNext/>
        <w:keepLines/>
        <w:rPr>
          <w:rFonts w:ascii="Gellix" w:hAnsi="Gellix"/>
          <w:sz w:val="21"/>
          <w:szCs w:val="21"/>
          <w:highlight w:val="yellow"/>
          <w:lang w:val="en-US"/>
        </w:rPr>
      </w:pPr>
      <w:r w:rsidRPr="00C10876">
        <w:rPr>
          <w:rFonts w:ascii="Gellix" w:hAnsi="Gellix"/>
          <w:b/>
          <w:bCs/>
          <w:sz w:val="21"/>
          <w:szCs w:val="21"/>
          <w:highlight w:val="yellow"/>
          <w:lang w:val="en-GB"/>
        </w:rPr>
        <w:t>Diagram 2: Regulatory Barriers to Data Flows – Impact on Supply Chain</w:t>
      </w:r>
      <w:r w:rsidRPr="00C10876">
        <w:rPr>
          <w:rFonts w:ascii="Gellix" w:hAnsi="Gellix"/>
          <w:sz w:val="21"/>
          <w:szCs w:val="21"/>
          <w:highlight w:val="yellow"/>
          <w:lang w:val="en-GB"/>
        </w:rPr>
        <w:t xml:space="preserve"> </w:t>
      </w:r>
      <w:r w:rsidRPr="00C10876">
        <w:rPr>
          <w:rFonts w:ascii="Gellix" w:hAnsi="Gellix"/>
          <w:b/>
          <w:bCs/>
          <w:sz w:val="21"/>
          <w:szCs w:val="21"/>
          <w:highlight w:val="yellow"/>
          <w:lang w:val="en-GB"/>
        </w:rPr>
        <w:t>Connectivity</w:t>
      </w:r>
    </w:p>
    <w:p w14:paraId="6B8F1681" w14:textId="5A311940" w:rsidR="002961AB" w:rsidRDefault="002961AB" w:rsidP="00242117">
      <w:pPr>
        <w:keepNext/>
        <w:keepLines/>
        <w:rPr>
          <w:rFonts w:ascii="Gellix" w:hAnsi="Gellix"/>
          <w:sz w:val="21"/>
          <w:szCs w:val="21"/>
          <w:lang w:val="en-US"/>
        </w:rPr>
      </w:pPr>
      <w:r w:rsidRPr="00C10876">
        <w:rPr>
          <w:rFonts w:ascii="Gellix" w:hAnsi="Gellix"/>
          <w:sz w:val="21"/>
          <w:szCs w:val="21"/>
          <w:highlight w:val="yellow"/>
          <w:lang w:val="en-US"/>
        </w:rPr>
        <w:t>This diagram illustrate</w:t>
      </w:r>
      <w:r w:rsidR="00242117" w:rsidRPr="00C10876">
        <w:rPr>
          <w:rFonts w:ascii="Gellix" w:hAnsi="Gellix"/>
          <w:sz w:val="21"/>
          <w:szCs w:val="21"/>
          <w:highlight w:val="yellow"/>
          <w:lang w:val="en-US"/>
        </w:rPr>
        <w:t>s</w:t>
      </w:r>
      <w:r w:rsidRPr="00C10876">
        <w:rPr>
          <w:rFonts w:ascii="Gellix" w:hAnsi="Gellix"/>
          <w:b/>
          <w:bCs/>
          <w:sz w:val="21"/>
          <w:szCs w:val="21"/>
          <w:highlight w:val="yellow"/>
          <w:lang w:val="en-US"/>
        </w:rPr>
        <w:t xml:space="preserve"> </w:t>
      </w:r>
      <w:r w:rsidRPr="00C10876">
        <w:rPr>
          <w:rFonts w:ascii="Gellix" w:hAnsi="Gellix"/>
          <w:sz w:val="21"/>
          <w:szCs w:val="21"/>
          <w:highlight w:val="yellow"/>
          <w:lang w:val="en-US"/>
        </w:rPr>
        <w:t>how regulations hinder data flows and create a fragmented environment for businesses to operate in.</w:t>
      </w:r>
      <w:r w:rsidRPr="00686052">
        <w:rPr>
          <w:rFonts w:ascii="Gellix" w:hAnsi="Gellix"/>
          <w:sz w:val="21"/>
          <w:szCs w:val="21"/>
          <w:lang w:val="en-US"/>
        </w:rPr>
        <w:t xml:space="preserve"> </w:t>
      </w:r>
    </w:p>
    <w:p w14:paraId="0DA9BDA6" w14:textId="3454FEB7" w:rsidR="00331C23" w:rsidRPr="00686052" w:rsidRDefault="00331C23" w:rsidP="00686052">
      <w:pPr>
        <w:rPr>
          <w:rFonts w:ascii="Gellix" w:hAnsi="Gellix"/>
          <w:b/>
          <w:bCs/>
          <w:lang w:val="en-GB"/>
        </w:rPr>
      </w:pPr>
      <w:r w:rsidRPr="00686052">
        <w:rPr>
          <w:rFonts w:ascii="Gellix" w:hAnsi="Gellix"/>
          <w:b/>
          <w:bCs/>
          <w:lang w:val="en-GB"/>
        </w:rPr>
        <w:t xml:space="preserve">Key stages in supply chain ‘trade lifecycle’ and the types of data typically transferred </w:t>
      </w:r>
    </w:p>
    <w:p w14:paraId="43DD31B1" w14:textId="77777777" w:rsidR="00331C23" w:rsidRPr="003E3EFB" w:rsidRDefault="00331C23" w:rsidP="00331C23">
      <w:pPr>
        <w:spacing w:after="120"/>
        <w:rPr>
          <w:rFonts w:ascii="Gellix" w:hAnsi="Gellix"/>
          <w:b/>
          <w:bCs/>
          <w:sz w:val="21"/>
          <w:szCs w:val="21"/>
          <w:lang w:val="en-GB"/>
        </w:rPr>
      </w:pPr>
      <w:r w:rsidRPr="00FF78D2">
        <w:rPr>
          <w:rFonts w:ascii="Gellix" w:hAnsi="Gellix"/>
          <w:sz w:val="21"/>
          <w:szCs w:val="21"/>
          <w:lang w:val="en-GB"/>
        </w:rPr>
        <w:t>The table below is a non-exhaustive overview of the types of data that crosses borders.</w:t>
      </w:r>
      <w:r w:rsidDel="00DC22F0">
        <w:rPr>
          <w:rFonts w:ascii="Gellix" w:hAnsi="Gellix"/>
          <w:b/>
          <w:bCs/>
          <w:sz w:val="21"/>
          <w:szCs w:val="21"/>
          <w:lang w:val="en-GB"/>
        </w:rPr>
        <w:t xml:space="preserve"> </w:t>
      </w:r>
    </w:p>
    <w:tbl>
      <w:tblPr>
        <w:tblStyle w:val="TableGrid"/>
        <w:tblW w:w="0" w:type="auto"/>
        <w:tblLook w:val="04A0" w:firstRow="1" w:lastRow="0" w:firstColumn="1" w:lastColumn="0" w:noHBand="0" w:noVBand="1"/>
      </w:tblPr>
      <w:tblGrid>
        <w:gridCol w:w="3270"/>
        <w:gridCol w:w="3292"/>
        <w:gridCol w:w="2500"/>
      </w:tblGrid>
      <w:tr w:rsidR="00331C23" w:rsidRPr="0078690C" w14:paraId="736AE35D" w14:textId="77777777">
        <w:tc>
          <w:tcPr>
            <w:tcW w:w="3270" w:type="dxa"/>
            <w:shd w:val="clear" w:color="auto" w:fill="E8E8E8" w:themeFill="background2"/>
          </w:tcPr>
          <w:p w14:paraId="17C82979"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Supply chain stage</w:t>
            </w:r>
          </w:p>
        </w:tc>
        <w:tc>
          <w:tcPr>
            <w:tcW w:w="3292" w:type="dxa"/>
            <w:shd w:val="clear" w:color="auto" w:fill="E8E8E8" w:themeFill="background2"/>
          </w:tcPr>
          <w:p w14:paraId="74EBB616"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Type of data transferred</w:t>
            </w:r>
          </w:p>
        </w:tc>
        <w:tc>
          <w:tcPr>
            <w:tcW w:w="2500" w:type="dxa"/>
            <w:shd w:val="clear" w:color="auto" w:fill="E8E8E8" w:themeFill="background2"/>
          </w:tcPr>
          <w:p w14:paraId="11B54D80" w14:textId="77777777" w:rsidR="00331C23" w:rsidRPr="0078690C" w:rsidRDefault="00331C23">
            <w:pPr>
              <w:spacing w:after="120"/>
              <w:rPr>
                <w:rFonts w:ascii="Gellix" w:hAnsi="Gellix"/>
                <w:b/>
                <w:bCs/>
                <w:sz w:val="21"/>
                <w:szCs w:val="21"/>
                <w:lang w:val="en-US"/>
              </w:rPr>
            </w:pPr>
            <w:r w:rsidRPr="0078690C">
              <w:rPr>
                <w:rFonts w:ascii="Gellix" w:hAnsi="Gellix"/>
                <w:b/>
                <w:bCs/>
                <w:sz w:val="21"/>
                <w:szCs w:val="21"/>
                <w:lang w:val="en-US"/>
              </w:rPr>
              <w:t>Data classification</w:t>
            </w:r>
          </w:p>
        </w:tc>
      </w:tr>
      <w:tr w:rsidR="00331C23" w:rsidRPr="0078690C" w14:paraId="67D6B7E8" w14:textId="77777777">
        <w:tc>
          <w:tcPr>
            <w:tcW w:w="3270" w:type="dxa"/>
          </w:tcPr>
          <w:p w14:paraId="66A16C0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Supply (sourcing of raw material)</w:t>
            </w:r>
          </w:p>
        </w:tc>
        <w:tc>
          <w:tcPr>
            <w:tcW w:w="3292" w:type="dxa"/>
          </w:tcPr>
          <w:p w14:paraId="59B96111"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Supplier information</w:t>
            </w:r>
            <w:r w:rsidRPr="0078690C">
              <w:rPr>
                <w:rFonts w:ascii="Gellix" w:hAnsi="Gellix"/>
                <w:sz w:val="21"/>
                <w:szCs w:val="21"/>
                <w:lang w:val="en-GB"/>
              </w:rPr>
              <w:br/>
              <w:t>- Material specifications</w:t>
            </w:r>
            <w:r w:rsidRPr="0078690C">
              <w:rPr>
                <w:rFonts w:ascii="Gellix" w:hAnsi="Gellix"/>
                <w:sz w:val="21"/>
                <w:szCs w:val="21"/>
                <w:lang w:val="en-GB"/>
              </w:rPr>
              <w:br/>
              <w:t>- Compliance certificates</w:t>
            </w:r>
            <w:r w:rsidRPr="0078690C">
              <w:rPr>
                <w:rFonts w:ascii="Gellix" w:hAnsi="Gellix"/>
                <w:sz w:val="21"/>
                <w:szCs w:val="21"/>
                <w:lang w:val="en-GB"/>
              </w:rPr>
              <w:br/>
              <w:t>- Purchase orders</w:t>
            </w:r>
            <w:r w:rsidRPr="0078690C">
              <w:rPr>
                <w:rFonts w:ascii="Gellix" w:hAnsi="Gellix"/>
                <w:sz w:val="21"/>
                <w:szCs w:val="21"/>
                <w:lang w:val="en-GB"/>
              </w:rPr>
              <w:br/>
              <w:t>- Delivery schedules</w:t>
            </w:r>
          </w:p>
        </w:tc>
        <w:tc>
          <w:tcPr>
            <w:tcW w:w="2500" w:type="dxa"/>
          </w:tcPr>
          <w:p w14:paraId="37CDA8EF"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78690C" w14:paraId="32B97551" w14:textId="77777777">
        <w:tc>
          <w:tcPr>
            <w:tcW w:w="3270" w:type="dxa"/>
          </w:tcPr>
          <w:p w14:paraId="335A2C6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Manufacturing</w:t>
            </w:r>
          </w:p>
        </w:tc>
        <w:tc>
          <w:tcPr>
            <w:tcW w:w="3292" w:type="dxa"/>
          </w:tcPr>
          <w:p w14:paraId="25654AB3"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Production schedules</w:t>
            </w:r>
            <w:r w:rsidRPr="0078690C">
              <w:rPr>
                <w:rFonts w:ascii="Gellix" w:hAnsi="Gellix"/>
                <w:sz w:val="21"/>
                <w:szCs w:val="21"/>
                <w:lang w:val="en-GB"/>
              </w:rPr>
              <w:br/>
              <w:t>- Bill of materials</w:t>
            </w:r>
            <w:r w:rsidRPr="0078690C">
              <w:rPr>
                <w:rFonts w:ascii="Gellix" w:hAnsi="Gellix"/>
                <w:sz w:val="21"/>
                <w:szCs w:val="21"/>
                <w:lang w:val="en-GB"/>
              </w:rPr>
              <w:br/>
              <w:t>- Equipment maintenance records</w:t>
            </w:r>
            <w:r w:rsidRPr="0078690C">
              <w:rPr>
                <w:rFonts w:ascii="Gellix" w:hAnsi="Gellix"/>
                <w:sz w:val="21"/>
                <w:szCs w:val="21"/>
                <w:lang w:val="en-GB"/>
              </w:rPr>
              <w:br/>
              <w:t>- Quality control data</w:t>
            </w:r>
            <w:r w:rsidRPr="0078690C">
              <w:rPr>
                <w:rFonts w:ascii="Gellix" w:hAnsi="Gellix"/>
                <w:sz w:val="21"/>
                <w:szCs w:val="21"/>
                <w:lang w:val="en-GB"/>
              </w:rPr>
              <w:br/>
              <w:t>- Inventory levels</w:t>
            </w:r>
          </w:p>
        </w:tc>
        <w:tc>
          <w:tcPr>
            <w:tcW w:w="2500" w:type="dxa"/>
          </w:tcPr>
          <w:p w14:paraId="39EF771D"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78690C" w14:paraId="3F516730" w14:textId="77777777">
        <w:tc>
          <w:tcPr>
            <w:tcW w:w="3270" w:type="dxa"/>
          </w:tcPr>
          <w:p w14:paraId="0FD67FD7"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Distribution (shipping and logistics)</w:t>
            </w:r>
          </w:p>
        </w:tc>
        <w:tc>
          <w:tcPr>
            <w:tcW w:w="3292" w:type="dxa"/>
          </w:tcPr>
          <w:p w14:paraId="32F325A9"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Shipping manifests</w:t>
            </w:r>
            <w:r w:rsidRPr="0078690C">
              <w:rPr>
                <w:rFonts w:ascii="Gellix" w:hAnsi="Gellix"/>
                <w:sz w:val="21"/>
                <w:szCs w:val="21"/>
                <w:lang w:val="en-GB"/>
              </w:rPr>
              <w:br/>
              <w:t>- Tracking information</w:t>
            </w:r>
            <w:r w:rsidRPr="0078690C">
              <w:rPr>
                <w:rFonts w:ascii="Gellix" w:hAnsi="Gellix"/>
                <w:sz w:val="21"/>
                <w:szCs w:val="21"/>
                <w:lang w:val="en-GB"/>
              </w:rPr>
              <w:br/>
              <w:t>- Customs documentation</w:t>
            </w:r>
            <w:r w:rsidRPr="0078690C">
              <w:rPr>
                <w:rFonts w:ascii="Gellix" w:hAnsi="Gellix"/>
                <w:sz w:val="21"/>
                <w:szCs w:val="21"/>
                <w:lang w:val="en-GB"/>
              </w:rPr>
              <w:br/>
              <w:t>- Carrier contracts</w:t>
            </w:r>
            <w:r w:rsidRPr="0078690C">
              <w:rPr>
                <w:rFonts w:ascii="Gellix" w:hAnsi="Gellix"/>
                <w:sz w:val="21"/>
                <w:szCs w:val="21"/>
                <w:lang w:val="en-GB"/>
              </w:rPr>
              <w:br/>
              <w:t>- Delivery timelines</w:t>
            </w:r>
          </w:p>
        </w:tc>
        <w:tc>
          <w:tcPr>
            <w:tcW w:w="2500" w:type="dxa"/>
          </w:tcPr>
          <w:p w14:paraId="34F893F8"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Non personal data</w:t>
            </w:r>
          </w:p>
        </w:tc>
      </w:tr>
      <w:tr w:rsidR="00331C23" w:rsidRPr="001E26FF" w14:paraId="05C8B45F" w14:textId="77777777">
        <w:tc>
          <w:tcPr>
            <w:tcW w:w="3270" w:type="dxa"/>
          </w:tcPr>
          <w:p w14:paraId="30F06AF7"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lastRenderedPageBreak/>
              <w:t>Consumer (retail and end-user)</w:t>
            </w:r>
          </w:p>
        </w:tc>
        <w:tc>
          <w:tcPr>
            <w:tcW w:w="3292" w:type="dxa"/>
          </w:tcPr>
          <w:p w14:paraId="124446FF"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 Sales data</w:t>
            </w:r>
            <w:r w:rsidRPr="0078690C">
              <w:rPr>
                <w:rFonts w:ascii="Gellix" w:hAnsi="Gellix"/>
                <w:sz w:val="21"/>
                <w:szCs w:val="21"/>
                <w:lang w:val="en-GB"/>
              </w:rPr>
              <w:br/>
              <w:t>- Customer feedback</w:t>
            </w:r>
            <w:r w:rsidRPr="0078690C">
              <w:rPr>
                <w:rFonts w:ascii="Gellix" w:hAnsi="Gellix"/>
                <w:sz w:val="21"/>
                <w:szCs w:val="21"/>
                <w:lang w:val="en-GB"/>
              </w:rPr>
              <w:br/>
              <w:t>- Warranty information</w:t>
            </w:r>
            <w:r w:rsidRPr="0078690C">
              <w:rPr>
                <w:rFonts w:ascii="Gellix" w:hAnsi="Gellix"/>
                <w:sz w:val="21"/>
                <w:szCs w:val="21"/>
                <w:lang w:val="en-GB"/>
              </w:rPr>
              <w:br/>
              <w:t>- Return and refund records</w:t>
            </w:r>
            <w:r w:rsidRPr="0078690C">
              <w:rPr>
                <w:rFonts w:ascii="Gellix" w:hAnsi="Gellix"/>
                <w:sz w:val="21"/>
                <w:szCs w:val="21"/>
                <w:lang w:val="en-GB"/>
              </w:rPr>
              <w:br/>
              <w:t>- Marketing analytics</w:t>
            </w:r>
          </w:p>
        </w:tc>
        <w:tc>
          <w:tcPr>
            <w:tcW w:w="2500" w:type="dxa"/>
          </w:tcPr>
          <w:p w14:paraId="60646021"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Personal data (minus the Sales data)</w:t>
            </w:r>
          </w:p>
        </w:tc>
      </w:tr>
      <w:tr w:rsidR="00D6302D" w:rsidRPr="00D6302D" w14:paraId="6A3D5979" w14:textId="77777777">
        <w:tc>
          <w:tcPr>
            <w:tcW w:w="3270" w:type="dxa"/>
          </w:tcPr>
          <w:p w14:paraId="348DD8FE" w14:textId="2378DA8F" w:rsidR="00D6302D" w:rsidRPr="0078690C" w:rsidRDefault="00DA5C6E">
            <w:pPr>
              <w:spacing w:after="120"/>
              <w:rPr>
                <w:rFonts w:ascii="Gellix" w:hAnsi="Gellix"/>
                <w:sz w:val="21"/>
                <w:szCs w:val="21"/>
                <w:lang w:val="en-US"/>
              </w:rPr>
            </w:pPr>
            <w:r>
              <w:rPr>
                <w:rFonts w:ascii="Gellix" w:hAnsi="Gellix"/>
                <w:sz w:val="21"/>
                <w:szCs w:val="21"/>
                <w:lang w:val="en-US"/>
              </w:rPr>
              <w:t>Post-Sale / End-of-Lifecycle</w:t>
            </w:r>
          </w:p>
        </w:tc>
        <w:tc>
          <w:tcPr>
            <w:tcW w:w="3292" w:type="dxa"/>
          </w:tcPr>
          <w:p w14:paraId="0110CB10" w14:textId="77777777" w:rsidR="002001B5" w:rsidRDefault="002001B5" w:rsidP="002001B5">
            <w:pPr>
              <w:pStyle w:val="ListParagraph"/>
              <w:numPr>
                <w:ilvl w:val="0"/>
                <w:numId w:val="20"/>
              </w:numPr>
              <w:spacing w:after="120"/>
              <w:rPr>
                <w:rFonts w:ascii="Gellix" w:hAnsi="Gellix"/>
                <w:sz w:val="21"/>
                <w:szCs w:val="21"/>
                <w:lang w:val="en-GB"/>
              </w:rPr>
            </w:pPr>
            <w:r w:rsidRPr="00686052">
              <w:rPr>
                <w:rFonts w:ascii="Gellix" w:hAnsi="Gellix"/>
                <w:sz w:val="21"/>
                <w:szCs w:val="21"/>
                <w:lang w:val="en-GB"/>
              </w:rPr>
              <w:t xml:space="preserve">Product usage data (e.g. performance logs, error reports) </w:t>
            </w:r>
          </w:p>
          <w:p w14:paraId="48FFDBEC" w14:textId="77777777" w:rsidR="002001B5" w:rsidRDefault="002001B5" w:rsidP="002001B5">
            <w:pPr>
              <w:pStyle w:val="ListParagraph"/>
              <w:numPr>
                <w:ilvl w:val="0"/>
                <w:numId w:val="20"/>
              </w:numPr>
              <w:spacing w:after="120"/>
              <w:rPr>
                <w:rFonts w:ascii="Gellix" w:hAnsi="Gellix"/>
                <w:sz w:val="21"/>
                <w:szCs w:val="21"/>
                <w:lang w:val="en-GB"/>
              </w:rPr>
            </w:pPr>
            <w:r>
              <w:rPr>
                <w:rFonts w:ascii="Gellix" w:hAnsi="Gellix"/>
                <w:sz w:val="21"/>
                <w:szCs w:val="21"/>
                <w:lang w:val="en-GB"/>
              </w:rPr>
              <w:t>R</w:t>
            </w:r>
            <w:r w:rsidRPr="00686052">
              <w:rPr>
                <w:rFonts w:ascii="Gellix" w:hAnsi="Gellix"/>
                <w:sz w:val="21"/>
                <w:szCs w:val="21"/>
                <w:lang w:val="en-GB"/>
              </w:rPr>
              <w:t>eturn and repair data</w:t>
            </w:r>
          </w:p>
          <w:p w14:paraId="22DE9DB3" w14:textId="77777777" w:rsidR="002001B5" w:rsidRDefault="002001B5" w:rsidP="002001B5">
            <w:pPr>
              <w:pStyle w:val="ListParagraph"/>
              <w:numPr>
                <w:ilvl w:val="0"/>
                <w:numId w:val="20"/>
              </w:numPr>
              <w:spacing w:after="120"/>
              <w:rPr>
                <w:rFonts w:ascii="Gellix" w:hAnsi="Gellix"/>
                <w:sz w:val="21"/>
                <w:szCs w:val="21"/>
                <w:lang w:val="en-GB"/>
              </w:rPr>
            </w:pPr>
            <w:r>
              <w:rPr>
                <w:rFonts w:ascii="Gellix" w:hAnsi="Gellix"/>
                <w:sz w:val="21"/>
                <w:szCs w:val="21"/>
                <w:lang w:val="en-GB"/>
              </w:rPr>
              <w:t>R</w:t>
            </w:r>
            <w:r w:rsidRPr="00686052">
              <w:rPr>
                <w:rFonts w:ascii="Gellix" w:hAnsi="Gellix"/>
                <w:sz w:val="21"/>
                <w:szCs w:val="21"/>
                <w:lang w:val="en-GB"/>
              </w:rPr>
              <w:t>ecycling or disposal tracking</w:t>
            </w:r>
          </w:p>
          <w:p w14:paraId="40CA4CFC" w14:textId="2A305CAC" w:rsidR="00D6302D" w:rsidRPr="00686052" w:rsidRDefault="002001B5" w:rsidP="00686052">
            <w:pPr>
              <w:pStyle w:val="ListParagraph"/>
              <w:numPr>
                <w:ilvl w:val="0"/>
                <w:numId w:val="20"/>
              </w:numPr>
              <w:spacing w:after="120"/>
              <w:rPr>
                <w:rFonts w:ascii="Gellix" w:hAnsi="Gellix"/>
                <w:sz w:val="21"/>
                <w:szCs w:val="21"/>
                <w:lang w:val="en-GB"/>
              </w:rPr>
            </w:pPr>
            <w:r>
              <w:rPr>
                <w:rFonts w:ascii="Gellix" w:hAnsi="Gellix"/>
                <w:sz w:val="21"/>
                <w:szCs w:val="21"/>
                <w:lang w:val="en-GB"/>
              </w:rPr>
              <w:t>S</w:t>
            </w:r>
            <w:r w:rsidRPr="00686052">
              <w:rPr>
                <w:rFonts w:ascii="Gellix" w:hAnsi="Gellix"/>
                <w:sz w:val="21"/>
                <w:szCs w:val="21"/>
                <w:lang w:val="en-GB"/>
              </w:rPr>
              <w:t>ensor data from IoT-enabled products</w:t>
            </w:r>
          </w:p>
        </w:tc>
        <w:tc>
          <w:tcPr>
            <w:tcW w:w="2500" w:type="dxa"/>
          </w:tcPr>
          <w:p w14:paraId="0D176214" w14:textId="77777777" w:rsidR="00D6302D" w:rsidRDefault="004056A5">
            <w:pPr>
              <w:spacing w:after="120"/>
              <w:rPr>
                <w:rFonts w:ascii="Gellix" w:hAnsi="Gellix"/>
                <w:sz w:val="21"/>
                <w:szCs w:val="21"/>
                <w:lang w:val="en-GB"/>
              </w:rPr>
            </w:pPr>
            <w:r>
              <w:rPr>
                <w:rFonts w:ascii="Gellix" w:hAnsi="Gellix"/>
                <w:sz w:val="21"/>
                <w:szCs w:val="21"/>
                <w:lang w:val="en-GB"/>
              </w:rPr>
              <w:t>Non personal data</w:t>
            </w:r>
          </w:p>
          <w:p w14:paraId="2BF828AE" w14:textId="05D4B512" w:rsidR="004056A5" w:rsidRPr="0078690C" w:rsidRDefault="004056A5">
            <w:pPr>
              <w:spacing w:after="120"/>
              <w:rPr>
                <w:rFonts w:ascii="Gellix" w:hAnsi="Gellix"/>
                <w:sz w:val="21"/>
                <w:szCs w:val="21"/>
                <w:lang w:val="en-GB"/>
              </w:rPr>
            </w:pPr>
          </w:p>
        </w:tc>
      </w:tr>
      <w:tr w:rsidR="00331C23" w:rsidRPr="001E26FF" w14:paraId="4E6DAAC9" w14:textId="77777777">
        <w:tc>
          <w:tcPr>
            <w:tcW w:w="3270" w:type="dxa"/>
            <w:shd w:val="clear" w:color="auto" w:fill="auto"/>
          </w:tcPr>
          <w:p w14:paraId="7FBC66F1" w14:textId="77777777" w:rsidR="00331C23" w:rsidRPr="0078690C" w:rsidRDefault="00331C23">
            <w:pPr>
              <w:spacing w:after="120"/>
              <w:rPr>
                <w:rFonts w:ascii="Gellix" w:hAnsi="Gellix"/>
                <w:sz w:val="21"/>
                <w:szCs w:val="21"/>
                <w:lang w:val="en-US"/>
              </w:rPr>
            </w:pPr>
            <w:r w:rsidRPr="0078690C">
              <w:rPr>
                <w:rFonts w:ascii="Gellix" w:hAnsi="Gellix"/>
                <w:sz w:val="21"/>
                <w:szCs w:val="21"/>
                <w:lang w:val="en-US"/>
              </w:rPr>
              <w:t>Business operations that support all above stages</w:t>
            </w:r>
          </w:p>
        </w:tc>
        <w:tc>
          <w:tcPr>
            <w:tcW w:w="3292" w:type="dxa"/>
            <w:shd w:val="clear" w:color="auto" w:fill="auto"/>
          </w:tcPr>
          <w:p w14:paraId="79C621DC"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Workforce management (i.e. production, logistics, sales, training, recruitment and performance)</w:t>
            </w:r>
          </w:p>
        </w:tc>
        <w:tc>
          <w:tcPr>
            <w:tcW w:w="2500" w:type="dxa"/>
            <w:shd w:val="clear" w:color="auto" w:fill="auto"/>
          </w:tcPr>
          <w:p w14:paraId="410DEDEE" w14:textId="77777777" w:rsidR="00331C23" w:rsidRPr="0078690C" w:rsidRDefault="00331C23">
            <w:pPr>
              <w:spacing w:after="120"/>
              <w:rPr>
                <w:rFonts w:ascii="Gellix" w:hAnsi="Gellix"/>
                <w:sz w:val="21"/>
                <w:szCs w:val="21"/>
                <w:lang w:val="en-GB"/>
              </w:rPr>
            </w:pPr>
            <w:r w:rsidRPr="0078690C">
              <w:rPr>
                <w:rFonts w:ascii="Gellix" w:hAnsi="Gellix"/>
                <w:sz w:val="21"/>
                <w:szCs w:val="21"/>
                <w:lang w:val="en-GB"/>
              </w:rPr>
              <w:t>Personal data (employee information, financial data linked to employees), and non-personal data (trainings, workforce analytics at aggregate level)</w:t>
            </w:r>
          </w:p>
        </w:tc>
      </w:tr>
    </w:tbl>
    <w:p w14:paraId="550D68CA" w14:textId="77777777" w:rsidR="00331C23" w:rsidRPr="006469FB" w:rsidRDefault="00331C23" w:rsidP="006469FB">
      <w:pPr>
        <w:rPr>
          <w:rFonts w:ascii="Gellix" w:hAnsi="Gellix"/>
          <w:sz w:val="21"/>
          <w:szCs w:val="21"/>
          <w:lang w:val="ro-RO"/>
        </w:rPr>
      </w:pPr>
    </w:p>
    <w:p w14:paraId="0941DA19" w14:textId="5197B167" w:rsidR="00C52557" w:rsidRDefault="002961AB" w:rsidP="00686052">
      <w:pPr>
        <w:rPr>
          <w:rFonts w:ascii="Gellix" w:hAnsi="Gellix"/>
          <w:b/>
          <w:bCs/>
          <w:lang w:val="en-GB"/>
        </w:rPr>
      </w:pPr>
      <w:r w:rsidRPr="00686052">
        <w:rPr>
          <w:rFonts w:ascii="Gellix" w:hAnsi="Gellix"/>
          <w:b/>
          <w:bCs/>
          <w:lang w:val="en-GB"/>
        </w:rPr>
        <w:t xml:space="preserve">Key Trade Policy Challenges for </w:t>
      </w:r>
      <w:r w:rsidR="000D5F2D" w:rsidRPr="00686052">
        <w:rPr>
          <w:rFonts w:ascii="Gellix" w:hAnsi="Gellix"/>
          <w:b/>
          <w:bCs/>
          <w:lang w:val="en-GB"/>
        </w:rPr>
        <w:t xml:space="preserve">Data Flows in </w:t>
      </w:r>
      <w:r w:rsidRPr="00686052">
        <w:rPr>
          <w:rFonts w:ascii="Gellix" w:hAnsi="Gellix"/>
          <w:b/>
          <w:bCs/>
          <w:lang w:val="en-GB"/>
        </w:rPr>
        <w:t xml:space="preserve">Global Supply Chains </w:t>
      </w:r>
      <w:r w:rsidR="00074C97">
        <w:rPr>
          <w:rFonts w:ascii="Gellix" w:hAnsi="Gellix"/>
          <w:b/>
          <w:bCs/>
          <w:lang w:val="en-GB"/>
        </w:rPr>
        <w:t>–</w:t>
      </w:r>
      <w:r w:rsidR="00A16FCF">
        <w:rPr>
          <w:rFonts w:ascii="Gellix" w:hAnsi="Gellix"/>
          <w:b/>
          <w:bCs/>
          <w:lang w:val="en-GB"/>
        </w:rPr>
        <w:t xml:space="preserve"> </w:t>
      </w:r>
      <w:r w:rsidR="00074C97">
        <w:rPr>
          <w:rFonts w:ascii="Gellix" w:hAnsi="Gellix"/>
          <w:b/>
          <w:bCs/>
          <w:lang w:val="en-GB"/>
        </w:rPr>
        <w:t>and What They Mean in Practice</w:t>
      </w:r>
    </w:p>
    <w:p w14:paraId="1D08D445" w14:textId="70D05A05" w:rsidR="00A84558" w:rsidRPr="00A84558" w:rsidRDefault="00A84558" w:rsidP="00686052">
      <w:pPr>
        <w:rPr>
          <w:rFonts w:ascii="Gellix" w:hAnsi="Gellix"/>
          <w:lang w:val="en-GB"/>
        </w:rPr>
      </w:pPr>
      <w:r w:rsidRPr="004A003D">
        <w:rPr>
          <w:rFonts w:ascii="Gellix" w:hAnsi="Gellix"/>
          <w:sz w:val="21"/>
          <w:szCs w:val="21"/>
          <w:lang w:val="en-GB"/>
        </w:rPr>
        <w:t>Despite their critical role in enabling supply chain integration and efficiency, cross-border data flows face growing regulatory constraints. Th</w:t>
      </w:r>
      <w:r w:rsidR="008A2548">
        <w:rPr>
          <w:rFonts w:ascii="Gellix" w:hAnsi="Gellix"/>
          <w:sz w:val="21"/>
          <w:szCs w:val="21"/>
          <w:lang w:val="en-GB"/>
        </w:rPr>
        <w:t xml:space="preserve">is </w:t>
      </w:r>
      <w:r w:rsidRPr="004A003D">
        <w:rPr>
          <w:rFonts w:ascii="Gellix" w:hAnsi="Gellix"/>
          <w:sz w:val="21"/>
          <w:szCs w:val="21"/>
          <w:lang w:val="en-GB"/>
        </w:rPr>
        <w:t>section outlines key trade policy challenges businesses encounter in moving data across borders — and what those challenges mean in operational terms</w:t>
      </w:r>
      <w:r w:rsidRPr="00A84558">
        <w:rPr>
          <w:rFonts w:ascii="Gellix" w:hAnsi="Gellix"/>
          <w:lang w:val="en-GB"/>
        </w:rPr>
        <w:t>.</w:t>
      </w:r>
    </w:p>
    <w:p w14:paraId="10B98CCC" w14:textId="1F3A3881" w:rsidR="002961AB" w:rsidRDefault="002961AB" w:rsidP="00C52557">
      <w:pPr>
        <w:spacing w:after="120"/>
        <w:rPr>
          <w:rFonts w:ascii="Gellix" w:hAnsi="Gellix"/>
          <w:b/>
          <w:bCs/>
          <w:sz w:val="21"/>
          <w:szCs w:val="21"/>
          <w:lang w:val="en-GB"/>
        </w:rPr>
      </w:pPr>
      <w:r w:rsidRPr="008B22E5">
        <w:rPr>
          <w:rFonts w:ascii="Gellix" w:hAnsi="Gellix"/>
          <w:b/>
          <w:bCs/>
          <w:sz w:val="21"/>
          <w:szCs w:val="21"/>
          <w:lang w:val="en-US"/>
        </w:rPr>
        <w:t xml:space="preserve">Regulatory fragmentation </w:t>
      </w:r>
      <w:r w:rsidRPr="008B22E5">
        <w:rPr>
          <w:rFonts w:ascii="Gellix" w:hAnsi="Gellix"/>
          <w:b/>
          <w:bCs/>
          <w:sz w:val="21"/>
          <w:szCs w:val="21"/>
          <w:lang w:val="en-GB"/>
        </w:rPr>
        <w:t>creates supply chain uncertainty</w:t>
      </w:r>
    </w:p>
    <w:p w14:paraId="30604DEB" w14:textId="131170EE" w:rsidR="00EB47E4" w:rsidRPr="00EB47E4" w:rsidRDefault="00EB47E4" w:rsidP="00A12077">
      <w:pPr>
        <w:spacing w:after="120"/>
        <w:rPr>
          <w:rFonts w:ascii="Gellix" w:hAnsi="Gellix"/>
          <w:sz w:val="21"/>
          <w:szCs w:val="21"/>
          <w:lang w:val="en-GB"/>
        </w:rPr>
      </w:pPr>
      <w:r w:rsidRPr="00EB47E4">
        <w:rPr>
          <w:rFonts w:ascii="Gellix" w:hAnsi="Gellix"/>
          <w:sz w:val="21"/>
          <w:szCs w:val="21"/>
          <w:lang w:val="en-GB"/>
        </w:rPr>
        <w:t>In the absence of a global framework for cross-border data flows, governments have adopted divergent approaches through national laws and trade agreements. This patchwork of rules creates legal risk and operational complexity, driving up compliance costs and making it harder for businesses to integrate supply chains across markets. Firms are often forced to maintain separate data handling protocols, duplicate IT systems, and hire additional compliance staff—undermining efficiency and competitiveness.</w:t>
      </w:r>
    </w:p>
    <w:p w14:paraId="14AF673E" w14:textId="77777777" w:rsidR="002961AB" w:rsidRPr="008B22E5" w:rsidRDefault="002961AB" w:rsidP="000D5F2D">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lastRenderedPageBreak/>
        <w:t>Data Localization as a Barrier to Supply Chain Efficiency</w:t>
      </w:r>
    </w:p>
    <w:p w14:paraId="782D3FB2" w14:textId="041A6C7A" w:rsidR="005B226D" w:rsidRPr="00686052" w:rsidRDefault="00A836FF" w:rsidP="00A12077">
      <w:pPr>
        <w:spacing w:before="100" w:beforeAutospacing="1" w:after="100" w:afterAutospacing="1"/>
        <w:rPr>
          <w:rFonts w:ascii="Gellix" w:eastAsia="Times New Roman" w:hAnsi="Gellix" w:cs="Times New Roman"/>
          <w:kern w:val="0"/>
          <w:sz w:val="21"/>
          <w:szCs w:val="21"/>
          <w:lang w:val="en-GB"/>
          <w14:ligatures w14:val="none"/>
        </w:rPr>
      </w:pPr>
      <w:r w:rsidRPr="00A836FF">
        <w:rPr>
          <w:rFonts w:ascii="Gellix" w:eastAsia="Times New Roman" w:hAnsi="Gellix" w:cs="Times New Roman"/>
          <w:kern w:val="0"/>
          <w:sz w:val="21"/>
          <w:szCs w:val="21"/>
          <w:lang w:val="en-GB"/>
          <w14:ligatures w14:val="none"/>
        </w:rPr>
        <w:t>Restrictions on where data can be stored or processed limit supply chain visibility and delay time-sensitive operations such as shipping, customs clearance, and trade finance. Businesses may be unable to share real-time data with partners across borders, leading to slower delivery times, missed deadlines, and higher costs. Locali</w:t>
      </w:r>
      <w:r w:rsidR="0043323C">
        <w:rPr>
          <w:rFonts w:ascii="Gellix" w:eastAsia="Times New Roman" w:hAnsi="Gellix" w:cs="Times New Roman"/>
          <w:kern w:val="0"/>
          <w:sz w:val="21"/>
          <w:szCs w:val="21"/>
          <w:lang w:val="en-GB"/>
          <w14:ligatures w14:val="none"/>
        </w:rPr>
        <w:t>s</w:t>
      </w:r>
      <w:r w:rsidRPr="00A836FF">
        <w:rPr>
          <w:rFonts w:ascii="Gellix" w:eastAsia="Times New Roman" w:hAnsi="Gellix" w:cs="Times New Roman"/>
          <w:kern w:val="0"/>
          <w:sz w:val="21"/>
          <w:szCs w:val="21"/>
          <w:lang w:val="en-GB"/>
          <w14:ligatures w14:val="none"/>
        </w:rPr>
        <w:t xml:space="preserve">ation measures also prevent companies from using centralized systems, forcing them to fragment their operations—an especially difficult burden for </w:t>
      </w:r>
      <w:r w:rsidR="00CC7A88">
        <w:rPr>
          <w:rFonts w:ascii="Gellix" w:eastAsia="Times New Roman" w:hAnsi="Gellix" w:cs="Times New Roman"/>
          <w:kern w:val="0"/>
          <w:sz w:val="21"/>
          <w:szCs w:val="21"/>
          <w:lang w:val="en-GB"/>
          <w14:ligatures w14:val="none"/>
        </w:rPr>
        <w:t>M</w:t>
      </w:r>
      <w:r w:rsidRPr="00A836FF">
        <w:rPr>
          <w:rFonts w:ascii="Gellix" w:eastAsia="Times New Roman" w:hAnsi="Gellix" w:cs="Times New Roman"/>
          <w:kern w:val="0"/>
          <w:sz w:val="21"/>
          <w:szCs w:val="21"/>
          <w:lang w:val="en-GB"/>
          <w14:ligatures w14:val="none"/>
        </w:rPr>
        <w:t>SMEs.</w:t>
      </w:r>
    </w:p>
    <w:p w14:paraId="56EA107F" w14:textId="77777777" w:rsidR="002961AB" w:rsidRDefault="002961AB" w:rsidP="0072312A">
      <w:pPr>
        <w:keepNext/>
        <w:keepLines/>
        <w:spacing w:before="100" w:beforeAutospacing="1" w:after="100" w:afterAutospacing="1"/>
        <w:rPr>
          <w:rFonts w:ascii="Gellix" w:eastAsia="Times New Roman" w:hAnsi="Gellix" w:cs="Times New Roman"/>
          <w:b/>
          <w:bCs/>
          <w:kern w:val="0"/>
          <w:sz w:val="21"/>
          <w:szCs w:val="21"/>
          <w:lang w:val="en-GB"/>
          <w14:ligatures w14:val="none"/>
        </w:rPr>
      </w:pPr>
      <w:r w:rsidRPr="008B22E5">
        <w:rPr>
          <w:rFonts w:ascii="Gellix" w:eastAsia="Times New Roman" w:hAnsi="Gellix" w:cs="Times New Roman"/>
          <w:b/>
          <w:bCs/>
          <w:kern w:val="0"/>
          <w:sz w:val="21"/>
          <w:szCs w:val="21"/>
          <w:lang w:val="en-GB"/>
          <w14:ligatures w14:val="none"/>
        </w:rPr>
        <w:t>Restrictive Data Policies Increase Supply Chain Costs &amp; Complexity</w:t>
      </w:r>
    </w:p>
    <w:p w14:paraId="0D1D51A5" w14:textId="44E9B450" w:rsidR="0072312A" w:rsidRPr="00686052" w:rsidRDefault="000D5F2D" w:rsidP="0072312A">
      <w:pPr>
        <w:keepNext/>
        <w:keepLines/>
        <w:spacing w:before="100" w:beforeAutospacing="1" w:after="100" w:afterAutospacing="1"/>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Modern s</w:t>
      </w:r>
      <w:r w:rsidR="002961AB" w:rsidRPr="008B22E5">
        <w:rPr>
          <w:rFonts w:ascii="Gellix" w:eastAsia="Times New Roman" w:hAnsi="Gellix" w:cs="Times New Roman"/>
          <w:kern w:val="0"/>
          <w:sz w:val="21"/>
          <w:szCs w:val="21"/>
          <w:lang w:val="en-GB"/>
          <w14:ligatures w14:val="none"/>
        </w:rPr>
        <w:t xml:space="preserve">upply chains depend </w:t>
      </w:r>
      <w:r w:rsidR="002961AB" w:rsidRPr="0083205D">
        <w:rPr>
          <w:rFonts w:ascii="Gellix" w:eastAsia="Times New Roman" w:hAnsi="Gellix" w:cs="Times New Roman"/>
          <w:kern w:val="0"/>
          <w:sz w:val="21"/>
          <w:szCs w:val="21"/>
          <w:lang w:val="en-GB"/>
          <w14:ligatures w14:val="none"/>
        </w:rPr>
        <w:t>on seamless data transfers for tracking shipments, optimizing logistics, and managing supplier relationships</w:t>
      </w:r>
      <w:r w:rsidR="002B6B17">
        <w:rPr>
          <w:rFonts w:ascii="Gellix" w:eastAsia="Times New Roman" w:hAnsi="Gellix" w:cs="Times New Roman"/>
          <w:kern w:val="0"/>
          <w:sz w:val="21"/>
          <w:szCs w:val="21"/>
          <w:lang w:val="en-GB"/>
          <w14:ligatures w14:val="none"/>
        </w:rPr>
        <w:t>.</w:t>
      </w:r>
      <w:r w:rsidR="00E26A8D">
        <w:rPr>
          <w:rFonts w:ascii="Gellix" w:eastAsia="Times New Roman" w:hAnsi="Gellix" w:cs="Times New Roman"/>
          <w:kern w:val="0"/>
          <w:sz w:val="21"/>
          <w:szCs w:val="21"/>
          <w:lang w:val="en-GB"/>
          <w14:ligatures w14:val="none"/>
        </w:rPr>
        <w:t xml:space="preserve"> T</w:t>
      </w:r>
      <w:r w:rsidR="00E26A8D" w:rsidRPr="00686052">
        <w:rPr>
          <w:rFonts w:ascii="Gellix" w:eastAsia="Times New Roman" w:hAnsi="Gellix" w:cs="Times New Roman"/>
          <w:kern w:val="0"/>
          <w:sz w:val="21"/>
          <w:szCs w:val="21"/>
          <w:lang w:val="en-GB"/>
          <w14:ligatures w14:val="none"/>
        </w:rPr>
        <w:t xml:space="preserve">hese data flows are </w:t>
      </w:r>
      <w:r w:rsidR="002C0908">
        <w:rPr>
          <w:rFonts w:ascii="Gellix" w:eastAsia="Times New Roman" w:hAnsi="Gellix" w:cs="Times New Roman"/>
          <w:kern w:val="0"/>
          <w:sz w:val="21"/>
          <w:szCs w:val="21"/>
          <w:lang w:val="en-GB"/>
          <w14:ligatures w14:val="none"/>
        </w:rPr>
        <w:t xml:space="preserve">not </w:t>
      </w:r>
      <w:r w:rsidR="00E26A8D" w:rsidRPr="00686052">
        <w:rPr>
          <w:rFonts w:ascii="Gellix" w:eastAsia="Times New Roman" w:hAnsi="Gellix" w:cs="Times New Roman"/>
          <w:kern w:val="0"/>
          <w:sz w:val="21"/>
          <w:szCs w:val="21"/>
          <w:lang w:val="en-GB"/>
          <w14:ligatures w14:val="none"/>
        </w:rPr>
        <w:t>linear or static</w:t>
      </w:r>
      <w:r w:rsidR="005E38E0">
        <w:rPr>
          <w:rFonts w:ascii="Gellix" w:eastAsia="Times New Roman" w:hAnsi="Gellix" w:cs="Times New Roman"/>
          <w:kern w:val="0"/>
          <w:sz w:val="21"/>
          <w:szCs w:val="21"/>
          <w:lang w:val="en-GB"/>
          <w14:ligatures w14:val="none"/>
        </w:rPr>
        <w:t xml:space="preserve"> – they are </w:t>
      </w:r>
      <w:r w:rsidR="00E26A8D" w:rsidRPr="00686052">
        <w:rPr>
          <w:rFonts w:ascii="Gellix" w:eastAsia="Times New Roman" w:hAnsi="Gellix" w:cs="Times New Roman"/>
          <w:kern w:val="0"/>
          <w:sz w:val="21"/>
          <w:szCs w:val="21"/>
          <w:lang w:val="en-GB"/>
          <w14:ligatures w14:val="none"/>
        </w:rPr>
        <w:t xml:space="preserve">updated, enriched, or </w:t>
      </w:r>
      <w:r w:rsidR="00C15CD2">
        <w:rPr>
          <w:rFonts w:ascii="Gellix" w:eastAsia="Times New Roman" w:hAnsi="Gellix" w:cs="Times New Roman"/>
          <w:kern w:val="0"/>
          <w:sz w:val="21"/>
          <w:szCs w:val="21"/>
          <w:lang w:val="en-GB"/>
          <w14:ligatures w14:val="none"/>
        </w:rPr>
        <w:t xml:space="preserve">shared </w:t>
      </w:r>
      <w:r w:rsidR="00E26A8D" w:rsidRPr="00686052">
        <w:rPr>
          <w:rFonts w:ascii="Gellix" w:eastAsia="Times New Roman" w:hAnsi="Gellix" w:cs="Times New Roman"/>
          <w:kern w:val="0"/>
          <w:sz w:val="21"/>
          <w:szCs w:val="21"/>
          <w:lang w:val="en-GB"/>
          <w14:ligatures w14:val="none"/>
        </w:rPr>
        <w:t xml:space="preserve">across </w:t>
      </w:r>
      <w:r w:rsidR="00C15CD2">
        <w:rPr>
          <w:rFonts w:ascii="Gellix" w:eastAsia="Times New Roman" w:hAnsi="Gellix" w:cs="Times New Roman"/>
          <w:kern w:val="0"/>
          <w:sz w:val="21"/>
          <w:szCs w:val="21"/>
          <w:lang w:val="en-GB"/>
          <w14:ligatures w14:val="none"/>
        </w:rPr>
        <w:t xml:space="preserve">multiple </w:t>
      </w:r>
      <w:r w:rsidR="00E26A8D" w:rsidRPr="00686052">
        <w:rPr>
          <w:rFonts w:ascii="Gellix" w:eastAsia="Times New Roman" w:hAnsi="Gellix" w:cs="Times New Roman"/>
          <w:kern w:val="0"/>
          <w:sz w:val="21"/>
          <w:szCs w:val="21"/>
          <w:lang w:val="en-GB"/>
          <w14:ligatures w14:val="none"/>
        </w:rPr>
        <w:t>actors</w:t>
      </w:r>
      <w:r w:rsidR="00C15CD2">
        <w:rPr>
          <w:rFonts w:ascii="Gellix" w:eastAsia="Times New Roman" w:hAnsi="Gellix" w:cs="Times New Roman"/>
          <w:kern w:val="0"/>
          <w:sz w:val="21"/>
          <w:szCs w:val="21"/>
          <w:lang w:val="en-GB"/>
          <w14:ligatures w14:val="none"/>
        </w:rPr>
        <w:t xml:space="preserve"> in real time</w:t>
      </w:r>
      <w:r w:rsidR="00E26A8D" w:rsidRPr="00686052">
        <w:rPr>
          <w:rFonts w:ascii="Gellix" w:eastAsia="Times New Roman" w:hAnsi="Gellix" w:cs="Times New Roman"/>
          <w:kern w:val="0"/>
          <w:sz w:val="21"/>
          <w:szCs w:val="21"/>
          <w:lang w:val="en-GB"/>
          <w14:ligatures w14:val="none"/>
        </w:rPr>
        <w:t>.</w:t>
      </w:r>
      <w:r w:rsidR="00CF6679">
        <w:rPr>
          <w:rFonts w:ascii="Gellix" w:eastAsia="Times New Roman" w:hAnsi="Gellix" w:cs="Times New Roman"/>
          <w:kern w:val="0"/>
          <w:sz w:val="21"/>
          <w:szCs w:val="21"/>
          <w:lang w:val="en-GB"/>
          <w14:ligatures w14:val="none"/>
        </w:rPr>
        <w:t xml:space="preserve"> </w:t>
      </w:r>
      <w:r w:rsidR="003C6FBC">
        <w:rPr>
          <w:rFonts w:ascii="Gellix" w:eastAsia="Times New Roman" w:hAnsi="Gellix" w:cs="Times New Roman"/>
          <w:kern w:val="0"/>
          <w:sz w:val="21"/>
          <w:szCs w:val="21"/>
          <w:lang w:val="en-GB"/>
          <w14:ligatures w14:val="none"/>
        </w:rPr>
        <w:t xml:space="preserve"> </w:t>
      </w:r>
      <w:r w:rsidR="00961748">
        <w:rPr>
          <w:rFonts w:ascii="Gellix" w:eastAsia="Times New Roman" w:hAnsi="Gellix" w:cs="Times New Roman"/>
          <w:kern w:val="0"/>
          <w:sz w:val="21"/>
          <w:szCs w:val="21"/>
          <w:lang w:val="en-GB"/>
          <w14:ligatures w14:val="none"/>
        </w:rPr>
        <w:t>For example, a company shipping goods</w:t>
      </w:r>
      <w:r w:rsidR="00276756">
        <w:rPr>
          <w:rFonts w:ascii="Gellix" w:eastAsia="Times New Roman" w:hAnsi="Gellix" w:cs="Times New Roman"/>
          <w:kern w:val="0"/>
          <w:sz w:val="21"/>
          <w:szCs w:val="21"/>
          <w:lang w:val="en-GB"/>
          <w14:ligatures w14:val="none"/>
        </w:rPr>
        <w:t xml:space="preserve"> internationally</w:t>
      </w:r>
      <w:r w:rsidR="00961748">
        <w:rPr>
          <w:rFonts w:ascii="Gellix" w:eastAsia="Times New Roman" w:hAnsi="Gellix" w:cs="Times New Roman"/>
          <w:kern w:val="0"/>
          <w:sz w:val="21"/>
          <w:szCs w:val="21"/>
          <w:lang w:val="en-GB"/>
          <w14:ligatures w14:val="none"/>
        </w:rPr>
        <w:t xml:space="preserve"> needs to share real-time updates across ports, customs</w:t>
      </w:r>
      <w:r w:rsidR="00A545BD">
        <w:rPr>
          <w:rFonts w:ascii="Gellix" w:eastAsia="Times New Roman" w:hAnsi="Gellix" w:cs="Times New Roman"/>
          <w:kern w:val="0"/>
          <w:sz w:val="21"/>
          <w:szCs w:val="21"/>
          <w:lang w:val="en-GB"/>
          <w14:ligatures w14:val="none"/>
        </w:rPr>
        <w:t>,</w:t>
      </w:r>
      <w:r w:rsidR="00961748">
        <w:rPr>
          <w:rFonts w:ascii="Gellix" w:eastAsia="Times New Roman" w:hAnsi="Gellix" w:cs="Times New Roman"/>
          <w:kern w:val="0"/>
          <w:sz w:val="21"/>
          <w:szCs w:val="21"/>
          <w:lang w:val="en-GB"/>
          <w14:ligatures w14:val="none"/>
        </w:rPr>
        <w:t xml:space="preserve"> and warehouses. If data cannot flow freely,</w:t>
      </w:r>
      <w:r w:rsidR="009712CF">
        <w:rPr>
          <w:rFonts w:ascii="Gellix" w:eastAsia="Times New Roman" w:hAnsi="Gellix" w:cs="Times New Roman"/>
          <w:kern w:val="0"/>
          <w:sz w:val="21"/>
          <w:szCs w:val="21"/>
          <w:lang w:val="en-GB"/>
          <w14:ligatures w14:val="none"/>
        </w:rPr>
        <w:t xml:space="preserve"> goods may be held </w:t>
      </w:r>
      <w:r w:rsidR="00A545BD">
        <w:rPr>
          <w:rFonts w:ascii="Gellix" w:eastAsia="Times New Roman" w:hAnsi="Gellix" w:cs="Times New Roman"/>
          <w:kern w:val="0"/>
          <w:sz w:val="21"/>
          <w:szCs w:val="21"/>
          <w:lang w:val="en-GB"/>
          <w14:ligatures w14:val="none"/>
        </w:rPr>
        <w:t>up at borders,</w:t>
      </w:r>
      <w:r w:rsidR="0049235E">
        <w:rPr>
          <w:rFonts w:ascii="Gellix" w:eastAsia="Times New Roman" w:hAnsi="Gellix" w:cs="Times New Roman"/>
          <w:kern w:val="0"/>
          <w:sz w:val="21"/>
          <w:szCs w:val="21"/>
          <w:lang w:val="en-GB"/>
          <w14:ligatures w14:val="none"/>
        </w:rPr>
        <w:t xml:space="preserve"> customers left waiting, and suppli</w:t>
      </w:r>
      <w:r w:rsidR="00770847">
        <w:rPr>
          <w:rFonts w:ascii="Gellix" w:eastAsia="Times New Roman" w:hAnsi="Gellix" w:cs="Times New Roman"/>
          <w:kern w:val="0"/>
          <w:sz w:val="21"/>
          <w:szCs w:val="21"/>
          <w:lang w:val="en-GB"/>
          <w14:ligatures w14:val="none"/>
        </w:rPr>
        <w:t>er</w:t>
      </w:r>
      <w:r w:rsidR="0049235E">
        <w:rPr>
          <w:rFonts w:ascii="Gellix" w:eastAsia="Times New Roman" w:hAnsi="Gellix" w:cs="Times New Roman"/>
          <w:kern w:val="0"/>
          <w:sz w:val="21"/>
          <w:szCs w:val="21"/>
          <w:lang w:val="en-GB"/>
          <w14:ligatures w14:val="none"/>
        </w:rPr>
        <w:t xml:space="preserve"> performance impacted.</w:t>
      </w:r>
      <w:r w:rsidR="00A545BD">
        <w:rPr>
          <w:rFonts w:ascii="Gellix" w:eastAsia="Times New Roman" w:hAnsi="Gellix" w:cs="Times New Roman"/>
          <w:kern w:val="0"/>
          <w:sz w:val="21"/>
          <w:szCs w:val="21"/>
          <w:lang w:val="en-GB"/>
          <w14:ligatures w14:val="none"/>
        </w:rPr>
        <w:t xml:space="preserve"> </w:t>
      </w:r>
    </w:p>
    <w:p w14:paraId="62589820" w14:textId="02B31306" w:rsidR="005F2BB8" w:rsidRPr="001B27C7" w:rsidRDefault="00770847" w:rsidP="00A12077">
      <w:pPr>
        <w:spacing w:before="100" w:beforeAutospacing="1" w:after="100" w:afterAutospacing="1"/>
        <w:rPr>
          <w:rFonts w:ascii="Gellix" w:eastAsia="Times New Roman" w:hAnsi="Gellix" w:cs="Times New Roman"/>
          <w:kern w:val="0"/>
          <w:sz w:val="21"/>
          <w:szCs w:val="21"/>
          <w:lang w:val="en-GB"/>
          <w14:ligatures w14:val="none"/>
        </w:rPr>
      </w:pPr>
      <w:r>
        <w:rPr>
          <w:rFonts w:ascii="Gellix" w:eastAsia="Times New Roman" w:hAnsi="Gellix" w:cs="Times New Roman"/>
          <w:kern w:val="0"/>
          <w:sz w:val="21"/>
          <w:szCs w:val="21"/>
          <w:lang w:val="en-GB"/>
          <w14:ligatures w14:val="none"/>
        </w:rPr>
        <w:t xml:space="preserve">At the same time, companies must navigate </w:t>
      </w:r>
      <w:r w:rsidR="005F2BB8" w:rsidRPr="001B27C7">
        <w:rPr>
          <w:rFonts w:ascii="Gellix" w:eastAsia="Times New Roman" w:hAnsi="Gellix" w:cs="Times New Roman"/>
          <w:kern w:val="0"/>
          <w:sz w:val="21"/>
          <w:szCs w:val="21"/>
          <w:lang w:val="en-GB"/>
          <w14:ligatures w14:val="none"/>
        </w:rPr>
        <w:t xml:space="preserve">overlapping or conflicting rules across jurisdictions, </w:t>
      </w:r>
      <w:r w:rsidR="001C1DF1" w:rsidRPr="001B27C7">
        <w:rPr>
          <w:rFonts w:ascii="Gellix" w:eastAsia="Times New Roman" w:hAnsi="Gellix" w:cs="Times New Roman"/>
          <w:kern w:val="0"/>
          <w:sz w:val="21"/>
          <w:szCs w:val="21"/>
          <w:lang w:val="en-GB"/>
          <w14:ligatures w14:val="none"/>
        </w:rPr>
        <w:t xml:space="preserve">often </w:t>
      </w:r>
      <w:r w:rsidR="00525CDD" w:rsidRPr="001B27C7">
        <w:rPr>
          <w:rFonts w:ascii="Gellix" w:eastAsia="Times New Roman" w:hAnsi="Gellix" w:cs="Times New Roman"/>
          <w:kern w:val="0"/>
          <w:sz w:val="21"/>
          <w:szCs w:val="21"/>
          <w:lang w:val="en-GB"/>
          <w14:ligatures w14:val="none"/>
        </w:rPr>
        <w:t xml:space="preserve">requiring </w:t>
      </w:r>
      <w:r w:rsidR="001C1DF1" w:rsidRPr="001B27C7">
        <w:rPr>
          <w:rFonts w:ascii="Gellix" w:eastAsia="Times New Roman" w:hAnsi="Gellix" w:cs="Times New Roman"/>
          <w:kern w:val="0"/>
          <w:sz w:val="21"/>
          <w:szCs w:val="21"/>
          <w:lang w:val="en-GB"/>
          <w14:ligatures w14:val="none"/>
        </w:rPr>
        <w:t xml:space="preserve">legal experts, </w:t>
      </w:r>
      <w:r w:rsidR="00525CDD" w:rsidRPr="001B27C7">
        <w:rPr>
          <w:rFonts w:ascii="Gellix" w:eastAsia="Times New Roman" w:hAnsi="Gellix" w:cs="Times New Roman"/>
          <w:kern w:val="0"/>
          <w:sz w:val="21"/>
          <w:szCs w:val="21"/>
          <w:lang w:val="en-GB"/>
          <w14:ligatures w14:val="none"/>
        </w:rPr>
        <w:t xml:space="preserve">duplicate </w:t>
      </w:r>
      <w:r w:rsidR="001C1DF1" w:rsidRPr="001B27C7">
        <w:rPr>
          <w:rFonts w:ascii="Gellix" w:eastAsia="Times New Roman" w:hAnsi="Gellix" w:cs="Times New Roman"/>
          <w:kern w:val="0"/>
          <w:sz w:val="21"/>
          <w:szCs w:val="21"/>
          <w:lang w:val="en-GB"/>
          <w14:ligatures w14:val="none"/>
        </w:rPr>
        <w:t>operational systems and</w:t>
      </w:r>
      <w:r w:rsidR="00FB0E29" w:rsidRPr="001B27C7">
        <w:rPr>
          <w:rFonts w:ascii="Gellix" w:eastAsia="Times New Roman" w:hAnsi="Gellix" w:cs="Times New Roman"/>
          <w:kern w:val="0"/>
          <w:sz w:val="21"/>
          <w:szCs w:val="21"/>
          <w:lang w:val="en-GB"/>
          <w14:ligatures w14:val="none"/>
        </w:rPr>
        <w:t xml:space="preserve"> costly workarounds - </w:t>
      </w:r>
      <w:r w:rsidR="00876091" w:rsidRPr="001B27C7">
        <w:rPr>
          <w:rFonts w:ascii="Gellix" w:eastAsia="Times New Roman" w:hAnsi="Gellix" w:cs="Times New Roman"/>
          <w:kern w:val="0"/>
          <w:sz w:val="21"/>
          <w:szCs w:val="21"/>
          <w:lang w:val="en-GB"/>
          <w14:ligatures w14:val="none"/>
        </w:rPr>
        <w:t>reduc</w:t>
      </w:r>
      <w:r w:rsidR="00FB0E29" w:rsidRPr="001B27C7">
        <w:rPr>
          <w:rFonts w:ascii="Gellix" w:eastAsia="Times New Roman" w:hAnsi="Gellix" w:cs="Times New Roman"/>
          <w:kern w:val="0"/>
          <w:sz w:val="21"/>
          <w:szCs w:val="21"/>
          <w:lang w:val="en-GB"/>
          <w14:ligatures w14:val="none"/>
        </w:rPr>
        <w:t xml:space="preserve">ing agility and diverting resources from </w:t>
      </w:r>
      <w:r w:rsidR="00876091" w:rsidRPr="001B27C7">
        <w:rPr>
          <w:rFonts w:ascii="Gellix" w:eastAsia="Times New Roman" w:hAnsi="Gellix" w:cs="Times New Roman"/>
          <w:kern w:val="0"/>
          <w:sz w:val="21"/>
          <w:szCs w:val="21"/>
          <w:lang w:val="en-GB"/>
          <w14:ligatures w14:val="none"/>
        </w:rPr>
        <w:t>innovation</w:t>
      </w:r>
      <w:r w:rsidR="00FB0E29" w:rsidRPr="001B27C7">
        <w:rPr>
          <w:rFonts w:ascii="Gellix" w:eastAsia="Times New Roman" w:hAnsi="Gellix" w:cs="Times New Roman"/>
          <w:kern w:val="0"/>
          <w:sz w:val="21"/>
          <w:szCs w:val="21"/>
          <w:lang w:val="en-GB"/>
          <w14:ligatures w14:val="none"/>
        </w:rPr>
        <w:t xml:space="preserve"> and growth</w:t>
      </w:r>
      <w:r w:rsidR="00876091" w:rsidRPr="001B27C7">
        <w:rPr>
          <w:rFonts w:ascii="Gellix" w:eastAsia="Times New Roman" w:hAnsi="Gellix" w:cs="Times New Roman"/>
          <w:kern w:val="0"/>
          <w:sz w:val="21"/>
          <w:szCs w:val="21"/>
          <w:lang w:val="en-GB"/>
          <w14:ligatures w14:val="none"/>
        </w:rPr>
        <w:t>.</w:t>
      </w:r>
      <w:r w:rsidR="001B27C7" w:rsidRPr="001B27C7">
        <w:rPr>
          <w:rFonts w:ascii="Gellix" w:eastAsia="Times New Roman" w:hAnsi="Gellix" w:cs="Times New Roman"/>
          <w:kern w:val="0"/>
          <w:sz w:val="21"/>
          <w:szCs w:val="21"/>
          <w:lang w:val="en-GB"/>
          <w14:ligatures w14:val="none"/>
        </w:rPr>
        <w:t xml:space="preserve"> Data flow restrictions also limit the use of digital supply chain innovations—such as IoT tracking, predictive inventory, and supply risk analytics—making it harder for businesses to detect delays, avoid shortages, or adapt to supplier issues. The result is a less agile, more vulnerable supply chain.</w:t>
      </w:r>
    </w:p>
    <w:p w14:paraId="7D7AE452" w14:textId="77777777" w:rsidR="002961AB" w:rsidRPr="008B22E5" w:rsidRDefault="002961AB" w:rsidP="00DC328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Lack of Interoperable Standards Limits Supply Chain Digitalization</w:t>
      </w:r>
    </w:p>
    <w:p w14:paraId="00BD8B50" w14:textId="581D42C8" w:rsidR="00A12077" w:rsidRPr="00686052" w:rsidRDefault="00A73F71" w:rsidP="00A12077">
      <w:pPr>
        <w:spacing w:before="100" w:beforeAutospacing="1" w:after="100" w:afterAutospacing="1"/>
        <w:rPr>
          <w:rFonts w:ascii="Gellix" w:eastAsia="Times New Roman" w:hAnsi="Gellix" w:cs="Times New Roman"/>
          <w:kern w:val="0"/>
          <w:sz w:val="21"/>
          <w:szCs w:val="21"/>
          <w:lang w:val="en-GB"/>
          <w14:ligatures w14:val="none"/>
        </w:rPr>
      </w:pPr>
      <w:r w:rsidRPr="00A73F71">
        <w:rPr>
          <w:rFonts w:ascii="Gellix" w:eastAsia="Times New Roman" w:hAnsi="Gellix" w:cs="Times New Roman"/>
          <w:kern w:val="0"/>
          <w:sz w:val="21"/>
          <w:szCs w:val="21"/>
          <w:lang w:val="en-GB"/>
          <w14:ligatures w14:val="none"/>
        </w:rPr>
        <w:t>Cross-border data flows depend not just on permission to transfer data, but also on compatible rules and systems that allow supply chain partners to exchange and act on that data. Conflicting regulations and inconsistent standards make it harder to implement end-to-end digital solutions across markets.</w:t>
      </w:r>
      <w:r>
        <w:rPr>
          <w:rFonts w:ascii="Gellix" w:eastAsia="Times New Roman" w:hAnsi="Gellix" w:cs="Times New Roman"/>
          <w:kern w:val="0"/>
          <w:sz w:val="21"/>
          <w:szCs w:val="21"/>
          <w:lang w:val="en-GB"/>
          <w14:ligatures w14:val="none"/>
        </w:rPr>
        <w:t xml:space="preserve"> </w:t>
      </w:r>
      <w:r w:rsidR="00EA08D3" w:rsidRPr="00686052">
        <w:rPr>
          <w:rFonts w:ascii="Gellix" w:eastAsia="Times New Roman" w:hAnsi="Gellix" w:cs="Times New Roman"/>
          <w:kern w:val="0"/>
          <w:sz w:val="21"/>
          <w:szCs w:val="21"/>
          <w:lang w:val="en-GB"/>
          <w14:ligatures w14:val="none"/>
        </w:rPr>
        <w:t xml:space="preserve">For example, a multinational logistics company may want to use a single cloud-based system to coordinate shipping, customs clearance, and delivery across countries. But if one country restricts the transfer of logistics data or requires local data storage, the company </w:t>
      </w:r>
      <w:r w:rsidR="0067382C">
        <w:rPr>
          <w:rFonts w:ascii="Gellix" w:eastAsia="Times New Roman" w:hAnsi="Gellix" w:cs="Times New Roman"/>
          <w:kern w:val="0"/>
          <w:sz w:val="21"/>
          <w:szCs w:val="21"/>
          <w:lang w:val="en-GB"/>
          <w14:ligatures w14:val="none"/>
        </w:rPr>
        <w:t xml:space="preserve">must </w:t>
      </w:r>
      <w:r w:rsidR="00EA08D3" w:rsidRPr="00686052">
        <w:rPr>
          <w:rFonts w:ascii="Gellix" w:eastAsia="Times New Roman" w:hAnsi="Gellix" w:cs="Times New Roman"/>
          <w:kern w:val="0"/>
          <w:sz w:val="21"/>
          <w:szCs w:val="21"/>
          <w:lang w:val="en-GB"/>
          <w14:ligatures w14:val="none"/>
        </w:rPr>
        <w:t xml:space="preserve">build </w:t>
      </w:r>
      <w:r w:rsidR="0067382C">
        <w:rPr>
          <w:rFonts w:ascii="Gellix" w:eastAsia="Times New Roman" w:hAnsi="Gellix" w:cs="Times New Roman"/>
          <w:kern w:val="0"/>
          <w:sz w:val="21"/>
          <w:szCs w:val="21"/>
          <w:lang w:val="en-GB"/>
          <w14:ligatures w14:val="none"/>
        </w:rPr>
        <w:t xml:space="preserve">a </w:t>
      </w:r>
      <w:r w:rsidR="00EA08D3" w:rsidRPr="00686052">
        <w:rPr>
          <w:rFonts w:ascii="Gellix" w:eastAsia="Times New Roman" w:hAnsi="Gellix" w:cs="Times New Roman"/>
          <w:kern w:val="0"/>
          <w:sz w:val="21"/>
          <w:szCs w:val="21"/>
          <w:lang w:val="en-GB"/>
          <w14:ligatures w14:val="none"/>
        </w:rPr>
        <w:t>separate system for that country</w:t>
      </w:r>
      <w:r w:rsidR="0067382C">
        <w:rPr>
          <w:rFonts w:ascii="Gellix" w:eastAsia="Times New Roman" w:hAnsi="Gellix" w:cs="Times New Roman"/>
          <w:kern w:val="0"/>
          <w:sz w:val="21"/>
          <w:szCs w:val="21"/>
          <w:lang w:val="en-GB"/>
          <w14:ligatures w14:val="none"/>
        </w:rPr>
        <w:t xml:space="preserve"> - increasing </w:t>
      </w:r>
      <w:r w:rsidR="00EA08D3" w:rsidRPr="00686052">
        <w:rPr>
          <w:rFonts w:ascii="Gellix" w:eastAsia="Times New Roman" w:hAnsi="Gellix" w:cs="Times New Roman"/>
          <w:kern w:val="0"/>
          <w:sz w:val="21"/>
          <w:szCs w:val="21"/>
          <w:lang w:val="en-GB"/>
          <w14:ligatures w14:val="none"/>
        </w:rPr>
        <w:t>cost</w:t>
      </w:r>
      <w:r w:rsidR="0067382C">
        <w:rPr>
          <w:rFonts w:ascii="Gellix" w:eastAsia="Times New Roman" w:hAnsi="Gellix" w:cs="Times New Roman"/>
          <w:kern w:val="0"/>
          <w:sz w:val="21"/>
          <w:szCs w:val="21"/>
          <w:lang w:val="en-GB"/>
          <w14:ligatures w14:val="none"/>
        </w:rPr>
        <w:t>s</w:t>
      </w:r>
      <w:r w:rsidR="00EA08D3" w:rsidRPr="00686052">
        <w:rPr>
          <w:rFonts w:ascii="Gellix" w:eastAsia="Times New Roman" w:hAnsi="Gellix" w:cs="Times New Roman"/>
          <w:kern w:val="0"/>
          <w:sz w:val="21"/>
          <w:szCs w:val="21"/>
          <w:lang w:val="en-GB"/>
          <w14:ligatures w14:val="none"/>
        </w:rPr>
        <w:t>, delaying upgrades, and reducing visibility across the supply chain.</w:t>
      </w:r>
      <w:r w:rsidR="004A46E5">
        <w:rPr>
          <w:rFonts w:ascii="Gellix" w:eastAsia="Times New Roman" w:hAnsi="Gellix" w:cs="Times New Roman"/>
          <w:kern w:val="0"/>
          <w:sz w:val="21"/>
          <w:szCs w:val="21"/>
          <w:lang w:val="en-GB"/>
          <w14:ligatures w14:val="none"/>
        </w:rPr>
        <w:t xml:space="preserve"> </w:t>
      </w:r>
    </w:p>
    <w:p w14:paraId="0BE8F8AE" w14:textId="7FDBCF8B" w:rsidR="004A003D" w:rsidRDefault="000D5F2D" w:rsidP="00A12077">
      <w:pPr>
        <w:spacing w:before="100" w:beforeAutospacing="1" w:after="100" w:afterAutospacing="1"/>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lastRenderedPageBreak/>
        <w:t xml:space="preserve">MSMEs in supply networks face </w:t>
      </w:r>
      <w:r w:rsidR="00210F61">
        <w:rPr>
          <w:rFonts w:ascii="Gellix" w:eastAsia="Times New Roman" w:hAnsi="Gellix" w:cs="Times New Roman"/>
          <w:kern w:val="0"/>
          <w:sz w:val="21"/>
          <w:szCs w:val="21"/>
          <w:lang w:val="en-GB"/>
          <w14:ligatures w14:val="none"/>
        </w:rPr>
        <w:t xml:space="preserve">even greater challenges. </w:t>
      </w:r>
      <w:r w:rsidR="00F24A1D" w:rsidRPr="00686052">
        <w:rPr>
          <w:rFonts w:ascii="Gellix" w:eastAsia="Times New Roman" w:hAnsi="Gellix" w:cs="Times New Roman"/>
          <w:kern w:val="0"/>
          <w:sz w:val="21"/>
          <w:szCs w:val="21"/>
          <w:lang w:val="en-GB"/>
          <w14:ligatures w14:val="none"/>
        </w:rPr>
        <w:t xml:space="preserve"> </w:t>
      </w:r>
      <w:r w:rsidR="00210F61">
        <w:rPr>
          <w:rFonts w:ascii="Gellix" w:eastAsia="Times New Roman" w:hAnsi="Gellix" w:cs="Times New Roman"/>
          <w:kern w:val="0"/>
          <w:sz w:val="21"/>
          <w:szCs w:val="21"/>
          <w:lang w:val="en-GB"/>
          <w14:ligatures w14:val="none"/>
        </w:rPr>
        <w:t xml:space="preserve">A </w:t>
      </w:r>
      <w:r w:rsidR="00F24A1D" w:rsidRPr="00686052">
        <w:rPr>
          <w:rFonts w:ascii="Gellix" w:eastAsia="Times New Roman" w:hAnsi="Gellix" w:cs="Times New Roman"/>
          <w:kern w:val="0"/>
          <w:sz w:val="21"/>
          <w:szCs w:val="21"/>
          <w:lang w:val="en-GB"/>
          <w14:ligatures w14:val="none"/>
        </w:rPr>
        <w:t xml:space="preserve">small manufacturer </w:t>
      </w:r>
      <w:r w:rsidR="004D6CFD">
        <w:rPr>
          <w:rFonts w:ascii="Gellix" w:eastAsia="Times New Roman" w:hAnsi="Gellix" w:cs="Times New Roman"/>
          <w:kern w:val="0"/>
          <w:sz w:val="21"/>
          <w:szCs w:val="21"/>
          <w:lang w:val="en-GB"/>
          <w14:ligatures w14:val="none"/>
        </w:rPr>
        <w:t xml:space="preserve">selling inputs to a multinational buyer </w:t>
      </w:r>
      <w:r w:rsidR="00F24A1D" w:rsidRPr="00686052">
        <w:rPr>
          <w:rFonts w:ascii="Gellix" w:eastAsia="Times New Roman" w:hAnsi="Gellix" w:cs="Times New Roman"/>
          <w:kern w:val="0"/>
          <w:sz w:val="21"/>
          <w:szCs w:val="21"/>
          <w:lang w:val="en-GB"/>
          <w14:ligatures w14:val="none"/>
        </w:rPr>
        <w:t xml:space="preserve">may need to comply with </w:t>
      </w:r>
      <w:r w:rsidR="002F1F20">
        <w:rPr>
          <w:rFonts w:ascii="Gellix" w:eastAsia="Times New Roman" w:hAnsi="Gellix" w:cs="Times New Roman"/>
          <w:kern w:val="0"/>
          <w:sz w:val="21"/>
          <w:szCs w:val="21"/>
          <w:lang w:val="en-GB"/>
          <w14:ligatures w14:val="none"/>
        </w:rPr>
        <w:t xml:space="preserve">multiple layers of </w:t>
      </w:r>
      <w:r w:rsidR="00F24A1D" w:rsidRPr="00686052">
        <w:rPr>
          <w:rFonts w:ascii="Gellix" w:eastAsia="Times New Roman" w:hAnsi="Gellix" w:cs="Times New Roman"/>
          <w:kern w:val="0"/>
          <w:sz w:val="21"/>
          <w:szCs w:val="21"/>
          <w:lang w:val="en-GB"/>
          <w14:ligatures w14:val="none"/>
        </w:rPr>
        <w:t xml:space="preserve">data privacy and cybersecurity rules </w:t>
      </w:r>
      <w:r w:rsidR="002F1F20">
        <w:rPr>
          <w:rFonts w:ascii="Gellix" w:eastAsia="Times New Roman" w:hAnsi="Gellix" w:cs="Times New Roman"/>
          <w:kern w:val="0"/>
          <w:sz w:val="21"/>
          <w:szCs w:val="21"/>
          <w:lang w:val="en-GB"/>
          <w14:ligatures w14:val="none"/>
        </w:rPr>
        <w:t xml:space="preserve">across </w:t>
      </w:r>
      <w:r w:rsidR="00BC55DB">
        <w:rPr>
          <w:rFonts w:ascii="Gellix" w:eastAsia="Times New Roman" w:hAnsi="Gellix" w:cs="Times New Roman"/>
          <w:kern w:val="0"/>
          <w:sz w:val="21"/>
          <w:szCs w:val="21"/>
          <w:lang w:val="en-GB"/>
          <w14:ligatures w14:val="none"/>
        </w:rPr>
        <w:t>jurisdictions</w:t>
      </w:r>
      <w:r w:rsidR="00F24A1D" w:rsidRPr="00686052">
        <w:rPr>
          <w:rFonts w:ascii="Gellix" w:eastAsia="Times New Roman" w:hAnsi="Gellix" w:cs="Times New Roman"/>
          <w:kern w:val="0"/>
          <w:sz w:val="21"/>
          <w:szCs w:val="21"/>
          <w:lang w:val="en-GB"/>
          <w14:ligatures w14:val="none"/>
        </w:rPr>
        <w:t xml:space="preserve">. Without legal support or digital infrastructure, many MSMEs </w:t>
      </w:r>
      <w:r w:rsidR="00B75B26">
        <w:rPr>
          <w:rFonts w:ascii="Gellix" w:eastAsia="Times New Roman" w:hAnsi="Gellix" w:cs="Times New Roman"/>
          <w:kern w:val="0"/>
          <w:sz w:val="21"/>
          <w:szCs w:val="21"/>
          <w:lang w:val="en-GB"/>
          <w14:ligatures w14:val="none"/>
        </w:rPr>
        <w:t xml:space="preserve">are simply unable </w:t>
      </w:r>
      <w:r w:rsidR="00F24A1D" w:rsidRPr="00686052">
        <w:rPr>
          <w:rFonts w:ascii="Gellix" w:eastAsia="Times New Roman" w:hAnsi="Gellix" w:cs="Times New Roman"/>
          <w:kern w:val="0"/>
          <w:sz w:val="21"/>
          <w:szCs w:val="21"/>
          <w:lang w:val="en-GB"/>
          <w14:ligatures w14:val="none"/>
        </w:rPr>
        <w:t>to comply</w:t>
      </w:r>
      <w:r w:rsidR="00BC55DB">
        <w:rPr>
          <w:rFonts w:ascii="Gellix" w:eastAsia="Times New Roman" w:hAnsi="Gellix" w:cs="Times New Roman"/>
          <w:kern w:val="0"/>
          <w:sz w:val="21"/>
          <w:szCs w:val="21"/>
          <w:lang w:val="en-GB"/>
          <w14:ligatures w14:val="none"/>
        </w:rPr>
        <w:t xml:space="preserve">, </w:t>
      </w:r>
      <w:r w:rsidR="00F24A1D" w:rsidRPr="00686052">
        <w:rPr>
          <w:rFonts w:ascii="Gellix" w:eastAsia="Times New Roman" w:hAnsi="Gellix" w:cs="Times New Roman"/>
          <w:kern w:val="0"/>
          <w:sz w:val="21"/>
          <w:szCs w:val="21"/>
          <w:lang w:val="en-GB"/>
          <w14:ligatures w14:val="none"/>
        </w:rPr>
        <w:t>cutting them off from global</w:t>
      </w:r>
      <w:r w:rsidR="00915BEE">
        <w:rPr>
          <w:rFonts w:ascii="Gellix" w:eastAsia="Times New Roman" w:hAnsi="Gellix" w:cs="Times New Roman"/>
          <w:kern w:val="0"/>
          <w:sz w:val="21"/>
          <w:szCs w:val="21"/>
          <w:lang w:val="en-GB"/>
          <w14:ligatures w14:val="none"/>
        </w:rPr>
        <w:t xml:space="preserve"> value chains</w:t>
      </w:r>
      <w:r w:rsidR="00F24A1D" w:rsidRPr="00686052">
        <w:rPr>
          <w:rFonts w:ascii="Gellix" w:eastAsia="Times New Roman" w:hAnsi="Gellix" w:cs="Times New Roman"/>
          <w:kern w:val="0"/>
          <w:sz w:val="21"/>
          <w:szCs w:val="21"/>
          <w:lang w:val="en-GB"/>
          <w14:ligatures w14:val="none"/>
        </w:rPr>
        <w:t>.</w:t>
      </w:r>
    </w:p>
    <w:p w14:paraId="64C839FC" w14:textId="5475C3C5" w:rsidR="00A522EE" w:rsidRPr="00686052" w:rsidRDefault="00915BEE" w:rsidP="00A12077">
      <w:pPr>
        <w:spacing w:before="100" w:beforeAutospacing="1" w:after="100" w:afterAutospacing="1"/>
        <w:rPr>
          <w:rFonts w:ascii="Gellix" w:eastAsia="Times New Roman" w:hAnsi="Gellix" w:cs="Times New Roman"/>
          <w:kern w:val="0"/>
          <w:sz w:val="21"/>
          <w:szCs w:val="21"/>
          <w:lang w:val="en-GB"/>
          <w14:ligatures w14:val="none"/>
        </w:rPr>
      </w:pPr>
      <w:r>
        <w:rPr>
          <w:rFonts w:ascii="Gellix" w:eastAsia="Times New Roman" w:hAnsi="Gellix" w:cs="Times New Roman"/>
          <w:kern w:val="0"/>
          <w:sz w:val="21"/>
          <w:szCs w:val="21"/>
          <w:lang w:val="en-GB"/>
          <w14:ligatures w14:val="none"/>
        </w:rPr>
        <w:t xml:space="preserve"> Even in digital-first environments, </w:t>
      </w:r>
      <w:r w:rsidR="00BC74BB">
        <w:rPr>
          <w:rFonts w:ascii="Gellix" w:eastAsia="Times New Roman" w:hAnsi="Gellix" w:cs="Times New Roman"/>
          <w:kern w:val="0"/>
          <w:sz w:val="21"/>
          <w:szCs w:val="21"/>
          <w:lang w:val="en-GB"/>
          <w14:ligatures w14:val="none"/>
        </w:rPr>
        <w:t>i</w:t>
      </w:r>
      <w:r w:rsidR="000D5F2D" w:rsidRPr="008B22E5">
        <w:rPr>
          <w:rFonts w:ascii="Gellix" w:eastAsia="Times New Roman" w:hAnsi="Gellix" w:cs="Times New Roman"/>
          <w:kern w:val="0"/>
          <w:sz w:val="21"/>
          <w:szCs w:val="21"/>
          <w:lang w:val="en-GB"/>
          <w14:ligatures w14:val="none"/>
        </w:rPr>
        <w:t xml:space="preserve">nconsistent standards </w:t>
      </w:r>
      <w:r>
        <w:rPr>
          <w:rFonts w:ascii="Gellix" w:eastAsia="Times New Roman" w:hAnsi="Gellix" w:cs="Times New Roman"/>
          <w:kern w:val="0"/>
          <w:sz w:val="21"/>
          <w:szCs w:val="21"/>
          <w:lang w:val="en-GB"/>
          <w14:ligatures w14:val="none"/>
        </w:rPr>
        <w:t xml:space="preserve">for electronic documentation </w:t>
      </w:r>
      <w:r w:rsidR="00EF7BCF" w:rsidRPr="00EF7BCF">
        <w:rPr>
          <w:rFonts w:ascii="Gellix" w:eastAsia="Times New Roman" w:hAnsi="Gellix" w:cs="Times New Roman"/>
          <w:kern w:val="0"/>
          <w:sz w:val="21"/>
          <w:szCs w:val="21"/>
          <w:lang w:val="en-GB"/>
          <w14:ligatures w14:val="none"/>
        </w:rPr>
        <w:t>disrupt data flows by making it harder for supply chain partners to transmit and process electronic information across borders.</w:t>
      </w:r>
      <w:r w:rsidR="00EF7BCF">
        <w:rPr>
          <w:rFonts w:ascii="Gellix" w:eastAsia="Times New Roman" w:hAnsi="Gellix" w:cs="Times New Roman"/>
          <w:kern w:val="0"/>
          <w:sz w:val="21"/>
          <w:szCs w:val="21"/>
          <w:lang w:val="en-GB"/>
          <w14:ligatures w14:val="none"/>
        </w:rPr>
        <w:t xml:space="preserve"> </w:t>
      </w:r>
      <w:r w:rsidR="002F6DDC">
        <w:rPr>
          <w:rFonts w:ascii="Gellix" w:eastAsia="Times New Roman" w:hAnsi="Gellix" w:cs="Times New Roman"/>
          <w:kern w:val="0"/>
          <w:sz w:val="21"/>
          <w:szCs w:val="21"/>
          <w:lang w:val="en-GB"/>
          <w14:ligatures w14:val="none"/>
        </w:rPr>
        <w:t>A business shipping goods</w:t>
      </w:r>
      <w:r w:rsidR="00EF7BCF">
        <w:rPr>
          <w:rFonts w:ascii="Gellix" w:eastAsia="Times New Roman" w:hAnsi="Gellix" w:cs="Times New Roman"/>
          <w:kern w:val="0"/>
          <w:sz w:val="21"/>
          <w:szCs w:val="21"/>
          <w:lang w:val="en-GB"/>
          <w14:ligatures w14:val="none"/>
        </w:rPr>
        <w:t xml:space="preserve"> </w:t>
      </w:r>
      <w:r w:rsidR="002F6DDC">
        <w:rPr>
          <w:rFonts w:ascii="Gellix" w:eastAsia="Times New Roman" w:hAnsi="Gellix" w:cs="Times New Roman"/>
          <w:kern w:val="0"/>
          <w:sz w:val="21"/>
          <w:szCs w:val="21"/>
          <w:lang w:val="en-GB"/>
          <w14:ligatures w14:val="none"/>
        </w:rPr>
        <w:t xml:space="preserve">may have to print and courier paper documents to meet local customs requirements, even if </w:t>
      </w:r>
      <w:r w:rsidR="00FB2EF5">
        <w:rPr>
          <w:rFonts w:ascii="Gellix" w:eastAsia="Times New Roman" w:hAnsi="Gellix" w:cs="Times New Roman"/>
          <w:kern w:val="0"/>
          <w:sz w:val="21"/>
          <w:szCs w:val="21"/>
          <w:lang w:val="en-GB"/>
          <w14:ligatures w14:val="none"/>
        </w:rPr>
        <w:t xml:space="preserve">its </w:t>
      </w:r>
      <w:r w:rsidR="002F6DDC">
        <w:rPr>
          <w:rFonts w:ascii="Gellix" w:eastAsia="Times New Roman" w:hAnsi="Gellix" w:cs="Times New Roman"/>
          <w:kern w:val="0"/>
          <w:sz w:val="21"/>
          <w:szCs w:val="21"/>
          <w:lang w:val="en-GB"/>
          <w14:ligatures w14:val="none"/>
        </w:rPr>
        <w:t xml:space="preserve">internal systems are fully digital. This causes </w:t>
      </w:r>
      <w:r w:rsidR="00AB31FC">
        <w:rPr>
          <w:rFonts w:ascii="Gellix" w:eastAsia="Times New Roman" w:hAnsi="Gellix" w:cs="Times New Roman"/>
          <w:kern w:val="0"/>
          <w:sz w:val="21"/>
          <w:szCs w:val="21"/>
          <w:lang w:val="en-GB"/>
          <w14:ligatures w14:val="none"/>
        </w:rPr>
        <w:t>delays</w:t>
      </w:r>
      <w:r w:rsidR="002F6DDC">
        <w:rPr>
          <w:rFonts w:ascii="Gellix" w:eastAsia="Times New Roman" w:hAnsi="Gellix" w:cs="Times New Roman"/>
          <w:kern w:val="0"/>
          <w:sz w:val="21"/>
          <w:szCs w:val="21"/>
          <w:lang w:val="en-GB"/>
          <w14:ligatures w14:val="none"/>
        </w:rPr>
        <w:t xml:space="preserve"> at the border, increases the chance of human </w:t>
      </w:r>
      <w:r w:rsidR="00AB31FC">
        <w:rPr>
          <w:rFonts w:ascii="Gellix" w:eastAsia="Times New Roman" w:hAnsi="Gellix" w:cs="Times New Roman"/>
          <w:kern w:val="0"/>
          <w:sz w:val="21"/>
          <w:szCs w:val="21"/>
          <w:lang w:val="en-GB"/>
          <w14:ligatures w14:val="none"/>
        </w:rPr>
        <w:t>errors</w:t>
      </w:r>
      <w:r w:rsidR="002F6DDC">
        <w:rPr>
          <w:rFonts w:ascii="Gellix" w:eastAsia="Times New Roman" w:hAnsi="Gellix" w:cs="Times New Roman"/>
          <w:kern w:val="0"/>
          <w:sz w:val="21"/>
          <w:szCs w:val="21"/>
          <w:lang w:val="en-GB"/>
          <w14:ligatures w14:val="none"/>
        </w:rPr>
        <w:t xml:space="preserve">, and undermines </w:t>
      </w:r>
      <w:r w:rsidR="00AB31FC">
        <w:rPr>
          <w:rFonts w:ascii="Gellix" w:eastAsia="Times New Roman" w:hAnsi="Gellix" w:cs="Times New Roman"/>
          <w:kern w:val="0"/>
          <w:sz w:val="21"/>
          <w:szCs w:val="21"/>
          <w:lang w:val="en-GB"/>
          <w14:ligatures w14:val="none"/>
        </w:rPr>
        <w:t>efficiency gains from automated digital tools and processes.</w:t>
      </w:r>
    </w:p>
    <w:p w14:paraId="7999524B" w14:textId="77777777" w:rsidR="002961AB" w:rsidRPr="008B22E5" w:rsidRDefault="002961AB" w:rsidP="004A003D">
      <w:pPr>
        <w:keepNext/>
        <w:keepLines/>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b/>
          <w:bCs/>
          <w:kern w:val="0"/>
          <w:sz w:val="21"/>
          <w:szCs w:val="21"/>
          <w:lang w:val="en-GB"/>
          <w14:ligatures w14:val="none"/>
        </w:rPr>
        <w:t>Confidential Business Information (CBI) &amp; Compliance Risks</w:t>
      </w:r>
    </w:p>
    <w:p w14:paraId="6C8A6019" w14:textId="23E20C09" w:rsidR="000D5F2D" w:rsidRPr="00802837" w:rsidRDefault="000D5F2D" w:rsidP="004A003D">
      <w:pPr>
        <w:keepNext/>
        <w:keepLines/>
        <w:spacing w:before="100" w:beforeAutospacing="1" w:after="100" w:afterAutospacing="1" w:line="240" w:lineRule="auto"/>
        <w:rPr>
          <w:rFonts w:ascii="Gellix" w:eastAsia="Times New Roman" w:hAnsi="Gellix" w:cs="Times New Roman"/>
          <w:kern w:val="0"/>
          <w:sz w:val="21"/>
          <w:szCs w:val="21"/>
          <w:lang w:val="en-GB"/>
          <w14:ligatures w14:val="none"/>
        </w:rPr>
      </w:pPr>
      <w:r w:rsidRPr="008B22E5">
        <w:rPr>
          <w:rFonts w:ascii="Gellix" w:eastAsia="Times New Roman" w:hAnsi="Gellix" w:cs="Times New Roman"/>
          <w:kern w:val="0"/>
          <w:sz w:val="21"/>
          <w:szCs w:val="21"/>
          <w:lang w:val="en-GB"/>
          <w14:ligatures w14:val="none"/>
        </w:rPr>
        <w:t xml:space="preserve">Supply chain data </w:t>
      </w:r>
      <w:r w:rsidR="005E0783">
        <w:rPr>
          <w:rFonts w:ascii="Gellix" w:eastAsia="Times New Roman" w:hAnsi="Gellix" w:cs="Times New Roman"/>
          <w:kern w:val="0"/>
          <w:sz w:val="21"/>
          <w:szCs w:val="21"/>
          <w:lang w:val="en-GB"/>
          <w14:ligatures w14:val="none"/>
        </w:rPr>
        <w:t xml:space="preserve">flows </w:t>
      </w:r>
      <w:r w:rsidR="00105DE2">
        <w:rPr>
          <w:rFonts w:ascii="Gellix" w:eastAsia="Times New Roman" w:hAnsi="Gellix" w:cs="Times New Roman"/>
          <w:kern w:val="0"/>
          <w:sz w:val="21"/>
          <w:szCs w:val="21"/>
          <w:lang w:val="en-GB"/>
          <w14:ligatures w14:val="none"/>
        </w:rPr>
        <w:t xml:space="preserve">often </w:t>
      </w:r>
      <w:r w:rsidR="0003488E">
        <w:rPr>
          <w:rFonts w:ascii="Gellix" w:eastAsia="Times New Roman" w:hAnsi="Gellix" w:cs="Times New Roman"/>
          <w:kern w:val="0"/>
          <w:sz w:val="21"/>
          <w:szCs w:val="21"/>
          <w:lang w:val="en-GB"/>
          <w14:ligatures w14:val="none"/>
        </w:rPr>
        <w:t xml:space="preserve">involve the transfer of </w:t>
      </w:r>
      <w:r w:rsidR="00A74557">
        <w:rPr>
          <w:rFonts w:ascii="Gellix" w:eastAsia="Times New Roman" w:hAnsi="Gellix" w:cs="Times New Roman"/>
          <w:kern w:val="0"/>
          <w:sz w:val="21"/>
          <w:szCs w:val="21"/>
          <w:lang w:val="en-GB"/>
          <w14:ligatures w14:val="none"/>
        </w:rPr>
        <w:t xml:space="preserve">highly </w:t>
      </w:r>
      <w:r w:rsidR="0078682F">
        <w:rPr>
          <w:rFonts w:ascii="Gellix" w:eastAsia="Times New Roman" w:hAnsi="Gellix" w:cs="Times New Roman"/>
          <w:kern w:val="0"/>
          <w:sz w:val="21"/>
          <w:szCs w:val="21"/>
          <w:lang w:val="en-GB"/>
          <w14:ligatures w14:val="none"/>
        </w:rPr>
        <w:t xml:space="preserve">sensitive commercial information, </w:t>
      </w:r>
      <w:r w:rsidR="00AD3CC8">
        <w:rPr>
          <w:rFonts w:ascii="Gellix" w:eastAsia="Times New Roman" w:hAnsi="Gellix" w:cs="Times New Roman"/>
          <w:kern w:val="0"/>
          <w:sz w:val="21"/>
          <w:szCs w:val="21"/>
          <w:lang w:val="en-GB"/>
          <w14:ligatures w14:val="none"/>
        </w:rPr>
        <w:t xml:space="preserve">ranging from </w:t>
      </w:r>
      <w:r w:rsidRPr="008B22E5">
        <w:rPr>
          <w:rFonts w:ascii="Gellix" w:eastAsia="Times New Roman" w:hAnsi="Gellix" w:cs="Times New Roman"/>
          <w:kern w:val="0"/>
          <w:sz w:val="21"/>
          <w:szCs w:val="21"/>
          <w:lang w:val="en-GB"/>
          <w14:ligatures w14:val="none"/>
        </w:rPr>
        <w:t>supplier networks, inventory levels, logistics rout</w:t>
      </w:r>
      <w:r w:rsidR="00AD3CC8">
        <w:rPr>
          <w:rFonts w:ascii="Gellix" w:eastAsia="Times New Roman" w:hAnsi="Gellix" w:cs="Times New Roman"/>
          <w:kern w:val="0"/>
          <w:sz w:val="21"/>
          <w:szCs w:val="21"/>
          <w:lang w:val="en-GB"/>
          <w14:ligatures w14:val="none"/>
        </w:rPr>
        <w:t>es</w:t>
      </w:r>
      <w:r w:rsidRPr="008B22E5">
        <w:rPr>
          <w:rFonts w:ascii="Gellix" w:eastAsia="Times New Roman" w:hAnsi="Gellix" w:cs="Times New Roman"/>
          <w:kern w:val="0"/>
          <w:sz w:val="21"/>
          <w:szCs w:val="21"/>
          <w:lang w:val="en-GB"/>
          <w14:ligatures w14:val="none"/>
        </w:rPr>
        <w:t xml:space="preserve">, </w:t>
      </w:r>
      <w:r w:rsidR="00001ECB">
        <w:rPr>
          <w:rFonts w:ascii="Gellix" w:eastAsia="Times New Roman" w:hAnsi="Gellix" w:cs="Times New Roman"/>
          <w:kern w:val="0"/>
          <w:sz w:val="21"/>
          <w:szCs w:val="21"/>
          <w:lang w:val="en-GB"/>
          <w14:ligatures w14:val="none"/>
        </w:rPr>
        <w:t xml:space="preserve">and </w:t>
      </w:r>
      <w:r w:rsidRPr="008B22E5">
        <w:rPr>
          <w:rFonts w:ascii="Gellix" w:eastAsia="Times New Roman" w:hAnsi="Gellix" w:cs="Times New Roman"/>
          <w:kern w:val="0"/>
          <w:sz w:val="21"/>
          <w:szCs w:val="21"/>
          <w:lang w:val="en-GB"/>
          <w14:ligatures w14:val="none"/>
        </w:rPr>
        <w:t>trade finance records</w:t>
      </w:r>
      <w:r w:rsidR="001C330E">
        <w:rPr>
          <w:rFonts w:ascii="Gellix" w:eastAsia="Times New Roman" w:hAnsi="Gellix" w:cs="Times New Roman"/>
          <w:kern w:val="0"/>
          <w:sz w:val="21"/>
          <w:szCs w:val="21"/>
          <w:lang w:val="en-GB"/>
          <w14:ligatures w14:val="none"/>
        </w:rPr>
        <w:t xml:space="preserve">, </w:t>
      </w:r>
      <w:r w:rsidR="00001ECB">
        <w:rPr>
          <w:rFonts w:ascii="Gellix" w:eastAsia="Times New Roman" w:hAnsi="Gellix" w:cs="Times New Roman"/>
          <w:kern w:val="0"/>
          <w:sz w:val="21"/>
          <w:szCs w:val="21"/>
          <w:lang w:val="en-GB"/>
          <w14:ligatures w14:val="none"/>
        </w:rPr>
        <w:t xml:space="preserve">to </w:t>
      </w:r>
      <w:r w:rsidR="001C330E" w:rsidRPr="00686052">
        <w:rPr>
          <w:rFonts w:ascii="Gellix" w:eastAsia="Times New Roman" w:hAnsi="Gellix" w:cs="Times New Roman"/>
          <w:kern w:val="0"/>
          <w:sz w:val="21"/>
          <w:szCs w:val="21"/>
          <w:lang w:val="en-GB"/>
          <w14:ligatures w14:val="none"/>
        </w:rPr>
        <w:t>Confidential Business Information (CBI)</w:t>
      </w:r>
      <w:r w:rsidR="00001ECB">
        <w:rPr>
          <w:rFonts w:ascii="Gellix" w:eastAsia="Times New Roman" w:hAnsi="Gellix" w:cs="Times New Roman"/>
          <w:kern w:val="0"/>
          <w:sz w:val="21"/>
          <w:szCs w:val="21"/>
          <w:lang w:val="en-GB"/>
          <w14:ligatures w14:val="none"/>
        </w:rPr>
        <w:t xml:space="preserve">, such as </w:t>
      </w:r>
      <w:r w:rsidR="001C330E" w:rsidRPr="00686052">
        <w:rPr>
          <w:rFonts w:ascii="Gellix" w:eastAsia="Times New Roman" w:hAnsi="Gellix" w:cs="Times New Roman"/>
          <w:kern w:val="0"/>
          <w:sz w:val="21"/>
          <w:szCs w:val="21"/>
          <w:lang w:val="en-GB"/>
          <w14:ligatures w14:val="none"/>
        </w:rPr>
        <w:t>profit margins, customer lists, purchase histories, supplier contracts, pricing agreements, and product designs</w:t>
      </w:r>
      <w:r w:rsidR="0099368E">
        <w:rPr>
          <w:rFonts w:ascii="Gellix" w:eastAsia="Times New Roman" w:hAnsi="Gellix" w:cs="Times New Roman"/>
          <w:kern w:val="0"/>
          <w:sz w:val="21"/>
          <w:szCs w:val="21"/>
          <w:lang w:val="en-GB"/>
          <w14:ligatures w14:val="none"/>
        </w:rPr>
        <w:t>.</w:t>
      </w:r>
      <w:r w:rsidR="00802837" w:rsidRPr="00802837">
        <w:rPr>
          <w:lang w:val="en-GB"/>
        </w:rPr>
        <w:t xml:space="preserve"> </w:t>
      </w:r>
      <w:r w:rsidR="00802837" w:rsidRPr="00802837">
        <w:rPr>
          <w:rFonts w:ascii="Gellix" w:eastAsia="Times New Roman" w:hAnsi="Gellix" w:cs="Times New Roman"/>
          <w:kern w:val="0"/>
          <w:sz w:val="21"/>
          <w:szCs w:val="21"/>
          <w:lang w:val="en-GB"/>
          <w14:ligatures w14:val="none"/>
        </w:rPr>
        <w:t>When this data moves across jurisdictions, it may be subject to forced disclosure or weak protection frameworks—exposing businesses to competitive and compliance risks.</w:t>
      </w:r>
    </w:p>
    <w:p w14:paraId="34EDE4DA" w14:textId="57485128" w:rsidR="00CE6D6A" w:rsidRPr="00B50AF5" w:rsidRDefault="00CE6D6A" w:rsidP="00B50AF5">
      <w:pPr>
        <w:spacing w:before="100" w:beforeAutospacing="1" w:after="100" w:afterAutospacing="1" w:line="240" w:lineRule="auto"/>
        <w:rPr>
          <w:rFonts w:ascii="Gellix" w:eastAsia="Times New Roman" w:hAnsi="Gellix" w:cs="Times New Roman"/>
          <w:kern w:val="0"/>
          <w:sz w:val="21"/>
          <w:szCs w:val="21"/>
          <w:lang w:val="en-GB"/>
          <w14:ligatures w14:val="none"/>
        </w:rPr>
      </w:pPr>
      <w:r w:rsidRPr="00B50AF5">
        <w:rPr>
          <w:rFonts w:ascii="Gellix" w:eastAsia="Times New Roman" w:hAnsi="Gellix" w:cs="Times New Roman"/>
          <w:kern w:val="0"/>
          <w:sz w:val="21"/>
          <w:szCs w:val="21"/>
          <w:lang w:val="en-GB"/>
          <w14:ligatures w14:val="none"/>
        </w:rPr>
        <w:t>For example, a global retailer</w:t>
      </w:r>
      <w:r w:rsidR="005B6C7F">
        <w:rPr>
          <w:rFonts w:ascii="Gellix" w:eastAsia="Times New Roman" w:hAnsi="Gellix" w:cs="Times New Roman"/>
          <w:kern w:val="0"/>
          <w:sz w:val="21"/>
          <w:szCs w:val="21"/>
          <w:lang w:val="en-GB"/>
          <w14:ligatures w14:val="none"/>
        </w:rPr>
        <w:t xml:space="preserve"> may need to </w:t>
      </w:r>
      <w:r w:rsidRPr="00B50AF5">
        <w:rPr>
          <w:rFonts w:ascii="Gellix" w:eastAsia="Times New Roman" w:hAnsi="Gellix" w:cs="Times New Roman"/>
          <w:kern w:val="0"/>
          <w:sz w:val="21"/>
          <w:szCs w:val="21"/>
          <w:lang w:val="en-GB"/>
          <w14:ligatures w14:val="none"/>
        </w:rPr>
        <w:t xml:space="preserve"> shar</w:t>
      </w:r>
      <w:r w:rsidR="005B6C7F">
        <w:rPr>
          <w:rFonts w:ascii="Gellix" w:eastAsia="Times New Roman" w:hAnsi="Gellix" w:cs="Times New Roman"/>
          <w:kern w:val="0"/>
          <w:sz w:val="21"/>
          <w:szCs w:val="21"/>
          <w:lang w:val="en-GB"/>
          <w14:ligatures w14:val="none"/>
        </w:rPr>
        <w:t xml:space="preserve">e </w:t>
      </w:r>
      <w:r w:rsidRPr="00B50AF5">
        <w:rPr>
          <w:rFonts w:ascii="Gellix" w:eastAsia="Times New Roman" w:hAnsi="Gellix" w:cs="Times New Roman"/>
          <w:kern w:val="0"/>
          <w:sz w:val="21"/>
          <w:szCs w:val="21"/>
          <w:lang w:val="en-GB"/>
          <w14:ligatures w14:val="none"/>
        </w:rPr>
        <w:t xml:space="preserve">its inventory levels and trade finance records with </w:t>
      </w:r>
      <w:r w:rsidR="00802837">
        <w:rPr>
          <w:rFonts w:ascii="Gellix" w:eastAsia="Times New Roman" w:hAnsi="Gellix" w:cs="Times New Roman"/>
          <w:kern w:val="0"/>
          <w:sz w:val="21"/>
          <w:szCs w:val="21"/>
          <w:lang w:val="en-GB"/>
          <w14:ligatures w14:val="none"/>
        </w:rPr>
        <w:t xml:space="preserve">international </w:t>
      </w:r>
      <w:r w:rsidRPr="00B50AF5">
        <w:rPr>
          <w:rFonts w:ascii="Gellix" w:eastAsia="Times New Roman" w:hAnsi="Gellix" w:cs="Times New Roman"/>
          <w:kern w:val="0"/>
          <w:sz w:val="21"/>
          <w:szCs w:val="21"/>
          <w:lang w:val="en-GB"/>
          <w14:ligatures w14:val="none"/>
        </w:rPr>
        <w:t xml:space="preserve">partners </w:t>
      </w:r>
      <w:r w:rsidR="009B39FD">
        <w:rPr>
          <w:rFonts w:ascii="Gellix" w:eastAsia="Times New Roman" w:hAnsi="Gellix" w:cs="Times New Roman"/>
          <w:kern w:val="0"/>
          <w:sz w:val="21"/>
          <w:szCs w:val="21"/>
          <w:lang w:val="en-GB"/>
          <w14:ligatures w14:val="none"/>
        </w:rPr>
        <w:t xml:space="preserve">to coordinate shipments and payments. </w:t>
      </w:r>
      <w:r w:rsidR="0046656A">
        <w:rPr>
          <w:rFonts w:ascii="Gellix" w:eastAsia="Times New Roman" w:hAnsi="Gellix" w:cs="Times New Roman"/>
          <w:kern w:val="0"/>
          <w:sz w:val="21"/>
          <w:szCs w:val="21"/>
          <w:lang w:val="en-GB"/>
          <w14:ligatures w14:val="none"/>
        </w:rPr>
        <w:t>In jurisdictions with f</w:t>
      </w:r>
      <w:r w:rsidR="009B39FD">
        <w:rPr>
          <w:rFonts w:ascii="Gellix" w:eastAsia="Times New Roman" w:hAnsi="Gellix" w:cs="Times New Roman"/>
          <w:kern w:val="0"/>
          <w:sz w:val="21"/>
          <w:szCs w:val="21"/>
          <w:lang w:val="en-GB"/>
          <w14:ligatures w14:val="none"/>
        </w:rPr>
        <w:t>orced disclosure</w:t>
      </w:r>
      <w:r w:rsidR="0046656A">
        <w:rPr>
          <w:rFonts w:ascii="Gellix" w:eastAsia="Times New Roman" w:hAnsi="Gellix" w:cs="Times New Roman"/>
          <w:kern w:val="0"/>
          <w:sz w:val="21"/>
          <w:szCs w:val="21"/>
          <w:lang w:val="en-GB"/>
          <w14:ligatures w14:val="none"/>
        </w:rPr>
        <w:t xml:space="preserve">, such data flows </w:t>
      </w:r>
      <w:r w:rsidRPr="00B50AF5">
        <w:rPr>
          <w:rFonts w:ascii="Gellix" w:eastAsia="Times New Roman" w:hAnsi="Gellix" w:cs="Times New Roman"/>
          <w:kern w:val="0"/>
          <w:sz w:val="21"/>
          <w:szCs w:val="21"/>
          <w:lang w:val="en-GB"/>
          <w14:ligatures w14:val="none"/>
        </w:rPr>
        <w:t xml:space="preserve">could inadvertently expose sensitive data, </w:t>
      </w:r>
      <w:r w:rsidR="00FD3140">
        <w:rPr>
          <w:rFonts w:ascii="Gellix" w:eastAsia="Times New Roman" w:hAnsi="Gellix" w:cs="Times New Roman"/>
          <w:kern w:val="0"/>
          <w:sz w:val="21"/>
          <w:szCs w:val="21"/>
          <w:lang w:val="en-GB"/>
          <w14:ligatures w14:val="none"/>
        </w:rPr>
        <w:t xml:space="preserve">such as </w:t>
      </w:r>
      <w:r w:rsidRPr="00B50AF5">
        <w:rPr>
          <w:rFonts w:ascii="Gellix" w:eastAsia="Times New Roman" w:hAnsi="Gellix" w:cs="Times New Roman"/>
          <w:kern w:val="0"/>
          <w:sz w:val="21"/>
          <w:szCs w:val="21"/>
          <w:lang w:val="en-GB"/>
          <w14:ligatures w14:val="none"/>
        </w:rPr>
        <w:t>pricing strategies and supplier agreements</w:t>
      </w:r>
      <w:r w:rsidR="00DE665F">
        <w:rPr>
          <w:rFonts w:ascii="Gellix" w:eastAsia="Times New Roman" w:hAnsi="Gellix" w:cs="Times New Roman"/>
          <w:kern w:val="0"/>
          <w:sz w:val="21"/>
          <w:szCs w:val="21"/>
          <w:lang w:val="en-GB"/>
          <w14:ligatures w14:val="none"/>
        </w:rPr>
        <w:t xml:space="preserve"> – information </w:t>
      </w:r>
      <w:r w:rsidRPr="00B50AF5">
        <w:rPr>
          <w:rFonts w:ascii="Gellix" w:eastAsia="Times New Roman" w:hAnsi="Gellix" w:cs="Times New Roman"/>
          <w:kern w:val="0"/>
          <w:sz w:val="21"/>
          <w:szCs w:val="21"/>
          <w:lang w:val="en-GB"/>
          <w14:ligatures w14:val="none"/>
        </w:rPr>
        <w:t xml:space="preserve">that competitors could use to undercut market position. </w:t>
      </w:r>
    </w:p>
    <w:p w14:paraId="391614A9" w14:textId="08BCA3BB" w:rsidR="001E26FF" w:rsidRDefault="006609D3" w:rsidP="0017604A">
      <w:pPr>
        <w:spacing w:before="100" w:beforeAutospacing="1" w:after="100" w:afterAutospacing="1" w:line="240" w:lineRule="auto"/>
        <w:rPr>
          <w:rFonts w:ascii="Gellix" w:eastAsia="Times New Roman" w:hAnsi="Gellix" w:cs="Times New Roman"/>
          <w:kern w:val="0"/>
          <w:sz w:val="21"/>
          <w:szCs w:val="21"/>
          <w:lang w:val="en-GB"/>
          <w14:ligatures w14:val="none"/>
        </w:rPr>
      </w:pPr>
      <w:r w:rsidRPr="006609D3">
        <w:rPr>
          <w:rFonts w:ascii="Gellix" w:eastAsia="Times New Roman" w:hAnsi="Gellix" w:cs="Times New Roman"/>
          <w:kern w:val="0"/>
          <w:sz w:val="21"/>
          <w:szCs w:val="21"/>
          <w:lang w:val="en-GB"/>
          <w14:ligatures w14:val="none"/>
        </w:rPr>
        <w:t xml:space="preserve">In some countries, businesses are required to share supply chain data with government agencies or third-party vendors, even where protections are inadequate. </w:t>
      </w:r>
      <w:r>
        <w:rPr>
          <w:rFonts w:ascii="Gellix" w:eastAsia="Times New Roman" w:hAnsi="Gellix" w:cs="Times New Roman"/>
          <w:kern w:val="0"/>
          <w:sz w:val="21"/>
          <w:szCs w:val="21"/>
          <w:lang w:val="en-GB"/>
          <w14:ligatures w14:val="none"/>
        </w:rPr>
        <w:t>This increases the</w:t>
      </w:r>
      <w:r w:rsidR="000D5F2D" w:rsidRPr="008B22E5">
        <w:rPr>
          <w:rFonts w:ascii="Gellix" w:eastAsia="Times New Roman" w:hAnsi="Gellix" w:cs="Times New Roman"/>
          <w:kern w:val="0"/>
          <w:sz w:val="21"/>
          <w:szCs w:val="21"/>
          <w:lang w:val="en-GB"/>
          <w14:ligatures w14:val="none"/>
        </w:rPr>
        <w:t xml:space="preserve"> risk</w:t>
      </w:r>
      <w:r>
        <w:rPr>
          <w:rFonts w:ascii="Gellix" w:eastAsia="Times New Roman" w:hAnsi="Gellix" w:cs="Times New Roman"/>
          <w:kern w:val="0"/>
          <w:sz w:val="21"/>
          <w:szCs w:val="21"/>
          <w:lang w:val="en-GB"/>
          <w14:ligatures w14:val="none"/>
        </w:rPr>
        <w:t xml:space="preserve"> that </w:t>
      </w:r>
      <w:r w:rsidR="000D5F2D" w:rsidRPr="008B22E5">
        <w:rPr>
          <w:rFonts w:ascii="Gellix" w:eastAsia="Times New Roman" w:hAnsi="Gellix" w:cs="Times New Roman"/>
          <w:kern w:val="0"/>
          <w:sz w:val="21"/>
          <w:szCs w:val="21"/>
          <w:lang w:val="en-GB"/>
          <w14:ligatures w14:val="none"/>
        </w:rPr>
        <w:t>proprietary supply chain information</w:t>
      </w:r>
      <w:r>
        <w:rPr>
          <w:rFonts w:ascii="Gellix" w:eastAsia="Times New Roman" w:hAnsi="Gellix" w:cs="Times New Roman"/>
          <w:kern w:val="0"/>
          <w:sz w:val="21"/>
          <w:szCs w:val="21"/>
          <w:lang w:val="en-GB"/>
          <w14:ligatures w14:val="none"/>
        </w:rPr>
        <w:t>, such as pricing or customer data, could be accessed by unauthorized actors</w:t>
      </w:r>
      <w:r w:rsidR="00320C5A">
        <w:rPr>
          <w:rFonts w:ascii="Gellix" w:eastAsia="Times New Roman" w:hAnsi="Gellix" w:cs="Times New Roman"/>
          <w:kern w:val="0"/>
          <w:sz w:val="21"/>
          <w:szCs w:val="21"/>
          <w:lang w:val="en-GB"/>
          <w14:ligatures w14:val="none"/>
        </w:rPr>
        <w:t>.</w:t>
      </w:r>
      <w:r w:rsidR="0064198C">
        <w:rPr>
          <w:rFonts w:ascii="Gellix" w:eastAsia="Times New Roman" w:hAnsi="Gellix" w:cs="Times New Roman"/>
          <w:kern w:val="0"/>
          <w:sz w:val="21"/>
          <w:szCs w:val="21"/>
          <w:lang w:val="en-GB"/>
          <w14:ligatures w14:val="none"/>
        </w:rPr>
        <w:t xml:space="preserve"> </w:t>
      </w:r>
      <w:r w:rsidR="007514A7">
        <w:rPr>
          <w:rFonts w:ascii="Gellix" w:eastAsia="Times New Roman" w:hAnsi="Gellix" w:cs="Times New Roman"/>
          <w:kern w:val="0"/>
          <w:sz w:val="21"/>
          <w:szCs w:val="21"/>
          <w:lang w:val="en-GB"/>
          <w14:ligatures w14:val="none"/>
        </w:rPr>
        <w:t xml:space="preserve">In jurisdictions with </w:t>
      </w:r>
      <w:r w:rsidR="009F61AE">
        <w:rPr>
          <w:rFonts w:ascii="Gellix" w:eastAsia="Times New Roman" w:hAnsi="Gellix" w:cs="Times New Roman"/>
          <w:kern w:val="0"/>
          <w:sz w:val="21"/>
          <w:szCs w:val="21"/>
          <w:lang w:val="en-GB"/>
          <w14:ligatures w14:val="none"/>
        </w:rPr>
        <w:t>w</w:t>
      </w:r>
      <w:r w:rsidR="002961AB" w:rsidRPr="008B22E5">
        <w:rPr>
          <w:rFonts w:ascii="Gellix" w:eastAsia="Times New Roman" w:hAnsi="Gellix" w:cs="Times New Roman"/>
          <w:kern w:val="0"/>
          <w:sz w:val="21"/>
          <w:szCs w:val="21"/>
          <w:lang w:val="en-GB"/>
          <w14:ligatures w14:val="none"/>
        </w:rPr>
        <w:t>eak data protections</w:t>
      </w:r>
      <w:r w:rsidR="009F61AE">
        <w:rPr>
          <w:rFonts w:ascii="Gellix" w:eastAsia="Times New Roman" w:hAnsi="Gellix" w:cs="Times New Roman"/>
          <w:kern w:val="0"/>
          <w:sz w:val="21"/>
          <w:szCs w:val="21"/>
          <w:lang w:val="en-GB"/>
          <w14:ligatures w14:val="none"/>
        </w:rPr>
        <w:t xml:space="preserve">, </w:t>
      </w:r>
      <w:r w:rsidR="006D7859" w:rsidRPr="0064198C">
        <w:rPr>
          <w:rFonts w:ascii="Gellix" w:eastAsia="Times New Roman" w:hAnsi="Gellix" w:cs="Times New Roman"/>
          <w:kern w:val="0"/>
          <w:sz w:val="21"/>
          <w:szCs w:val="21"/>
          <w:lang w:val="en-GB"/>
          <w14:ligatures w14:val="none"/>
        </w:rPr>
        <w:t>breach</w:t>
      </w:r>
      <w:r w:rsidR="009F61AE">
        <w:rPr>
          <w:rFonts w:ascii="Gellix" w:eastAsia="Times New Roman" w:hAnsi="Gellix" w:cs="Times New Roman"/>
          <w:kern w:val="0"/>
          <w:sz w:val="21"/>
          <w:szCs w:val="21"/>
          <w:lang w:val="en-GB"/>
          <w14:ligatures w14:val="none"/>
        </w:rPr>
        <w:t>es can</w:t>
      </w:r>
      <w:r w:rsidR="00074C74">
        <w:rPr>
          <w:rFonts w:ascii="Gellix" w:eastAsia="Times New Roman" w:hAnsi="Gellix" w:cs="Times New Roman"/>
          <w:kern w:val="0"/>
          <w:sz w:val="21"/>
          <w:szCs w:val="21"/>
          <w:lang w:val="en-GB"/>
          <w14:ligatures w14:val="none"/>
        </w:rPr>
        <w:t xml:space="preserve"> lead to the</w:t>
      </w:r>
      <w:r w:rsidR="006D7859" w:rsidRPr="0064198C">
        <w:rPr>
          <w:rFonts w:ascii="Gellix" w:eastAsia="Times New Roman" w:hAnsi="Gellix" w:cs="Times New Roman"/>
          <w:kern w:val="0"/>
          <w:sz w:val="21"/>
          <w:szCs w:val="21"/>
          <w:lang w:val="en-GB"/>
          <w14:ligatures w14:val="none"/>
        </w:rPr>
        <w:t xml:space="preserve"> expos</w:t>
      </w:r>
      <w:r w:rsidR="00074C74">
        <w:rPr>
          <w:rFonts w:ascii="Gellix" w:eastAsia="Times New Roman" w:hAnsi="Gellix" w:cs="Times New Roman"/>
          <w:kern w:val="0"/>
          <w:sz w:val="21"/>
          <w:szCs w:val="21"/>
          <w:lang w:val="en-GB"/>
          <w14:ligatures w14:val="none"/>
        </w:rPr>
        <w:t xml:space="preserve">ure of </w:t>
      </w:r>
      <w:r w:rsidR="006D7859" w:rsidRPr="0064198C">
        <w:rPr>
          <w:rFonts w:ascii="Gellix" w:eastAsia="Times New Roman" w:hAnsi="Gellix" w:cs="Times New Roman"/>
          <w:kern w:val="0"/>
          <w:sz w:val="21"/>
          <w:szCs w:val="21"/>
          <w:lang w:val="en-GB"/>
          <w14:ligatures w14:val="none"/>
        </w:rPr>
        <w:t>customer list</w:t>
      </w:r>
      <w:r w:rsidR="00074C74">
        <w:rPr>
          <w:rFonts w:ascii="Gellix" w:eastAsia="Times New Roman" w:hAnsi="Gellix" w:cs="Times New Roman"/>
          <w:kern w:val="0"/>
          <w:sz w:val="21"/>
          <w:szCs w:val="21"/>
          <w:lang w:val="en-GB"/>
          <w14:ligatures w14:val="none"/>
        </w:rPr>
        <w:t>s</w:t>
      </w:r>
      <w:r w:rsidR="006D7859" w:rsidRPr="0064198C">
        <w:rPr>
          <w:rFonts w:ascii="Gellix" w:eastAsia="Times New Roman" w:hAnsi="Gellix" w:cs="Times New Roman"/>
          <w:kern w:val="0"/>
          <w:sz w:val="21"/>
          <w:szCs w:val="21"/>
          <w:lang w:val="en-GB"/>
          <w14:ligatures w14:val="none"/>
        </w:rPr>
        <w:t xml:space="preserve"> or </w:t>
      </w:r>
      <w:r w:rsidR="00074C74">
        <w:rPr>
          <w:rFonts w:ascii="Gellix" w:eastAsia="Times New Roman" w:hAnsi="Gellix" w:cs="Times New Roman"/>
          <w:kern w:val="0"/>
          <w:sz w:val="21"/>
          <w:szCs w:val="21"/>
          <w:lang w:val="en-GB"/>
          <w14:ligatures w14:val="none"/>
        </w:rPr>
        <w:t xml:space="preserve">strategic </w:t>
      </w:r>
      <w:r w:rsidR="006D7859" w:rsidRPr="0064198C">
        <w:rPr>
          <w:rFonts w:ascii="Gellix" w:eastAsia="Times New Roman" w:hAnsi="Gellix" w:cs="Times New Roman"/>
          <w:kern w:val="0"/>
          <w:sz w:val="21"/>
          <w:szCs w:val="21"/>
          <w:lang w:val="en-GB"/>
          <w14:ligatures w14:val="none"/>
        </w:rPr>
        <w:t>business plans</w:t>
      </w:r>
      <w:r w:rsidR="00074C74">
        <w:rPr>
          <w:rFonts w:ascii="Gellix" w:eastAsia="Times New Roman" w:hAnsi="Gellix" w:cs="Times New Roman"/>
          <w:kern w:val="0"/>
          <w:sz w:val="21"/>
          <w:szCs w:val="21"/>
          <w:lang w:val="en-GB"/>
          <w14:ligatures w14:val="none"/>
        </w:rPr>
        <w:t xml:space="preserve"> -  causing</w:t>
      </w:r>
      <w:r w:rsidR="00181FDD">
        <w:rPr>
          <w:rFonts w:ascii="Gellix" w:eastAsia="Times New Roman" w:hAnsi="Gellix" w:cs="Times New Roman"/>
          <w:kern w:val="0"/>
          <w:sz w:val="21"/>
          <w:szCs w:val="21"/>
          <w:lang w:val="en-GB"/>
          <w14:ligatures w14:val="none"/>
        </w:rPr>
        <w:t xml:space="preserve"> </w:t>
      </w:r>
      <w:r w:rsidR="0043233D" w:rsidRPr="0064198C">
        <w:rPr>
          <w:rFonts w:ascii="Gellix" w:eastAsia="Times New Roman" w:hAnsi="Gellix" w:cs="Times New Roman"/>
          <w:kern w:val="0"/>
          <w:sz w:val="21"/>
          <w:szCs w:val="21"/>
          <w:lang w:val="en-GB"/>
          <w14:ligatures w14:val="none"/>
        </w:rPr>
        <w:t>reputation</w:t>
      </w:r>
      <w:r w:rsidR="0043233D">
        <w:rPr>
          <w:rFonts w:ascii="Gellix" w:eastAsia="Times New Roman" w:hAnsi="Gellix" w:cs="Times New Roman"/>
          <w:kern w:val="0"/>
          <w:sz w:val="21"/>
          <w:szCs w:val="21"/>
          <w:lang w:val="en-GB"/>
          <w14:ligatures w14:val="none"/>
        </w:rPr>
        <w:t>al</w:t>
      </w:r>
      <w:r w:rsidR="00181FDD">
        <w:rPr>
          <w:rFonts w:ascii="Gellix" w:eastAsia="Times New Roman" w:hAnsi="Gellix" w:cs="Times New Roman"/>
          <w:kern w:val="0"/>
          <w:sz w:val="21"/>
          <w:szCs w:val="21"/>
          <w:lang w:val="en-GB"/>
          <w14:ligatures w14:val="none"/>
        </w:rPr>
        <w:t xml:space="preserve"> harm,</w:t>
      </w:r>
      <w:r w:rsidR="006D7859" w:rsidRPr="0064198C">
        <w:rPr>
          <w:rFonts w:ascii="Gellix" w:eastAsia="Times New Roman" w:hAnsi="Gellix" w:cs="Times New Roman"/>
          <w:kern w:val="0"/>
          <w:sz w:val="21"/>
          <w:szCs w:val="21"/>
          <w:lang w:val="en-GB"/>
          <w14:ligatures w14:val="none"/>
        </w:rPr>
        <w:t xml:space="preserve"> legal</w:t>
      </w:r>
      <w:r w:rsidR="00181FDD">
        <w:rPr>
          <w:rFonts w:ascii="Gellix" w:eastAsia="Times New Roman" w:hAnsi="Gellix" w:cs="Times New Roman"/>
          <w:kern w:val="0"/>
          <w:sz w:val="21"/>
          <w:szCs w:val="21"/>
          <w:lang w:val="en-GB"/>
          <w14:ligatures w14:val="none"/>
        </w:rPr>
        <w:t xml:space="preserve"> liability</w:t>
      </w:r>
      <w:r w:rsidR="006D7859" w:rsidRPr="0064198C">
        <w:rPr>
          <w:rFonts w:ascii="Gellix" w:eastAsia="Times New Roman" w:hAnsi="Gellix" w:cs="Times New Roman"/>
          <w:kern w:val="0"/>
          <w:sz w:val="21"/>
          <w:szCs w:val="21"/>
          <w:lang w:val="en-GB"/>
          <w14:ligatures w14:val="none"/>
        </w:rPr>
        <w:t xml:space="preserve">, and </w:t>
      </w:r>
      <w:r w:rsidR="00181FDD">
        <w:rPr>
          <w:rFonts w:ascii="Gellix" w:eastAsia="Times New Roman" w:hAnsi="Gellix" w:cs="Times New Roman"/>
          <w:kern w:val="0"/>
          <w:sz w:val="21"/>
          <w:szCs w:val="21"/>
          <w:lang w:val="en-GB"/>
          <w14:ligatures w14:val="none"/>
        </w:rPr>
        <w:t xml:space="preserve">a loss of </w:t>
      </w:r>
      <w:r w:rsidR="006D7859" w:rsidRPr="0064198C">
        <w:rPr>
          <w:rFonts w:ascii="Gellix" w:eastAsia="Times New Roman" w:hAnsi="Gellix" w:cs="Times New Roman"/>
          <w:kern w:val="0"/>
          <w:sz w:val="21"/>
          <w:szCs w:val="21"/>
          <w:lang w:val="en-GB"/>
          <w14:ligatures w14:val="none"/>
        </w:rPr>
        <w:t>competitive advantage.</w:t>
      </w:r>
    </w:p>
    <w:p w14:paraId="47E1EA91" w14:textId="77777777" w:rsidR="001E26FF" w:rsidRDefault="001E26FF">
      <w:pPr>
        <w:rPr>
          <w:rFonts w:ascii="Gellix" w:eastAsia="Times New Roman" w:hAnsi="Gellix" w:cs="Times New Roman"/>
          <w:kern w:val="0"/>
          <w:sz w:val="21"/>
          <w:szCs w:val="21"/>
          <w:lang w:val="en-GB"/>
          <w14:ligatures w14:val="none"/>
        </w:rPr>
      </w:pPr>
      <w:r>
        <w:rPr>
          <w:rFonts w:ascii="Gellix" w:eastAsia="Times New Roman" w:hAnsi="Gellix" w:cs="Times New Roman"/>
          <w:kern w:val="0"/>
          <w:sz w:val="21"/>
          <w:szCs w:val="21"/>
          <w:lang w:val="en-GB"/>
          <w14:ligatures w14:val="none"/>
        </w:rPr>
        <w:br w:type="page"/>
      </w:r>
    </w:p>
    <w:p w14:paraId="7AD0D64D" w14:textId="07CACA7B" w:rsidR="002961AB" w:rsidRPr="00686052" w:rsidRDefault="002961AB" w:rsidP="00686052">
      <w:pPr>
        <w:rPr>
          <w:rFonts w:ascii="Gellix" w:hAnsi="Gellix"/>
          <w:b/>
          <w:bCs/>
          <w:lang w:val="en-GB"/>
        </w:rPr>
      </w:pPr>
      <w:r w:rsidRPr="00686052">
        <w:rPr>
          <w:rFonts w:ascii="Gellix" w:hAnsi="Gellix"/>
          <w:b/>
          <w:bCs/>
          <w:lang w:val="en-GB"/>
        </w:rPr>
        <w:lastRenderedPageBreak/>
        <w:t>ICC Recommendations to promote the free flow of</w:t>
      </w:r>
      <w:r w:rsidR="008B5268">
        <w:rPr>
          <w:rFonts w:ascii="Gellix" w:hAnsi="Gellix"/>
          <w:b/>
          <w:bCs/>
          <w:lang w:val="en-GB"/>
        </w:rPr>
        <w:t xml:space="preserve"> </w:t>
      </w:r>
      <w:r w:rsidRPr="00686052">
        <w:rPr>
          <w:rFonts w:ascii="Gellix" w:hAnsi="Gellix"/>
          <w:b/>
          <w:bCs/>
          <w:lang w:val="en-GB"/>
        </w:rPr>
        <w:t xml:space="preserve">data in </w:t>
      </w:r>
      <w:r w:rsidR="008B5268">
        <w:rPr>
          <w:rFonts w:ascii="Gellix" w:hAnsi="Gellix"/>
          <w:b/>
          <w:bCs/>
          <w:lang w:val="en-GB"/>
        </w:rPr>
        <w:t xml:space="preserve">global </w:t>
      </w:r>
      <w:r w:rsidRPr="00686052">
        <w:rPr>
          <w:rFonts w:ascii="Gellix" w:hAnsi="Gellix"/>
          <w:b/>
          <w:bCs/>
          <w:lang w:val="en-GB"/>
        </w:rPr>
        <w:t xml:space="preserve">supply chains </w:t>
      </w:r>
    </w:p>
    <w:p w14:paraId="2609567B" w14:textId="5F1C9977" w:rsidR="00B357A4" w:rsidRPr="008B22E5" w:rsidRDefault="00B357A4" w:rsidP="00B357A4">
      <w:pPr>
        <w:spacing w:after="120"/>
        <w:rPr>
          <w:rFonts w:ascii="Gellix" w:hAnsi="Gellix"/>
          <w:b/>
          <w:bCs/>
          <w:sz w:val="21"/>
          <w:szCs w:val="21"/>
          <w:lang w:val="en-GB"/>
        </w:rPr>
      </w:pPr>
      <w:r w:rsidRPr="008B22E5">
        <w:rPr>
          <w:rFonts w:ascii="Gellix" w:hAnsi="Gellix"/>
          <w:b/>
          <w:bCs/>
          <w:sz w:val="21"/>
          <w:szCs w:val="21"/>
          <w:lang w:val="en-GB"/>
        </w:rPr>
        <w:t>Pursue Multilateral Rules at the WTO</w:t>
      </w:r>
    </w:p>
    <w:p w14:paraId="3D72B03B" w14:textId="7FEC5D74" w:rsidR="00943AE9" w:rsidRDefault="007F0C3B" w:rsidP="00FF68D4">
      <w:pPr>
        <w:spacing w:after="120"/>
        <w:rPr>
          <w:rFonts w:ascii="Gellix" w:hAnsi="Gellix"/>
          <w:sz w:val="21"/>
          <w:szCs w:val="21"/>
          <w:lang w:val="en-GB"/>
        </w:rPr>
      </w:pPr>
      <w:r w:rsidRPr="007F0C3B">
        <w:rPr>
          <w:rFonts w:ascii="Gellix" w:hAnsi="Gellix"/>
          <w:sz w:val="21"/>
          <w:szCs w:val="21"/>
          <w:lang w:val="en-GB"/>
        </w:rPr>
        <w:t xml:space="preserve">Multilateral efforts—particularly through the WTO Joint Statement Initiative on E-Commerce—should be used to advance clear, trade-focused rules on cross-border data flows. </w:t>
      </w:r>
      <w:r w:rsidR="00DD0488" w:rsidRPr="00DD0488">
        <w:rPr>
          <w:rFonts w:ascii="Gellix" w:hAnsi="Gellix"/>
          <w:sz w:val="21"/>
          <w:szCs w:val="21"/>
          <w:lang w:val="en-GB"/>
        </w:rPr>
        <w:t>The stabilized text on digital trade facilitation provisions</w:t>
      </w:r>
      <w:r w:rsidR="00641324">
        <w:rPr>
          <w:rStyle w:val="FootnoteReference"/>
          <w:rFonts w:ascii="Gellix" w:hAnsi="Gellix"/>
          <w:sz w:val="21"/>
          <w:szCs w:val="21"/>
          <w:lang w:val="en-GB"/>
        </w:rPr>
        <w:footnoteReference w:id="4"/>
      </w:r>
      <w:r w:rsidR="00DD0488" w:rsidRPr="00DD0488">
        <w:rPr>
          <w:rFonts w:ascii="Gellix" w:hAnsi="Gellix"/>
          <w:sz w:val="21"/>
          <w:szCs w:val="21"/>
          <w:lang w:val="en-GB"/>
        </w:rPr>
        <w:t xml:space="preserve"> represents a critical achievement and deserves strong support. It should be swiftly integrated into the WTO framework to deliver concrete benefits for supply chain efficiency and predictability. </w:t>
      </w:r>
      <w:r w:rsidR="00DD0488" w:rsidRPr="00943AE9">
        <w:rPr>
          <w:rFonts w:ascii="Gellix" w:hAnsi="Gellix"/>
          <w:sz w:val="21"/>
          <w:szCs w:val="21"/>
          <w:lang w:val="en-GB"/>
        </w:rPr>
        <w:t xml:space="preserve">At the same time, resumed negotiations on cross-border data flows are urgently needed. Businesses rely on the ability to move data securely and seamlessly across borders, and the absence of multilateral rules continues to create uncertainty and fragmentation in global supply chains. </w:t>
      </w:r>
    </w:p>
    <w:p w14:paraId="2F9ECE0F" w14:textId="20C9BA92" w:rsidR="00752FEB" w:rsidRPr="00752FEB" w:rsidRDefault="00752FEB" w:rsidP="00FF68D4">
      <w:pPr>
        <w:spacing w:after="120"/>
        <w:rPr>
          <w:rFonts w:ascii="Gellix" w:hAnsi="Gellix"/>
          <w:b/>
          <w:bCs/>
          <w:sz w:val="21"/>
          <w:szCs w:val="21"/>
          <w:lang w:val="en-GB"/>
        </w:rPr>
      </w:pPr>
      <w:r w:rsidRPr="00752FEB">
        <w:rPr>
          <w:rFonts w:ascii="Gellix" w:hAnsi="Gellix"/>
          <w:b/>
          <w:bCs/>
          <w:sz w:val="21"/>
          <w:szCs w:val="21"/>
          <w:lang w:val="en-GB"/>
        </w:rPr>
        <w:t>Promote Risk-Based and Differentiated Regulatory Approaches</w:t>
      </w:r>
    </w:p>
    <w:p w14:paraId="7C7CDF34" w14:textId="5702BD00" w:rsidR="00943AE9" w:rsidRPr="00D858C1" w:rsidRDefault="007F0C3B" w:rsidP="00FF68D4">
      <w:pPr>
        <w:spacing w:after="120"/>
        <w:rPr>
          <w:rFonts w:ascii="Gellix" w:hAnsi="Gellix"/>
          <w:sz w:val="21"/>
          <w:szCs w:val="21"/>
          <w:lang w:val="en-GB"/>
        </w:rPr>
      </w:pPr>
      <w:r w:rsidRPr="007F0C3B">
        <w:rPr>
          <w:rFonts w:ascii="Gellix" w:hAnsi="Gellix"/>
          <w:sz w:val="21"/>
          <w:szCs w:val="21"/>
          <w:lang w:val="en-GB"/>
        </w:rPr>
        <w:t>Regulatory approaches should be risk-based and evidence-based to avoid unnecessary trade barriers. Recognizing the differences between types of data</w:t>
      </w:r>
      <w:r w:rsidR="00431973">
        <w:rPr>
          <w:rFonts w:ascii="Gellix" w:hAnsi="Gellix"/>
          <w:sz w:val="21"/>
          <w:szCs w:val="21"/>
          <w:lang w:val="en-GB"/>
        </w:rPr>
        <w:t xml:space="preserve"> is essential for ensuring proportional and workable regulations. D</w:t>
      </w:r>
      <w:r w:rsidRPr="007F0C3B">
        <w:rPr>
          <w:rFonts w:ascii="Gellix" w:hAnsi="Gellix"/>
          <w:sz w:val="21"/>
          <w:szCs w:val="21"/>
          <w:lang w:val="en-GB"/>
        </w:rPr>
        <w:t xml:space="preserve">ifferentiated obligations </w:t>
      </w:r>
      <w:r w:rsidR="00431973">
        <w:rPr>
          <w:rFonts w:ascii="Gellix" w:hAnsi="Gellix"/>
          <w:sz w:val="21"/>
          <w:szCs w:val="21"/>
          <w:lang w:val="en-GB"/>
        </w:rPr>
        <w:t xml:space="preserve">based on actual risk levels </w:t>
      </w:r>
      <w:r w:rsidR="005246C7">
        <w:rPr>
          <w:rFonts w:ascii="Gellix" w:hAnsi="Gellix"/>
          <w:sz w:val="21"/>
          <w:szCs w:val="21"/>
          <w:lang w:val="en-GB"/>
        </w:rPr>
        <w:t>and operational needs can help avoid unnecessary trade barriers</w:t>
      </w:r>
      <w:r w:rsidR="00D858C1">
        <w:rPr>
          <w:rFonts w:ascii="Gellix" w:hAnsi="Gellix"/>
          <w:sz w:val="21"/>
          <w:szCs w:val="21"/>
          <w:lang w:val="en-GB"/>
        </w:rPr>
        <w:t xml:space="preserve">. </w:t>
      </w:r>
      <w:r w:rsidR="00D858C1" w:rsidRPr="00D858C1">
        <w:rPr>
          <w:rFonts w:ascii="Gellix" w:hAnsi="Gellix"/>
          <w:sz w:val="21"/>
          <w:szCs w:val="21"/>
          <w:lang w:val="en-GB"/>
        </w:rPr>
        <w:t>This is particularly important for global supply chains, where low-risk, non-personal data plays a vital role in day-to-day operations and should not be subject to the same restrictions as sensitive personal information.</w:t>
      </w:r>
    </w:p>
    <w:p w14:paraId="50DA0404" w14:textId="3BA0F7FF" w:rsidR="00FF68D4" w:rsidRPr="005A701F" w:rsidRDefault="005A701F" w:rsidP="00FF68D4">
      <w:pPr>
        <w:spacing w:after="120"/>
        <w:rPr>
          <w:rFonts w:ascii="Gellix" w:hAnsi="Gellix"/>
          <w:b/>
          <w:bCs/>
          <w:sz w:val="21"/>
          <w:szCs w:val="21"/>
          <w:lang w:val="en-GB"/>
        </w:rPr>
      </w:pPr>
      <w:r w:rsidRPr="005A701F">
        <w:rPr>
          <w:rFonts w:ascii="Gellix" w:hAnsi="Gellix"/>
          <w:b/>
          <w:bCs/>
          <w:sz w:val="21"/>
          <w:szCs w:val="21"/>
          <w:lang w:val="en-GB"/>
        </w:rPr>
        <w:t xml:space="preserve">Ensure Open and Interoperable </w:t>
      </w:r>
      <w:r w:rsidR="00FF68D4" w:rsidRPr="005A701F">
        <w:rPr>
          <w:rFonts w:ascii="Gellix" w:hAnsi="Gellix"/>
          <w:b/>
          <w:bCs/>
          <w:sz w:val="21"/>
          <w:szCs w:val="21"/>
          <w:lang w:val="en-GB"/>
        </w:rPr>
        <w:t xml:space="preserve">Cross-Border Data Frameworks </w:t>
      </w:r>
    </w:p>
    <w:p w14:paraId="043C49AD" w14:textId="04C04523" w:rsidR="00783A1E" w:rsidRPr="008B22E5" w:rsidRDefault="009A577D" w:rsidP="0012362C">
      <w:pPr>
        <w:spacing w:after="120"/>
        <w:rPr>
          <w:rFonts w:ascii="Gellix" w:hAnsi="Gellix"/>
          <w:sz w:val="21"/>
          <w:szCs w:val="21"/>
          <w:lang w:val="en-GB"/>
        </w:rPr>
      </w:pPr>
      <w:r w:rsidRPr="009A577D">
        <w:rPr>
          <w:rFonts w:ascii="Gellix" w:hAnsi="Gellix"/>
          <w:sz w:val="21"/>
          <w:szCs w:val="21"/>
          <w:lang w:val="en-GB"/>
        </w:rPr>
        <w:t xml:space="preserve">Open and interoperable data frameworks are essential to the functioning of modern supply chains. </w:t>
      </w:r>
      <w:r w:rsidR="002E39EA">
        <w:rPr>
          <w:rFonts w:ascii="Gellix" w:hAnsi="Gellix"/>
          <w:sz w:val="21"/>
          <w:szCs w:val="21"/>
          <w:lang w:val="en-GB"/>
        </w:rPr>
        <w:t>I</w:t>
      </w:r>
      <w:r w:rsidR="00A73144" w:rsidRPr="009A577D">
        <w:rPr>
          <w:rFonts w:ascii="Gellix" w:hAnsi="Gellix"/>
          <w:sz w:val="21"/>
          <w:szCs w:val="21"/>
          <w:lang w:val="en-GB"/>
        </w:rPr>
        <w:t>ndiscriminate data locali</w:t>
      </w:r>
      <w:r w:rsidR="00AB5768">
        <w:rPr>
          <w:rFonts w:ascii="Gellix" w:hAnsi="Gellix"/>
          <w:sz w:val="21"/>
          <w:szCs w:val="21"/>
          <w:lang w:val="en-GB"/>
        </w:rPr>
        <w:t>s</w:t>
      </w:r>
      <w:r w:rsidR="00A73144" w:rsidRPr="009A577D">
        <w:rPr>
          <w:rFonts w:ascii="Gellix" w:hAnsi="Gellix"/>
          <w:sz w:val="21"/>
          <w:szCs w:val="21"/>
          <w:lang w:val="en-GB"/>
        </w:rPr>
        <w:t>ation mandates that require all data—regardless of type—to be stored locally disrupt</w:t>
      </w:r>
      <w:r w:rsidR="0012362C">
        <w:rPr>
          <w:rFonts w:ascii="Gellix" w:hAnsi="Gellix"/>
          <w:sz w:val="21"/>
          <w:szCs w:val="21"/>
          <w:lang w:val="en-GB"/>
        </w:rPr>
        <w:t xml:space="preserve"> </w:t>
      </w:r>
      <w:r w:rsidR="00A73144" w:rsidRPr="009A577D">
        <w:rPr>
          <w:rFonts w:ascii="Gellix" w:hAnsi="Gellix"/>
          <w:sz w:val="21"/>
          <w:szCs w:val="21"/>
          <w:lang w:val="en-GB"/>
        </w:rPr>
        <w:t>global supply chains.</w:t>
      </w:r>
      <w:r w:rsidR="0012362C">
        <w:rPr>
          <w:rFonts w:ascii="Gellix" w:hAnsi="Gellix"/>
          <w:sz w:val="21"/>
          <w:szCs w:val="21"/>
          <w:lang w:val="en-GB"/>
        </w:rPr>
        <w:t xml:space="preserve"> Trade agreements should promote </w:t>
      </w:r>
      <w:r w:rsidR="003B3E3F" w:rsidRPr="008B22E5">
        <w:rPr>
          <w:rFonts w:ascii="Gellix" w:hAnsi="Gellix"/>
          <w:sz w:val="21"/>
          <w:szCs w:val="21"/>
          <w:lang w:val="en-GB"/>
        </w:rPr>
        <w:t>flexible and innovation-friendly data governance frameworks that do not mandate specific technologies or systems</w:t>
      </w:r>
      <w:r w:rsidR="00320C5A">
        <w:rPr>
          <w:rFonts w:ascii="Gellix" w:hAnsi="Gellix"/>
          <w:sz w:val="21"/>
          <w:szCs w:val="21"/>
          <w:lang w:val="en-GB"/>
        </w:rPr>
        <w:t>.</w:t>
      </w:r>
    </w:p>
    <w:p w14:paraId="71B9F4BF" w14:textId="77777777" w:rsidR="001E26FF" w:rsidRDefault="00783A1E" w:rsidP="001E26FF">
      <w:pPr>
        <w:spacing w:after="120"/>
        <w:rPr>
          <w:rFonts w:ascii="Gellix" w:hAnsi="Gellix"/>
          <w:sz w:val="21"/>
          <w:szCs w:val="21"/>
          <w:lang w:val="en-GB"/>
        </w:rPr>
      </w:pPr>
      <w:r>
        <w:rPr>
          <w:rFonts w:ascii="Gellix" w:hAnsi="Gellix"/>
          <w:sz w:val="21"/>
          <w:szCs w:val="21"/>
          <w:lang w:val="en-GB"/>
        </w:rPr>
        <w:t>R</w:t>
      </w:r>
      <w:r w:rsidR="00B357A4" w:rsidRPr="008B22E5">
        <w:rPr>
          <w:rFonts w:ascii="Gellix" w:hAnsi="Gellix"/>
          <w:sz w:val="21"/>
          <w:szCs w:val="21"/>
          <w:lang w:val="en-GB"/>
        </w:rPr>
        <w:t>egulatory coherence and mutual recognition of standards</w:t>
      </w:r>
      <w:r>
        <w:rPr>
          <w:rFonts w:ascii="Gellix" w:hAnsi="Gellix"/>
          <w:sz w:val="21"/>
          <w:szCs w:val="21"/>
          <w:lang w:val="en-GB"/>
        </w:rPr>
        <w:t xml:space="preserve"> should be prioriti</w:t>
      </w:r>
      <w:r w:rsidR="0097174E">
        <w:rPr>
          <w:rFonts w:ascii="Gellix" w:hAnsi="Gellix"/>
          <w:sz w:val="21"/>
          <w:szCs w:val="21"/>
          <w:lang w:val="en-GB"/>
        </w:rPr>
        <w:t>s</w:t>
      </w:r>
      <w:r>
        <w:rPr>
          <w:rFonts w:ascii="Gellix" w:hAnsi="Gellix"/>
          <w:sz w:val="21"/>
          <w:szCs w:val="21"/>
          <w:lang w:val="en-GB"/>
        </w:rPr>
        <w:t>ed to reduce trade frictions</w:t>
      </w:r>
      <w:r w:rsidR="00320C5A">
        <w:rPr>
          <w:rFonts w:ascii="Gellix" w:hAnsi="Gellix"/>
          <w:sz w:val="21"/>
          <w:szCs w:val="21"/>
          <w:lang w:val="en-GB"/>
        </w:rPr>
        <w:t>.</w:t>
      </w:r>
      <w:r w:rsidR="00F85D93">
        <w:rPr>
          <w:rFonts w:ascii="Gellix" w:hAnsi="Gellix"/>
          <w:sz w:val="21"/>
          <w:szCs w:val="21"/>
          <w:lang w:val="en-GB"/>
        </w:rPr>
        <w:t xml:space="preserve"> </w:t>
      </w:r>
      <w:r w:rsidR="001D3BE1">
        <w:rPr>
          <w:rFonts w:ascii="Gellix" w:hAnsi="Gellix"/>
          <w:sz w:val="21"/>
          <w:szCs w:val="21"/>
          <w:lang w:val="en-GB"/>
        </w:rPr>
        <w:t>S</w:t>
      </w:r>
      <w:r w:rsidR="008F1D18" w:rsidRPr="008B22E5">
        <w:rPr>
          <w:rFonts w:ascii="Gellix" w:hAnsi="Gellix"/>
          <w:sz w:val="21"/>
          <w:szCs w:val="21"/>
          <w:lang w:val="en-GB"/>
        </w:rPr>
        <w:t xml:space="preserve">ecurity and privacy </w:t>
      </w:r>
      <w:r w:rsidR="001D3BE1">
        <w:rPr>
          <w:rFonts w:ascii="Gellix" w:hAnsi="Gellix"/>
          <w:sz w:val="21"/>
          <w:szCs w:val="21"/>
          <w:lang w:val="en-GB"/>
        </w:rPr>
        <w:t>pro</w:t>
      </w:r>
      <w:r w:rsidR="005128CF">
        <w:rPr>
          <w:rFonts w:ascii="Gellix" w:hAnsi="Gellix"/>
          <w:sz w:val="21"/>
          <w:szCs w:val="21"/>
          <w:lang w:val="en-GB"/>
        </w:rPr>
        <w:t>t</w:t>
      </w:r>
      <w:r w:rsidR="001D3BE1">
        <w:rPr>
          <w:rFonts w:ascii="Gellix" w:hAnsi="Gellix"/>
          <w:sz w:val="21"/>
          <w:szCs w:val="21"/>
          <w:lang w:val="en-GB"/>
        </w:rPr>
        <w:t xml:space="preserve">ections are critical, but they must be designed in way that do not  impose </w:t>
      </w:r>
      <w:r w:rsidR="008F1D18" w:rsidRPr="008B22E5">
        <w:rPr>
          <w:rFonts w:ascii="Gellix" w:hAnsi="Gellix"/>
          <w:sz w:val="21"/>
          <w:szCs w:val="21"/>
          <w:lang w:val="en-GB"/>
        </w:rPr>
        <w:t>unnecessary restrictions on trade and data-driven business models</w:t>
      </w:r>
      <w:r w:rsidR="00320C5A">
        <w:rPr>
          <w:rFonts w:ascii="Gellix" w:hAnsi="Gellix"/>
          <w:sz w:val="21"/>
          <w:szCs w:val="21"/>
          <w:lang w:val="en-GB"/>
        </w:rPr>
        <w:t>.</w:t>
      </w:r>
    </w:p>
    <w:p w14:paraId="550102E8" w14:textId="77777777" w:rsidR="001E26FF" w:rsidRDefault="00761EB1" w:rsidP="001E26FF">
      <w:pPr>
        <w:spacing w:after="120"/>
        <w:rPr>
          <w:rFonts w:ascii="Gellix" w:hAnsi="Gellix"/>
          <w:sz w:val="21"/>
          <w:szCs w:val="21"/>
          <w:lang w:val="en-GB"/>
        </w:rPr>
      </w:pPr>
      <w:r w:rsidRPr="00761EB1">
        <w:rPr>
          <w:rFonts w:ascii="Gellix" w:hAnsi="Gellix"/>
          <w:b/>
          <w:bCs/>
          <w:sz w:val="21"/>
          <w:szCs w:val="21"/>
          <w:lang w:val="en-GB"/>
        </w:rPr>
        <w:t>Safeguard Confidential Business Information in Cross-Border Data Regulations</w:t>
      </w:r>
    </w:p>
    <w:p w14:paraId="551A5D14" w14:textId="5EAAAECE" w:rsidR="00761EB1" w:rsidRPr="001E26FF" w:rsidRDefault="00BB5C63" w:rsidP="001E26FF">
      <w:pPr>
        <w:spacing w:after="120"/>
        <w:rPr>
          <w:rFonts w:ascii="Gellix" w:hAnsi="Gellix"/>
          <w:sz w:val="21"/>
          <w:szCs w:val="21"/>
          <w:lang w:val="en-GB"/>
        </w:rPr>
      </w:pPr>
      <w:r w:rsidRPr="00BB5C63">
        <w:rPr>
          <w:rFonts w:ascii="Gellix" w:hAnsi="Gellix"/>
          <w:sz w:val="21"/>
          <w:szCs w:val="21"/>
          <w:lang w:val="en-GB"/>
        </w:rPr>
        <w:t>Cros</w:t>
      </w:r>
      <w:r w:rsidR="001E26FF">
        <w:rPr>
          <w:rFonts w:ascii="Gellix" w:hAnsi="Gellix"/>
          <w:sz w:val="21"/>
          <w:szCs w:val="21"/>
          <w:lang w:val="en-GB"/>
        </w:rPr>
        <w:t>s</w:t>
      </w:r>
      <w:r w:rsidRPr="00BB5C63">
        <w:rPr>
          <w:rFonts w:ascii="Gellix" w:hAnsi="Gellix"/>
          <w:sz w:val="21"/>
          <w:szCs w:val="21"/>
          <w:lang w:val="en-GB"/>
        </w:rPr>
        <w:t xml:space="preserve">-border data regulations must include safeguards to prevent misuse, breaches, or unfair access </w:t>
      </w:r>
      <w:r w:rsidR="003E1869">
        <w:rPr>
          <w:rFonts w:ascii="Gellix" w:hAnsi="Gellix"/>
          <w:sz w:val="21"/>
          <w:szCs w:val="21"/>
          <w:lang w:val="en-GB"/>
        </w:rPr>
        <w:t xml:space="preserve">of highly sensitive commercial </w:t>
      </w:r>
      <w:r w:rsidRPr="00BB5C63">
        <w:rPr>
          <w:rFonts w:ascii="Gellix" w:hAnsi="Gellix"/>
          <w:sz w:val="21"/>
          <w:szCs w:val="21"/>
          <w:lang w:val="en-GB"/>
        </w:rPr>
        <w:t xml:space="preserve">information. </w:t>
      </w:r>
      <w:r w:rsidR="003E1869">
        <w:rPr>
          <w:rFonts w:ascii="Gellix" w:hAnsi="Gellix"/>
          <w:sz w:val="21"/>
          <w:szCs w:val="21"/>
          <w:lang w:val="en-GB"/>
        </w:rPr>
        <w:t>F</w:t>
      </w:r>
      <w:r w:rsidR="00761EB1" w:rsidRPr="00761EB1">
        <w:rPr>
          <w:rFonts w:ascii="Gellix" w:hAnsi="Gellix"/>
          <w:sz w:val="21"/>
          <w:szCs w:val="21"/>
          <w:lang w:val="en-GB"/>
        </w:rPr>
        <w:t xml:space="preserve">orced data-sharing mandates that require businesses to disclose </w:t>
      </w:r>
      <w:r w:rsidR="00810BA3">
        <w:rPr>
          <w:rFonts w:ascii="Gellix" w:hAnsi="Gellix"/>
          <w:sz w:val="21"/>
          <w:szCs w:val="21"/>
          <w:lang w:val="en-GB"/>
        </w:rPr>
        <w:t xml:space="preserve">such data </w:t>
      </w:r>
      <w:r w:rsidR="00761EB1" w:rsidRPr="00761EB1">
        <w:rPr>
          <w:rFonts w:ascii="Gellix" w:hAnsi="Gellix"/>
          <w:sz w:val="21"/>
          <w:szCs w:val="21"/>
          <w:lang w:val="en-GB"/>
        </w:rPr>
        <w:t>without adequate protections</w:t>
      </w:r>
      <w:r w:rsidR="00160208">
        <w:rPr>
          <w:rFonts w:ascii="Gellix" w:hAnsi="Gellix"/>
          <w:sz w:val="21"/>
          <w:szCs w:val="21"/>
          <w:lang w:val="en-GB"/>
        </w:rPr>
        <w:t xml:space="preserve"> and systems controls</w:t>
      </w:r>
      <w:r w:rsidR="00D10551">
        <w:rPr>
          <w:rFonts w:ascii="Gellix" w:hAnsi="Gellix"/>
          <w:sz w:val="21"/>
          <w:szCs w:val="21"/>
          <w:lang w:val="en-GB"/>
        </w:rPr>
        <w:t xml:space="preserve"> risk </w:t>
      </w:r>
      <w:r w:rsidR="00126573" w:rsidRPr="00686052">
        <w:rPr>
          <w:rFonts w:ascii="Gellix" w:hAnsi="Gellix"/>
          <w:sz w:val="21"/>
          <w:szCs w:val="21"/>
          <w:lang w:val="en-GB"/>
        </w:rPr>
        <w:t>undermining trust and deterring business participation in cross-border supply chains.</w:t>
      </w:r>
      <w:r w:rsidR="00451046">
        <w:rPr>
          <w:rFonts w:ascii="Gellix" w:hAnsi="Gellix"/>
          <w:sz w:val="21"/>
          <w:szCs w:val="21"/>
          <w:lang w:val="en-GB"/>
        </w:rPr>
        <w:t xml:space="preserve"> </w:t>
      </w:r>
      <w:r w:rsidR="00D10551">
        <w:rPr>
          <w:rFonts w:ascii="Gellix" w:hAnsi="Gellix"/>
          <w:sz w:val="21"/>
          <w:szCs w:val="21"/>
          <w:lang w:val="en-GB"/>
        </w:rPr>
        <w:t xml:space="preserve">Trade </w:t>
      </w:r>
      <w:r w:rsidR="00D10551">
        <w:rPr>
          <w:rFonts w:ascii="Gellix" w:hAnsi="Gellix"/>
          <w:sz w:val="21"/>
          <w:szCs w:val="21"/>
          <w:lang w:val="en-GB"/>
        </w:rPr>
        <w:lastRenderedPageBreak/>
        <w:t xml:space="preserve">agreements and regulatory frameworks should include </w:t>
      </w:r>
      <w:r w:rsidR="00761EB1" w:rsidRPr="00761EB1">
        <w:rPr>
          <w:rFonts w:ascii="Gellix" w:hAnsi="Gellix"/>
          <w:sz w:val="21"/>
          <w:szCs w:val="21"/>
          <w:lang w:val="en-GB"/>
        </w:rPr>
        <w:t xml:space="preserve">strong protections against </w:t>
      </w:r>
      <w:r w:rsidR="001B0F00">
        <w:rPr>
          <w:rFonts w:ascii="Gellix" w:hAnsi="Gellix"/>
          <w:sz w:val="21"/>
          <w:szCs w:val="21"/>
          <w:lang w:val="en-GB"/>
        </w:rPr>
        <w:t xml:space="preserve">the </w:t>
      </w:r>
      <w:r w:rsidR="00761EB1" w:rsidRPr="00761EB1">
        <w:rPr>
          <w:rFonts w:ascii="Gellix" w:hAnsi="Gellix"/>
          <w:sz w:val="21"/>
          <w:szCs w:val="21"/>
          <w:lang w:val="en-GB"/>
        </w:rPr>
        <w:t>misuse of commercially sensitive data</w:t>
      </w:r>
      <w:r w:rsidR="001B0F00">
        <w:rPr>
          <w:rFonts w:ascii="Gellix" w:hAnsi="Gellix"/>
          <w:sz w:val="21"/>
          <w:szCs w:val="21"/>
          <w:lang w:val="en-GB"/>
        </w:rPr>
        <w:t xml:space="preserve"> and</w:t>
      </w:r>
      <w:r w:rsidR="004E6F65">
        <w:rPr>
          <w:rFonts w:ascii="Gellix" w:hAnsi="Gellix"/>
          <w:sz w:val="21"/>
          <w:szCs w:val="21"/>
          <w:lang w:val="en-GB"/>
        </w:rPr>
        <w:t xml:space="preserve"> </w:t>
      </w:r>
      <w:r w:rsidR="00761EB1" w:rsidRPr="00761EB1">
        <w:rPr>
          <w:rFonts w:ascii="Gellix" w:hAnsi="Gellix"/>
          <w:sz w:val="21"/>
          <w:szCs w:val="21"/>
          <w:lang w:val="en-GB"/>
        </w:rPr>
        <w:t>ensure that trade-related data transfers are subject to privacy, security, and non-discriminatory treatment provisions.</w:t>
      </w:r>
      <w:r w:rsidR="004E6F65">
        <w:rPr>
          <w:rFonts w:ascii="Gellix" w:hAnsi="Gellix"/>
          <w:sz w:val="21"/>
          <w:szCs w:val="21"/>
          <w:lang w:val="en-GB"/>
        </w:rPr>
        <w:t xml:space="preserve"> </w:t>
      </w:r>
      <w:r w:rsidR="004E6F65" w:rsidRPr="004E6F65">
        <w:rPr>
          <w:rFonts w:ascii="Gellix" w:hAnsi="Gellix"/>
          <w:sz w:val="21"/>
          <w:szCs w:val="21"/>
          <w:lang w:val="en-GB"/>
        </w:rPr>
        <w:t>Clear and enforceable mechanisms are essential to protect CBI and maintain the integrity of digitally connected global supply chains.</w:t>
      </w:r>
    </w:p>
    <w:p w14:paraId="45C45CD0" w14:textId="730AAFEC" w:rsidR="006E4239" w:rsidRDefault="592558A1" w:rsidP="008C6365">
      <w:pPr>
        <w:spacing w:after="120"/>
        <w:rPr>
          <w:rFonts w:ascii="Gellix" w:hAnsi="Gellix"/>
          <w:sz w:val="21"/>
          <w:szCs w:val="21"/>
          <w:lang w:val="en-GB"/>
        </w:rPr>
      </w:pPr>
      <w:r w:rsidRPr="65B7D73E">
        <w:rPr>
          <w:rFonts w:ascii="Gellix" w:hAnsi="Gellix"/>
          <w:b/>
          <w:bCs/>
          <w:sz w:val="21"/>
          <w:szCs w:val="21"/>
          <w:lang w:val="en-GB"/>
        </w:rPr>
        <w:t>Support</w:t>
      </w:r>
      <w:r w:rsidR="044308F5" w:rsidRPr="65B7D73E">
        <w:rPr>
          <w:rFonts w:ascii="Gellix" w:hAnsi="Gellix"/>
          <w:b/>
          <w:bCs/>
          <w:sz w:val="21"/>
          <w:szCs w:val="21"/>
          <w:lang w:val="en-GB"/>
        </w:rPr>
        <w:t xml:space="preserve"> </w:t>
      </w:r>
      <w:r w:rsidR="0830851B" w:rsidRPr="65B7D73E">
        <w:rPr>
          <w:rFonts w:ascii="Gellix" w:hAnsi="Gellix"/>
          <w:b/>
          <w:bCs/>
          <w:sz w:val="21"/>
          <w:szCs w:val="21"/>
          <w:lang w:val="en-GB"/>
        </w:rPr>
        <w:t xml:space="preserve">a </w:t>
      </w:r>
      <w:r w:rsidRPr="65B7D73E">
        <w:rPr>
          <w:rFonts w:ascii="Gellix" w:hAnsi="Gellix"/>
          <w:b/>
          <w:bCs/>
          <w:sz w:val="21"/>
          <w:szCs w:val="21"/>
          <w:lang w:val="en-GB"/>
        </w:rPr>
        <w:t>Digital Trade Enabling Environment</w:t>
      </w:r>
      <w:r w:rsidR="008C6365" w:rsidRPr="008C6365">
        <w:rPr>
          <w:rFonts w:ascii="Gellix" w:hAnsi="Gellix"/>
          <w:sz w:val="21"/>
          <w:szCs w:val="21"/>
          <w:lang w:val="en-GB"/>
        </w:rPr>
        <w:br/>
        <w:t>A supportive digital trade environment is essential for reducing friction and improving efficiency across global supply chains</w:t>
      </w:r>
      <w:r w:rsidR="008C6365">
        <w:rPr>
          <w:rFonts w:ascii="Gellix" w:hAnsi="Gellix"/>
          <w:sz w:val="21"/>
          <w:szCs w:val="21"/>
          <w:lang w:val="en-GB"/>
        </w:rPr>
        <w:t>. H</w:t>
      </w:r>
      <w:r w:rsidR="00B357A4" w:rsidRPr="008B22E5">
        <w:rPr>
          <w:rFonts w:ascii="Gellix" w:hAnsi="Gellix"/>
          <w:sz w:val="21"/>
          <w:szCs w:val="21"/>
          <w:lang w:val="en-GB"/>
        </w:rPr>
        <w:t>armoni</w:t>
      </w:r>
      <w:r w:rsidR="001E381E">
        <w:rPr>
          <w:rFonts w:ascii="Gellix" w:hAnsi="Gellix"/>
          <w:sz w:val="21"/>
          <w:szCs w:val="21"/>
          <w:lang w:val="en-GB"/>
        </w:rPr>
        <w:t>s</w:t>
      </w:r>
      <w:r w:rsidR="00B357A4" w:rsidRPr="008B22E5">
        <w:rPr>
          <w:rFonts w:ascii="Gellix" w:hAnsi="Gellix"/>
          <w:sz w:val="21"/>
          <w:szCs w:val="21"/>
          <w:lang w:val="en-GB"/>
        </w:rPr>
        <w:t xml:space="preserve">ed digital trade documentation standards </w:t>
      </w:r>
      <w:r w:rsidR="00742A56">
        <w:rPr>
          <w:rFonts w:ascii="Gellix" w:hAnsi="Gellix"/>
          <w:sz w:val="21"/>
          <w:szCs w:val="21"/>
          <w:lang w:val="en-GB"/>
        </w:rPr>
        <w:t xml:space="preserve">are essential to </w:t>
      </w:r>
      <w:r w:rsidR="00B357A4" w:rsidRPr="008B22E5">
        <w:rPr>
          <w:rFonts w:ascii="Gellix" w:hAnsi="Gellix"/>
          <w:sz w:val="21"/>
          <w:szCs w:val="21"/>
          <w:lang w:val="en-GB"/>
        </w:rPr>
        <w:t>reduc</w:t>
      </w:r>
      <w:r w:rsidR="00742A56">
        <w:rPr>
          <w:rFonts w:ascii="Gellix" w:hAnsi="Gellix"/>
          <w:sz w:val="21"/>
          <w:szCs w:val="21"/>
          <w:lang w:val="en-GB"/>
        </w:rPr>
        <w:t xml:space="preserve">ing </w:t>
      </w:r>
      <w:r w:rsidR="00B357A4" w:rsidRPr="008B22E5">
        <w:rPr>
          <w:rFonts w:ascii="Gellix" w:hAnsi="Gellix"/>
          <w:sz w:val="21"/>
          <w:szCs w:val="21"/>
          <w:lang w:val="en-GB"/>
        </w:rPr>
        <w:t>friction in supply chains</w:t>
      </w:r>
      <w:r w:rsidR="00742A56">
        <w:rPr>
          <w:rFonts w:ascii="Gellix" w:hAnsi="Gellix"/>
          <w:sz w:val="21"/>
          <w:szCs w:val="21"/>
          <w:lang w:val="en-GB"/>
        </w:rPr>
        <w:t xml:space="preserve">. Trade agreements should include provisions that </w:t>
      </w:r>
      <w:r w:rsidR="006E4239" w:rsidRPr="006E4239">
        <w:rPr>
          <w:rFonts w:ascii="Gellix" w:hAnsi="Gellix"/>
          <w:sz w:val="21"/>
          <w:szCs w:val="21"/>
          <w:lang w:val="en-GB"/>
        </w:rPr>
        <w:t>promote supply chain digitali</w:t>
      </w:r>
      <w:r w:rsidR="00432FBC">
        <w:rPr>
          <w:rFonts w:ascii="Gellix" w:hAnsi="Gellix"/>
          <w:sz w:val="21"/>
          <w:szCs w:val="21"/>
          <w:lang w:val="en-GB"/>
        </w:rPr>
        <w:t>s</w:t>
      </w:r>
      <w:r w:rsidR="006E4239" w:rsidRPr="006E4239">
        <w:rPr>
          <w:rFonts w:ascii="Gellix" w:hAnsi="Gellix"/>
          <w:sz w:val="21"/>
          <w:szCs w:val="21"/>
          <w:lang w:val="en-GB"/>
        </w:rPr>
        <w:t>ation and reflect the operational needs of today’s data-driven economy.</w:t>
      </w:r>
      <w:r w:rsidR="006E4239">
        <w:rPr>
          <w:rFonts w:ascii="Gellix" w:hAnsi="Gellix"/>
          <w:sz w:val="21"/>
          <w:szCs w:val="21"/>
          <w:lang w:val="en-GB"/>
        </w:rPr>
        <w:t xml:space="preserve"> </w:t>
      </w:r>
    </w:p>
    <w:p w14:paraId="43CCB6E0" w14:textId="399FE111" w:rsidR="00B357A4" w:rsidRPr="00FA1A1C" w:rsidRDefault="006E4239" w:rsidP="006E4239">
      <w:pPr>
        <w:spacing w:after="120"/>
        <w:rPr>
          <w:rFonts w:ascii="Gellix" w:hAnsi="Gellix"/>
          <w:sz w:val="21"/>
          <w:szCs w:val="21"/>
          <w:lang w:val="en-GB"/>
        </w:rPr>
      </w:pPr>
      <w:r>
        <w:rPr>
          <w:rFonts w:ascii="Gellix" w:hAnsi="Gellix"/>
          <w:sz w:val="21"/>
          <w:szCs w:val="21"/>
          <w:lang w:val="en-GB"/>
        </w:rPr>
        <w:t>Governments should also</w:t>
      </w:r>
      <w:r w:rsidR="00451046">
        <w:rPr>
          <w:rFonts w:ascii="Gellix" w:hAnsi="Gellix"/>
          <w:sz w:val="21"/>
          <w:szCs w:val="21"/>
          <w:lang w:val="en-GB"/>
        </w:rPr>
        <w:t xml:space="preserve"> </w:t>
      </w:r>
      <w:r>
        <w:rPr>
          <w:rFonts w:ascii="Gellix" w:hAnsi="Gellix"/>
          <w:sz w:val="21"/>
          <w:szCs w:val="21"/>
          <w:lang w:val="en-GB"/>
        </w:rPr>
        <w:t>e</w:t>
      </w:r>
      <w:r w:rsidR="00AD473F" w:rsidRPr="008B22E5">
        <w:rPr>
          <w:rFonts w:ascii="Gellix" w:hAnsi="Gellix"/>
          <w:sz w:val="21"/>
          <w:szCs w:val="21"/>
          <w:lang w:val="en-GB"/>
        </w:rPr>
        <w:t xml:space="preserve">ncourage the development </w:t>
      </w:r>
      <w:r w:rsidR="00AD473F" w:rsidRPr="009B6D74">
        <w:rPr>
          <w:rFonts w:ascii="Gellix" w:hAnsi="Gellix"/>
          <w:sz w:val="21"/>
          <w:szCs w:val="21"/>
          <w:lang w:val="en-GB"/>
        </w:rPr>
        <w:t>of data handling certification programs</w:t>
      </w:r>
      <w:r w:rsidR="00AD473F" w:rsidRPr="008B22E5">
        <w:rPr>
          <w:rFonts w:ascii="Gellix" w:hAnsi="Gellix"/>
          <w:sz w:val="21"/>
          <w:szCs w:val="21"/>
          <w:lang w:val="en-GB"/>
        </w:rPr>
        <w:t xml:space="preserve"> within trusted trader frameworks to enhance supply chain security and efficiency.</w:t>
      </w:r>
      <w:r w:rsidR="00FA1A1C">
        <w:rPr>
          <w:rFonts w:ascii="Gellix" w:hAnsi="Gellix"/>
          <w:sz w:val="21"/>
          <w:szCs w:val="21"/>
          <w:lang w:val="en-GB"/>
        </w:rPr>
        <w:t xml:space="preserve"> T</w:t>
      </w:r>
      <w:r w:rsidR="00FA1A1C" w:rsidRPr="00FA1A1C">
        <w:rPr>
          <w:rFonts w:ascii="Gellix" w:hAnsi="Gellix"/>
          <w:sz w:val="21"/>
          <w:szCs w:val="21"/>
          <w:lang w:val="en-GB"/>
        </w:rPr>
        <w:t xml:space="preserve">hese can enhance compliance, build confidence in cross-border data exchanges, and improve supply chain security without adding unnecessary administrative burdens. Together, these measures help ensure that businesses—especially </w:t>
      </w:r>
      <w:r w:rsidR="00FA1A1C">
        <w:rPr>
          <w:rFonts w:ascii="Gellix" w:hAnsi="Gellix"/>
          <w:sz w:val="21"/>
          <w:szCs w:val="21"/>
          <w:lang w:val="en-GB"/>
        </w:rPr>
        <w:t>M</w:t>
      </w:r>
      <w:r w:rsidR="00FA1A1C" w:rsidRPr="00FA1A1C">
        <w:rPr>
          <w:rFonts w:ascii="Gellix" w:hAnsi="Gellix"/>
          <w:sz w:val="21"/>
          <w:szCs w:val="21"/>
          <w:lang w:val="en-GB"/>
        </w:rPr>
        <w:t>SMEs—can fully benefit from digital trade opportunities.</w:t>
      </w:r>
    </w:p>
    <w:p w14:paraId="404FCE38" w14:textId="7E348F1B" w:rsidR="00384DD2" w:rsidRDefault="006C2F68" w:rsidP="006F050E">
      <w:pPr>
        <w:spacing w:after="120"/>
        <w:rPr>
          <w:rFonts w:ascii="Gellix" w:hAnsi="Gellix"/>
          <w:b/>
          <w:bCs/>
          <w:lang w:val="en-GB"/>
        </w:rPr>
      </w:pPr>
      <w:r w:rsidRPr="006469FB">
        <w:rPr>
          <w:rFonts w:ascii="Gellix" w:hAnsi="Gellix"/>
          <w:b/>
          <w:bCs/>
          <w:lang w:val="en-GB"/>
        </w:rPr>
        <w:t>Quotes and other supporting messages</w:t>
      </w:r>
    </w:p>
    <w:p w14:paraId="39D95A77" w14:textId="31BC5788" w:rsidR="006C2F68" w:rsidRDefault="006C2F68" w:rsidP="00686052">
      <w:pPr>
        <w:rPr>
          <w:rFonts w:ascii="Gellix" w:hAnsi="Gellix"/>
          <w:b/>
          <w:bCs/>
          <w:sz w:val="21"/>
          <w:szCs w:val="21"/>
          <w:lang w:val="en-GB"/>
        </w:rPr>
      </w:pPr>
      <w:r w:rsidRPr="00686052">
        <w:rPr>
          <w:rFonts w:ascii="Gellix" w:hAnsi="Gellix"/>
          <w:b/>
          <w:bCs/>
          <w:sz w:val="21"/>
          <w:szCs w:val="21"/>
          <w:lang w:val="en-GB"/>
        </w:rPr>
        <w:t xml:space="preserve">Quotes from companies </w:t>
      </w:r>
      <w:r w:rsidR="00384DD2" w:rsidRPr="00686052">
        <w:rPr>
          <w:rFonts w:ascii="Gellix" w:hAnsi="Gellix"/>
          <w:b/>
          <w:bCs/>
          <w:sz w:val="21"/>
          <w:szCs w:val="21"/>
          <w:lang w:val="en-GB"/>
        </w:rPr>
        <w:t xml:space="preserve">in break-out boxes </w:t>
      </w:r>
      <w:r w:rsidRPr="00686052">
        <w:rPr>
          <w:rFonts w:ascii="Gellix" w:hAnsi="Gellix"/>
          <w:b/>
          <w:bCs/>
          <w:sz w:val="21"/>
          <w:szCs w:val="21"/>
          <w:lang w:val="en-GB"/>
        </w:rPr>
        <w:t xml:space="preserve">providing real-life reflections on the adverse effects of data flow restrictions (e.g. SMEs in developing countries, </w:t>
      </w:r>
      <w:r w:rsidR="006F050E" w:rsidRPr="00686052">
        <w:rPr>
          <w:rFonts w:ascii="Gellix" w:hAnsi="Gellix"/>
          <w:b/>
          <w:bCs/>
          <w:sz w:val="21"/>
          <w:szCs w:val="21"/>
          <w:lang w:val="en-GB"/>
        </w:rPr>
        <w:t>m</w:t>
      </w:r>
      <w:r w:rsidRPr="00686052">
        <w:rPr>
          <w:rFonts w:ascii="Gellix" w:hAnsi="Gellix"/>
          <w:b/>
          <w:bCs/>
          <w:sz w:val="21"/>
          <w:szCs w:val="21"/>
          <w:lang w:val="en-GB"/>
        </w:rPr>
        <w:t>ultinational).</w:t>
      </w:r>
    </w:p>
    <w:p w14:paraId="63A0AE1A" w14:textId="02A8F871" w:rsidR="002F7DA9" w:rsidRPr="00686052" w:rsidRDefault="006C35A3" w:rsidP="002F7DA9">
      <w:pPr>
        <w:rPr>
          <w:rFonts w:ascii="Gellix" w:hAnsi="Gellix"/>
          <w:i/>
          <w:iCs/>
          <w:sz w:val="21"/>
          <w:szCs w:val="21"/>
          <w:lang w:val="en-GB"/>
        </w:rPr>
      </w:pPr>
      <w:r w:rsidRPr="00686052">
        <w:rPr>
          <w:rFonts w:ascii="Gellix" w:hAnsi="Gellix"/>
          <w:i/>
          <w:iCs/>
          <w:sz w:val="21"/>
          <w:szCs w:val="21"/>
          <w:lang w:val="en-GB"/>
        </w:rPr>
        <w:t>Fictional example</w:t>
      </w:r>
      <w:r w:rsidR="0073116D" w:rsidRPr="00686052">
        <w:rPr>
          <w:rFonts w:ascii="Gellix" w:hAnsi="Gellix"/>
          <w:i/>
          <w:iCs/>
          <w:sz w:val="21"/>
          <w:szCs w:val="21"/>
          <w:lang w:val="en-GB"/>
        </w:rPr>
        <w:t xml:space="preserve"> 1</w:t>
      </w:r>
    </w:p>
    <w:p w14:paraId="1318A060" w14:textId="24238B2B" w:rsidR="0073116D" w:rsidRDefault="0073116D" w:rsidP="002F7DA9">
      <w:pPr>
        <w:rPr>
          <w:rFonts w:ascii="Gellix" w:hAnsi="Gellix"/>
          <w:sz w:val="21"/>
          <w:szCs w:val="21"/>
          <w:lang w:val="en-GB"/>
        </w:rPr>
      </w:pPr>
      <w:r w:rsidRPr="00686052">
        <w:rPr>
          <w:rFonts w:ascii="Gellix" w:hAnsi="Gellix"/>
          <w:sz w:val="21"/>
          <w:szCs w:val="21"/>
          <w:lang w:val="en-GB"/>
        </w:rPr>
        <w:t>We’re a small logistics tech start-up in Kenya. E</w:t>
      </w:r>
      <w:r w:rsidR="00635181">
        <w:rPr>
          <w:rFonts w:ascii="Gellix" w:hAnsi="Gellix"/>
          <w:sz w:val="21"/>
          <w:szCs w:val="21"/>
          <w:lang w:val="en-GB"/>
        </w:rPr>
        <w:t xml:space="preserve">very time we expand into a </w:t>
      </w:r>
      <w:r w:rsidRPr="00686052">
        <w:rPr>
          <w:rFonts w:ascii="Gellix" w:hAnsi="Gellix"/>
          <w:sz w:val="21"/>
          <w:szCs w:val="21"/>
          <w:lang w:val="en-GB"/>
        </w:rPr>
        <w:t>new market</w:t>
      </w:r>
      <w:r w:rsidR="00635181">
        <w:rPr>
          <w:rFonts w:ascii="Gellix" w:hAnsi="Gellix"/>
          <w:sz w:val="21"/>
          <w:szCs w:val="21"/>
          <w:lang w:val="en-GB"/>
        </w:rPr>
        <w:t>,</w:t>
      </w:r>
      <w:r w:rsidRPr="00686052">
        <w:rPr>
          <w:rFonts w:ascii="Gellix" w:hAnsi="Gellix"/>
          <w:sz w:val="21"/>
          <w:szCs w:val="21"/>
          <w:lang w:val="en-GB"/>
        </w:rPr>
        <w:t xml:space="preserve"> we </w:t>
      </w:r>
      <w:r w:rsidR="00635181">
        <w:rPr>
          <w:rFonts w:ascii="Gellix" w:hAnsi="Gellix"/>
          <w:sz w:val="21"/>
          <w:szCs w:val="21"/>
          <w:lang w:val="en-GB"/>
        </w:rPr>
        <w:t xml:space="preserve">face completely different </w:t>
      </w:r>
      <w:r w:rsidRPr="00686052">
        <w:rPr>
          <w:rFonts w:ascii="Gellix" w:hAnsi="Gellix"/>
          <w:sz w:val="21"/>
          <w:szCs w:val="21"/>
          <w:lang w:val="en-GB"/>
        </w:rPr>
        <w:t xml:space="preserve">data compliance rules. We don’t have the </w:t>
      </w:r>
      <w:r w:rsidR="007F2B0F">
        <w:rPr>
          <w:rFonts w:ascii="Gellix" w:hAnsi="Gellix"/>
          <w:sz w:val="21"/>
          <w:szCs w:val="21"/>
          <w:lang w:val="en-GB"/>
        </w:rPr>
        <w:t xml:space="preserve">in-house </w:t>
      </w:r>
      <w:r w:rsidRPr="00686052">
        <w:rPr>
          <w:rFonts w:ascii="Gellix" w:hAnsi="Gellix"/>
          <w:sz w:val="21"/>
          <w:szCs w:val="21"/>
          <w:lang w:val="en-GB"/>
        </w:rPr>
        <w:t xml:space="preserve">legal resources to keep up  </w:t>
      </w:r>
      <w:r w:rsidR="007F2B0F">
        <w:rPr>
          <w:rFonts w:ascii="Gellix" w:hAnsi="Gellix"/>
          <w:sz w:val="21"/>
          <w:szCs w:val="21"/>
          <w:lang w:val="en-GB"/>
        </w:rPr>
        <w:t xml:space="preserve">and that </w:t>
      </w:r>
      <w:r w:rsidRPr="00686052">
        <w:rPr>
          <w:rFonts w:ascii="Gellix" w:hAnsi="Gellix"/>
          <w:sz w:val="21"/>
          <w:szCs w:val="21"/>
          <w:lang w:val="en-GB"/>
        </w:rPr>
        <w:t xml:space="preserve">slows down </w:t>
      </w:r>
      <w:r w:rsidR="007F2B0F">
        <w:rPr>
          <w:rFonts w:ascii="Gellix" w:hAnsi="Gellix"/>
          <w:sz w:val="21"/>
          <w:szCs w:val="21"/>
          <w:lang w:val="en-GB"/>
        </w:rPr>
        <w:t xml:space="preserve">our ability </w:t>
      </w:r>
      <w:r w:rsidR="00E46367">
        <w:rPr>
          <w:rFonts w:ascii="Gellix" w:hAnsi="Gellix"/>
          <w:sz w:val="21"/>
          <w:szCs w:val="21"/>
          <w:lang w:val="en-GB"/>
        </w:rPr>
        <w:t xml:space="preserve">scale </w:t>
      </w:r>
      <w:r w:rsidR="00BA0CDF">
        <w:rPr>
          <w:rFonts w:ascii="Gellix" w:hAnsi="Gellix"/>
          <w:sz w:val="21"/>
          <w:szCs w:val="21"/>
          <w:lang w:val="en-GB"/>
        </w:rPr>
        <w:t>internationally</w:t>
      </w:r>
      <w:r w:rsidR="00E46367">
        <w:rPr>
          <w:rFonts w:ascii="Gellix" w:hAnsi="Gellix"/>
          <w:sz w:val="21"/>
          <w:szCs w:val="21"/>
          <w:lang w:val="en-GB"/>
        </w:rPr>
        <w:t xml:space="preserve"> and integrate global supply chains</w:t>
      </w:r>
      <w:r w:rsidRPr="00686052">
        <w:rPr>
          <w:rFonts w:ascii="Gellix" w:hAnsi="Gellix"/>
          <w:sz w:val="21"/>
          <w:szCs w:val="21"/>
          <w:lang w:val="en-GB"/>
        </w:rPr>
        <w:t>.</w:t>
      </w:r>
    </w:p>
    <w:p w14:paraId="6B2264C7" w14:textId="1E6EAE05" w:rsidR="00E36748" w:rsidRPr="00686052" w:rsidRDefault="00E36748" w:rsidP="002F7DA9">
      <w:pPr>
        <w:rPr>
          <w:rFonts w:ascii="Gellix" w:hAnsi="Gellix"/>
          <w:sz w:val="21"/>
          <w:szCs w:val="21"/>
          <w:lang w:val="en-GB"/>
        </w:rPr>
      </w:pPr>
      <w:r>
        <w:rPr>
          <w:rFonts w:ascii="Gellix" w:hAnsi="Gellix"/>
          <w:sz w:val="21"/>
          <w:szCs w:val="21"/>
          <w:lang w:val="en-GB"/>
        </w:rPr>
        <w:t>Founder, SME Logistics Platform</w:t>
      </w:r>
    </w:p>
    <w:p w14:paraId="1B191BD7" w14:textId="558B5548" w:rsidR="0073116D" w:rsidRPr="00686052" w:rsidRDefault="0073116D" w:rsidP="002F7DA9">
      <w:pPr>
        <w:rPr>
          <w:rFonts w:ascii="Gellix" w:hAnsi="Gellix"/>
          <w:i/>
          <w:iCs/>
          <w:sz w:val="21"/>
          <w:szCs w:val="21"/>
          <w:lang w:val="en-GB"/>
        </w:rPr>
      </w:pPr>
      <w:r w:rsidRPr="00686052">
        <w:rPr>
          <w:rFonts w:ascii="Gellix" w:hAnsi="Gellix"/>
          <w:i/>
          <w:iCs/>
          <w:sz w:val="21"/>
          <w:szCs w:val="21"/>
          <w:lang w:val="en-GB"/>
        </w:rPr>
        <w:t>Fictional example 2</w:t>
      </w:r>
    </w:p>
    <w:p w14:paraId="49BB018C" w14:textId="1CFE21FF" w:rsidR="0073116D" w:rsidRPr="00AF3D1D" w:rsidRDefault="0073116D" w:rsidP="002F7DA9">
      <w:pPr>
        <w:rPr>
          <w:rFonts w:ascii="Gellix" w:hAnsi="Gellix"/>
          <w:sz w:val="21"/>
          <w:szCs w:val="21"/>
          <w:lang w:val="en-GB"/>
        </w:rPr>
      </w:pPr>
      <w:r w:rsidRPr="00686052">
        <w:rPr>
          <w:rFonts w:ascii="Gellix" w:hAnsi="Gellix"/>
          <w:sz w:val="21"/>
          <w:szCs w:val="21"/>
          <w:lang w:val="en-GB"/>
        </w:rPr>
        <w:t>We had to redesign our entire inventory management system to meet local data localisation rules. It doubled our IT costs and broke the real-time coordination we had across our regional warehouses.</w:t>
      </w:r>
      <w:r w:rsidR="00AF3D1D">
        <w:rPr>
          <w:rFonts w:ascii="Gellix" w:hAnsi="Gellix"/>
          <w:sz w:val="21"/>
          <w:szCs w:val="21"/>
          <w:lang w:val="en-GB"/>
        </w:rPr>
        <w:t xml:space="preserve"> </w:t>
      </w:r>
      <w:r w:rsidR="00AF3D1D" w:rsidRPr="00AF3D1D">
        <w:rPr>
          <w:rFonts w:ascii="Gellix" w:hAnsi="Gellix"/>
          <w:sz w:val="21"/>
          <w:szCs w:val="21"/>
          <w:lang w:val="en-GB"/>
        </w:rPr>
        <w:t>The disruption to our supply chain visibility has made it harder to deliver on time and serve our customers efficiently.</w:t>
      </w:r>
    </w:p>
    <w:p w14:paraId="19C6E7EA" w14:textId="44A3A16F" w:rsidR="0073116D" w:rsidRDefault="0073116D" w:rsidP="00686052">
      <w:pPr>
        <w:rPr>
          <w:rFonts w:ascii="Gellix" w:hAnsi="Gellix"/>
          <w:sz w:val="21"/>
          <w:szCs w:val="21"/>
          <w:lang w:val="en-GB"/>
        </w:rPr>
      </w:pPr>
      <w:r w:rsidRPr="00686052">
        <w:rPr>
          <w:rFonts w:ascii="Gellix" w:hAnsi="Gellix"/>
          <w:sz w:val="21"/>
          <w:szCs w:val="21"/>
          <w:lang w:val="en-GB"/>
        </w:rPr>
        <w:t>Multinational Electronics Manufacturer</w:t>
      </w:r>
    </w:p>
    <w:p w14:paraId="669A90D7" w14:textId="77777777" w:rsidR="001E26FF" w:rsidRDefault="001E26FF">
      <w:pPr>
        <w:rPr>
          <w:rFonts w:ascii="Gellix" w:hAnsi="Gellix"/>
          <w:i/>
          <w:iCs/>
          <w:sz w:val="21"/>
          <w:szCs w:val="21"/>
          <w:lang w:val="en-GB"/>
        </w:rPr>
      </w:pPr>
      <w:r>
        <w:rPr>
          <w:rFonts w:ascii="Gellix" w:hAnsi="Gellix"/>
          <w:i/>
          <w:iCs/>
          <w:sz w:val="21"/>
          <w:szCs w:val="21"/>
          <w:lang w:val="en-GB"/>
        </w:rPr>
        <w:br w:type="page"/>
      </w:r>
    </w:p>
    <w:p w14:paraId="54D28ACB" w14:textId="40F087E7" w:rsidR="007211BD" w:rsidRPr="00686052" w:rsidRDefault="007211BD" w:rsidP="007211BD">
      <w:pPr>
        <w:rPr>
          <w:rFonts w:ascii="Gellix" w:hAnsi="Gellix"/>
          <w:i/>
          <w:iCs/>
          <w:sz w:val="21"/>
          <w:szCs w:val="21"/>
          <w:lang w:val="en-GB"/>
        </w:rPr>
      </w:pPr>
      <w:r w:rsidRPr="00686052">
        <w:rPr>
          <w:rFonts w:ascii="Gellix" w:hAnsi="Gellix"/>
          <w:i/>
          <w:iCs/>
          <w:sz w:val="21"/>
          <w:szCs w:val="21"/>
          <w:lang w:val="en-GB"/>
        </w:rPr>
        <w:lastRenderedPageBreak/>
        <w:t xml:space="preserve">Fictional example </w:t>
      </w:r>
      <w:r>
        <w:rPr>
          <w:rFonts w:ascii="Gellix" w:hAnsi="Gellix"/>
          <w:i/>
          <w:iCs/>
          <w:sz w:val="21"/>
          <w:szCs w:val="21"/>
          <w:lang w:val="en-GB"/>
        </w:rPr>
        <w:t>3</w:t>
      </w:r>
    </w:p>
    <w:p w14:paraId="3FFF58E4" w14:textId="1EBD1928" w:rsidR="00181444" w:rsidRPr="007211BD" w:rsidRDefault="00181444" w:rsidP="00686052">
      <w:pPr>
        <w:rPr>
          <w:rFonts w:ascii="Gellix" w:hAnsi="Gellix"/>
          <w:sz w:val="21"/>
          <w:szCs w:val="21"/>
          <w:lang w:val="en-GB"/>
        </w:rPr>
      </w:pPr>
      <w:r w:rsidRPr="007211BD">
        <w:rPr>
          <w:rFonts w:ascii="Gellix" w:hAnsi="Gellix"/>
          <w:sz w:val="21"/>
          <w:szCs w:val="21"/>
          <w:lang w:val="en-GB"/>
        </w:rPr>
        <w:t>Our supply chain spans more than 20 countries, and we rely on continuous data flows to coordinate suppliers, manage production timelines, and track shipments. But conflicting data regulations force us to maintain separate systems in different markets. It’s costly, inefficient, and makes it harder to respond quickly to disruptions—especially when every second counts in electronics manufacturing.</w:t>
      </w:r>
    </w:p>
    <w:p w14:paraId="33A28AFA" w14:textId="77777777" w:rsidR="007211BD" w:rsidRDefault="007211BD" w:rsidP="007211BD">
      <w:pPr>
        <w:rPr>
          <w:rFonts w:ascii="Gellix" w:hAnsi="Gellix"/>
          <w:sz w:val="21"/>
          <w:szCs w:val="21"/>
          <w:lang w:val="en-GB"/>
        </w:rPr>
      </w:pPr>
      <w:r w:rsidRPr="00686052">
        <w:rPr>
          <w:rFonts w:ascii="Gellix" w:hAnsi="Gellix"/>
          <w:sz w:val="21"/>
          <w:szCs w:val="21"/>
          <w:lang w:val="en-GB"/>
        </w:rPr>
        <w:t>Multinational Electronics Manufacturer</w:t>
      </w:r>
    </w:p>
    <w:p w14:paraId="52634A4B" w14:textId="1BE21EBA" w:rsidR="002418C7" w:rsidRDefault="002418C7" w:rsidP="007211BD">
      <w:pPr>
        <w:rPr>
          <w:rFonts w:ascii="Gellix" w:hAnsi="Gellix"/>
          <w:b/>
          <w:bCs/>
          <w:sz w:val="21"/>
          <w:szCs w:val="21"/>
          <w:lang w:val="en-GB"/>
        </w:rPr>
      </w:pPr>
      <w:r w:rsidRPr="002418C7">
        <w:rPr>
          <w:rFonts w:ascii="Gellix" w:hAnsi="Gellix"/>
          <w:b/>
          <w:bCs/>
          <w:sz w:val="21"/>
          <w:szCs w:val="21"/>
          <w:lang w:val="en-GB"/>
        </w:rPr>
        <w:t>Conclusion</w:t>
      </w:r>
    </w:p>
    <w:p w14:paraId="45AE8454" w14:textId="05B1ED3A" w:rsidR="002418C7" w:rsidRPr="002418C7" w:rsidRDefault="002418C7" w:rsidP="007211BD">
      <w:pPr>
        <w:rPr>
          <w:rFonts w:ascii="Gellix" w:hAnsi="Gellix"/>
          <w:b/>
          <w:bCs/>
          <w:sz w:val="21"/>
          <w:szCs w:val="21"/>
          <w:lang w:val="en-GB"/>
        </w:rPr>
      </w:pPr>
      <w:r>
        <w:rPr>
          <w:rFonts w:ascii="Gellix" w:hAnsi="Gellix"/>
          <w:b/>
          <w:bCs/>
          <w:sz w:val="21"/>
          <w:szCs w:val="21"/>
          <w:lang w:val="en-GB"/>
        </w:rPr>
        <w:t>[To come]</w:t>
      </w:r>
    </w:p>
    <w:p w14:paraId="04BFC0BB" w14:textId="68755CCE" w:rsidR="00E869DE" w:rsidRDefault="00451065" w:rsidP="00451065">
      <w:pPr>
        <w:rPr>
          <w:rFonts w:ascii="Gellix" w:hAnsi="Gellix"/>
          <w:sz w:val="22"/>
          <w:szCs w:val="22"/>
          <w:lang w:val="en-US"/>
        </w:rPr>
      </w:pPr>
      <w:r w:rsidRPr="00686052">
        <w:rPr>
          <w:rFonts w:ascii="Gellix" w:hAnsi="Gellix"/>
          <w:b/>
          <w:bCs/>
          <w:lang w:val="en-GB"/>
        </w:rPr>
        <w:t>Additional Resources</w:t>
      </w:r>
    </w:p>
    <w:p w14:paraId="1CCD0949" w14:textId="44E4748B" w:rsidR="00164234" w:rsidRPr="00686052" w:rsidRDefault="00164234" w:rsidP="00451065">
      <w:pPr>
        <w:rPr>
          <w:rFonts w:ascii="Gellix" w:hAnsi="Gellix"/>
          <w:sz w:val="21"/>
          <w:szCs w:val="21"/>
          <w:lang w:val="en-GB"/>
        </w:rPr>
      </w:pPr>
      <w:hyperlink r:id="rId12" w:history="1">
        <w:r w:rsidRPr="00686052">
          <w:rPr>
            <w:rStyle w:val="Hyperlink"/>
            <w:rFonts w:ascii="Gellix" w:hAnsi="Gellix"/>
            <w:sz w:val="21"/>
            <w:szCs w:val="21"/>
            <w:lang w:val="en-US"/>
          </w:rPr>
          <w:t>ICC White Paper on Trusted Government Access to Personal Data Held by the Private Sector</w:t>
        </w:r>
      </w:hyperlink>
    </w:p>
    <w:p w14:paraId="2F47635B" w14:textId="56A7FF54" w:rsidR="00164234" w:rsidRPr="001E26FF" w:rsidRDefault="00164234" w:rsidP="00686052">
      <w:pPr>
        <w:rPr>
          <w:rFonts w:ascii="Gellix" w:hAnsi="Gellix"/>
          <w:sz w:val="21"/>
          <w:szCs w:val="21"/>
          <w:lang w:val="en-GB"/>
        </w:rPr>
      </w:pPr>
      <w:hyperlink r:id="rId13" w:history="1">
        <w:r w:rsidRPr="001E26FF">
          <w:rPr>
            <w:rStyle w:val="Hyperlink"/>
            <w:rFonts w:ascii="Gellix" w:hAnsi="Gellix"/>
            <w:sz w:val="21"/>
            <w:szCs w:val="21"/>
            <w:lang w:val="en-GB"/>
          </w:rPr>
          <w:t>ICC Policy primer on non-personal data</w:t>
        </w:r>
      </w:hyperlink>
    </w:p>
    <w:p w14:paraId="5AE32328" w14:textId="572365F4" w:rsidR="00586CD4" w:rsidRPr="001E26FF" w:rsidRDefault="001E26FF" w:rsidP="00686052">
      <w:pPr>
        <w:spacing w:after="0"/>
        <w:rPr>
          <w:rFonts w:ascii="Gellix" w:hAnsi="Gellix"/>
          <w:sz w:val="21"/>
          <w:szCs w:val="21"/>
          <w:lang w:val="en-GB"/>
        </w:rPr>
      </w:pPr>
      <w:hyperlink r:id="rId14" w:history="1">
        <w:r w:rsidR="00352061" w:rsidRPr="001E26FF">
          <w:rPr>
            <w:rStyle w:val="Hyperlink"/>
            <w:rFonts w:ascii="Gellix" w:hAnsi="Gellix"/>
            <w:sz w:val="21"/>
            <w:szCs w:val="21"/>
            <w:lang w:val="en-GB"/>
          </w:rPr>
          <w:t>ICC D</w:t>
        </w:r>
        <w:r w:rsidR="00451046" w:rsidRPr="001E26FF">
          <w:rPr>
            <w:rStyle w:val="Hyperlink"/>
            <w:rFonts w:ascii="Gellix" w:hAnsi="Gellix"/>
            <w:sz w:val="21"/>
            <w:szCs w:val="21"/>
            <w:lang w:val="en-GB"/>
          </w:rPr>
          <w:t>igital Standards Initiative (DSI)</w:t>
        </w:r>
        <w:r w:rsidRPr="001E26FF">
          <w:rPr>
            <w:rStyle w:val="Hyperlink"/>
            <w:rFonts w:ascii="Gellix" w:hAnsi="Gellix"/>
            <w:sz w:val="21"/>
            <w:szCs w:val="21"/>
            <w:lang w:val="en-GB"/>
          </w:rPr>
          <w:t xml:space="preserve"> Key Trade Documents and Data Elements</w:t>
        </w:r>
      </w:hyperlink>
    </w:p>
    <w:sectPr w:rsidR="00586CD4" w:rsidRPr="001E26FF" w:rsidSect="00282CB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676A" w14:textId="77777777" w:rsidR="00741C65" w:rsidRDefault="00741C65" w:rsidP="002961AB">
      <w:pPr>
        <w:spacing w:after="0" w:line="240" w:lineRule="auto"/>
      </w:pPr>
      <w:r>
        <w:separator/>
      </w:r>
    </w:p>
  </w:endnote>
  <w:endnote w:type="continuationSeparator" w:id="0">
    <w:p w14:paraId="02D6E94F" w14:textId="77777777" w:rsidR="00741C65" w:rsidRDefault="00741C65" w:rsidP="002961AB">
      <w:pPr>
        <w:spacing w:after="0" w:line="240" w:lineRule="auto"/>
      </w:pPr>
      <w:r>
        <w:continuationSeparator/>
      </w:r>
    </w:p>
  </w:endnote>
  <w:endnote w:type="continuationNotice" w:id="1">
    <w:p w14:paraId="52D7078C" w14:textId="77777777" w:rsidR="00741C65" w:rsidRDefault="00741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llix">
    <w:altName w:val="Gellix"/>
    <w:panose1 w:val="00000000000000000000"/>
    <w:charset w:val="00"/>
    <w:family w:val="modern"/>
    <w:notTrueType/>
    <w:pitch w:val="variable"/>
    <w:sig w:usb0="A10000EF" w:usb1="0000207A" w:usb2="00000000" w:usb3="00000000" w:csb0="00000093"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AA18" w14:textId="77777777" w:rsidR="006470FE" w:rsidRDefault="00647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0546" w14:textId="14BF46C4" w:rsidR="008F1893" w:rsidRPr="008F1893" w:rsidRDefault="008F1893">
    <w:pPr>
      <w:pStyle w:val="Footer"/>
      <w:rPr>
        <w:rFonts w:ascii="Gellix" w:hAnsi="Gellix"/>
        <w:i/>
        <w:iCs/>
        <w:sz w:val="16"/>
        <w:szCs w:val="16"/>
        <w:lang w:val="en-GB"/>
      </w:rPr>
    </w:pPr>
    <w:r w:rsidRPr="008F1893">
      <w:rPr>
        <w:rFonts w:ascii="Gellix" w:hAnsi="Gellix"/>
        <w:i/>
        <w:iCs/>
        <w:sz w:val="16"/>
        <w:szCs w:val="16"/>
        <w:lang w:val="en-GB"/>
      </w:rPr>
      <w:t xml:space="preserve">Last updated </w:t>
    </w:r>
    <w:r w:rsidR="00976540">
      <w:rPr>
        <w:rFonts w:ascii="Gellix" w:hAnsi="Gellix"/>
        <w:i/>
        <w:iCs/>
        <w:sz w:val="16"/>
        <w:szCs w:val="16"/>
        <w:lang w:val="en-GB"/>
      </w:rPr>
      <w:t>2</w:t>
    </w:r>
    <w:r w:rsidR="00BF3C39">
      <w:rPr>
        <w:rFonts w:ascii="Gellix" w:hAnsi="Gellix"/>
        <w:i/>
        <w:iCs/>
        <w:sz w:val="16"/>
        <w:szCs w:val="16"/>
        <w:lang w:val="en-GB"/>
      </w:rPr>
      <w:t>6</w:t>
    </w:r>
    <w:r w:rsidR="00451046">
      <w:rPr>
        <w:rFonts w:ascii="Gellix" w:hAnsi="Gellix"/>
        <w:i/>
        <w:iCs/>
        <w:sz w:val="16"/>
        <w:szCs w:val="16"/>
        <w:lang w:val="en-GB"/>
      </w:rPr>
      <w:t xml:space="preserve"> </w:t>
    </w:r>
    <w:r w:rsidR="00390ACD">
      <w:rPr>
        <w:rFonts w:ascii="Gellix" w:hAnsi="Gellix"/>
        <w:i/>
        <w:iCs/>
        <w:sz w:val="16"/>
        <w:szCs w:val="16"/>
        <w:lang w:val="en-GB"/>
      </w:rPr>
      <w:t>April</w:t>
    </w:r>
    <w:r w:rsidRPr="008F1893">
      <w:rPr>
        <w:rFonts w:ascii="Gellix" w:hAnsi="Gellix"/>
        <w:i/>
        <w:iCs/>
        <w:sz w:val="16"/>
        <w:szCs w:val="16"/>
        <w:lang w:val="en-GB"/>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5928" w14:textId="77777777" w:rsidR="006470FE" w:rsidRDefault="0064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6DDA" w14:textId="77777777" w:rsidR="00741C65" w:rsidRDefault="00741C65" w:rsidP="002961AB">
      <w:pPr>
        <w:spacing w:after="0" w:line="240" w:lineRule="auto"/>
      </w:pPr>
      <w:r>
        <w:separator/>
      </w:r>
    </w:p>
  </w:footnote>
  <w:footnote w:type="continuationSeparator" w:id="0">
    <w:p w14:paraId="0F445143" w14:textId="77777777" w:rsidR="00741C65" w:rsidRDefault="00741C65" w:rsidP="002961AB">
      <w:pPr>
        <w:spacing w:after="0" w:line="240" w:lineRule="auto"/>
      </w:pPr>
      <w:r>
        <w:continuationSeparator/>
      </w:r>
    </w:p>
  </w:footnote>
  <w:footnote w:type="continuationNotice" w:id="1">
    <w:p w14:paraId="2C079B75" w14:textId="77777777" w:rsidR="00741C65" w:rsidRDefault="00741C65">
      <w:pPr>
        <w:spacing w:after="0" w:line="240" w:lineRule="auto"/>
      </w:pPr>
    </w:p>
  </w:footnote>
  <w:footnote w:id="2">
    <w:p w14:paraId="53B6722B" w14:textId="076C44EF" w:rsidR="001D1E32" w:rsidRPr="001D1E32" w:rsidRDefault="001D1E32">
      <w:pPr>
        <w:pStyle w:val="FootnoteText"/>
        <w:rPr>
          <w:rFonts w:ascii="Gellix" w:hAnsi="Gellix"/>
          <w:sz w:val="18"/>
          <w:szCs w:val="18"/>
        </w:rPr>
      </w:pPr>
      <w:r>
        <w:rPr>
          <w:rStyle w:val="FootnoteReference"/>
        </w:rPr>
        <w:footnoteRef/>
      </w:r>
      <w:r>
        <w:t xml:space="preserve"> </w:t>
      </w:r>
      <w:r w:rsidRPr="001D1E32">
        <w:rPr>
          <w:rFonts w:ascii="Gellix" w:hAnsi="Gellix"/>
          <w:sz w:val="18"/>
          <w:szCs w:val="18"/>
        </w:rPr>
        <w:t xml:space="preserve">OECD (2023) Of Bytes and Trade: Quantifying the Impact of </w:t>
      </w:r>
      <w:proofErr w:type="spellStart"/>
      <w:r w:rsidRPr="001D1E32">
        <w:rPr>
          <w:rFonts w:ascii="Gellix" w:hAnsi="Gellix"/>
          <w:sz w:val="18"/>
          <w:szCs w:val="18"/>
        </w:rPr>
        <w:t>Digitilisation</w:t>
      </w:r>
      <w:proofErr w:type="spellEnd"/>
      <w:r w:rsidRPr="001D1E32">
        <w:rPr>
          <w:rFonts w:ascii="Gellix" w:hAnsi="Gellix"/>
          <w:sz w:val="18"/>
          <w:szCs w:val="18"/>
        </w:rPr>
        <w:t xml:space="preserve"> on Trade, </w:t>
      </w:r>
      <w:r w:rsidRPr="001D1E32">
        <w:rPr>
          <w:rStyle w:val="Hyperlink"/>
          <w:rFonts w:ascii="Gellix" w:hAnsi="Gellix"/>
          <w:sz w:val="18"/>
          <w:szCs w:val="18"/>
        </w:rPr>
        <w:t>https://read.oecd. org/10.1787/11889f2a-en?format=pdf</w:t>
      </w:r>
      <w:r w:rsidRPr="001D1E32">
        <w:rPr>
          <w:rStyle w:val="Hyperlink"/>
          <w:rFonts w:ascii="Gellix" w:hAnsi="Gellix"/>
          <w:color w:val="auto"/>
          <w:sz w:val="18"/>
          <w:szCs w:val="18"/>
          <w:u w:val="none"/>
        </w:rPr>
        <w:t>.</w:t>
      </w:r>
    </w:p>
  </w:footnote>
  <w:footnote w:id="3">
    <w:p w14:paraId="28A3167E" w14:textId="77777777" w:rsidR="00E05429" w:rsidRPr="00997B2C" w:rsidRDefault="00E05429" w:rsidP="00E05429">
      <w:pPr>
        <w:pStyle w:val="FootnoteText"/>
        <w:rPr>
          <w:rFonts w:ascii="Gellix" w:hAnsi="Gellix"/>
        </w:rPr>
      </w:pPr>
      <w:r w:rsidRPr="00997B2C">
        <w:rPr>
          <w:rStyle w:val="FootnoteReference"/>
          <w:rFonts w:ascii="Gellix" w:hAnsi="Gellix"/>
          <w:sz w:val="18"/>
          <w:szCs w:val="18"/>
        </w:rPr>
        <w:footnoteRef/>
      </w:r>
      <w:r w:rsidRPr="00997B2C">
        <w:rPr>
          <w:rFonts w:ascii="Gellix" w:hAnsi="Gellix"/>
          <w:sz w:val="18"/>
          <w:szCs w:val="18"/>
        </w:rPr>
        <w:t xml:space="preserve"> OECD/WTO (2025), </w:t>
      </w:r>
      <w:r w:rsidRPr="00997B2C">
        <w:rPr>
          <w:rFonts w:ascii="Gellix" w:hAnsi="Gellix"/>
          <w:i/>
          <w:iCs/>
          <w:sz w:val="18"/>
          <w:szCs w:val="18"/>
        </w:rPr>
        <w:t>Economic Implications of Data Regulation: Balancing Openness and Trust</w:t>
      </w:r>
      <w:r w:rsidRPr="00997B2C">
        <w:rPr>
          <w:rFonts w:ascii="Gellix" w:hAnsi="Gellix"/>
          <w:sz w:val="18"/>
          <w:szCs w:val="18"/>
        </w:rPr>
        <w:t>, OECD Publishing, Paris, </w:t>
      </w:r>
      <w:hyperlink r:id="rId1" w:history="1">
        <w:r w:rsidRPr="00997B2C">
          <w:rPr>
            <w:rStyle w:val="Hyperlink"/>
            <w:rFonts w:ascii="Gellix" w:hAnsi="Gellix"/>
            <w:sz w:val="18"/>
            <w:szCs w:val="18"/>
          </w:rPr>
          <w:t>https://doi.org/10.1787/aa285504-en</w:t>
        </w:r>
      </w:hyperlink>
      <w:r w:rsidRPr="00997B2C">
        <w:rPr>
          <w:rFonts w:ascii="Gellix" w:hAnsi="Gellix"/>
          <w:sz w:val="18"/>
          <w:szCs w:val="18"/>
        </w:rPr>
        <w:t>.</w:t>
      </w:r>
    </w:p>
  </w:footnote>
  <w:footnote w:id="4">
    <w:p w14:paraId="29CA372F" w14:textId="6B92CBC6" w:rsidR="00641324" w:rsidRDefault="00641324">
      <w:pPr>
        <w:pStyle w:val="FootnoteText"/>
      </w:pPr>
      <w:r>
        <w:rPr>
          <w:rStyle w:val="FootnoteReference"/>
        </w:rPr>
        <w:footnoteRef/>
      </w:r>
      <w:r>
        <w:t xml:space="preserve"> </w:t>
      </w:r>
      <w:hyperlink r:id="rId2" w:history="1">
        <w:r w:rsidRPr="00641324">
          <w:rPr>
            <w:rStyle w:val="Hyperlink"/>
            <w:lang w:val="fr-FR"/>
          </w:rPr>
          <w:t>directdoc.aspx</w:t>
        </w:r>
      </w:hyperlink>
      <w:r w:rsidR="006A26BA">
        <w:t>,  (26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1DCC" w14:textId="77777777" w:rsidR="006470FE" w:rsidRDefault="00647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4FB4" w14:textId="1B3D951A" w:rsidR="00681CB4" w:rsidRDefault="00D20615" w:rsidP="00681CB4">
    <w:pPr>
      <w:pStyle w:val="Header"/>
      <w:jc w:val="right"/>
    </w:pPr>
    <w:r>
      <w:rPr>
        <w:noProof/>
      </w:rPr>
      <mc:AlternateContent>
        <mc:Choice Requires="wps">
          <w:drawing>
            <wp:anchor distT="45720" distB="45720" distL="114300" distR="114300" simplePos="0" relativeHeight="251658240" behindDoc="0" locked="0" layoutInCell="1" allowOverlap="1" wp14:anchorId="248DC0BE" wp14:editId="4A8B237A">
              <wp:simplePos x="0" y="0"/>
              <wp:positionH relativeFrom="column">
                <wp:posOffset>-369378</wp:posOffset>
              </wp:positionH>
              <wp:positionV relativeFrom="paragraph">
                <wp:posOffset>11137</wp:posOffset>
              </wp:positionV>
              <wp:extent cx="27432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14:paraId="34116ADE" w14:textId="215AF383" w:rsidR="00D20615" w:rsidRPr="008F1893" w:rsidRDefault="00D20615" w:rsidP="008F1893">
                          <w:pPr>
                            <w:spacing w:after="0" w:line="240" w:lineRule="auto"/>
                            <w:rPr>
                              <w:i/>
                              <w:iCs/>
                              <w:sz w:val="22"/>
                              <w:szCs w:val="22"/>
                              <w:lang w:val="en-GB"/>
                            </w:rPr>
                          </w:pPr>
                          <w:r w:rsidRPr="008F1893">
                            <w:rPr>
                              <w:rFonts w:ascii="Gellix" w:hAnsi="Gellix"/>
                              <w:b/>
                              <w:bCs/>
                              <w:i/>
                              <w:iCs/>
                              <w:color w:val="FF0000"/>
                              <w:sz w:val="22"/>
                              <w:szCs w:val="22"/>
                              <w:lang w:val="en-US"/>
                            </w:rPr>
                            <w:t xml:space="preserve">INTERNAL WORKING DOCUMENT </w:t>
                          </w:r>
                          <w:r w:rsidR="00723385" w:rsidRPr="008F1893">
                            <w:rPr>
                              <w:rFonts w:ascii="Gellix" w:hAnsi="Gellix"/>
                              <w:b/>
                              <w:bCs/>
                              <w:i/>
                              <w:iCs/>
                              <w:color w:val="FF0000"/>
                              <w:sz w:val="22"/>
                              <w:szCs w:val="22"/>
                              <w:lang w:val="en-US"/>
                            </w:rPr>
                            <w:t xml:space="preserve">- </w:t>
                          </w:r>
                          <w:r w:rsidRPr="008F1893">
                            <w:rPr>
                              <w:rFonts w:ascii="Gellix" w:hAnsi="Gellix"/>
                              <w:b/>
                              <w:bCs/>
                              <w:i/>
                              <w:iCs/>
                              <w:color w:val="FF0000"/>
                              <w:sz w:val="22"/>
                              <w:szCs w:val="22"/>
                              <w:lang w:val="en-US"/>
                            </w:rPr>
                            <w:t xml:space="preserve">NOT </w:t>
                          </w:r>
                          <w:r w:rsidR="00723385" w:rsidRPr="008F1893">
                            <w:rPr>
                              <w:rFonts w:ascii="Gellix" w:hAnsi="Gellix"/>
                              <w:b/>
                              <w:bCs/>
                              <w:i/>
                              <w:iCs/>
                              <w:color w:val="FF0000"/>
                              <w:sz w:val="22"/>
                              <w:szCs w:val="22"/>
                              <w:lang w:val="en-US"/>
                            </w:rPr>
                            <w:t xml:space="preserve">FOR </w:t>
                          </w:r>
                          <w:r w:rsidRPr="008F1893">
                            <w:rPr>
                              <w:rFonts w:ascii="Gellix" w:hAnsi="Gellix"/>
                              <w:b/>
                              <w:bCs/>
                              <w:i/>
                              <w:iCs/>
                              <w:color w:val="FF0000"/>
                              <w:sz w:val="22"/>
                              <w:szCs w:val="22"/>
                              <w:lang w:val="en-US"/>
                            </w:rPr>
                            <w:t>CIRCULAT</w:t>
                          </w:r>
                          <w:r w:rsidR="00723385" w:rsidRPr="008F1893">
                            <w:rPr>
                              <w:rFonts w:ascii="Gellix" w:hAnsi="Gellix"/>
                              <w:b/>
                              <w:bCs/>
                              <w:i/>
                              <w:iCs/>
                              <w:color w:val="FF0000"/>
                              <w:sz w:val="22"/>
                              <w:szCs w:val="22"/>
                              <w:lang w:val="en-US"/>
                            </w:rPr>
                            <w: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DC0BE" id="_x0000_t202" coordsize="21600,21600" o:spt="202" path="m,l,21600r21600,l21600,xe">
              <v:stroke joinstyle="miter"/>
              <v:path gradientshapeok="t" o:connecttype="rect"/>
            </v:shapetype>
            <v:shape id="Text Box 2" o:spid="_x0000_s1026" type="#_x0000_t202" style="position:absolute;left:0;text-align:left;margin-left:-29.1pt;margin-top:.9pt;width:3in;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QpDQIAAPcDAAAOAAAAZHJzL2Uyb0RvYy54bWysU9tu2zAMfR+wfxD0vtjJnF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" stroked="f">
              <v:textbox style="mso-fit-shape-to-text:t">
                <w:txbxContent>
                  <w:p w14:paraId="34116ADE" w14:textId="215AF383" w:rsidR="00D20615" w:rsidRPr="008F1893" w:rsidRDefault="00D20615" w:rsidP="008F1893">
                    <w:pPr>
                      <w:spacing w:after="0" w:line="240" w:lineRule="auto"/>
                      <w:rPr>
                        <w:i/>
                        <w:iCs/>
                        <w:sz w:val="22"/>
                        <w:szCs w:val="22"/>
                        <w:lang w:val="en-GB"/>
                      </w:rPr>
                    </w:pPr>
                    <w:r w:rsidRPr="008F1893">
                      <w:rPr>
                        <w:rFonts w:ascii="Gellix" w:hAnsi="Gellix"/>
                        <w:b/>
                        <w:bCs/>
                        <w:i/>
                        <w:iCs/>
                        <w:color w:val="FF0000"/>
                        <w:sz w:val="22"/>
                        <w:szCs w:val="22"/>
                        <w:lang w:val="en-US"/>
                      </w:rPr>
                      <w:t xml:space="preserve">INTERNAL WORKING DOCUMENT </w:t>
                    </w:r>
                    <w:r w:rsidR="00723385" w:rsidRPr="008F1893">
                      <w:rPr>
                        <w:rFonts w:ascii="Gellix" w:hAnsi="Gellix"/>
                        <w:b/>
                        <w:bCs/>
                        <w:i/>
                        <w:iCs/>
                        <w:color w:val="FF0000"/>
                        <w:sz w:val="22"/>
                        <w:szCs w:val="22"/>
                        <w:lang w:val="en-US"/>
                      </w:rPr>
                      <w:t xml:space="preserve">- </w:t>
                    </w:r>
                    <w:r w:rsidRPr="008F1893">
                      <w:rPr>
                        <w:rFonts w:ascii="Gellix" w:hAnsi="Gellix"/>
                        <w:b/>
                        <w:bCs/>
                        <w:i/>
                        <w:iCs/>
                        <w:color w:val="FF0000"/>
                        <w:sz w:val="22"/>
                        <w:szCs w:val="22"/>
                        <w:lang w:val="en-US"/>
                      </w:rPr>
                      <w:t xml:space="preserve">NOT </w:t>
                    </w:r>
                    <w:r w:rsidR="00723385" w:rsidRPr="008F1893">
                      <w:rPr>
                        <w:rFonts w:ascii="Gellix" w:hAnsi="Gellix"/>
                        <w:b/>
                        <w:bCs/>
                        <w:i/>
                        <w:iCs/>
                        <w:color w:val="FF0000"/>
                        <w:sz w:val="22"/>
                        <w:szCs w:val="22"/>
                        <w:lang w:val="en-US"/>
                      </w:rPr>
                      <w:t xml:space="preserve">FOR </w:t>
                    </w:r>
                    <w:r w:rsidRPr="008F1893">
                      <w:rPr>
                        <w:rFonts w:ascii="Gellix" w:hAnsi="Gellix"/>
                        <w:b/>
                        <w:bCs/>
                        <w:i/>
                        <w:iCs/>
                        <w:color w:val="FF0000"/>
                        <w:sz w:val="22"/>
                        <w:szCs w:val="22"/>
                        <w:lang w:val="en-US"/>
                      </w:rPr>
                      <w:t>CIRCULAT</w:t>
                    </w:r>
                    <w:r w:rsidR="00723385" w:rsidRPr="008F1893">
                      <w:rPr>
                        <w:rFonts w:ascii="Gellix" w:hAnsi="Gellix"/>
                        <w:b/>
                        <w:bCs/>
                        <w:i/>
                        <w:iCs/>
                        <w:color w:val="FF0000"/>
                        <w:sz w:val="22"/>
                        <w:szCs w:val="22"/>
                        <w:lang w:val="en-US"/>
                      </w:rPr>
                      <w:t>ION</w:t>
                    </w:r>
                  </w:p>
                </w:txbxContent>
              </v:textbox>
              <w10:wrap type="square"/>
            </v:shape>
          </w:pict>
        </mc:Fallback>
      </mc:AlternateContent>
    </w:r>
    <w:r w:rsidR="00681CB4" w:rsidRPr="007B1416">
      <w:rPr>
        <w:noProof/>
      </w:rPr>
      <w:drawing>
        <wp:inline distT="0" distB="0" distL="0" distR="0" wp14:anchorId="6B48B059" wp14:editId="5EA23779">
          <wp:extent cx="1217160" cy="756000"/>
          <wp:effectExtent l="0" t="0" r="2540" b="6350"/>
          <wp:docPr id="1790740822" name="Imag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10401" name="Image 8" descr="A blue and black background&#10;&#10;Description automatically generated"/>
                  <pic:cNvPicPr/>
                </pic:nvPicPr>
                <pic:blipFill>
                  <a:blip r:embed="rId1"/>
                  <a:stretch>
                    <a:fillRect/>
                  </a:stretch>
                </pic:blipFill>
                <pic:spPr>
                  <a:xfrm>
                    <a:off x="0" y="0"/>
                    <a:ext cx="1217160" cy="75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CE9C" w14:textId="77777777" w:rsidR="006470FE" w:rsidRDefault="00647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41C"/>
    <w:multiLevelType w:val="hybridMultilevel"/>
    <w:tmpl w:val="2C2AD34A"/>
    <w:lvl w:ilvl="0" w:tplc="FF3AFC04">
      <w:start w:val="3"/>
      <w:numFmt w:val="bullet"/>
      <w:lvlText w:val="-"/>
      <w:lvlJc w:val="left"/>
      <w:pPr>
        <w:ind w:left="2493" w:hanging="360"/>
      </w:pPr>
      <w:rPr>
        <w:rFonts w:ascii="Aptos" w:eastAsiaTheme="minorEastAsia" w:hAnsi="Aptos" w:cstheme="minorBidi" w:hint="default"/>
      </w:rPr>
    </w:lvl>
    <w:lvl w:ilvl="1" w:tplc="08090003" w:tentative="1">
      <w:start w:val="1"/>
      <w:numFmt w:val="bullet"/>
      <w:lvlText w:val="o"/>
      <w:lvlJc w:val="left"/>
      <w:pPr>
        <w:ind w:left="3213" w:hanging="360"/>
      </w:pPr>
      <w:rPr>
        <w:rFonts w:ascii="Courier New" w:hAnsi="Courier New" w:cs="Courier New" w:hint="default"/>
      </w:rPr>
    </w:lvl>
    <w:lvl w:ilvl="2" w:tplc="08090005" w:tentative="1">
      <w:start w:val="1"/>
      <w:numFmt w:val="bullet"/>
      <w:lvlText w:val=""/>
      <w:lvlJc w:val="left"/>
      <w:pPr>
        <w:ind w:left="3933" w:hanging="360"/>
      </w:pPr>
      <w:rPr>
        <w:rFonts w:ascii="Wingdings" w:hAnsi="Wingdings" w:hint="default"/>
      </w:rPr>
    </w:lvl>
    <w:lvl w:ilvl="3" w:tplc="08090001" w:tentative="1">
      <w:start w:val="1"/>
      <w:numFmt w:val="bullet"/>
      <w:lvlText w:val=""/>
      <w:lvlJc w:val="left"/>
      <w:pPr>
        <w:ind w:left="4653" w:hanging="360"/>
      </w:pPr>
      <w:rPr>
        <w:rFonts w:ascii="Symbol" w:hAnsi="Symbol" w:hint="default"/>
      </w:rPr>
    </w:lvl>
    <w:lvl w:ilvl="4" w:tplc="08090003" w:tentative="1">
      <w:start w:val="1"/>
      <w:numFmt w:val="bullet"/>
      <w:lvlText w:val="o"/>
      <w:lvlJc w:val="left"/>
      <w:pPr>
        <w:ind w:left="5373" w:hanging="360"/>
      </w:pPr>
      <w:rPr>
        <w:rFonts w:ascii="Courier New" w:hAnsi="Courier New" w:cs="Courier New" w:hint="default"/>
      </w:rPr>
    </w:lvl>
    <w:lvl w:ilvl="5" w:tplc="08090005" w:tentative="1">
      <w:start w:val="1"/>
      <w:numFmt w:val="bullet"/>
      <w:lvlText w:val=""/>
      <w:lvlJc w:val="left"/>
      <w:pPr>
        <w:ind w:left="6093" w:hanging="360"/>
      </w:pPr>
      <w:rPr>
        <w:rFonts w:ascii="Wingdings" w:hAnsi="Wingdings" w:hint="default"/>
      </w:rPr>
    </w:lvl>
    <w:lvl w:ilvl="6" w:tplc="08090001" w:tentative="1">
      <w:start w:val="1"/>
      <w:numFmt w:val="bullet"/>
      <w:lvlText w:val=""/>
      <w:lvlJc w:val="left"/>
      <w:pPr>
        <w:ind w:left="6813" w:hanging="360"/>
      </w:pPr>
      <w:rPr>
        <w:rFonts w:ascii="Symbol" w:hAnsi="Symbol" w:hint="default"/>
      </w:rPr>
    </w:lvl>
    <w:lvl w:ilvl="7" w:tplc="08090003" w:tentative="1">
      <w:start w:val="1"/>
      <w:numFmt w:val="bullet"/>
      <w:lvlText w:val="o"/>
      <w:lvlJc w:val="left"/>
      <w:pPr>
        <w:ind w:left="7533" w:hanging="360"/>
      </w:pPr>
      <w:rPr>
        <w:rFonts w:ascii="Courier New" w:hAnsi="Courier New" w:cs="Courier New" w:hint="default"/>
      </w:rPr>
    </w:lvl>
    <w:lvl w:ilvl="8" w:tplc="08090005" w:tentative="1">
      <w:start w:val="1"/>
      <w:numFmt w:val="bullet"/>
      <w:lvlText w:val=""/>
      <w:lvlJc w:val="left"/>
      <w:pPr>
        <w:ind w:left="8253" w:hanging="360"/>
      </w:pPr>
      <w:rPr>
        <w:rFonts w:ascii="Wingdings" w:hAnsi="Wingdings" w:hint="default"/>
      </w:rPr>
    </w:lvl>
  </w:abstractNum>
  <w:abstractNum w:abstractNumId="1" w15:restartNumberingAfterBreak="0">
    <w:nsid w:val="02DE3061"/>
    <w:multiLevelType w:val="hybridMultilevel"/>
    <w:tmpl w:val="CAD61828"/>
    <w:lvl w:ilvl="0" w:tplc="82E4EF0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E5F20"/>
    <w:multiLevelType w:val="hybridMultilevel"/>
    <w:tmpl w:val="8DCEAF6A"/>
    <w:lvl w:ilvl="0" w:tplc="30604B70">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97EAE"/>
    <w:multiLevelType w:val="hybridMultilevel"/>
    <w:tmpl w:val="8DCEAF6A"/>
    <w:lvl w:ilvl="0" w:tplc="FFFFFFFF">
      <w:start w:val="1"/>
      <w:numFmt w:val="upperLetter"/>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D319CA"/>
    <w:multiLevelType w:val="multilevel"/>
    <w:tmpl w:val="180E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82B4E"/>
    <w:multiLevelType w:val="hybridMultilevel"/>
    <w:tmpl w:val="A09E4E84"/>
    <w:lvl w:ilvl="0" w:tplc="312EFF1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97E20"/>
    <w:multiLevelType w:val="multilevel"/>
    <w:tmpl w:val="AEE40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C87332"/>
    <w:multiLevelType w:val="multilevel"/>
    <w:tmpl w:val="423E9D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7C6EF6"/>
    <w:multiLevelType w:val="hybridMultilevel"/>
    <w:tmpl w:val="4E2420C2"/>
    <w:lvl w:ilvl="0" w:tplc="13643360">
      <w:start w:val="1"/>
      <w:numFmt w:val="decimal"/>
      <w:lvlText w:val="%1."/>
      <w:lvlJc w:val="left"/>
      <w:pPr>
        <w:ind w:left="1020" w:hanging="360"/>
      </w:pPr>
    </w:lvl>
    <w:lvl w:ilvl="1" w:tplc="7C043C5C">
      <w:start w:val="1"/>
      <w:numFmt w:val="decimal"/>
      <w:lvlText w:val="%2."/>
      <w:lvlJc w:val="left"/>
      <w:pPr>
        <w:ind w:left="1020" w:hanging="360"/>
      </w:pPr>
    </w:lvl>
    <w:lvl w:ilvl="2" w:tplc="0D724392">
      <w:start w:val="1"/>
      <w:numFmt w:val="decimal"/>
      <w:lvlText w:val="%3."/>
      <w:lvlJc w:val="left"/>
      <w:pPr>
        <w:ind w:left="1020" w:hanging="360"/>
      </w:pPr>
    </w:lvl>
    <w:lvl w:ilvl="3" w:tplc="8A985622">
      <w:start w:val="1"/>
      <w:numFmt w:val="decimal"/>
      <w:lvlText w:val="%4."/>
      <w:lvlJc w:val="left"/>
      <w:pPr>
        <w:ind w:left="1020" w:hanging="360"/>
      </w:pPr>
    </w:lvl>
    <w:lvl w:ilvl="4" w:tplc="E6F6EDB0">
      <w:start w:val="1"/>
      <w:numFmt w:val="decimal"/>
      <w:lvlText w:val="%5."/>
      <w:lvlJc w:val="left"/>
      <w:pPr>
        <w:ind w:left="1020" w:hanging="360"/>
      </w:pPr>
    </w:lvl>
    <w:lvl w:ilvl="5" w:tplc="3E4E85C0">
      <w:start w:val="1"/>
      <w:numFmt w:val="decimal"/>
      <w:lvlText w:val="%6."/>
      <w:lvlJc w:val="left"/>
      <w:pPr>
        <w:ind w:left="1020" w:hanging="360"/>
      </w:pPr>
    </w:lvl>
    <w:lvl w:ilvl="6" w:tplc="98EAEC92">
      <w:start w:val="1"/>
      <w:numFmt w:val="decimal"/>
      <w:lvlText w:val="%7."/>
      <w:lvlJc w:val="left"/>
      <w:pPr>
        <w:ind w:left="1020" w:hanging="360"/>
      </w:pPr>
    </w:lvl>
    <w:lvl w:ilvl="7" w:tplc="31E2329C">
      <w:start w:val="1"/>
      <w:numFmt w:val="decimal"/>
      <w:lvlText w:val="%8."/>
      <w:lvlJc w:val="left"/>
      <w:pPr>
        <w:ind w:left="1020" w:hanging="360"/>
      </w:pPr>
    </w:lvl>
    <w:lvl w:ilvl="8" w:tplc="FB3836E8">
      <w:start w:val="1"/>
      <w:numFmt w:val="decimal"/>
      <w:lvlText w:val="%9."/>
      <w:lvlJc w:val="left"/>
      <w:pPr>
        <w:ind w:left="1020" w:hanging="360"/>
      </w:pPr>
    </w:lvl>
  </w:abstractNum>
  <w:abstractNum w:abstractNumId="9" w15:restartNumberingAfterBreak="0">
    <w:nsid w:val="3101313F"/>
    <w:multiLevelType w:val="hybridMultilevel"/>
    <w:tmpl w:val="C63C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50860"/>
    <w:multiLevelType w:val="hybridMultilevel"/>
    <w:tmpl w:val="05F0001C"/>
    <w:lvl w:ilvl="0" w:tplc="6BDA2038">
      <w:start w:val="1"/>
      <w:numFmt w:val="decimal"/>
      <w:lvlText w:val="%1."/>
      <w:lvlJc w:val="left"/>
      <w:pPr>
        <w:ind w:left="1440" w:hanging="360"/>
      </w:pPr>
    </w:lvl>
    <w:lvl w:ilvl="1" w:tplc="8A265D02">
      <w:start w:val="1"/>
      <w:numFmt w:val="decimal"/>
      <w:lvlText w:val="%2."/>
      <w:lvlJc w:val="left"/>
      <w:pPr>
        <w:ind w:left="1440" w:hanging="360"/>
      </w:pPr>
    </w:lvl>
    <w:lvl w:ilvl="2" w:tplc="ACCEF24A">
      <w:start w:val="1"/>
      <w:numFmt w:val="decimal"/>
      <w:lvlText w:val="%3."/>
      <w:lvlJc w:val="left"/>
      <w:pPr>
        <w:ind w:left="1440" w:hanging="360"/>
      </w:pPr>
    </w:lvl>
    <w:lvl w:ilvl="3" w:tplc="AB6E39D4">
      <w:start w:val="1"/>
      <w:numFmt w:val="decimal"/>
      <w:lvlText w:val="%4."/>
      <w:lvlJc w:val="left"/>
      <w:pPr>
        <w:ind w:left="1440" w:hanging="360"/>
      </w:pPr>
    </w:lvl>
    <w:lvl w:ilvl="4" w:tplc="F6CCB9EE">
      <w:start w:val="1"/>
      <w:numFmt w:val="decimal"/>
      <w:lvlText w:val="%5."/>
      <w:lvlJc w:val="left"/>
      <w:pPr>
        <w:ind w:left="1440" w:hanging="360"/>
      </w:pPr>
    </w:lvl>
    <w:lvl w:ilvl="5" w:tplc="7BFC1716">
      <w:start w:val="1"/>
      <w:numFmt w:val="decimal"/>
      <w:lvlText w:val="%6."/>
      <w:lvlJc w:val="left"/>
      <w:pPr>
        <w:ind w:left="1440" w:hanging="360"/>
      </w:pPr>
    </w:lvl>
    <w:lvl w:ilvl="6" w:tplc="2FF06326">
      <w:start w:val="1"/>
      <w:numFmt w:val="decimal"/>
      <w:lvlText w:val="%7."/>
      <w:lvlJc w:val="left"/>
      <w:pPr>
        <w:ind w:left="1440" w:hanging="360"/>
      </w:pPr>
    </w:lvl>
    <w:lvl w:ilvl="7" w:tplc="21FAEA32">
      <w:start w:val="1"/>
      <w:numFmt w:val="decimal"/>
      <w:lvlText w:val="%8."/>
      <w:lvlJc w:val="left"/>
      <w:pPr>
        <w:ind w:left="1440" w:hanging="360"/>
      </w:pPr>
    </w:lvl>
    <w:lvl w:ilvl="8" w:tplc="3C4C9C1E">
      <w:start w:val="1"/>
      <w:numFmt w:val="decimal"/>
      <w:lvlText w:val="%9."/>
      <w:lvlJc w:val="left"/>
      <w:pPr>
        <w:ind w:left="1440" w:hanging="360"/>
      </w:pPr>
    </w:lvl>
  </w:abstractNum>
  <w:abstractNum w:abstractNumId="11" w15:restartNumberingAfterBreak="0">
    <w:nsid w:val="3F113E2F"/>
    <w:multiLevelType w:val="hybridMultilevel"/>
    <w:tmpl w:val="877AE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20012"/>
    <w:multiLevelType w:val="hybridMultilevel"/>
    <w:tmpl w:val="0D1AF2A0"/>
    <w:lvl w:ilvl="0" w:tplc="8088781A">
      <w:numFmt w:val="bullet"/>
      <w:lvlText w:val="-"/>
      <w:lvlJc w:val="left"/>
      <w:pPr>
        <w:ind w:left="360" w:hanging="360"/>
      </w:pPr>
      <w:rPr>
        <w:rFonts w:ascii="Gellix" w:eastAsiaTheme="minorEastAsia" w:hAnsi="Gellix"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D27713"/>
    <w:multiLevelType w:val="hybridMultilevel"/>
    <w:tmpl w:val="B3AA24AA"/>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53547C77"/>
    <w:multiLevelType w:val="multilevel"/>
    <w:tmpl w:val="6DAE22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75F1EFC"/>
    <w:multiLevelType w:val="hybridMultilevel"/>
    <w:tmpl w:val="56AED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F50B1"/>
    <w:multiLevelType w:val="hybridMultilevel"/>
    <w:tmpl w:val="5066C882"/>
    <w:lvl w:ilvl="0" w:tplc="7876BDEA">
      <w:numFmt w:val="bullet"/>
      <w:lvlText w:val="-"/>
      <w:lvlJc w:val="left"/>
      <w:pPr>
        <w:ind w:left="360" w:hanging="360"/>
      </w:pPr>
      <w:rPr>
        <w:rFonts w:ascii="Gellix" w:eastAsiaTheme="minorEastAsia" w:hAnsi="Gellix"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3E5448"/>
    <w:multiLevelType w:val="hybridMultilevel"/>
    <w:tmpl w:val="B95ED850"/>
    <w:lvl w:ilvl="0" w:tplc="2D0C9530">
      <w:numFmt w:val="bullet"/>
      <w:lvlText w:val="-"/>
      <w:lvlJc w:val="left"/>
      <w:pPr>
        <w:ind w:left="720" w:hanging="360"/>
      </w:pPr>
      <w:rPr>
        <w:rFonts w:ascii="Gellix" w:eastAsiaTheme="minorEastAsia" w:hAnsi="Gelli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614B6"/>
    <w:multiLevelType w:val="hybridMultilevel"/>
    <w:tmpl w:val="5F34C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903DEE"/>
    <w:multiLevelType w:val="hybridMultilevel"/>
    <w:tmpl w:val="F79E07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061391"/>
    <w:multiLevelType w:val="hybridMultilevel"/>
    <w:tmpl w:val="CBE49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D2925"/>
    <w:multiLevelType w:val="multilevel"/>
    <w:tmpl w:val="DB561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01C1F"/>
    <w:multiLevelType w:val="hybridMultilevel"/>
    <w:tmpl w:val="1142725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67738C"/>
    <w:multiLevelType w:val="hybridMultilevel"/>
    <w:tmpl w:val="E4B6BE4E"/>
    <w:lvl w:ilvl="0" w:tplc="5A7A57BC">
      <w:start w:val="1"/>
      <w:numFmt w:val="decimal"/>
      <w:lvlText w:val="%1."/>
      <w:lvlJc w:val="left"/>
      <w:pPr>
        <w:ind w:left="360" w:hanging="360"/>
      </w:pPr>
      <w:rPr>
        <w:rFonts w:hint="default"/>
        <w:b/>
        <w:bCs/>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4316305">
    <w:abstractNumId w:val="23"/>
  </w:num>
  <w:num w:numId="2" w16cid:durableId="1841001694">
    <w:abstractNumId w:val="13"/>
  </w:num>
  <w:num w:numId="3" w16cid:durableId="344946264">
    <w:abstractNumId w:val="18"/>
  </w:num>
  <w:num w:numId="4" w16cid:durableId="37248721">
    <w:abstractNumId w:val="16"/>
  </w:num>
  <w:num w:numId="5" w16cid:durableId="1836529059">
    <w:abstractNumId w:val="20"/>
  </w:num>
  <w:num w:numId="6" w16cid:durableId="189296495">
    <w:abstractNumId w:val="15"/>
  </w:num>
  <w:num w:numId="7" w16cid:durableId="883952136">
    <w:abstractNumId w:val="0"/>
  </w:num>
  <w:num w:numId="8" w16cid:durableId="1714227731">
    <w:abstractNumId w:val="6"/>
  </w:num>
  <w:num w:numId="9" w16cid:durableId="185794867">
    <w:abstractNumId w:val="4"/>
  </w:num>
  <w:num w:numId="10" w16cid:durableId="1954554628">
    <w:abstractNumId w:val="7"/>
  </w:num>
  <w:num w:numId="11" w16cid:durableId="700856751">
    <w:abstractNumId w:val="21"/>
  </w:num>
  <w:num w:numId="12" w16cid:durableId="229119695">
    <w:abstractNumId w:val="9"/>
  </w:num>
  <w:num w:numId="13" w16cid:durableId="1947541455">
    <w:abstractNumId w:val="14"/>
  </w:num>
  <w:num w:numId="14" w16cid:durableId="4527477">
    <w:abstractNumId w:val="22"/>
  </w:num>
  <w:num w:numId="15" w16cid:durableId="1935898496">
    <w:abstractNumId w:val="11"/>
  </w:num>
  <w:num w:numId="16" w16cid:durableId="1637102389">
    <w:abstractNumId w:val="1"/>
  </w:num>
  <w:num w:numId="17" w16cid:durableId="310326511">
    <w:abstractNumId w:val="19"/>
  </w:num>
  <w:num w:numId="18" w16cid:durableId="2012950761">
    <w:abstractNumId w:val="5"/>
  </w:num>
  <w:num w:numId="19" w16cid:durableId="796678957">
    <w:abstractNumId w:val="17"/>
  </w:num>
  <w:num w:numId="20" w16cid:durableId="1255549946">
    <w:abstractNumId w:val="12"/>
  </w:num>
  <w:num w:numId="21" w16cid:durableId="1594628083">
    <w:abstractNumId w:val="10"/>
  </w:num>
  <w:num w:numId="22" w16cid:durableId="1451242879">
    <w:abstractNumId w:val="2"/>
  </w:num>
  <w:num w:numId="23" w16cid:durableId="447434398">
    <w:abstractNumId w:val="3"/>
  </w:num>
  <w:num w:numId="24" w16cid:durableId="1667246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AB"/>
    <w:rsid w:val="00001ECB"/>
    <w:rsid w:val="00002603"/>
    <w:rsid w:val="00002E42"/>
    <w:rsid w:val="00006419"/>
    <w:rsid w:val="00006749"/>
    <w:rsid w:val="000336D6"/>
    <w:rsid w:val="00034378"/>
    <w:rsid w:val="0003488E"/>
    <w:rsid w:val="00034985"/>
    <w:rsid w:val="00041FE9"/>
    <w:rsid w:val="00053D64"/>
    <w:rsid w:val="00055AB5"/>
    <w:rsid w:val="000636F2"/>
    <w:rsid w:val="00063EE2"/>
    <w:rsid w:val="0006565E"/>
    <w:rsid w:val="00065863"/>
    <w:rsid w:val="00066F15"/>
    <w:rsid w:val="00074C74"/>
    <w:rsid w:val="00074C97"/>
    <w:rsid w:val="0007547A"/>
    <w:rsid w:val="00080553"/>
    <w:rsid w:val="00083DE1"/>
    <w:rsid w:val="00083FE9"/>
    <w:rsid w:val="00086379"/>
    <w:rsid w:val="000868B4"/>
    <w:rsid w:val="000901DC"/>
    <w:rsid w:val="00092F3D"/>
    <w:rsid w:val="000A060F"/>
    <w:rsid w:val="000A1F94"/>
    <w:rsid w:val="000A76F8"/>
    <w:rsid w:val="000B171B"/>
    <w:rsid w:val="000B5D7F"/>
    <w:rsid w:val="000C002B"/>
    <w:rsid w:val="000C1DB8"/>
    <w:rsid w:val="000C4CEA"/>
    <w:rsid w:val="000D45B1"/>
    <w:rsid w:val="000D55A1"/>
    <w:rsid w:val="000D5A86"/>
    <w:rsid w:val="000D5F2D"/>
    <w:rsid w:val="000E4EBC"/>
    <w:rsid w:val="001001AD"/>
    <w:rsid w:val="00105DE2"/>
    <w:rsid w:val="00107DE1"/>
    <w:rsid w:val="00113A1B"/>
    <w:rsid w:val="001161EA"/>
    <w:rsid w:val="0012362C"/>
    <w:rsid w:val="00126573"/>
    <w:rsid w:val="001312C1"/>
    <w:rsid w:val="00134E22"/>
    <w:rsid w:val="001350FE"/>
    <w:rsid w:val="001426A6"/>
    <w:rsid w:val="00144B86"/>
    <w:rsid w:val="001462C8"/>
    <w:rsid w:val="001510B8"/>
    <w:rsid w:val="00160208"/>
    <w:rsid w:val="00164234"/>
    <w:rsid w:val="0016578C"/>
    <w:rsid w:val="001722E7"/>
    <w:rsid w:val="0017604A"/>
    <w:rsid w:val="00181444"/>
    <w:rsid w:val="00181FDD"/>
    <w:rsid w:val="001843DE"/>
    <w:rsid w:val="00194785"/>
    <w:rsid w:val="001959E6"/>
    <w:rsid w:val="00196151"/>
    <w:rsid w:val="001A09CB"/>
    <w:rsid w:val="001A1E44"/>
    <w:rsid w:val="001B0F00"/>
    <w:rsid w:val="001B27C7"/>
    <w:rsid w:val="001C1876"/>
    <w:rsid w:val="001C1DF1"/>
    <w:rsid w:val="001C330E"/>
    <w:rsid w:val="001C38D4"/>
    <w:rsid w:val="001D1E32"/>
    <w:rsid w:val="001D3BE1"/>
    <w:rsid w:val="001D44FE"/>
    <w:rsid w:val="001E26FF"/>
    <w:rsid w:val="001E381E"/>
    <w:rsid w:val="001F1417"/>
    <w:rsid w:val="002001B5"/>
    <w:rsid w:val="00201EC0"/>
    <w:rsid w:val="00207043"/>
    <w:rsid w:val="00207993"/>
    <w:rsid w:val="00210F61"/>
    <w:rsid w:val="002152C4"/>
    <w:rsid w:val="00224112"/>
    <w:rsid w:val="002418C7"/>
    <w:rsid w:val="00242117"/>
    <w:rsid w:val="0024256E"/>
    <w:rsid w:val="00243B4F"/>
    <w:rsid w:val="00251234"/>
    <w:rsid w:val="0025204E"/>
    <w:rsid w:val="00261D04"/>
    <w:rsid w:val="002672F3"/>
    <w:rsid w:val="002728CE"/>
    <w:rsid w:val="00274FF0"/>
    <w:rsid w:val="00275C2B"/>
    <w:rsid w:val="00276756"/>
    <w:rsid w:val="00282CB4"/>
    <w:rsid w:val="0028445A"/>
    <w:rsid w:val="002961AB"/>
    <w:rsid w:val="0029683E"/>
    <w:rsid w:val="002B3FB3"/>
    <w:rsid w:val="002B6B17"/>
    <w:rsid w:val="002B6B30"/>
    <w:rsid w:val="002C0908"/>
    <w:rsid w:val="002D1754"/>
    <w:rsid w:val="002E037F"/>
    <w:rsid w:val="002E313B"/>
    <w:rsid w:val="002E39EA"/>
    <w:rsid w:val="002E4FDC"/>
    <w:rsid w:val="002F1F20"/>
    <w:rsid w:val="002F3C54"/>
    <w:rsid w:val="002F4161"/>
    <w:rsid w:val="002F6DDC"/>
    <w:rsid w:val="002F7686"/>
    <w:rsid w:val="002F7DA9"/>
    <w:rsid w:val="003124E2"/>
    <w:rsid w:val="00316CDA"/>
    <w:rsid w:val="00320C5A"/>
    <w:rsid w:val="003277F7"/>
    <w:rsid w:val="00331C23"/>
    <w:rsid w:val="00343A4B"/>
    <w:rsid w:val="00344711"/>
    <w:rsid w:val="00345717"/>
    <w:rsid w:val="00352061"/>
    <w:rsid w:val="00366882"/>
    <w:rsid w:val="00371843"/>
    <w:rsid w:val="003730B8"/>
    <w:rsid w:val="0037600E"/>
    <w:rsid w:val="00382199"/>
    <w:rsid w:val="00384DD2"/>
    <w:rsid w:val="00390ACD"/>
    <w:rsid w:val="00391C15"/>
    <w:rsid w:val="003A069D"/>
    <w:rsid w:val="003A1E9F"/>
    <w:rsid w:val="003A21C3"/>
    <w:rsid w:val="003A4385"/>
    <w:rsid w:val="003B3E3F"/>
    <w:rsid w:val="003B5EF1"/>
    <w:rsid w:val="003C3738"/>
    <w:rsid w:val="003C39A8"/>
    <w:rsid w:val="003C552F"/>
    <w:rsid w:val="003C5D32"/>
    <w:rsid w:val="003C6B91"/>
    <w:rsid w:val="003C6FBC"/>
    <w:rsid w:val="003D25A9"/>
    <w:rsid w:val="003D3307"/>
    <w:rsid w:val="003D421A"/>
    <w:rsid w:val="003E1869"/>
    <w:rsid w:val="003E3329"/>
    <w:rsid w:val="003E3EFB"/>
    <w:rsid w:val="003E6E34"/>
    <w:rsid w:val="003E7796"/>
    <w:rsid w:val="003F3DC0"/>
    <w:rsid w:val="003F46B3"/>
    <w:rsid w:val="00404703"/>
    <w:rsid w:val="00404FE7"/>
    <w:rsid w:val="004056A5"/>
    <w:rsid w:val="0040689E"/>
    <w:rsid w:val="00412FB9"/>
    <w:rsid w:val="00431973"/>
    <w:rsid w:val="0043233D"/>
    <w:rsid w:val="00432FBC"/>
    <w:rsid w:val="0043323C"/>
    <w:rsid w:val="004341F8"/>
    <w:rsid w:val="00441B86"/>
    <w:rsid w:val="00442612"/>
    <w:rsid w:val="00451046"/>
    <w:rsid w:val="00451065"/>
    <w:rsid w:val="004535D3"/>
    <w:rsid w:val="00464322"/>
    <w:rsid w:val="0046656A"/>
    <w:rsid w:val="0048791F"/>
    <w:rsid w:val="0049235E"/>
    <w:rsid w:val="004928B7"/>
    <w:rsid w:val="004943B5"/>
    <w:rsid w:val="00494F25"/>
    <w:rsid w:val="00496AD8"/>
    <w:rsid w:val="004A003D"/>
    <w:rsid w:val="004A46E5"/>
    <w:rsid w:val="004C3A78"/>
    <w:rsid w:val="004C423B"/>
    <w:rsid w:val="004D6CFD"/>
    <w:rsid w:val="004E2EAC"/>
    <w:rsid w:val="004E33B7"/>
    <w:rsid w:val="004E6F65"/>
    <w:rsid w:val="004E7170"/>
    <w:rsid w:val="004F0403"/>
    <w:rsid w:val="004F11F5"/>
    <w:rsid w:val="004F12A4"/>
    <w:rsid w:val="00501C1B"/>
    <w:rsid w:val="005128CF"/>
    <w:rsid w:val="005144FC"/>
    <w:rsid w:val="00515452"/>
    <w:rsid w:val="005168AD"/>
    <w:rsid w:val="005246C7"/>
    <w:rsid w:val="00525CDD"/>
    <w:rsid w:val="005271E1"/>
    <w:rsid w:val="00531C16"/>
    <w:rsid w:val="00541C93"/>
    <w:rsid w:val="00552E8B"/>
    <w:rsid w:val="00561068"/>
    <w:rsid w:val="005706E9"/>
    <w:rsid w:val="005752A1"/>
    <w:rsid w:val="005814D3"/>
    <w:rsid w:val="00581B70"/>
    <w:rsid w:val="00586CD4"/>
    <w:rsid w:val="00592CB8"/>
    <w:rsid w:val="00596DEA"/>
    <w:rsid w:val="005A0B23"/>
    <w:rsid w:val="005A3E0F"/>
    <w:rsid w:val="005A701F"/>
    <w:rsid w:val="005B226D"/>
    <w:rsid w:val="005B6C7F"/>
    <w:rsid w:val="005E0783"/>
    <w:rsid w:val="005E1D55"/>
    <w:rsid w:val="005E2AC6"/>
    <w:rsid w:val="005E38E0"/>
    <w:rsid w:val="005E3EC1"/>
    <w:rsid w:val="005E69DE"/>
    <w:rsid w:val="005E7705"/>
    <w:rsid w:val="005F1F3D"/>
    <w:rsid w:val="005F2BB8"/>
    <w:rsid w:val="005F6406"/>
    <w:rsid w:val="00602786"/>
    <w:rsid w:val="006103E9"/>
    <w:rsid w:val="00617216"/>
    <w:rsid w:val="0062066E"/>
    <w:rsid w:val="00621A6C"/>
    <w:rsid w:val="00624EA0"/>
    <w:rsid w:val="00625463"/>
    <w:rsid w:val="00630593"/>
    <w:rsid w:val="00635181"/>
    <w:rsid w:val="00641324"/>
    <w:rsid w:val="0064198C"/>
    <w:rsid w:val="006435A0"/>
    <w:rsid w:val="006469FB"/>
    <w:rsid w:val="006470FE"/>
    <w:rsid w:val="006609D3"/>
    <w:rsid w:val="0067382C"/>
    <w:rsid w:val="00681CB4"/>
    <w:rsid w:val="006856F1"/>
    <w:rsid w:val="00686052"/>
    <w:rsid w:val="00694D80"/>
    <w:rsid w:val="00695A51"/>
    <w:rsid w:val="00695F98"/>
    <w:rsid w:val="00696836"/>
    <w:rsid w:val="006A0EC5"/>
    <w:rsid w:val="006A26BA"/>
    <w:rsid w:val="006A7337"/>
    <w:rsid w:val="006A7709"/>
    <w:rsid w:val="006B48C1"/>
    <w:rsid w:val="006B635D"/>
    <w:rsid w:val="006C2F68"/>
    <w:rsid w:val="006C35A3"/>
    <w:rsid w:val="006C76C5"/>
    <w:rsid w:val="006D1859"/>
    <w:rsid w:val="006D2278"/>
    <w:rsid w:val="006D52E1"/>
    <w:rsid w:val="006D6A9B"/>
    <w:rsid w:val="006D7859"/>
    <w:rsid w:val="006E15E2"/>
    <w:rsid w:val="006E34BE"/>
    <w:rsid w:val="006E4239"/>
    <w:rsid w:val="006F050E"/>
    <w:rsid w:val="006F280A"/>
    <w:rsid w:val="006F3814"/>
    <w:rsid w:val="00702590"/>
    <w:rsid w:val="00705828"/>
    <w:rsid w:val="00705B94"/>
    <w:rsid w:val="00710826"/>
    <w:rsid w:val="007136F6"/>
    <w:rsid w:val="007211BD"/>
    <w:rsid w:val="0072312A"/>
    <w:rsid w:val="00723385"/>
    <w:rsid w:val="0073116D"/>
    <w:rsid w:val="007328C2"/>
    <w:rsid w:val="00734BE5"/>
    <w:rsid w:val="007357FD"/>
    <w:rsid w:val="0074020F"/>
    <w:rsid w:val="00741C65"/>
    <w:rsid w:val="007429CF"/>
    <w:rsid w:val="00742A56"/>
    <w:rsid w:val="007432FD"/>
    <w:rsid w:val="007462BD"/>
    <w:rsid w:val="00746BAC"/>
    <w:rsid w:val="007514A7"/>
    <w:rsid w:val="00752FEB"/>
    <w:rsid w:val="00754ACE"/>
    <w:rsid w:val="00756B7B"/>
    <w:rsid w:val="00761EB1"/>
    <w:rsid w:val="007648D7"/>
    <w:rsid w:val="00770847"/>
    <w:rsid w:val="00772757"/>
    <w:rsid w:val="00773E9A"/>
    <w:rsid w:val="00774011"/>
    <w:rsid w:val="00783A1E"/>
    <w:rsid w:val="0078682F"/>
    <w:rsid w:val="007914B2"/>
    <w:rsid w:val="007935CB"/>
    <w:rsid w:val="007936BE"/>
    <w:rsid w:val="007A4821"/>
    <w:rsid w:val="007B1C4A"/>
    <w:rsid w:val="007B2832"/>
    <w:rsid w:val="007B3A84"/>
    <w:rsid w:val="007B3CBD"/>
    <w:rsid w:val="007B7F61"/>
    <w:rsid w:val="007C161A"/>
    <w:rsid w:val="007C4245"/>
    <w:rsid w:val="007D2C58"/>
    <w:rsid w:val="007D7DF4"/>
    <w:rsid w:val="007E7A4B"/>
    <w:rsid w:val="007F0C3B"/>
    <w:rsid w:val="007F2B0F"/>
    <w:rsid w:val="00802837"/>
    <w:rsid w:val="00803C11"/>
    <w:rsid w:val="00810BA3"/>
    <w:rsid w:val="0082407B"/>
    <w:rsid w:val="008275BE"/>
    <w:rsid w:val="0083205D"/>
    <w:rsid w:val="0083430A"/>
    <w:rsid w:val="0083684C"/>
    <w:rsid w:val="00842EDB"/>
    <w:rsid w:val="00852061"/>
    <w:rsid w:val="0086255C"/>
    <w:rsid w:val="00864FB0"/>
    <w:rsid w:val="008664FD"/>
    <w:rsid w:val="008737CB"/>
    <w:rsid w:val="00876091"/>
    <w:rsid w:val="008849AB"/>
    <w:rsid w:val="00885D61"/>
    <w:rsid w:val="00886AAD"/>
    <w:rsid w:val="00897520"/>
    <w:rsid w:val="008A011F"/>
    <w:rsid w:val="008A2548"/>
    <w:rsid w:val="008A731D"/>
    <w:rsid w:val="008B22E5"/>
    <w:rsid w:val="008B29C0"/>
    <w:rsid w:val="008B5268"/>
    <w:rsid w:val="008B5A19"/>
    <w:rsid w:val="008B6F3C"/>
    <w:rsid w:val="008C23CE"/>
    <w:rsid w:val="008C4921"/>
    <w:rsid w:val="008C58F8"/>
    <w:rsid w:val="008C6365"/>
    <w:rsid w:val="008E666F"/>
    <w:rsid w:val="008F1893"/>
    <w:rsid w:val="008F1D18"/>
    <w:rsid w:val="008F3D71"/>
    <w:rsid w:val="00905B50"/>
    <w:rsid w:val="00905BA8"/>
    <w:rsid w:val="00907BFF"/>
    <w:rsid w:val="00915BEE"/>
    <w:rsid w:val="00921BAB"/>
    <w:rsid w:val="009242AB"/>
    <w:rsid w:val="00935372"/>
    <w:rsid w:val="00943AE9"/>
    <w:rsid w:val="00961748"/>
    <w:rsid w:val="009673E6"/>
    <w:rsid w:val="009712CF"/>
    <w:rsid w:val="0097174E"/>
    <w:rsid w:val="0097183C"/>
    <w:rsid w:val="00976540"/>
    <w:rsid w:val="00984DB0"/>
    <w:rsid w:val="0099368E"/>
    <w:rsid w:val="00997D25"/>
    <w:rsid w:val="009A374B"/>
    <w:rsid w:val="009A577D"/>
    <w:rsid w:val="009A77CF"/>
    <w:rsid w:val="009B13A1"/>
    <w:rsid w:val="009B39FD"/>
    <w:rsid w:val="009B6D74"/>
    <w:rsid w:val="009C1CA5"/>
    <w:rsid w:val="009C2038"/>
    <w:rsid w:val="009C6A53"/>
    <w:rsid w:val="009D0BE4"/>
    <w:rsid w:val="009D1985"/>
    <w:rsid w:val="009D5F89"/>
    <w:rsid w:val="009F326A"/>
    <w:rsid w:val="009F61AE"/>
    <w:rsid w:val="00A12077"/>
    <w:rsid w:val="00A16FCF"/>
    <w:rsid w:val="00A25984"/>
    <w:rsid w:val="00A420AC"/>
    <w:rsid w:val="00A50635"/>
    <w:rsid w:val="00A50D2F"/>
    <w:rsid w:val="00A51269"/>
    <w:rsid w:val="00A522EE"/>
    <w:rsid w:val="00A545BD"/>
    <w:rsid w:val="00A646B8"/>
    <w:rsid w:val="00A67408"/>
    <w:rsid w:val="00A7191B"/>
    <w:rsid w:val="00A72633"/>
    <w:rsid w:val="00A73144"/>
    <w:rsid w:val="00A73F71"/>
    <w:rsid w:val="00A74557"/>
    <w:rsid w:val="00A80F30"/>
    <w:rsid w:val="00A836FF"/>
    <w:rsid w:val="00A84173"/>
    <w:rsid w:val="00A84558"/>
    <w:rsid w:val="00A90D57"/>
    <w:rsid w:val="00A94182"/>
    <w:rsid w:val="00A97A06"/>
    <w:rsid w:val="00AA1E45"/>
    <w:rsid w:val="00AA5871"/>
    <w:rsid w:val="00AB054A"/>
    <w:rsid w:val="00AB31FC"/>
    <w:rsid w:val="00AB5768"/>
    <w:rsid w:val="00AB6A1F"/>
    <w:rsid w:val="00AC2486"/>
    <w:rsid w:val="00AC2CB6"/>
    <w:rsid w:val="00AD3CC8"/>
    <w:rsid w:val="00AD473F"/>
    <w:rsid w:val="00AD63DD"/>
    <w:rsid w:val="00AE659F"/>
    <w:rsid w:val="00AF0BF0"/>
    <w:rsid w:val="00AF118F"/>
    <w:rsid w:val="00AF3D1D"/>
    <w:rsid w:val="00AF744A"/>
    <w:rsid w:val="00B0579D"/>
    <w:rsid w:val="00B179E0"/>
    <w:rsid w:val="00B235A5"/>
    <w:rsid w:val="00B23D7C"/>
    <w:rsid w:val="00B3418D"/>
    <w:rsid w:val="00B357A4"/>
    <w:rsid w:val="00B43932"/>
    <w:rsid w:val="00B469C0"/>
    <w:rsid w:val="00B46CC4"/>
    <w:rsid w:val="00B50AF5"/>
    <w:rsid w:val="00B50F03"/>
    <w:rsid w:val="00B759C8"/>
    <w:rsid w:val="00B75B26"/>
    <w:rsid w:val="00B852F8"/>
    <w:rsid w:val="00B86010"/>
    <w:rsid w:val="00BA084A"/>
    <w:rsid w:val="00BA0CDF"/>
    <w:rsid w:val="00BB0410"/>
    <w:rsid w:val="00BB3420"/>
    <w:rsid w:val="00BB3555"/>
    <w:rsid w:val="00BB5C63"/>
    <w:rsid w:val="00BB7FA1"/>
    <w:rsid w:val="00BC55DB"/>
    <w:rsid w:val="00BC74BB"/>
    <w:rsid w:val="00BD70BE"/>
    <w:rsid w:val="00BE0675"/>
    <w:rsid w:val="00BE17B6"/>
    <w:rsid w:val="00BF22D7"/>
    <w:rsid w:val="00BF3C39"/>
    <w:rsid w:val="00BF46DB"/>
    <w:rsid w:val="00BF4C5C"/>
    <w:rsid w:val="00BF5FC4"/>
    <w:rsid w:val="00C014B7"/>
    <w:rsid w:val="00C0727C"/>
    <w:rsid w:val="00C10876"/>
    <w:rsid w:val="00C15CD2"/>
    <w:rsid w:val="00C203A6"/>
    <w:rsid w:val="00C20DD5"/>
    <w:rsid w:val="00C321D1"/>
    <w:rsid w:val="00C43C0E"/>
    <w:rsid w:val="00C44EA0"/>
    <w:rsid w:val="00C52557"/>
    <w:rsid w:val="00C665A5"/>
    <w:rsid w:val="00C66767"/>
    <w:rsid w:val="00C77B29"/>
    <w:rsid w:val="00C8173D"/>
    <w:rsid w:val="00C835C6"/>
    <w:rsid w:val="00C861AB"/>
    <w:rsid w:val="00C92247"/>
    <w:rsid w:val="00CA5EB6"/>
    <w:rsid w:val="00CA77F8"/>
    <w:rsid w:val="00CB0C80"/>
    <w:rsid w:val="00CB5B6D"/>
    <w:rsid w:val="00CC0135"/>
    <w:rsid w:val="00CC11BB"/>
    <w:rsid w:val="00CC7A88"/>
    <w:rsid w:val="00CD056E"/>
    <w:rsid w:val="00CD4308"/>
    <w:rsid w:val="00CE38DA"/>
    <w:rsid w:val="00CE6D6A"/>
    <w:rsid w:val="00CF1390"/>
    <w:rsid w:val="00CF6679"/>
    <w:rsid w:val="00CF791B"/>
    <w:rsid w:val="00D02B97"/>
    <w:rsid w:val="00D0601D"/>
    <w:rsid w:val="00D06093"/>
    <w:rsid w:val="00D10551"/>
    <w:rsid w:val="00D107A9"/>
    <w:rsid w:val="00D109FB"/>
    <w:rsid w:val="00D1240E"/>
    <w:rsid w:val="00D160DD"/>
    <w:rsid w:val="00D169B5"/>
    <w:rsid w:val="00D20615"/>
    <w:rsid w:val="00D20F80"/>
    <w:rsid w:val="00D241C8"/>
    <w:rsid w:val="00D247E1"/>
    <w:rsid w:val="00D25D72"/>
    <w:rsid w:val="00D35AE3"/>
    <w:rsid w:val="00D36ADD"/>
    <w:rsid w:val="00D56DCA"/>
    <w:rsid w:val="00D6302D"/>
    <w:rsid w:val="00D65547"/>
    <w:rsid w:val="00D71200"/>
    <w:rsid w:val="00D735F5"/>
    <w:rsid w:val="00D75E3F"/>
    <w:rsid w:val="00D8316D"/>
    <w:rsid w:val="00D858C1"/>
    <w:rsid w:val="00DA5C6E"/>
    <w:rsid w:val="00DA6602"/>
    <w:rsid w:val="00DC22F0"/>
    <w:rsid w:val="00DC2989"/>
    <w:rsid w:val="00DC328A"/>
    <w:rsid w:val="00DC3E90"/>
    <w:rsid w:val="00DC4BA1"/>
    <w:rsid w:val="00DD0488"/>
    <w:rsid w:val="00DD5020"/>
    <w:rsid w:val="00DE457B"/>
    <w:rsid w:val="00DE665F"/>
    <w:rsid w:val="00DF4D6B"/>
    <w:rsid w:val="00E05429"/>
    <w:rsid w:val="00E06F82"/>
    <w:rsid w:val="00E0716E"/>
    <w:rsid w:val="00E214CC"/>
    <w:rsid w:val="00E22820"/>
    <w:rsid w:val="00E2355F"/>
    <w:rsid w:val="00E26A8D"/>
    <w:rsid w:val="00E36748"/>
    <w:rsid w:val="00E428E7"/>
    <w:rsid w:val="00E4369D"/>
    <w:rsid w:val="00E46367"/>
    <w:rsid w:val="00E56B70"/>
    <w:rsid w:val="00E6731A"/>
    <w:rsid w:val="00E72989"/>
    <w:rsid w:val="00E77CF7"/>
    <w:rsid w:val="00E80301"/>
    <w:rsid w:val="00E8183F"/>
    <w:rsid w:val="00E85C2F"/>
    <w:rsid w:val="00E869DE"/>
    <w:rsid w:val="00E90A02"/>
    <w:rsid w:val="00E94287"/>
    <w:rsid w:val="00EA08D3"/>
    <w:rsid w:val="00EA3DA5"/>
    <w:rsid w:val="00EB47E4"/>
    <w:rsid w:val="00EB4F7C"/>
    <w:rsid w:val="00EE163D"/>
    <w:rsid w:val="00EF63CA"/>
    <w:rsid w:val="00EF7BCF"/>
    <w:rsid w:val="00F00CFD"/>
    <w:rsid w:val="00F10CC8"/>
    <w:rsid w:val="00F131BE"/>
    <w:rsid w:val="00F24A1D"/>
    <w:rsid w:val="00F30170"/>
    <w:rsid w:val="00F30AE4"/>
    <w:rsid w:val="00F337ED"/>
    <w:rsid w:val="00F42B41"/>
    <w:rsid w:val="00F51078"/>
    <w:rsid w:val="00F545C4"/>
    <w:rsid w:val="00F5612E"/>
    <w:rsid w:val="00F624DA"/>
    <w:rsid w:val="00F72419"/>
    <w:rsid w:val="00F72C61"/>
    <w:rsid w:val="00F7314E"/>
    <w:rsid w:val="00F85D93"/>
    <w:rsid w:val="00F972B4"/>
    <w:rsid w:val="00FA1A1C"/>
    <w:rsid w:val="00FA75DC"/>
    <w:rsid w:val="00FB00E2"/>
    <w:rsid w:val="00FB084E"/>
    <w:rsid w:val="00FB0E29"/>
    <w:rsid w:val="00FB2EF5"/>
    <w:rsid w:val="00FC12A5"/>
    <w:rsid w:val="00FC35A3"/>
    <w:rsid w:val="00FC4AEB"/>
    <w:rsid w:val="00FC623F"/>
    <w:rsid w:val="00FD0A43"/>
    <w:rsid w:val="00FD3140"/>
    <w:rsid w:val="00FD766D"/>
    <w:rsid w:val="00FE62BA"/>
    <w:rsid w:val="00FE7362"/>
    <w:rsid w:val="00FF68D4"/>
    <w:rsid w:val="03C05F52"/>
    <w:rsid w:val="044308F5"/>
    <w:rsid w:val="07A22A2D"/>
    <w:rsid w:val="0830851B"/>
    <w:rsid w:val="09586339"/>
    <w:rsid w:val="0D2B72FE"/>
    <w:rsid w:val="15DDB01E"/>
    <w:rsid w:val="18BC5D55"/>
    <w:rsid w:val="197F305C"/>
    <w:rsid w:val="2037E812"/>
    <w:rsid w:val="227FB69B"/>
    <w:rsid w:val="23DAFB1B"/>
    <w:rsid w:val="27DFE259"/>
    <w:rsid w:val="28279B87"/>
    <w:rsid w:val="29473E09"/>
    <w:rsid w:val="2AE9A7DF"/>
    <w:rsid w:val="2EFEC7CD"/>
    <w:rsid w:val="356EFAE0"/>
    <w:rsid w:val="364CDCA1"/>
    <w:rsid w:val="3652DD48"/>
    <w:rsid w:val="397A62C3"/>
    <w:rsid w:val="39CB8350"/>
    <w:rsid w:val="3DC8825D"/>
    <w:rsid w:val="3F779B04"/>
    <w:rsid w:val="4B6562B7"/>
    <w:rsid w:val="4DA2D052"/>
    <w:rsid w:val="517B9493"/>
    <w:rsid w:val="51941D99"/>
    <w:rsid w:val="55DC6B35"/>
    <w:rsid w:val="56915D1A"/>
    <w:rsid w:val="588BCA32"/>
    <w:rsid w:val="592558A1"/>
    <w:rsid w:val="5EAF2F2C"/>
    <w:rsid w:val="5FDDAA29"/>
    <w:rsid w:val="60750109"/>
    <w:rsid w:val="62A01C5B"/>
    <w:rsid w:val="632F8B40"/>
    <w:rsid w:val="65B7D73E"/>
    <w:rsid w:val="65C1ECE7"/>
    <w:rsid w:val="675B460F"/>
    <w:rsid w:val="69C7575E"/>
    <w:rsid w:val="6B2D3EFE"/>
    <w:rsid w:val="6C89B3C3"/>
    <w:rsid w:val="6DA7B173"/>
    <w:rsid w:val="6DF24C54"/>
    <w:rsid w:val="6EA8D183"/>
    <w:rsid w:val="715C4369"/>
    <w:rsid w:val="78440973"/>
    <w:rsid w:val="7BAB29CF"/>
    <w:rsid w:val="7C074AF7"/>
    <w:rsid w:val="7C43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BD65"/>
  <w15:chartTrackingRefBased/>
  <w15:docId w15:val="{DE5DD57D-FE8B-4F20-8C3E-F4F22D03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AB"/>
    <w:rPr>
      <w:lang w:val="fr-FR"/>
    </w:rPr>
  </w:style>
  <w:style w:type="paragraph" w:styleId="Heading1">
    <w:name w:val="heading 1"/>
    <w:basedOn w:val="Normal"/>
    <w:next w:val="Normal"/>
    <w:link w:val="Heading1Char"/>
    <w:uiPriority w:val="9"/>
    <w:qFormat/>
    <w:rsid w:val="00296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1AB"/>
    <w:rPr>
      <w:rFonts w:eastAsiaTheme="majorEastAsia" w:cstheme="majorBidi"/>
      <w:color w:val="272727" w:themeColor="text1" w:themeTint="D8"/>
    </w:rPr>
  </w:style>
  <w:style w:type="paragraph" w:styleId="Title">
    <w:name w:val="Title"/>
    <w:basedOn w:val="Normal"/>
    <w:next w:val="Normal"/>
    <w:link w:val="TitleChar"/>
    <w:uiPriority w:val="10"/>
    <w:qFormat/>
    <w:rsid w:val="00296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1AB"/>
    <w:pPr>
      <w:spacing w:before="160"/>
      <w:jc w:val="center"/>
    </w:pPr>
    <w:rPr>
      <w:i/>
      <w:iCs/>
      <w:color w:val="404040" w:themeColor="text1" w:themeTint="BF"/>
    </w:rPr>
  </w:style>
  <w:style w:type="character" w:customStyle="1" w:styleId="QuoteChar">
    <w:name w:val="Quote Char"/>
    <w:basedOn w:val="DefaultParagraphFont"/>
    <w:link w:val="Quote"/>
    <w:uiPriority w:val="29"/>
    <w:rsid w:val="002961AB"/>
    <w:rPr>
      <w:i/>
      <w:iCs/>
      <w:color w:val="404040" w:themeColor="text1" w:themeTint="BF"/>
    </w:rPr>
  </w:style>
  <w:style w:type="paragraph" w:styleId="ListParagraph">
    <w:name w:val="List Paragraph"/>
    <w:basedOn w:val="Normal"/>
    <w:uiPriority w:val="34"/>
    <w:qFormat/>
    <w:rsid w:val="002961AB"/>
    <w:pPr>
      <w:ind w:left="720"/>
      <w:contextualSpacing/>
    </w:pPr>
  </w:style>
  <w:style w:type="character" w:styleId="IntenseEmphasis">
    <w:name w:val="Intense Emphasis"/>
    <w:basedOn w:val="DefaultParagraphFont"/>
    <w:uiPriority w:val="21"/>
    <w:qFormat/>
    <w:rsid w:val="002961AB"/>
    <w:rPr>
      <w:i/>
      <w:iCs/>
      <w:color w:val="0F4761" w:themeColor="accent1" w:themeShade="BF"/>
    </w:rPr>
  </w:style>
  <w:style w:type="paragraph" w:styleId="IntenseQuote">
    <w:name w:val="Intense Quote"/>
    <w:basedOn w:val="Normal"/>
    <w:next w:val="Normal"/>
    <w:link w:val="IntenseQuoteChar"/>
    <w:uiPriority w:val="30"/>
    <w:qFormat/>
    <w:rsid w:val="00296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1AB"/>
    <w:rPr>
      <w:i/>
      <w:iCs/>
      <w:color w:val="0F4761" w:themeColor="accent1" w:themeShade="BF"/>
    </w:rPr>
  </w:style>
  <w:style w:type="character" w:styleId="IntenseReference">
    <w:name w:val="Intense Reference"/>
    <w:basedOn w:val="DefaultParagraphFont"/>
    <w:uiPriority w:val="32"/>
    <w:qFormat/>
    <w:rsid w:val="002961AB"/>
    <w:rPr>
      <w:b/>
      <w:bCs/>
      <w:smallCaps/>
      <w:color w:val="0F4761" w:themeColor="accent1" w:themeShade="BF"/>
      <w:spacing w:val="5"/>
    </w:rPr>
  </w:style>
  <w:style w:type="character" w:styleId="Hyperlink">
    <w:name w:val="Hyperlink"/>
    <w:basedOn w:val="DefaultParagraphFont"/>
    <w:uiPriority w:val="99"/>
    <w:unhideWhenUsed/>
    <w:rsid w:val="002961AB"/>
    <w:rPr>
      <w:color w:val="467886" w:themeColor="hyperlink"/>
      <w:u w:val="single"/>
    </w:rPr>
  </w:style>
  <w:style w:type="table" w:styleId="TableGrid">
    <w:name w:val="Table Grid"/>
    <w:basedOn w:val="TableNormal"/>
    <w:uiPriority w:val="39"/>
    <w:rsid w:val="002961A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1AB"/>
    <w:rPr>
      <w:sz w:val="16"/>
      <w:szCs w:val="16"/>
    </w:rPr>
  </w:style>
  <w:style w:type="paragraph" w:styleId="CommentText">
    <w:name w:val="annotation text"/>
    <w:basedOn w:val="Normal"/>
    <w:link w:val="CommentTextChar"/>
    <w:uiPriority w:val="99"/>
    <w:unhideWhenUsed/>
    <w:rsid w:val="002961AB"/>
    <w:pPr>
      <w:spacing w:line="240" w:lineRule="auto"/>
    </w:pPr>
    <w:rPr>
      <w:sz w:val="20"/>
      <w:szCs w:val="20"/>
    </w:rPr>
  </w:style>
  <w:style w:type="character" w:customStyle="1" w:styleId="CommentTextChar">
    <w:name w:val="Comment Text Char"/>
    <w:basedOn w:val="DefaultParagraphFont"/>
    <w:link w:val="CommentText"/>
    <w:uiPriority w:val="99"/>
    <w:rsid w:val="002961AB"/>
    <w:rPr>
      <w:sz w:val="20"/>
      <w:szCs w:val="20"/>
      <w:lang w:val="fr-FR"/>
    </w:rPr>
  </w:style>
  <w:style w:type="paragraph" w:styleId="FootnoteText">
    <w:name w:val="footnote text"/>
    <w:basedOn w:val="Normal"/>
    <w:link w:val="FootnoteTextChar"/>
    <w:uiPriority w:val="99"/>
    <w:semiHidden/>
    <w:unhideWhenUsed/>
    <w:rsid w:val="002961A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961AB"/>
    <w:rPr>
      <w:sz w:val="20"/>
      <w:szCs w:val="20"/>
    </w:rPr>
  </w:style>
  <w:style w:type="character" w:styleId="FootnoteReference">
    <w:name w:val="footnote reference"/>
    <w:basedOn w:val="DefaultParagraphFont"/>
    <w:uiPriority w:val="99"/>
    <w:semiHidden/>
    <w:unhideWhenUsed/>
    <w:rsid w:val="002961AB"/>
    <w:rPr>
      <w:vertAlign w:val="superscript"/>
    </w:rPr>
  </w:style>
  <w:style w:type="paragraph" w:styleId="CommentSubject">
    <w:name w:val="annotation subject"/>
    <w:basedOn w:val="CommentText"/>
    <w:next w:val="CommentText"/>
    <w:link w:val="CommentSubjectChar"/>
    <w:uiPriority w:val="99"/>
    <w:semiHidden/>
    <w:unhideWhenUsed/>
    <w:rsid w:val="002961AB"/>
    <w:rPr>
      <w:b/>
      <w:bCs/>
    </w:rPr>
  </w:style>
  <w:style w:type="character" w:customStyle="1" w:styleId="CommentSubjectChar">
    <w:name w:val="Comment Subject Char"/>
    <w:basedOn w:val="CommentTextChar"/>
    <w:link w:val="CommentSubject"/>
    <w:uiPriority w:val="99"/>
    <w:semiHidden/>
    <w:rsid w:val="002961AB"/>
    <w:rPr>
      <w:b/>
      <w:bCs/>
      <w:sz w:val="20"/>
      <w:szCs w:val="20"/>
      <w:lang w:val="fr-FR"/>
    </w:rPr>
  </w:style>
  <w:style w:type="paragraph" w:styleId="NormalWeb">
    <w:name w:val="Normal (Web)"/>
    <w:basedOn w:val="Normal"/>
    <w:uiPriority w:val="99"/>
    <w:semiHidden/>
    <w:unhideWhenUsed/>
    <w:rsid w:val="005A0B23"/>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styleId="Emphasis">
    <w:name w:val="Emphasis"/>
    <w:basedOn w:val="DefaultParagraphFont"/>
    <w:uiPriority w:val="20"/>
    <w:qFormat/>
    <w:rsid w:val="005A0B23"/>
    <w:rPr>
      <w:i/>
      <w:iCs/>
    </w:rPr>
  </w:style>
  <w:style w:type="paragraph" w:styleId="Header">
    <w:name w:val="header"/>
    <w:basedOn w:val="Normal"/>
    <w:link w:val="HeaderChar"/>
    <w:uiPriority w:val="99"/>
    <w:unhideWhenUsed/>
    <w:rsid w:val="00FE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593"/>
    <w:rPr>
      <w:lang w:val="fr-FR"/>
    </w:rPr>
  </w:style>
  <w:style w:type="paragraph" w:styleId="Footer">
    <w:name w:val="footer"/>
    <w:basedOn w:val="Normal"/>
    <w:link w:val="FooterChar"/>
    <w:uiPriority w:val="99"/>
    <w:unhideWhenUsed/>
    <w:rsid w:val="00FE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593"/>
    <w:rPr>
      <w:lang w:val="fr-FR"/>
    </w:rPr>
  </w:style>
  <w:style w:type="paragraph" w:styleId="Revision">
    <w:name w:val="Revision"/>
    <w:hidden/>
    <w:uiPriority w:val="99"/>
    <w:semiHidden/>
    <w:rsid w:val="00CF791B"/>
    <w:pPr>
      <w:spacing w:after="0" w:line="240" w:lineRule="auto"/>
    </w:pPr>
    <w:rPr>
      <w:lang w:val="fr-FR"/>
    </w:rPr>
  </w:style>
  <w:style w:type="character" w:styleId="UnresolvedMention">
    <w:name w:val="Unresolved Mention"/>
    <w:basedOn w:val="DefaultParagraphFont"/>
    <w:uiPriority w:val="99"/>
    <w:semiHidden/>
    <w:unhideWhenUsed/>
    <w:rsid w:val="00984DB0"/>
    <w:rPr>
      <w:color w:val="605E5C"/>
      <w:shd w:val="clear" w:color="auto" w:fill="E1DFDD"/>
    </w:rPr>
  </w:style>
  <w:style w:type="character" w:styleId="FollowedHyperlink">
    <w:name w:val="FollowedHyperlink"/>
    <w:basedOn w:val="DefaultParagraphFont"/>
    <w:uiPriority w:val="99"/>
    <w:semiHidden/>
    <w:unhideWhenUsed/>
    <w:rsid w:val="00DC4B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0190">
      <w:bodyDiv w:val="1"/>
      <w:marLeft w:val="0"/>
      <w:marRight w:val="0"/>
      <w:marTop w:val="0"/>
      <w:marBottom w:val="0"/>
      <w:divBdr>
        <w:top w:val="none" w:sz="0" w:space="0" w:color="auto"/>
        <w:left w:val="none" w:sz="0" w:space="0" w:color="auto"/>
        <w:bottom w:val="none" w:sz="0" w:space="0" w:color="auto"/>
        <w:right w:val="none" w:sz="0" w:space="0" w:color="auto"/>
      </w:divBdr>
      <w:divsChild>
        <w:div w:id="754284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906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07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041749">
      <w:bodyDiv w:val="1"/>
      <w:marLeft w:val="0"/>
      <w:marRight w:val="0"/>
      <w:marTop w:val="0"/>
      <w:marBottom w:val="0"/>
      <w:divBdr>
        <w:top w:val="none" w:sz="0" w:space="0" w:color="auto"/>
        <w:left w:val="none" w:sz="0" w:space="0" w:color="auto"/>
        <w:bottom w:val="none" w:sz="0" w:space="0" w:color="auto"/>
        <w:right w:val="none" w:sz="0" w:space="0" w:color="auto"/>
      </w:divBdr>
      <w:divsChild>
        <w:div w:id="17678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36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3333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98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275841">
      <w:bodyDiv w:val="1"/>
      <w:marLeft w:val="0"/>
      <w:marRight w:val="0"/>
      <w:marTop w:val="0"/>
      <w:marBottom w:val="0"/>
      <w:divBdr>
        <w:top w:val="none" w:sz="0" w:space="0" w:color="auto"/>
        <w:left w:val="none" w:sz="0" w:space="0" w:color="auto"/>
        <w:bottom w:val="none" w:sz="0" w:space="0" w:color="auto"/>
        <w:right w:val="none" w:sz="0" w:space="0" w:color="auto"/>
      </w:divBdr>
    </w:div>
    <w:div w:id="535238551">
      <w:bodyDiv w:val="1"/>
      <w:marLeft w:val="0"/>
      <w:marRight w:val="0"/>
      <w:marTop w:val="0"/>
      <w:marBottom w:val="0"/>
      <w:divBdr>
        <w:top w:val="none" w:sz="0" w:space="0" w:color="auto"/>
        <w:left w:val="none" w:sz="0" w:space="0" w:color="auto"/>
        <w:bottom w:val="none" w:sz="0" w:space="0" w:color="auto"/>
        <w:right w:val="none" w:sz="0" w:space="0" w:color="auto"/>
      </w:divBdr>
      <w:divsChild>
        <w:div w:id="1375229458">
          <w:marLeft w:val="0"/>
          <w:marRight w:val="0"/>
          <w:marTop w:val="0"/>
          <w:marBottom w:val="0"/>
          <w:divBdr>
            <w:top w:val="none" w:sz="0" w:space="0" w:color="auto"/>
            <w:left w:val="none" w:sz="0" w:space="0" w:color="auto"/>
            <w:bottom w:val="none" w:sz="0" w:space="0" w:color="auto"/>
            <w:right w:val="none" w:sz="0" w:space="0" w:color="auto"/>
          </w:divBdr>
          <w:divsChild>
            <w:div w:id="1004435253">
              <w:marLeft w:val="0"/>
              <w:marRight w:val="0"/>
              <w:marTop w:val="0"/>
              <w:marBottom w:val="0"/>
              <w:divBdr>
                <w:top w:val="none" w:sz="0" w:space="0" w:color="auto"/>
                <w:left w:val="none" w:sz="0" w:space="0" w:color="auto"/>
                <w:bottom w:val="none" w:sz="0" w:space="0" w:color="auto"/>
                <w:right w:val="none" w:sz="0" w:space="0" w:color="auto"/>
              </w:divBdr>
              <w:divsChild>
                <w:div w:id="814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7275">
      <w:bodyDiv w:val="1"/>
      <w:marLeft w:val="0"/>
      <w:marRight w:val="0"/>
      <w:marTop w:val="0"/>
      <w:marBottom w:val="0"/>
      <w:divBdr>
        <w:top w:val="none" w:sz="0" w:space="0" w:color="auto"/>
        <w:left w:val="none" w:sz="0" w:space="0" w:color="auto"/>
        <w:bottom w:val="none" w:sz="0" w:space="0" w:color="auto"/>
        <w:right w:val="none" w:sz="0" w:space="0" w:color="auto"/>
      </w:divBdr>
    </w:div>
    <w:div w:id="1249457516">
      <w:bodyDiv w:val="1"/>
      <w:marLeft w:val="0"/>
      <w:marRight w:val="0"/>
      <w:marTop w:val="0"/>
      <w:marBottom w:val="0"/>
      <w:divBdr>
        <w:top w:val="none" w:sz="0" w:space="0" w:color="auto"/>
        <w:left w:val="none" w:sz="0" w:space="0" w:color="auto"/>
        <w:bottom w:val="none" w:sz="0" w:space="0" w:color="auto"/>
        <w:right w:val="none" w:sz="0" w:space="0" w:color="auto"/>
      </w:divBdr>
      <w:divsChild>
        <w:div w:id="1922250074">
          <w:marLeft w:val="0"/>
          <w:marRight w:val="0"/>
          <w:marTop w:val="0"/>
          <w:marBottom w:val="0"/>
          <w:divBdr>
            <w:top w:val="none" w:sz="0" w:space="0" w:color="auto"/>
            <w:left w:val="none" w:sz="0" w:space="0" w:color="auto"/>
            <w:bottom w:val="none" w:sz="0" w:space="0" w:color="auto"/>
            <w:right w:val="none" w:sz="0" w:space="0" w:color="auto"/>
          </w:divBdr>
          <w:divsChild>
            <w:div w:id="1064138026">
              <w:marLeft w:val="0"/>
              <w:marRight w:val="0"/>
              <w:marTop w:val="0"/>
              <w:marBottom w:val="0"/>
              <w:divBdr>
                <w:top w:val="none" w:sz="0" w:space="0" w:color="auto"/>
                <w:left w:val="none" w:sz="0" w:space="0" w:color="auto"/>
                <w:bottom w:val="none" w:sz="0" w:space="0" w:color="auto"/>
                <w:right w:val="none" w:sz="0" w:space="0" w:color="auto"/>
              </w:divBdr>
              <w:divsChild>
                <w:div w:id="12195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4487">
      <w:bodyDiv w:val="1"/>
      <w:marLeft w:val="0"/>
      <w:marRight w:val="0"/>
      <w:marTop w:val="0"/>
      <w:marBottom w:val="0"/>
      <w:divBdr>
        <w:top w:val="none" w:sz="0" w:space="0" w:color="auto"/>
        <w:left w:val="none" w:sz="0" w:space="0" w:color="auto"/>
        <w:bottom w:val="none" w:sz="0" w:space="0" w:color="auto"/>
        <w:right w:val="none" w:sz="0" w:space="0" w:color="auto"/>
      </w:divBdr>
    </w:div>
    <w:div w:id="1817069173">
      <w:bodyDiv w:val="1"/>
      <w:marLeft w:val="0"/>
      <w:marRight w:val="0"/>
      <w:marTop w:val="0"/>
      <w:marBottom w:val="0"/>
      <w:divBdr>
        <w:top w:val="none" w:sz="0" w:space="0" w:color="auto"/>
        <w:left w:val="none" w:sz="0" w:space="0" w:color="auto"/>
        <w:bottom w:val="none" w:sz="0" w:space="0" w:color="auto"/>
        <w:right w:val="none" w:sz="0" w:space="0" w:color="auto"/>
      </w:divBdr>
    </w:div>
    <w:div w:id="1894927201">
      <w:bodyDiv w:val="1"/>
      <w:marLeft w:val="0"/>
      <w:marRight w:val="0"/>
      <w:marTop w:val="0"/>
      <w:marBottom w:val="0"/>
      <w:divBdr>
        <w:top w:val="none" w:sz="0" w:space="0" w:color="auto"/>
        <w:left w:val="none" w:sz="0" w:space="0" w:color="auto"/>
        <w:bottom w:val="none" w:sz="0" w:space="0" w:color="auto"/>
        <w:right w:val="none" w:sz="0" w:space="0" w:color="auto"/>
      </w:divBdr>
    </w:div>
    <w:div w:id="1932010484">
      <w:bodyDiv w:val="1"/>
      <w:marLeft w:val="0"/>
      <w:marRight w:val="0"/>
      <w:marTop w:val="0"/>
      <w:marBottom w:val="0"/>
      <w:divBdr>
        <w:top w:val="none" w:sz="0" w:space="0" w:color="auto"/>
        <w:left w:val="none" w:sz="0" w:space="0" w:color="auto"/>
        <w:bottom w:val="none" w:sz="0" w:space="0" w:color="auto"/>
        <w:right w:val="none" w:sz="0" w:space="0" w:color="auto"/>
      </w:divBdr>
    </w:div>
    <w:div w:id="21472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cwbo.org/news-publications/policies-reports/policy-primer-on-non-personal-dat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cwbo.org/news-publications/policies-reports/icc-white-paper-on-trusted-government-access-to-personal-data-held-by-the-private-sec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i.iccwbo.org/_files/ugd/8e49a6_9f8444133fc64fc9b59fc2eaaca2888e.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wto.org/dol2fe/Pages/SS/directdoc.aspx?filename=q:/INF/ECOM/87.pdf&amp;Open=True" TargetMode="External"/><Relationship Id="rId1" Type="http://schemas.openxmlformats.org/officeDocument/2006/relationships/hyperlink" Target="https://doi.org/10.1787/aa285504-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2ECC10CD-8BAF-4661-90FE-238453E1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6DEC0-B3A4-4A1B-AF18-77EE484896D5}">
  <ds:schemaRefs>
    <ds:schemaRef ds:uri="http://schemas.microsoft.com/sharepoint/v3/contenttype/forms"/>
  </ds:schemaRefs>
</ds:datastoreItem>
</file>

<file path=customXml/itemProps3.xml><?xml version="1.0" encoding="utf-8"?>
<ds:datastoreItem xmlns:ds="http://schemas.openxmlformats.org/officeDocument/2006/customXml" ds:itemID="{D42A1674-F8A7-48DC-9AF6-773CB48E21E1}">
  <ds:schemaRefs>
    <ds:schemaRef ds:uri="http://schemas.openxmlformats.org/officeDocument/2006/bibliography"/>
  </ds:schemaRefs>
</ds:datastoreItem>
</file>

<file path=customXml/itemProps4.xml><?xml version="1.0" encoding="utf-8"?>
<ds:datastoreItem xmlns:ds="http://schemas.openxmlformats.org/officeDocument/2006/customXml" ds:itemID="{9DB3CF66-F1EF-4AC1-8109-5D1CF325ADEC}">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Valerie</dc:creator>
  <cp:keywords/>
  <dc:description/>
  <cp:lastModifiedBy>ANASTASIADOU Meni</cp:lastModifiedBy>
  <cp:revision>12</cp:revision>
  <dcterms:created xsi:type="dcterms:W3CDTF">2025-05-02T07:34:00Z</dcterms:created>
  <dcterms:modified xsi:type="dcterms:W3CDTF">2025-05-02T08:14:00Z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