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B0DB3" w14:textId="77777777" w:rsidR="00723385" w:rsidRDefault="00723385" w:rsidP="00D20615">
      <w:pPr>
        <w:spacing w:after="120"/>
        <w:jc w:val="center"/>
        <w:rPr>
          <w:rFonts w:ascii="Gellix" w:hAnsi="Gellix"/>
          <w:b/>
          <w:bCs/>
          <w:sz w:val="36"/>
          <w:szCs w:val="36"/>
          <w:lang w:val="en-US"/>
        </w:rPr>
      </w:pPr>
    </w:p>
    <w:p w14:paraId="30F04DD0" w14:textId="77777777" w:rsidR="00723385" w:rsidRDefault="00D20615" w:rsidP="00D20615">
      <w:pPr>
        <w:spacing w:after="120"/>
        <w:jc w:val="center"/>
        <w:rPr>
          <w:rFonts w:ascii="Gellix" w:hAnsi="Gellix"/>
          <w:b/>
          <w:bCs/>
          <w:sz w:val="36"/>
          <w:szCs w:val="36"/>
          <w:lang w:val="en-US"/>
        </w:rPr>
      </w:pPr>
      <w:r w:rsidRPr="004E7091">
        <w:rPr>
          <w:rFonts w:ascii="Gellix" w:hAnsi="Gellix"/>
          <w:b/>
          <w:bCs/>
          <w:sz w:val="36"/>
          <w:szCs w:val="36"/>
          <w:lang w:val="en-US"/>
        </w:rPr>
        <w:t>Policy brief</w:t>
      </w:r>
    </w:p>
    <w:p w14:paraId="639DF877" w14:textId="753297A3" w:rsidR="00D20615" w:rsidRPr="009454C1" w:rsidRDefault="00D20615" w:rsidP="00D20615">
      <w:pPr>
        <w:spacing w:after="120"/>
        <w:jc w:val="center"/>
        <w:rPr>
          <w:rFonts w:ascii="Gellix" w:hAnsi="Gellix"/>
          <w:b/>
          <w:bCs/>
          <w:sz w:val="36"/>
          <w:szCs w:val="36"/>
          <w:lang w:val="en-GB"/>
        </w:rPr>
      </w:pPr>
      <w:r>
        <w:rPr>
          <w:rFonts w:ascii="Gellix" w:hAnsi="Gellix"/>
          <w:b/>
          <w:bCs/>
          <w:sz w:val="36"/>
          <w:szCs w:val="36"/>
          <w:lang w:val="en-US"/>
        </w:rPr>
        <w:t>D</w:t>
      </w:r>
      <w:r w:rsidRPr="004E7091">
        <w:rPr>
          <w:rFonts w:ascii="Gellix" w:hAnsi="Gellix"/>
          <w:b/>
          <w:bCs/>
          <w:sz w:val="36"/>
          <w:szCs w:val="36"/>
          <w:lang w:val="en-US"/>
        </w:rPr>
        <w:t xml:space="preserve">ata flows in </w:t>
      </w:r>
      <w:r>
        <w:rPr>
          <w:rFonts w:ascii="Gellix" w:hAnsi="Gellix"/>
          <w:b/>
          <w:bCs/>
          <w:sz w:val="36"/>
          <w:szCs w:val="36"/>
          <w:lang w:val="en-US"/>
        </w:rPr>
        <w:t>supply chains</w:t>
      </w:r>
    </w:p>
    <w:p w14:paraId="5F6CC6A2" w14:textId="5F21CDBF" w:rsidR="002961AB" w:rsidRPr="00723385" w:rsidRDefault="00D20615" w:rsidP="002961AB">
      <w:pPr>
        <w:spacing w:after="120"/>
        <w:jc w:val="center"/>
        <w:rPr>
          <w:rFonts w:ascii="Gellix" w:hAnsi="Gellix"/>
          <w:b/>
          <w:bCs/>
          <w:sz w:val="28"/>
          <w:szCs w:val="28"/>
          <w:lang w:val="en-GB"/>
        </w:rPr>
      </w:pPr>
      <w:r w:rsidRPr="00723385">
        <w:rPr>
          <w:rFonts w:ascii="Gellix" w:hAnsi="Gellix"/>
          <w:b/>
          <w:bCs/>
          <w:sz w:val="28"/>
          <w:szCs w:val="28"/>
          <w:lang w:val="en-GB"/>
        </w:rPr>
        <w:t>OUTLINE</w:t>
      </w:r>
    </w:p>
    <w:p w14:paraId="709FFAF6" w14:textId="77777777" w:rsidR="002961AB" w:rsidRPr="0078690C" w:rsidRDefault="002961AB" w:rsidP="002961AB">
      <w:pPr>
        <w:spacing w:after="0" w:line="240" w:lineRule="auto"/>
        <w:rPr>
          <w:rFonts w:ascii="Gellix" w:hAnsi="Gellix"/>
          <w:sz w:val="21"/>
          <w:szCs w:val="21"/>
          <w:lang w:val="en-US"/>
        </w:rPr>
      </w:pPr>
      <w:r w:rsidRPr="00717048">
        <w:rPr>
          <w:rFonts w:ascii="Gellix" w:hAnsi="Gellix"/>
          <w:sz w:val="22"/>
          <w:szCs w:val="22"/>
          <w:lang w:val="en-US"/>
        </w:rPr>
        <w:t xml:space="preserve">This </w:t>
      </w:r>
      <w:r w:rsidRPr="0078690C">
        <w:rPr>
          <w:rFonts w:ascii="Gellix" w:hAnsi="Gellix"/>
          <w:sz w:val="21"/>
          <w:szCs w:val="21"/>
          <w:lang w:val="en-US"/>
        </w:rPr>
        <w:t>document outlines the draft structure and proposed timeline for a short (4-5 page) paper on the role of data flows in global supply chains.</w:t>
      </w:r>
      <w:r w:rsidRPr="0078690C">
        <w:rPr>
          <w:rFonts w:ascii="Gellix" w:hAnsi="Gellix"/>
          <w:sz w:val="21"/>
          <w:szCs w:val="21"/>
          <w:lang w:val="en-US"/>
        </w:rPr>
        <w:br/>
      </w:r>
    </w:p>
    <w:p w14:paraId="446B90D9" w14:textId="3CEDC9F4" w:rsidR="002961AB" w:rsidRPr="0078690C" w:rsidRDefault="002961AB" w:rsidP="002961AB">
      <w:pPr>
        <w:spacing w:after="120"/>
        <w:rPr>
          <w:rFonts w:ascii="Gellix" w:hAnsi="Gellix"/>
          <w:sz w:val="21"/>
          <w:szCs w:val="21"/>
          <w:lang w:val="en-US"/>
        </w:rPr>
      </w:pPr>
      <w:r w:rsidRPr="0078690C">
        <w:rPr>
          <w:rFonts w:ascii="Gellix" w:hAnsi="Gellix"/>
          <w:sz w:val="21"/>
          <w:szCs w:val="21"/>
          <w:lang w:val="en-US"/>
        </w:rPr>
        <w:t xml:space="preserve">The paper will be a practical brief with </w:t>
      </w:r>
      <w:r w:rsidR="00C77B29">
        <w:rPr>
          <w:rFonts w:ascii="Gellix" w:hAnsi="Gellix"/>
          <w:sz w:val="21"/>
          <w:szCs w:val="21"/>
          <w:lang w:val="en-US"/>
        </w:rPr>
        <w:t xml:space="preserve">two diagrams </w:t>
      </w:r>
      <w:r w:rsidRPr="0078690C">
        <w:rPr>
          <w:rFonts w:ascii="Gellix" w:hAnsi="Gellix"/>
          <w:sz w:val="21"/>
          <w:szCs w:val="21"/>
          <w:lang w:val="en-US"/>
        </w:rPr>
        <w:t>showing:</w:t>
      </w:r>
    </w:p>
    <w:p w14:paraId="6DA0BACF" w14:textId="77777777" w:rsidR="002961AB" w:rsidRPr="0078690C" w:rsidRDefault="002961AB" w:rsidP="002961AB">
      <w:pPr>
        <w:pStyle w:val="Liststycke"/>
        <w:numPr>
          <w:ilvl w:val="0"/>
          <w:numId w:val="4"/>
        </w:numPr>
        <w:spacing w:after="120"/>
        <w:rPr>
          <w:rFonts w:ascii="Gellix" w:hAnsi="Gellix"/>
          <w:sz w:val="21"/>
          <w:szCs w:val="21"/>
          <w:lang w:val="en-US"/>
        </w:rPr>
      </w:pPr>
      <w:r>
        <w:rPr>
          <w:rFonts w:ascii="Gellix" w:hAnsi="Gellix"/>
          <w:sz w:val="21"/>
          <w:szCs w:val="21"/>
          <w:lang w:val="en-US"/>
        </w:rPr>
        <w:t xml:space="preserve">How </w:t>
      </w:r>
      <w:r w:rsidRPr="0078690C">
        <w:rPr>
          <w:rFonts w:ascii="Gellix" w:hAnsi="Gellix"/>
          <w:sz w:val="21"/>
          <w:szCs w:val="21"/>
          <w:lang w:val="en-US"/>
        </w:rPr>
        <w:t xml:space="preserve">data </w:t>
      </w:r>
      <w:r>
        <w:rPr>
          <w:rFonts w:ascii="Gellix" w:hAnsi="Gellix"/>
          <w:sz w:val="21"/>
          <w:szCs w:val="21"/>
          <w:lang w:val="en-US"/>
        </w:rPr>
        <w:t xml:space="preserve">flows function </w:t>
      </w:r>
      <w:r w:rsidRPr="0078690C">
        <w:rPr>
          <w:rFonts w:ascii="Gellix" w:hAnsi="Gellix"/>
          <w:sz w:val="21"/>
          <w:szCs w:val="21"/>
          <w:lang w:val="en-US"/>
        </w:rPr>
        <w:t>in supply chains</w:t>
      </w:r>
    </w:p>
    <w:p w14:paraId="4A2B7935" w14:textId="77777777" w:rsidR="002961AB" w:rsidRPr="0078690C" w:rsidRDefault="002961AB" w:rsidP="002961AB">
      <w:pPr>
        <w:pStyle w:val="Liststycke"/>
        <w:numPr>
          <w:ilvl w:val="0"/>
          <w:numId w:val="4"/>
        </w:numPr>
        <w:spacing w:after="120"/>
        <w:rPr>
          <w:rFonts w:ascii="Gellix" w:hAnsi="Gellix"/>
          <w:sz w:val="21"/>
          <w:szCs w:val="21"/>
          <w:lang w:val="en-US"/>
        </w:rPr>
      </w:pPr>
      <w:r>
        <w:rPr>
          <w:rFonts w:ascii="Gellix" w:hAnsi="Gellix"/>
          <w:sz w:val="21"/>
          <w:szCs w:val="21"/>
          <w:lang w:val="en-US"/>
        </w:rPr>
        <w:t xml:space="preserve">The role of </w:t>
      </w:r>
      <w:r w:rsidRPr="0078690C">
        <w:rPr>
          <w:rFonts w:ascii="Gellix" w:hAnsi="Gellix"/>
          <w:sz w:val="21"/>
          <w:szCs w:val="21"/>
          <w:lang w:val="en-US"/>
        </w:rPr>
        <w:t xml:space="preserve">data flows </w:t>
      </w:r>
      <w:r>
        <w:rPr>
          <w:rFonts w:ascii="Gellix" w:hAnsi="Gellix"/>
          <w:sz w:val="21"/>
          <w:szCs w:val="21"/>
          <w:lang w:val="en-US"/>
        </w:rPr>
        <w:t xml:space="preserve">in </w:t>
      </w:r>
      <w:r w:rsidRPr="0078690C">
        <w:rPr>
          <w:rFonts w:ascii="Gellix" w:hAnsi="Gellix"/>
          <w:sz w:val="21"/>
          <w:szCs w:val="21"/>
          <w:lang w:val="en-US"/>
        </w:rPr>
        <w:t>support</w:t>
      </w:r>
      <w:r>
        <w:rPr>
          <w:rFonts w:ascii="Gellix" w:hAnsi="Gellix"/>
          <w:sz w:val="21"/>
          <w:szCs w:val="21"/>
          <w:lang w:val="en-US"/>
        </w:rPr>
        <w:t xml:space="preserve">ing </w:t>
      </w:r>
      <w:r w:rsidRPr="0078690C">
        <w:rPr>
          <w:rFonts w:ascii="Gellix" w:hAnsi="Gellix"/>
          <w:sz w:val="21"/>
          <w:szCs w:val="21"/>
          <w:lang w:val="en-US"/>
        </w:rPr>
        <w:t xml:space="preserve">trade processes and business operations. </w:t>
      </w:r>
    </w:p>
    <w:p w14:paraId="00D5B036" w14:textId="77777777" w:rsidR="002961AB" w:rsidRPr="004816EC" w:rsidRDefault="002961AB" w:rsidP="002961AB">
      <w:pPr>
        <w:spacing w:after="120"/>
        <w:rPr>
          <w:rFonts w:ascii="Gellix" w:hAnsi="Gellix"/>
          <w:sz w:val="21"/>
          <w:szCs w:val="21"/>
          <w:lang w:val="en-GB"/>
        </w:rPr>
      </w:pPr>
      <w:r w:rsidRPr="004816EC">
        <w:rPr>
          <w:rFonts w:ascii="Gellix" w:hAnsi="Gellix"/>
          <w:sz w:val="21"/>
          <w:szCs w:val="21"/>
          <w:lang w:val="en-GB"/>
        </w:rPr>
        <w:t xml:space="preserve">This is </w:t>
      </w:r>
      <w:r w:rsidRPr="0066798F">
        <w:rPr>
          <w:rFonts w:ascii="Gellix" w:hAnsi="Gellix"/>
          <w:sz w:val="21"/>
          <w:szCs w:val="21"/>
          <w:lang w:val="en-GB"/>
        </w:rPr>
        <w:t>not</w:t>
      </w:r>
      <w:r w:rsidRPr="004816EC">
        <w:rPr>
          <w:rFonts w:ascii="Gellix" w:hAnsi="Gellix"/>
          <w:sz w:val="21"/>
          <w:szCs w:val="21"/>
          <w:lang w:val="en-GB"/>
        </w:rPr>
        <w:t xml:space="preserve"> a deep dive into the broader policy debates on data governance. Rather, the goal is to help policymakers better understand how supply chains operate in practice, particularly the role of data flows in facilitating trade. By providing a clear, business-focused perspective, the brief aims to ensure that trade policy discussions are informed by real-world supply chain dynamics.</w:t>
      </w:r>
    </w:p>
    <w:p w14:paraId="20D5C5CF" w14:textId="72947547" w:rsidR="002961AB" w:rsidRPr="0078690C" w:rsidRDefault="002961AB" w:rsidP="002961AB">
      <w:pPr>
        <w:spacing w:after="120"/>
        <w:rPr>
          <w:rFonts w:ascii="Gellix" w:hAnsi="Gellix"/>
          <w:sz w:val="21"/>
          <w:szCs w:val="21"/>
          <w:lang w:val="en-GB"/>
        </w:rPr>
      </w:pPr>
      <w:r w:rsidRPr="0078690C">
        <w:rPr>
          <w:rFonts w:ascii="Gellix" w:hAnsi="Gellix"/>
          <w:sz w:val="21"/>
          <w:szCs w:val="21"/>
          <w:lang w:val="en-US"/>
        </w:rPr>
        <w:t>The brief will</w:t>
      </w:r>
      <w:r>
        <w:rPr>
          <w:rFonts w:ascii="Gellix" w:hAnsi="Gellix"/>
          <w:sz w:val="21"/>
          <w:szCs w:val="21"/>
          <w:lang w:val="en-US"/>
        </w:rPr>
        <w:t xml:space="preserve"> </w:t>
      </w:r>
      <w:r w:rsidRPr="0078690C">
        <w:rPr>
          <w:rFonts w:ascii="Gellix" w:hAnsi="Gellix"/>
          <w:sz w:val="21"/>
          <w:szCs w:val="21"/>
          <w:lang w:val="en-US"/>
        </w:rPr>
        <w:t xml:space="preserve">highlight the potential adverse effect of restrictive data policies on trade and </w:t>
      </w:r>
      <w:r>
        <w:rPr>
          <w:rFonts w:ascii="Gellix" w:hAnsi="Gellix"/>
          <w:sz w:val="21"/>
          <w:szCs w:val="21"/>
          <w:lang w:val="en-US"/>
        </w:rPr>
        <w:t xml:space="preserve">provide </w:t>
      </w:r>
      <w:r w:rsidRPr="0078690C">
        <w:rPr>
          <w:rFonts w:ascii="Gellix" w:hAnsi="Gellix"/>
          <w:sz w:val="21"/>
          <w:szCs w:val="21"/>
          <w:lang w:val="en-US"/>
        </w:rPr>
        <w:t xml:space="preserve">key recommendations </w:t>
      </w:r>
      <w:r>
        <w:rPr>
          <w:rFonts w:ascii="Gellix" w:hAnsi="Gellix"/>
          <w:sz w:val="21"/>
          <w:szCs w:val="21"/>
          <w:lang w:val="en-US"/>
        </w:rPr>
        <w:t xml:space="preserve">for </w:t>
      </w:r>
      <w:r w:rsidRPr="0078690C">
        <w:rPr>
          <w:rFonts w:ascii="Gellix" w:hAnsi="Gellix"/>
          <w:sz w:val="21"/>
          <w:szCs w:val="21"/>
          <w:lang w:val="en-US"/>
        </w:rPr>
        <w:t xml:space="preserve">fostering trade policies that allow </w:t>
      </w:r>
      <w:r>
        <w:rPr>
          <w:rFonts w:ascii="Gellix" w:hAnsi="Gellix"/>
          <w:sz w:val="21"/>
          <w:szCs w:val="21"/>
          <w:lang w:val="en-US"/>
        </w:rPr>
        <w:t xml:space="preserve">secure and trusted </w:t>
      </w:r>
      <w:r w:rsidRPr="0078690C">
        <w:rPr>
          <w:rFonts w:ascii="Gellix" w:hAnsi="Gellix"/>
          <w:sz w:val="21"/>
          <w:szCs w:val="21"/>
          <w:lang w:val="en-US"/>
        </w:rPr>
        <w:t xml:space="preserve">cross-border data </w:t>
      </w:r>
      <w:r>
        <w:rPr>
          <w:rFonts w:ascii="Gellix" w:hAnsi="Gellix"/>
          <w:sz w:val="21"/>
          <w:szCs w:val="21"/>
          <w:lang w:val="en-US"/>
        </w:rPr>
        <w:t>flows</w:t>
      </w:r>
      <w:r w:rsidRPr="0078690C">
        <w:rPr>
          <w:rFonts w:ascii="Gellix" w:hAnsi="Gellix"/>
          <w:sz w:val="21"/>
          <w:szCs w:val="21"/>
          <w:lang w:val="en-US"/>
        </w:rPr>
        <w:t>.</w:t>
      </w:r>
      <w:r w:rsidRPr="0078690C">
        <w:rPr>
          <w:rFonts w:ascii="Gellix" w:hAnsi="Gellix"/>
          <w:sz w:val="21"/>
          <w:szCs w:val="21"/>
          <w:lang w:val="en-GB"/>
        </w:rPr>
        <w:t xml:space="preserve"> </w:t>
      </w:r>
    </w:p>
    <w:p w14:paraId="441266E6" w14:textId="77777777" w:rsidR="002961AB" w:rsidRDefault="002961AB" w:rsidP="002961AB">
      <w:pPr>
        <w:spacing w:after="120"/>
        <w:rPr>
          <w:rFonts w:ascii="Gellix" w:hAnsi="Gellix"/>
          <w:sz w:val="21"/>
          <w:szCs w:val="21"/>
          <w:lang w:val="en-US"/>
        </w:rPr>
      </w:pPr>
      <w:r w:rsidRPr="00176C2E">
        <w:rPr>
          <w:rFonts w:ascii="Gellix" w:hAnsi="Gellix"/>
          <w:b/>
          <w:bCs/>
          <w:sz w:val="21"/>
          <w:szCs w:val="21"/>
          <w:lang w:val="en-US"/>
        </w:rPr>
        <w:t xml:space="preserve">Target </w:t>
      </w:r>
      <w:r w:rsidRPr="0078690C">
        <w:rPr>
          <w:rFonts w:ascii="Gellix" w:hAnsi="Gellix"/>
          <w:b/>
          <w:bCs/>
          <w:sz w:val="21"/>
          <w:szCs w:val="21"/>
          <w:lang w:val="en-US"/>
        </w:rPr>
        <w:t>Audience</w:t>
      </w:r>
      <w:r w:rsidRPr="0078690C">
        <w:rPr>
          <w:rFonts w:ascii="Gellix" w:hAnsi="Gellix"/>
          <w:sz w:val="21"/>
          <w:szCs w:val="21"/>
          <w:lang w:val="en-US"/>
        </w:rPr>
        <w:t xml:space="preserve">: </w:t>
      </w:r>
    </w:p>
    <w:p w14:paraId="11025C96" w14:textId="77777777" w:rsidR="002961AB" w:rsidRPr="0078690C" w:rsidRDefault="002961AB" w:rsidP="002961AB">
      <w:pPr>
        <w:spacing w:after="120"/>
        <w:rPr>
          <w:rFonts w:ascii="Gellix" w:hAnsi="Gellix"/>
          <w:sz w:val="21"/>
          <w:szCs w:val="21"/>
          <w:lang w:val="en-US"/>
        </w:rPr>
      </w:pPr>
      <w:r>
        <w:rPr>
          <w:rFonts w:ascii="Gellix" w:hAnsi="Gellix"/>
          <w:sz w:val="21"/>
          <w:szCs w:val="21"/>
          <w:lang w:val="en-US"/>
        </w:rPr>
        <w:t xml:space="preserve">This paper is intended for </w:t>
      </w:r>
      <w:r w:rsidRPr="0078690C">
        <w:rPr>
          <w:rFonts w:ascii="Gellix" w:eastAsia="Times New Roman" w:hAnsi="Gellix" w:cs="Times New Roman"/>
          <w:color w:val="333333"/>
          <w:sz w:val="21"/>
          <w:szCs w:val="21"/>
          <w:lang w:val="en-GB" w:eastAsia="en-GB"/>
        </w:rPr>
        <w:t>policy makers who have a stake in trade policy issues under discussion. While the target audience is primarily officials involved in trade policy discussions, the tone and terminology should be accessible to a non-specialist reader.</w:t>
      </w:r>
    </w:p>
    <w:p w14:paraId="22A6AC2D" w14:textId="0969612C" w:rsidR="002961AB" w:rsidRPr="0078690C" w:rsidRDefault="002961AB" w:rsidP="002961AB">
      <w:pPr>
        <w:spacing w:after="120"/>
        <w:rPr>
          <w:rFonts w:ascii="Gellix" w:hAnsi="Gellix"/>
          <w:sz w:val="21"/>
          <w:szCs w:val="21"/>
          <w:lang w:val="en-US"/>
        </w:rPr>
      </w:pPr>
      <w:r w:rsidRPr="0078690C">
        <w:rPr>
          <w:rFonts w:ascii="Gellix" w:hAnsi="Gellix"/>
          <w:sz w:val="21"/>
          <w:szCs w:val="21"/>
          <w:lang w:val="en-US"/>
        </w:rPr>
        <w:t xml:space="preserve">Below is </w:t>
      </w:r>
      <w:r>
        <w:rPr>
          <w:rFonts w:ascii="Gellix" w:hAnsi="Gellix"/>
          <w:sz w:val="21"/>
          <w:szCs w:val="21"/>
          <w:lang w:val="en-US"/>
        </w:rPr>
        <w:t xml:space="preserve">the </w:t>
      </w:r>
      <w:r w:rsidRPr="0078690C">
        <w:rPr>
          <w:rFonts w:ascii="Gellix" w:hAnsi="Gellix"/>
          <w:sz w:val="21"/>
          <w:szCs w:val="21"/>
          <w:lang w:val="en-US"/>
        </w:rPr>
        <w:t xml:space="preserve">draft outline </w:t>
      </w:r>
      <w:r w:rsidR="00586CD4">
        <w:rPr>
          <w:rFonts w:ascii="Gellix" w:hAnsi="Gellix"/>
          <w:sz w:val="21"/>
          <w:szCs w:val="21"/>
          <w:lang w:val="en-US"/>
        </w:rPr>
        <w:t xml:space="preserve">and timeline </w:t>
      </w:r>
      <w:r w:rsidRPr="0078690C">
        <w:rPr>
          <w:rFonts w:ascii="Gellix" w:hAnsi="Gellix"/>
          <w:sz w:val="21"/>
          <w:szCs w:val="21"/>
          <w:lang w:val="en-US"/>
        </w:rPr>
        <w:t>for th</w:t>
      </w:r>
      <w:r>
        <w:rPr>
          <w:rFonts w:ascii="Gellix" w:hAnsi="Gellix"/>
          <w:sz w:val="21"/>
          <w:szCs w:val="21"/>
          <w:lang w:val="en-US"/>
        </w:rPr>
        <w:t>e</w:t>
      </w:r>
      <w:r w:rsidRPr="0078690C">
        <w:rPr>
          <w:rFonts w:ascii="Gellix" w:hAnsi="Gellix"/>
          <w:sz w:val="21"/>
          <w:szCs w:val="21"/>
          <w:lang w:val="en-US"/>
        </w:rPr>
        <w:t xml:space="preserve"> paper.</w:t>
      </w:r>
    </w:p>
    <w:p w14:paraId="25B88099" w14:textId="77777777" w:rsidR="002961AB" w:rsidRPr="006469FB" w:rsidRDefault="002961AB" w:rsidP="002961AB">
      <w:pPr>
        <w:spacing w:after="120"/>
        <w:rPr>
          <w:rFonts w:ascii="Gellix" w:hAnsi="Gellix"/>
          <w:b/>
          <w:bCs/>
          <w:color w:val="007DFF"/>
          <w:lang w:val="en-US"/>
        </w:rPr>
      </w:pPr>
      <w:r w:rsidRPr="006469FB">
        <w:rPr>
          <w:rFonts w:ascii="Gellix" w:hAnsi="Gellix"/>
          <w:b/>
          <w:bCs/>
          <w:color w:val="007DFF"/>
          <w:lang w:val="en-US"/>
        </w:rPr>
        <w:t>Draft outline</w:t>
      </w:r>
    </w:p>
    <w:p w14:paraId="322A3A4F" w14:textId="77777777" w:rsidR="002961AB" w:rsidRPr="006469FB" w:rsidRDefault="002961AB" w:rsidP="002961AB">
      <w:pPr>
        <w:pStyle w:val="Liststycke"/>
        <w:numPr>
          <w:ilvl w:val="0"/>
          <w:numId w:val="1"/>
        </w:numPr>
        <w:spacing w:after="120"/>
        <w:ind w:left="436" w:hanging="436"/>
        <w:rPr>
          <w:rFonts w:ascii="Gellix" w:hAnsi="Gellix"/>
          <w:b/>
          <w:bCs/>
          <w:lang w:val="en-GB"/>
        </w:rPr>
      </w:pPr>
      <w:r w:rsidRPr="006469FB">
        <w:rPr>
          <w:rFonts w:ascii="Gellix" w:hAnsi="Gellix"/>
          <w:b/>
          <w:bCs/>
          <w:lang w:val="en-GB"/>
        </w:rPr>
        <w:t>Introduction:</w:t>
      </w:r>
    </w:p>
    <w:p w14:paraId="190BC28A" w14:textId="70663B8E" w:rsidR="002961AB" w:rsidRPr="006469FB" w:rsidRDefault="002961AB" w:rsidP="002961AB">
      <w:pPr>
        <w:pStyle w:val="Liststycke"/>
        <w:numPr>
          <w:ilvl w:val="1"/>
          <w:numId w:val="1"/>
        </w:numPr>
        <w:spacing w:after="120"/>
        <w:ind w:left="1156"/>
        <w:rPr>
          <w:rFonts w:ascii="Gellix" w:hAnsi="Gellix"/>
          <w:sz w:val="21"/>
          <w:szCs w:val="21"/>
          <w:lang w:val="en-GB"/>
        </w:rPr>
      </w:pPr>
      <w:r w:rsidRPr="002E4FDC">
        <w:rPr>
          <w:rFonts w:ascii="Gellix" w:hAnsi="Gellix"/>
          <w:b/>
          <w:bCs/>
          <w:sz w:val="21"/>
          <w:szCs w:val="21"/>
          <w:lang w:val="en-GB"/>
        </w:rPr>
        <w:t>Role of data in supply chains</w:t>
      </w:r>
      <w:r w:rsidRPr="002E4FDC">
        <w:rPr>
          <w:rFonts w:ascii="Gellix" w:hAnsi="Gellix"/>
          <w:sz w:val="21"/>
          <w:szCs w:val="21"/>
          <w:lang w:val="en-GB"/>
        </w:rPr>
        <w:t xml:space="preserve">: Data flows are essential for efficient, resilient and interconnected global supply chains. Businesses rely on real-time data exchange to manage all aspects of their operations. </w:t>
      </w:r>
      <w:r w:rsidR="007D7DF4" w:rsidRPr="006469FB">
        <w:rPr>
          <w:rFonts w:ascii="Gellix" w:hAnsi="Gellix"/>
          <w:sz w:val="21"/>
          <w:szCs w:val="21"/>
          <w:lang w:val="en-GB"/>
        </w:rPr>
        <w:t xml:space="preserve">65% of </w:t>
      </w:r>
      <w:r w:rsidR="008849AB" w:rsidRPr="006469FB">
        <w:rPr>
          <w:rFonts w:ascii="Gellix" w:hAnsi="Gellix"/>
          <w:sz w:val="21"/>
          <w:szCs w:val="21"/>
          <w:lang w:val="en-GB"/>
        </w:rPr>
        <w:t xml:space="preserve">annual </w:t>
      </w:r>
      <w:r w:rsidR="007D7DF4" w:rsidRPr="006469FB">
        <w:rPr>
          <w:rFonts w:ascii="Gellix" w:hAnsi="Gellix"/>
          <w:sz w:val="21"/>
          <w:szCs w:val="21"/>
          <w:lang w:val="en-GB"/>
        </w:rPr>
        <w:t>global gross domestic product is enabled by cross-border data flows</w:t>
      </w:r>
      <w:r w:rsidR="00AC2CB6" w:rsidRPr="006469FB">
        <w:rPr>
          <w:rFonts w:ascii="Gellix" w:hAnsi="Gellix"/>
          <w:sz w:val="21"/>
          <w:szCs w:val="21"/>
          <w:lang w:val="en-GB"/>
        </w:rPr>
        <w:t xml:space="preserve"> (</w:t>
      </w:r>
      <w:r w:rsidR="00F7314E" w:rsidRPr="006469FB">
        <w:rPr>
          <w:rFonts w:ascii="Gellix" w:hAnsi="Gellix"/>
          <w:sz w:val="21"/>
          <w:szCs w:val="21"/>
          <w:lang w:val="en-GB"/>
        </w:rPr>
        <w:t xml:space="preserve">Cross </w:t>
      </w:r>
      <w:r w:rsidR="007B2832" w:rsidRPr="006469FB">
        <w:rPr>
          <w:rFonts w:ascii="Gellix" w:hAnsi="Gellix"/>
          <w:sz w:val="21"/>
          <w:szCs w:val="21"/>
          <w:lang w:val="en-GB"/>
        </w:rPr>
        <w:t xml:space="preserve">Border Data Flows Report, </w:t>
      </w:r>
      <w:r w:rsidR="00AC2CB6" w:rsidRPr="006469FB">
        <w:rPr>
          <w:rFonts w:ascii="Gellix" w:hAnsi="Gellix"/>
          <w:sz w:val="21"/>
          <w:szCs w:val="21"/>
          <w:lang w:val="en-GB"/>
        </w:rPr>
        <w:t>Zurich Insurance Group</w:t>
      </w:r>
      <w:r w:rsidR="00C321D1" w:rsidRPr="006469FB">
        <w:rPr>
          <w:rFonts w:ascii="Gellix" w:hAnsi="Gellix"/>
          <w:sz w:val="21"/>
          <w:szCs w:val="21"/>
          <w:lang w:val="en-GB"/>
        </w:rPr>
        <w:t>, 2022)</w:t>
      </w:r>
      <w:r w:rsidR="00AC2CB6" w:rsidRPr="006469FB">
        <w:rPr>
          <w:rFonts w:ascii="Gellix" w:hAnsi="Gellix"/>
          <w:sz w:val="21"/>
          <w:szCs w:val="21"/>
          <w:lang w:val="en-GB"/>
        </w:rPr>
        <w:t>.</w:t>
      </w:r>
      <w:r w:rsidR="0016578C" w:rsidRPr="006469FB">
        <w:rPr>
          <w:rFonts w:ascii="Gellix" w:hAnsi="Gellix"/>
          <w:sz w:val="21"/>
          <w:szCs w:val="21"/>
          <w:lang w:val="en-GB"/>
        </w:rPr>
        <w:t xml:space="preserve"> </w:t>
      </w:r>
    </w:p>
    <w:p w14:paraId="7332F9CD" w14:textId="51B9C0D8" w:rsidR="002961AB" w:rsidRPr="0078690C" w:rsidRDefault="002961AB" w:rsidP="002961AB">
      <w:pPr>
        <w:pStyle w:val="Liststycke"/>
        <w:numPr>
          <w:ilvl w:val="1"/>
          <w:numId w:val="1"/>
        </w:numPr>
        <w:spacing w:after="120"/>
        <w:ind w:left="1156"/>
        <w:rPr>
          <w:rFonts w:ascii="Gellix" w:hAnsi="Gellix"/>
          <w:sz w:val="21"/>
          <w:szCs w:val="21"/>
          <w:lang w:val="en-US"/>
        </w:rPr>
      </w:pPr>
      <w:r w:rsidRPr="0078690C">
        <w:rPr>
          <w:rFonts w:ascii="Gellix" w:hAnsi="Gellix"/>
          <w:b/>
          <w:bCs/>
          <w:sz w:val="21"/>
          <w:szCs w:val="21"/>
          <w:lang w:val="en-GB"/>
        </w:rPr>
        <w:t>Challenges to cross border data flows:</w:t>
      </w:r>
      <w:r w:rsidRPr="0078690C">
        <w:rPr>
          <w:rFonts w:ascii="Gellix" w:hAnsi="Gellix"/>
          <w:sz w:val="21"/>
          <w:szCs w:val="21"/>
          <w:lang w:val="en-GB"/>
        </w:rPr>
        <w:t xml:space="preserve">  The lack of multilateral coordination and fragmented regulatory landscape</w:t>
      </w:r>
      <w:r w:rsidRPr="0078690C">
        <w:rPr>
          <w:rFonts w:ascii="Gellix" w:hAnsi="Gellix"/>
          <w:sz w:val="21"/>
          <w:szCs w:val="21"/>
          <w:lang w:val="en-US"/>
        </w:rPr>
        <w:t xml:space="preserve"> create barriers to trade</w:t>
      </w:r>
      <w:r>
        <w:rPr>
          <w:rFonts w:ascii="Gellix" w:hAnsi="Gellix"/>
          <w:sz w:val="21"/>
          <w:szCs w:val="21"/>
          <w:lang w:val="en-US"/>
        </w:rPr>
        <w:t xml:space="preserve"> for businesses</w:t>
      </w:r>
      <w:r w:rsidRPr="0078690C">
        <w:rPr>
          <w:rFonts w:ascii="Gellix" w:hAnsi="Gellix"/>
          <w:sz w:val="21"/>
          <w:szCs w:val="21"/>
          <w:lang w:val="en-US"/>
        </w:rPr>
        <w:t xml:space="preserve">.  Key </w:t>
      </w:r>
      <w:r>
        <w:rPr>
          <w:rFonts w:ascii="Gellix" w:hAnsi="Gellix"/>
          <w:sz w:val="21"/>
          <w:szCs w:val="21"/>
          <w:lang w:val="en-US"/>
        </w:rPr>
        <w:t>regulator</w:t>
      </w:r>
      <w:r w:rsidR="00FA75DC">
        <w:rPr>
          <w:rFonts w:ascii="Gellix" w:hAnsi="Gellix"/>
          <w:sz w:val="21"/>
          <w:szCs w:val="21"/>
          <w:lang w:val="en-US"/>
        </w:rPr>
        <w:t>y</w:t>
      </w:r>
      <w:r w:rsidR="002E4FDC">
        <w:rPr>
          <w:rFonts w:ascii="Gellix" w:hAnsi="Gellix"/>
          <w:sz w:val="21"/>
          <w:szCs w:val="21"/>
          <w:lang w:val="en-US"/>
        </w:rPr>
        <w:t xml:space="preserve"> </w:t>
      </w:r>
      <w:r w:rsidRPr="0078690C">
        <w:rPr>
          <w:rFonts w:ascii="Gellix" w:hAnsi="Gellix"/>
          <w:sz w:val="21"/>
          <w:szCs w:val="21"/>
          <w:lang w:val="en-US"/>
        </w:rPr>
        <w:t xml:space="preserve">issues </w:t>
      </w:r>
      <w:r>
        <w:rPr>
          <w:rFonts w:ascii="Gellix" w:hAnsi="Gellix"/>
          <w:sz w:val="21"/>
          <w:szCs w:val="21"/>
          <w:lang w:val="en-US"/>
        </w:rPr>
        <w:t xml:space="preserve">affecting supply chains </w:t>
      </w:r>
      <w:r w:rsidRPr="0078690C">
        <w:rPr>
          <w:rFonts w:ascii="Gellix" w:hAnsi="Gellix"/>
          <w:sz w:val="21"/>
          <w:szCs w:val="21"/>
          <w:lang w:val="en-US"/>
        </w:rPr>
        <w:t xml:space="preserve">include data localization requirements, varying data protection laws, cybersecurity regulations (e.g., encryption standards, source code access). </w:t>
      </w:r>
    </w:p>
    <w:p w14:paraId="05A62D3B" w14:textId="77777777" w:rsidR="002961AB" w:rsidRPr="0078690C" w:rsidRDefault="002961AB" w:rsidP="002961AB">
      <w:pPr>
        <w:pStyle w:val="Liststycke"/>
        <w:numPr>
          <w:ilvl w:val="1"/>
          <w:numId w:val="1"/>
        </w:numPr>
        <w:spacing w:after="120"/>
        <w:ind w:left="1156"/>
        <w:rPr>
          <w:rFonts w:ascii="Gellix" w:hAnsi="Gellix"/>
          <w:sz w:val="21"/>
          <w:szCs w:val="21"/>
          <w:lang w:val="en-US"/>
        </w:rPr>
      </w:pPr>
      <w:r w:rsidRPr="0078690C">
        <w:rPr>
          <w:rFonts w:ascii="Gellix" w:hAnsi="Gellix"/>
          <w:b/>
          <w:bCs/>
          <w:sz w:val="21"/>
          <w:szCs w:val="21"/>
          <w:lang w:val="en-US"/>
        </w:rPr>
        <w:t xml:space="preserve">Impact on </w:t>
      </w:r>
      <w:r>
        <w:rPr>
          <w:rFonts w:ascii="Gellix" w:hAnsi="Gellix"/>
          <w:b/>
          <w:bCs/>
          <w:sz w:val="21"/>
          <w:szCs w:val="21"/>
          <w:lang w:val="en-US"/>
        </w:rPr>
        <w:t xml:space="preserve">trade and </w:t>
      </w:r>
      <w:r w:rsidRPr="0078690C">
        <w:rPr>
          <w:rFonts w:ascii="Gellix" w:hAnsi="Gellix"/>
          <w:b/>
          <w:bCs/>
          <w:sz w:val="21"/>
          <w:szCs w:val="21"/>
          <w:lang w:val="en-US"/>
        </w:rPr>
        <w:t>business</w:t>
      </w:r>
      <w:r w:rsidRPr="0078690C">
        <w:rPr>
          <w:rFonts w:ascii="Gellix" w:hAnsi="Gellix"/>
          <w:sz w:val="21"/>
          <w:szCs w:val="21"/>
          <w:lang w:val="en-US"/>
        </w:rPr>
        <w:t xml:space="preserve">: </w:t>
      </w:r>
      <w:r>
        <w:rPr>
          <w:rFonts w:ascii="Gellix" w:hAnsi="Gellix"/>
          <w:sz w:val="21"/>
          <w:szCs w:val="21"/>
          <w:lang w:val="en-US"/>
        </w:rPr>
        <w:t xml:space="preserve">Restrictive or fragmented data policies lead to </w:t>
      </w:r>
      <w:r w:rsidRPr="0078690C">
        <w:rPr>
          <w:rFonts w:ascii="Gellix" w:hAnsi="Gellix"/>
          <w:sz w:val="21"/>
          <w:szCs w:val="21"/>
          <w:lang w:val="en-US"/>
        </w:rPr>
        <w:t>increase</w:t>
      </w:r>
      <w:r>
        <w:rPr>
          <w:rFonts w:ascii="Gellix" w:hAnsi="Gellix"/>
          <w:sz w:val="21"/>
          <w:szCs w:val="21"/>
          <w:lang w:val="en-US"/>
        </w:rPr>
        <w:t>d</w:t>
      </w:r>
      <w:r w:rsidRPr="0078690C">
        <w:rPr>
          <w:rFonts w:ascii="Gellix" w:hAnsi="Gellix"/>
          <w:sz w:val="21"/>
          <w:szCs w:val="21"/>
          <w:lang w:val="en-US"/>
        </w:rPr>
        <w:t xml:space="preserve"> costs, inefficiencies, and lost business opportunities</w:t>
      </w:r>
      <w:r>
        <w:rPr>
          <w:rFonts w:ascii="Gellix" w:hAnsi="Gellix"/>
          <w:sz w:val="21"/>
          <w:szCs w:val="21"/>
          <w:lang w:val="en-US"/>
        </w:rPr>
        <w:t xml:space="preserve">, </w:t>
      </w:r>
      <w:r w:rsidRPr="007418FF">
        <w:rPr>
          <w:rFonts w:ascii="Gellix" w:hAnsi="Gellix"/>
          <w:sz w:val="21"/>
          <w:szCs w:val="21"/>
          <w:lang w:val="en-GB"/>
        </w:rPr>
        <w:t>limiting companies’ ability to optimize supply chains and remain competitive.</w:t>
      </w:r>
      <w:r>
        <w:rPr>
          <w:rFonts w:ascii="Gellix" w:hAnsi="Gellix"/>
          <w:sz w:val="21"/>
          <w:szCs w:val="21"/>
          <w:lang w:val="en-US"/>
        </w:rPr>
        <w:t xml:space="preserve"> </w:t>
      </w:r>
      <w:r w:rsidRPr="000F3CB5">
        <w:rPr>
          <w:rFonts w:ascii="Gellix" w:hAnsi="Gellix"/>
          <w:sz w:val="21"/>
          <w:szCs w:val="21"/>
          <w:lang w:val="en-GB"/>
        </w:rPr>
        <w:t xml:space="preserve">Inconsistent data </w:t>
      </w:r>
      <w:r w:rsidRPr="000F3CB5">
        <w:rPr>
          <w:rFonts w:ascii="Gellix" w:hAnsi="Gellix"/>
          <w:sz w:val="21"/>
          <w:szCs w:val="21"/>
          <w:lang w:val="en-GB"/>
        </w:rPr>
        <w:lastRenderedPageBreak/>
        <w:t>regulations also act as non-tariff barriers, reducing firms’ ability to expand into global markets and affecting the growth of digital trade.</w:t>
      </w:r>
    </w:p>
    <w:p w14:paraId="5321D85F" w14:textId="77777777" w:rsidR="002961AB" w:rsidRPr="0078690C" w:rsidRDefault="002961AB" w:rsidP="002961AB">
      <w:pPr>
        <w:pStyle w:val="Liststycke"/>
        <w:spacing w:after="120"/>
        <w:ind w:left="1156"/>
        <w:rPr>
          <w:rFonts w:ascii="Gellix" w:hAnsi="Gellix"/>
          <w:sz w:val="21"/>
          <w:szCs w:val="21"/>
          <w:lang w:val="en-US"/>
        </w:rPr>
      </w:pPr>
    </w:p>
    <w:p w14:paraId="0D3CFC5E" w14:textId="77777777" w:rsidR="002961AB" w:rsidRPr="006469FB" w:rsidRDefault="002961AB" w:rsidP="006469FB">
      <w:pPr>
        <w:pStyle w:val="Liststycke"/>
        <w:numPr>
          <w:ilvl w:val="0"/>
          <w:numId w:val="1"/>
        </w:numPr>
        <w:rPr>
          <w:rFonts w:ascii="Gellix" w:hAnsi="Gellix"/>
          <w:b/>
          <w:bCs/>
          <w:lang w:val="en-GB"/>
        </w:rPr>
      </w:pPr>
      <w:r w:rsidRPr="006469FB">
        <w:rPr>
          <w:rFonts w:ascii="Gellix" w:hAnsi="Gellix"/>
          <w:b/>
          <w:bCs/>
          <w:lang w:val="en-GB"/>
        </w:rPr>
        <w:t xml:space="preserve">Visuals </w:t>
      </w:r>
    </w:p>
    <w:p w14:paraId="77AA5865" w14:textId="4759B004" w:rsidR="002961AB" w:rsidRPr="0078690C" w:rsidRDefault="002961AB" w:rsidP="002961AB">
      <w:pPr>
        <w:rPr>
          <w:rFonts w:ascii="Gellix" w:hAnsi="Gellix"/>
          <w:sz w:val="21"/>
          <w:szCs w:val="21"/>
          <w:lang w:val="en-GB"/>
        </w:rPr>
      </w:pPr>
      <w:r w:rsidRPr="0078690C">
        <w:rPr>
          <w:rFonts w:ascii="Gellix" w:hAnsi="Gellix"/>
          <w:sz w:val="21"/>
          <w:szCs w:val="21"/>
          <w:lang w:val="en-GB"/>
        </w:rPr>
        <w:t>The brief will include two</w:t>
      </w:r>
      <w:r>
        <w:rPr>
          <w:rFonts w:ascii="Gellix" w:hAnsi="Gellix"/>
          <w:sz w:val="21"/>
          <w:szCs w:val="21"/>
          <w:lang w:val="en-GB"/>
        </w:rPr>
        <w:t xml:space="preserve"> diagrams</w:t>
      </w:r>
      <w:r w:rsidRPr="0078690C">
        <w:rPr>
          <w:rFonts w:ascii="Gellix" w:hAnsi="Gellix"/>
          <w:sz w:val="21"/>
          <w:szCs w:val="21"/>
          <w:lang w:val="en-GB"/>
        </w:rPr>
        <w:t>:</w:t>
      </w:r>
    </w:p>
    <w:p w14:paraId="5D0E0803" w14:textId="2A2B971E" w:rsidR="002961AB" w:rsidRPr="009A3850" w:rsidRDefault="002961AB" w:rsidP="002961AB">
      <w:pPr>
        <w:rPr>
          <w:rFonts w:ascii="Gellix" w:hAnsi="Gellix"/>
          <w:sz w:val="21"/>
          <w:szCs w:val="21"/>
          <w:lang w:val="en-GB"/>
        </w:rPr>
      </w:pPr>
      <w:r>
        <w:rPr>
          <w:rFonts w:ascii="Gellix" w:hAnsi="Gellix"/>
          <w:b/>
          <w:bCs/>
          <w:sz w:val="21"/>
          <w:szCs w:val="21"/>
          <w:lang w:val="en-GB"/>
        </w:rPr>
        <w:t xml:space="preserve">Diagram </w:t>
      </w:r>
      <w:r w:rsidRPr="009A3850">
        <w:rPr>
          <w:rFonts w:ascii="Gellix" w:hAnsi="Gellix"/>
          <w:b/>
          <w:bCs/>
          <w:sz w:val="21"/>
          <w:szCs w:val="21"/>
          <w:lang w:val="en-GB"/>
        </w:rPr>
        <w:t>1:  Data Flows in Supply Chains – Key Stages, Data Types, and Business Interactions</w:t>
      </w:r>
    </w:p>
    <w:p w14:paraId="05E1EA6C" w14:textId="6F0A2EE2" w:rsidR="00AA5871" w:rsidRPr="00DA6602" w:rsidRDefault="002961AB" w:rsidP="00DA6602">
      <w:pPr>
        <w:pStyle w:val="Liststycke"/>
        <w:numPr>
          <w:ilvl w:val="0"/>
          <w:numId w:val="6"/>
        </w:numPr>
        <w:ind w:hanging="357"/>
        <w:contextualSpacing w:val="0"/>
        <w:rPr>
          <w:rFonts w:ascii="Gellix" w:hAnsi="Gellix"/>
          <w:sz w:val="21"/>
          <w:szCs w:val="21"/>
          <w:lang w:val="en-GB"/>
        </w:rPr>
      </w:pPr>
      <w:r w:rsidRPr="009A3850">
        <w:rPr>
          <w:rFonts w:ascii="Gellix" w:hAnsi="Gellix"/>
          <w:b/>
          <w:bCs/>
          <w:sz w:val="21"/>
          <w:szCs w:val="21"/>
          <w:lang w:val="en-GB"/>
        </w:rPr>
        <w:t>Overview</w:t>
      </w:r>
      <w:r w:rsidRPr="009A3850">
        <w:rPr>
          <w:rFonts w:ascii="Gellix" w:hAnsi="Gellix"/>
          <w:sz w:val="21"/>
          <w:szCs w:val="21"/>
          <w:lang w:val="en-GB"/>
        </w:rPr>
        <w:t>: Thi</w:t>
      </w:r>
      <w:r>
        <w:rPr>
          <w:rFonts w:ascii="Gellix" w:hAnsi="Gellix"/>
          <w:sz w:val="21"/>
          <w:szCs w:val="21"/>
          <w:lang w:val="en-GB"/>
        </w:rPr>
        <w:t>s diagram</w:t>
      </w:r>
      <w:r w:rsidRPr="009A3850">
        <w:rPr>
          <w:rFonts w:ascii="Gellix" w:hAnsi="Gellix"/>
          <w:sz w:val="21"/>
          <w:szCs w:val="21"/>
          <w:lang w:val="en-GB"/>
        </w:rPr>
        <w:t xml:space="preserve"> will illustrate how data flows across different stages of the supply chain, </w:t>
      </w:r>
      <w:r w:rsidR="00AA5871">
        <w:rPr>
          <w:rFonts w:ascii="Gellix" w:hAnsi="Gellix"/>
          <w:sz w:val="21"/>
          <w:szCs w:val="21"/>
          <w:lang w:val="en-GB"/>
        </w:rPr>
        <w:t xml:space="preserve">with a focus </w:t>
      </w:r>
      <w:r w:rsidRPr="009A3850">
        <w:rPr>
          <w:rFonts w:ascii="Gellix" w:hAnsi="Gellix"/>
          <w:sz w:val="21"/>
          <w:szCs w:val="21"/>
          <w:lang w:val="en-GB"/>
        </w:rPr>
        <w:t>on a specific stage</w:t>
      </w:r>
      <w:r w:rsidR="00DA6602">
        <w:rPr>
          <w:rFonts w:ascii="Gellix" w:hAnsi="Gellix"/>
          <w:sz w:val="21"/>
          <w:szCs w:val="21"/>
          <w:lang w:val="en-GB"/>
        </w:rPr>
        <w:t xml:space="preserve"> _</w:t>
      </w:r>
      <w:r w:rsidRPr="009A3850">
        <w:rPr>
          <w:rFonts w:ascii="Gellix" w:hAnsi="Gellix"/>
          <w:sz w:val="21"/>
          <w:szCs w:val="21"/>
          <w:lang w:val="en-GB"/>
        </w:rPr>
        <w:t xml:space="preserve"> </w:t>
      </w:r>
      <w:r w:rsidR="00DA6602">
        <w:rPr>
          <w:rFonts w:ascii="Gellix" w:hAnsi="Gellix"/>
          <w:sz w:val="21"/>
          <w:szCs w:val="21"/>
          <w:lang w:val="en-GB"/>
        </w:rPr>
        <w:t xml:space="preserve">such as </w:t>
      </w:r>
      <w:r w:rsidRPr="009A3850">
        <w:rPr>
          <w:rFonts w:ascii="Gellix" w:hAnsi="Gellix"/>
          <w:sz w:val="21"/>
          <w:szCs w:val="21"/>
          <w:lang w:val="en-GB"/>
        </w:rPr>
        <w:t>sourcing of raw materials, manufacturing, inventory management, shipping, or retail.</w:t>
      </w:r>
      <w:r w:rsidR="006F3814">
        <w:rPr>
          <w:rFonts w:ascii="Gellix" w:hAnsi="Gellix"/>
          <w:sz w:val="21"/>
          <w:szCs w:val="21"/>
          <w:lang w:val="en-GB"/>
        </w:rPr>
        <w:t xml:space="preserve"> </w:t>
      </w:r>
    </w:p>
    <w:p w14:paraId="7C89EA0E" w14:textId="77777777" w:rsidR="002961AB" w:rsidRPr="002961AB" w:rsidRDefault="002961AB" w:rsidP="002961AB">
      <w:pPr>
        <w:pStyle w:val="Liststycke"/>
        <w:numPr>
          <w:ilvl w:val="0"/>
          <w:numId w:val="6"/>
        </w:numPr>
        <w:ind w:hanging="357"/>
        <w:contextualSpacing w:val="0"/>
        <w:rPr>
          <w:rFonts w:ascii="Gellix" w:hAnsi="Gellix"/>
          <w:sz w:val="21"/>
          <w:szCs w:val="21"/>
          <w:lang w:val="en-GB"/>
        </w:rPr>
      </w:pPr>
      <w:r w:rsidRPr="002961AB">
        <w:rPr>
          <w:rFonts w:ascii="Gellix" w:hAnsi="Gellix"/>
          <w:b/>
          <w:bCs/>
          <w:sz w:val="21"/>
          <w:szCs w:val="21"/>
          <w:lang w:val="en-GB"/>
        </w:rPr>
        <w:t xml:space="preserve">Key Elements: </w:t>
      </w:r>
    </w:p>
    <w:p w14:paraId="6E11A23A" w14:textId="211047E1" w:rsidR="002961AB" w:rsidRDefault="002961AB" w:rsidP="002961AB">
      <w:pPr>
        <w:pStyle w:val="Liststycke"/>
        <w:numPr>
          <w:ilvl w:val="1"/>
          <w:numId w:val="6"/>
        </w:numPr>
        <w:ind w:hanging="357"/>
        <w:contextualSpacing w:val="0"/>
        <w:rPr>
          <w:rFonts w:ascii="Gellix" w:hAnsi="Gellix"/>
          <w:sz w:val="21"/>
          <w:szCs w:val="21"/>
          <w:lang w:val="en-GB"/>
        </w:rPr>
      </w:pPr>
      <w:r w:rsidRPr="002961AB">
        <w:rPr>
          <w:rFonts w:ascii="Gellix" w:hAnsi="Gellix"/>
          <w:b/>
          <w:bCs/>
          <w:sz w:val="21"/>
          <w:szCs w:val="21"/>
          <w:lang w:val="en-GB"/>
        </w:rPr>
        <w:t>Types of data:</w:t>
      </w:r>
      <w:r w:rsidRPr="002961AB">
        <w:rPr>
          <w:rFonts w:ascii="Gellix" w:hAnsi="Gellix"/>
          <w:sz w:val="21"/>
          <w:szCs w:val="21"/>
          <w:lang w:val="en-GB"/>
        </w:rPr>
        <w:t xml:space="preserve"> the </w:t>
      </w:r>
      <w:r>
        <w:rPr>
          <w:rFonts w:ascii="Gellix" w:hAnsi="Gellix"/>
          <w:sz w:val="21"/>
          <w:szCs w:val="21"/>
          <w:lang w:val="en-GB"/>
        </w:rPr>
        <w:t xml:space="preserve">diagram </w:t>
      </w:r>
      <w:r w:rsidRPr="002961AB">
        <w:rPr>
          <w:rFonts w:ascii="Gellix" w:hAnsi="Gellix"/>
          <w:sz w:val="21"/>
          <w:szCs w:val="21"/>
          <w:lang w:val="en-GB"/>
        </w:rPr>
        <w:t xml:space="preserve">will categorize data exchanged in supply chains into personal, non-personal, operational, and performance data. </w:t>
      </w:r>
    </w:p>
    <w:p w14:paraId="13D72749" w14:textId="227C919D" w:rsidR="002961AB" w:rsidRPr="002961AB" w:rsidRDefault="002961AB" w:rsidP="002961AB">
      <w:pPr>
        <w:pStyle w:val="Liststycke"/>
        <w:numPr>
          <w:ilvl w:val="1"/>
          <w:numId w:val="6"/>
        </w:numPr>
        <w:ind w:hanging="357"/>
        <w:contextualSpacing w:val="0"/>
        <w:rPr>
          <w:rFonts w:ascii="Gellix" w:hAnsi="Gellix"/>
          <w:sz w:val="21"/>
          <w:szCs w:val="21"/>
          <w:lang w:val="en-GB"/>
        </w:rPr>
      </w:pPr>
      <w:r w:rsidRPr="002961AB">
        <w:rPr>
          <w:rFonts w:ascii="Gellix" w:hAnsi="Gellix"/>
          <w:b/>
          <w:bCs/>
          <w:sz w:val="21"/>
          <w:szCs w:val="21"/>
          <w:lang w:val="en-GB"/>
        </w:rPr>
        <w:t xml:space="preserve">Key supply chain actors: </w:t>
      </w:r>
      <w:r>
        <w:rPr>
          <w:rFonts w:ascii="Gellix" w:hAnsi="Gellix"/>
          <w:b/>
          <w:bCs/>
          <w:sz w:val="21"/>
          <w:szCs w:val="21"/>
          <w:lang w:val="en-GB"/>
        </w:rPr>
        <w:t xml:space="preserve"> </w:t>
      </w:r>
      <w:r>
        <w:rPr>
          <w:rFonts w:ascii="Gellix" w:hAnsi="Gellix"/>
          <w:sz w:val="21"/>
          <w:szCs w:val="21"/>
          <w:lang w:val="en-US"/>
        </w:rPr>
        <w:t xml:space="preserve">the diagram </w:t>
      </w:r>
      <w:r w:rsidR="00F42B41">
        <w:rPr>
          <w:rFonts w:ascii="Gellix" w:hAnsi="Gellix"/>
          <w:sz w:val="21"/>
          <w:szCs w:val="21"/>
          <w:lang w:val="en-US"/>
        </w:rPr>
        <w:t>w</w:t>
      </w:r>
      <w:r w:rsidRPr="002961AB">
        <w:rPr>
          <w:rFonts w:ascii="Gellix" w:hAnsi="Gellix"/>
          <w:sz w:val="21"/>
          <w:szCs w:val="21"/>
          <w:lang w:val="en-US"/>
        </w:rPr>
        <w:t>ill identify major actors in the supply chain process, from suppliers to retailers, and highlight the data-driven interactions between them, with a focus on business-to-business exchanges.</w:t>
      </w:r>
    </w:p>
    <w:p w14:paraId="195CB5D0" w14:textId="37D0CA24" w:rsidR="002961AB" w:rsidRDefault="002961AB" w:rsidP="002961AB">
      <w:pPr>
        <w:pStyle w:val="Liststycke"/>
        <w:numPr>
          <w:ilvl w:val="0"/>
          <w:numId w:val="6"/>
        </w:numPr>
        <w:ind w:hanging="357"/>
        <w:contextualSpacing w:val="0"/>
        <w:rPr>
          <w:rFonts w:ascii="Gellix" w:hAnsi="Gellix"/>
          <w:sz w:val="21"/>
          <w:szCs w:val="21"/>
          <w:lang w:val="en-GB"/>
        </w:rPr>
      </w:pPr>
      <w:r w:rsidRPr="002961AB">
        <w:rPr>
          <w:rFonts w:ascii="Gellix" w:hAnsi="Gellix"/>
          <w:b/>
          <w:bCs/>
          <w:sz w:val="21"/>
          <w:szCs w:val="21"/>
          <w:lang w:val="en-GB"/>
        </w:rPr>
        <w:t>Illustrative example for 1</w:t>
      </w:r>
      <w:r w:rsidRPr="002961AB">
        <w:rPr>
          <w:rFonts w:ascii="Gellix" w:hAnsi="Gellix"/>
          <w:b/>
          <w:bCs/>
          <w:sz w:val="21"/>
          <w:szCs w:val="21"/>
          <w:vertAlign w:val="superscript"/>
          <w:lang w:val="en-GB"/>
        </w:rPr>
        <w:t>st</w:t>
      </w:r>
      <w:r w:rsidRPr="002961AB">
        <w:rPr>
          <w:rFonts w:ascii="Gellix" w:hAnsi="Gellix"/>
          <w:b/>
          <w:bCs/>
          <w:sz w:val="21"/>
          <w:szCs w:val="21"/>
          <w:lang w:val="en-GB"/>
        </w:rPr>
        <w:t xml:space="preserve"> visual:</w:t>
      </w:r>
      <w:r w:rsidRPr="002961AB">
        <w:rPr>
          <w:rFonts w:ascii="Gellix" w:hAnsi="Gellix"/>
          <w:sz w:val="21"/>
          <w:szCs w:val="21"/>
          <w:lang w:val="en-GB"/>
        </w:rPr>
        <w:t xml:space="preserve"> Use a sector specific example, such as  agriculture</w:t>
      </w:r>
      <w:r w:rsidR="002F4161">
        <w:rPr>
          <w:rFonts w:ascii="Gellix" w:hAnsi="Gellix"/>
          <w:sz w:val="21"/>
          <w:szCs w:val="21"/>
          <w:lang w:val="en-GB"/>
        </w:rPr>
        <w:t xml:space="preserve"> and/or manufacturing</w:t>
      </w:r>
      <w:r w:rsidRPr="002961AB">
        <w:rPr>
          <w:rFonts w:ascii="Gellix" w:hAnsi="Gellix"/>
          <w:sz w:val="21"/>
          <w:szCs w:val="21"/>
          <w:lang w:val="en-GB"/>
        </w:rPr>
        <w:t xml:space="preserve"> (either hypothetical or based on inputs from member companies) to demonstrate how companies use data flows to improve trade processes (e.g.</w:t>
      </w:r>
      <w:r>
        <w:rPr>
          <w:rFonts w:ascii="Gellix" w:hAnsi="Gellix"/>
          <w:sz w:val="21"/>
          <w:szCs w:val="21"/>
          <w:lang w:val="en-GB"/>
        </w:rPr>
        <w:t xml:space="preserve">, </w:t>
      </w:r>
      <w:r w:rsidRPr="002961AB">
        <w:rPr>
          <w:rFonts w:ascii="Gellix" w:hAnsi="Gellix"/>
          <w:sz w:val="21"/>
          <w:szCs w:val="21"/>
          <w:lang w:val="en-GB"/>
        </w:rPr>
        <w:t>optimise supply chains, improve operational efficiency, and enhance customer satisfaction).</w:t>
      </w:r>
    </w:p>
    <w:p w14:paraId="62A05B85" w14:textId="34E0B926" w:rsidR="002961AB" w:rsidRPr="006469FB" w:rsidRDefault="001A1E44" w:rsidP="006469FB">
      <w:pPr>
        <w:rPr>
          <w:rFonts w:ascii="Gellix" w:hAnsi="Gellix"/>
          <w:sz w:val="21"/>
          <w:szCs w:val="21"/>
          <w:lang w:val="en-GB"/>
        </w:rPr>
      </w:pPr>
      <w:r w:rsidRPr="006469FB">
        <w:rPr>
          <w:rFonts w:ascii="Gellix" w:hAnsi="Gellix"/>
          <w:b/>
          <w:bCs/>
          <w:color w:val="FF0000"/>
          <w:sz w:val="21"/>
          <w:szCs w:val="21"/>
          <w:lang w:val="en-GB"/>
        </w:rPr>
        <w:t xml:space="preserve">FOR FEEDBACK: </w:t>
      </w:r>
      <w:r w:rsidR="00754ACE" w:rsidRPr="00A7191B">
        <w:rPr>
          <w:rFonts w:ascii="Gellix" w:hAnsi="Gellix"/>
          <w:color w:val="FF0000"/>
          <w:sz w:val="21"/>
          <w:szCs w:val="21"/>
          <w:lang w:val="en-GB"/>
        </w:rPr>
        <w:t>To make the illustration more concrete, we propose to focus on</w:t>
      </w:r>
      <w:r w:rsidR="00F131BE" w:rsidRPr="00A7191B">
        <w:rPr>
          <w:rFonts w:ascii="Gellix" w:hAnsi="Gellix"/>
          <w:color w:val="FF0000"/>
          <w:sz w:val="21"/>
          <w:szCs w:val="21"/>
          <w:lang w:val="en-GB"/>
        </w:rPr>
        <w:t xml:space="preserve"> </w:t>
      </w:r>
      <w:r w:rsidR="00F42B41" w:rsidRPr="00A7191B">
        <w:rPr>
          <w:rFonts w:ascii="Gellix" w:hAnsi="Gellix"/>
          <w:color w:val="FF0000"/>
          <w:sz w:val="21"/>
          <w:szCs w:val="21"/>
          <w:lang w:val="en-GB"/>
        </w:rPr>
        <w:t xml:space="preserve">agrifood </w:t>
      </w:r>
      <w:r w:rsidR="00F131BE" w:rsidRPr="00A7191B">
        <w:rPr>
          <w:rFonts w:ascii="Gellix" w:hAnsi="Gellix"/>
          <w:color w:val="FF0000"/>
          <w:sz w:val="21"/>
          <w:szCs w:val="21"/>
          <w:lang w:val="en-GB"/>
        </w:rPr>
        <w:t>or manufacturing</w:t>
      </w:r>
      <w:r w:rsidR="00754ACE" w:rsidRPr="00A7191B">
        <w:rPr>
          <w:rFonts w:ascii="Gellix" w:hAnsi="Gellix"/>
          <w:color w:val="FF0000"/>
          <w:sz w:val="21"/>
          <w:szCs w:val="21"/>
          <w:lang w:val="en-GB"/>
        </w:rPr>
        <w:t>.</w:t>
      </w:r>
      <w:r w:rsidR="00754ACE" w:rsidRPr="7BAB29CF">
        <w:rPr>
          <w:rFonts w:ascii="Gellix" w:hAnsi="Gellix"/>
          <w:sz w:val="21"/>
          <w:szCs w:val="21"/>
          <w:lang w:val="en-GB"/>
        </w:rPr>
        <w:t xml:space="preserve"> </w:t>
      </w:r>
      <w:r w:rsidRPr="006469FB">
        <w:rPr>
          <w:rFonts w:ascii="Gellix" w:hAnsi="Gellix"/>
          <w:color w:val="FF0000"/>
          <w:sz w:val="21"/>
          <w:szCs w:val="21"/>
          <w:lang w:val="en-GB"/>
        </w:rPr>
        <w:t xml:space="preserve">Please advise </w:t>
      </w:r>
      <w:r w:rsidR="00C8173D">
        <w:rPr>
          <w:rFonts w:ascii="Gellix" w:hAnsi="Gellix"/>
          <w:color w:val="FF0000"/>
          <w:sz w:val="21"/>
          <w:szCs w:val="21"/>
          <w:lang w:val="en-GB"/>
        </w:rPr>
        <w:t>which</w:t>
      </w:r>
      <w:r w:rsidRPr="006469FB">
        <w:rPr>
          <w:rFonts w:ascii="Gellix" w:hAnsi="Gellix"/>
          <w:color w:val="FF0000"/>
          <w:sz w:val="21"/>
          <w:szCs w:val="21"/>
          <w:lang w:val="en-GB"/>
        </w:rPr>
        <w:t xml:space="preserve"> sector</w:t>
      </w:r>
      <w:r w:rsidR="00C8173D">
        <w:rPr>
          <w:rFonts w:ascii="Gellix" w:hAnsi="Gellix"/>
          <w:color w:val="FF0000"/>
          <w:sz w:val="21"/>
          <w:szCs w:val="21"/>
          <w:lang w:val="en-GB"/>
        </w:rPr>
        <w:t xml:space="preserve"> the diagram should focus </w:t>
      </w:r>
      <w:r w:rsidR="006F280A" w:rsidRPr="7BAB29CF">
        <w:rPr>
          <w:rFonts w:ascii="Gellix" w:hAnsi="Gellix"/>
          <w:color w:val="FF0000"/>
          <w:sz w:val="21"/>
          <w:szCs w:val="21"/>
          <w:lang w:val="en-GB"/>
        </w:rPr>
        <w:t xml:space="preserve">on </w:t>
      </w:r>
      <w:r w:rsidRPr="006469FB">
        <w:rPr>
          <w:rFonts w:ascii="Gellix" w:hAnsi="Gellix"/>
          <w:color w:val="FF0000"/>
          <w:sz w:val="21"/>
          <w:szCs w:val="21"/>
          <w:lang w:val="en-GB"/>
        </w:rPr>
        <w:t>(e.g</w:t>
      </w:r>
      <w:r w:rsidRPr="7BAB29CF">
        <w:rPr>
          <w:rFonts w:ascii="Gellix" w:hAnsi="Gellix"/>
          <w:color w:val="FF0000"/>
          <w:sz w:val="21"/>
          <w:szCs w:val="21"/>
          <w:lang w:val="en-GB"/>
        </w:rPr>
        <w:t>.</w:t>
      </w:r>
      <w:r w:rsidR="006F280A" w:rsidRPr="7BAB29CF">
        <w:rPr>
          <w:rFonts w:ascii="Gellix" w:hAnsi="Gellix"/>
          <w:color w:val="FF0000"/>
          <w:sz w:val="21"/>
          <w:szCs w:val="21"/>
          <w:lang w:val="en-GB"/>
        </w:rPr>
        <w:t>,</w:t>
      </w:r>
      <w:r w:rsidRPr="006469FB">
        <w:rPr>
          <w:rFonts w:ascii="Gellix" w:hAnsi="Gellix"/>
          <w:color w:val="FF0000"/>
          <w:sz w:val="21"/>
          <w:szCs w:val="21"/>
          <w:lang w:val="en-GB"/>
        </w:rPr>
        <w:t xml:space="preserve"> agriculture or manufacturing)</w:t>
      </w:r>
      <w:r w:rsidRPr="7BAB29CF">
        <w:rPr>
          <w:rFonts w:ascii="Gellix" w:hAnsi="Gellix"/>
          <w:color w:val="FF0000"/>
          <w:sz w:val="21"/>
          <w:szCs w:val="21"/>
          <w:lang w:val="en-GB"/>
        </w:rPr>
        <w:t>.</w:t>
      </w:r>
      <w:r w:rsidR="003E6E34" w:rsidRPr="7BAB29CF">
        <w:rPr>
          <w:rFonts w:ascii="Gellix" w:hAnsi="Gellix"/>
          <w:color w:val="FF0000"/>
          <w:sz w:val="21"/>
          <w:szCs w:val="21"/>
          <w:lang w:val="en-GB"/>
        </w:rPr>
        <w:t xml:space="preserve"> </w:t>
      </w:r>
    </w:p>
    <w:p w14:paraId="56320E6E" w14:textId="1F28CA3D" w:rsidR="002961AB" w:rsidRPr="002961AB" w:rsidRDefault="002961AB" w:rsidP="0048791F">
      <w:pPr>
        <w:keepNext/>
        <w:keepLines/>
        <w:rPr>
          <w:rFonts w:ascii="Gellix" w:hAnsi="Gellix"/>
          <w:sz w:val="21"/>
          <w:szCs w:val="21"/>
          <w:lang w:val="en-US"/>
        </w:rPr>
      </w:pPr>
      <w:r w:rsidRPr="002961AB">
        <w:rPr>
          <w:rFonts w:ascii="Gellix" w:hAnsi="Gellix"/>
          <w:b/>
          <w:bCs/>
          <w:sz w:val="21"/>
          <w:szCs w:val="21"/>
          <w:lang w:val="en-GB"/>
        </w:rPr>
        <w:t>Diagram 2: Regulatory Barriers to Data Flows – Impact on Supply Chain</w:t>
      </w:r>
      <w:r w:rsidRPr="002961AB">
        <w:rPr>
          <w:rFonts w:ascii="Gellix" w:hAnsi="Gellix"/>
          <w:sz w:val="21"/>
          <w:szCs w:val="21"/>
          <w:lang w:val="en-GB"/>
        </w:rPr>
        <w:t xml:space="preserve"> </w:t>
      </w:r>
      <w:r w:rsidRPr="002961AB">
        <w:rPr>
          <w:rFonts w:ascii="Gellix" w:hAnsi="Gellix"/>
          <w:b/>
          <w:bCs/>
          <w:sz w:val="21"/>
          <w:szCs w:val="21"/>
          <w:lang w:val="en-GB"/>
        </w:rPr>
        <w:t>Connectivity</w:t>
      </w:r>
    </w:p>
    <w:p w14:paraId="6B8F1681" w14:textId="77777777" w:rsidR="002961AB" w:rsidRDefault="002961AB" w:rsidP="0048791F">
      <w:pPr>
        <w:pStyle w:val="Liststycke"/>
        <w:keepNext/>
        <w:keepLines/>
        <w:numPr>
          <w:ilvl w:val="0"/>
          <w:numId w:val="6"/>
        </w:numPr>
        <w:contextualSpacing w:val="0"/>
        <w:rPr>
          <w:rFonts w:ascii="Gellix" w:hAnsi="Gellix"/>
          <w:sz w:val="21"/>
          <w:szCs w:val="21"/>
          <w:lang w:val="en-US"/>
        </w:rPr>
      </w:pPr>
      <w:r w:rsidRPr="002961AB">
        <w:rPr>
          <w:rFonts w:ascii="Gellix" w:hAnsi="Gellix"/>
          <w:b/>
          <w:bCs/>
          <w:sz w:val="21"/>
          <w:szCs w:val="21"/>
          <w:lang w:val="en-US"/>
        </w:rPr>
        <w:t>Overview:</w:t>
      </w:r>
      <w:r>
        <w:rPr>
          <w:rFonts w:ascii="Gellix" w:hAnsi="Gellix"/>
          <w:sz w:val="21"/>
          <w:szCs w:val="21"/>
          <w:lang w:val="en-US"/>
        </w:rPr>
        <w:t xml:space="preserve"> </w:t>
      </w:r>
      <w:r w:rsidRPr="002961AB">
        <w:rPr>
          <w:rFonts w:ascii="Gellix" w:hAnsi="Gellix"/>
          <w:sz w:val="21"/>
          <w:szCs w:val="21"/>
          <w:lang w:val="en-US"/>
        </w:rPr>
        <w:t xml:space="preserve">This </w:t>
      </w:r>
      <w:r>
        <w:rPr>
          <w:rFonts w:ascii="Gellix" w:hAnsi="Gellix"/>
          <w:sz w:val="21"/>
          <w:szCs w:val="21"/>
          <w:lang w:val="en-US"/>
        </w:rPr>
        <w:t xml:space="preserve">diagram </w:t>
      </w:r>
      <w:r w:rsidRPr="002961AB">
        <w:rPr>
          <w:rFonts w:ascii="Gellix" w:hAnsi="Gellix"/>
          <w:sz w:val="21"/>
          <w:szCs w:val="21"/>
          <w:lang w:val="en-US"/>
        </w:rPr>
        <w:t>will illustrate</w:t>
      </w:r>
      <w:r w:rsidRPr="002961AB">
        <w:rPr>
          <w:rFonts w:ascii="Gellix" w:hAnsi="Gellix"/>
          <w:b/>
          <w:bCs/>
          <w:sz w:val="21"/>
          <w:szCs w:val="21"/>
          <w:lang w:val="en-US"/>
        </w:rPr>
        <w:t xml:space="preserve"> </w:t>
      </w:r>
      <w:r w:rsidRPr="002961AB">
        <w:rPr>
          <w:rFonts w:ascii="Gellix" w:hAnsi="Gellix"/>
          <w:sz w:val="21"/>
          <w:szCs w:val="21"/>
          <w:lang w:val="en-US"/>
        </w:rPr>
        <w:t xml:space="preserve">how regulations hinder data flows and create a fragmented environment for businesses to operate in. </w:t>
      </w:r>
    </w:p>
    <w:p w14:paraId="1ACD4377" w14:textId="7AE34E50" w:rsidR="002961AB" w:rsidRDefault="002961AB" w:rsidP="002961AB">
      <w:pPr>
        <w:pStyle w:val="Liststycke"/>
        <w:numPr>
          <w:ilvl w:val="0"/>
          <w:numId w:val="6"/>
        </w:numPr>
        <w:contextualSpacing w:val="0"/>
        <w:rPr>
          <w:rFonts w:ascii="Gellix" w:hAnsi="Gellix"/>
          <w:sz w:val="21"/>
          <w:szCs w:val="21"/>
          <w:lang w:val="en-US"/>
        </w:rPr>
      </w:pPr>
      <w:r>
        <w:rPr>
          <w:rFonts w:ascii="Gellix" w:hAnsi="Gellix"/>
          <w:b/>
          <w:bCs/>
          <w:sz w:val="21"/>
          <w:szCs w:val="21"/>
          <w:lang w:val="en-US"/>
        </w:rPr>
        <w:t>Key elements:</w:t>
      </w:r>
      <w:r>
        <w:rPr>
          <w:rFonts w:ascii="Gellix" w:hAnsi="Gellix"/>
          <w:sz w:val="21"/>
          <w:szCs w:val="21"/>
          <w:lang w:val="en-US"/>
        </w:rPr>
        <w:t xml:space="preserve"> </w:t>
      </w:r>
      <w:r w:rsidRPr="002961AB">
        <w:rPr>
          <w:rFonts w:ascii="Gellix" w:hAnsi="Gellix"/>
          <w:sz w:val="21"/>
          <w:szCs w:val="21"/>
          <w:lang w:val="en-US"/>
        </w:rPr>
        <w:t>This visual will highlight relevant data regulations or contractual arrangements for data transfers governing data transfers at different stages of the supply chain.</w:t>
      </w:r>
    </w:p>
    <w:p w14:paraId="0DA9BDA6" w14:textId="2C0999F6" w:rsidR="00331C23" w:rsidRPr="006469FB" w:rsidRDefault="00331C23" w:rsidP="006469FB">
      <w:pPr>
        <w:pStyle w:val="Liststycke"/>
        <w:numPr>
          <w:ilvl w:val="0"/>
          <w:numId w:val="1"/>
        </w:numPr>
        <w:rPr>
          <w:rFonts w:ascii="Gellix" w:hAnsi="Gellix"/>
          <w:b/>
          <w:bCs/>
          <w:lang w:val="en-GB"/>
        </w:rPr>
      </w:pPr>
      <w:r w:rsidRPr="006469FB">
        <w:rPr>
          <w:rFonts w:ascii="Gellix" w:hAnsi="Gellix"/>
          <w:b/>
          <w:bCs/>
          <w:lang w:val="en-GB"/>
        </w:rPr>
        <w:t xml:space="preserve">Key stages in supply chain ‘trade lifecycle’ and the types of data typically transferred. </w:t>
      </w:r>
    </w:p>
    <w:p w14:paraId="43DD31B1" w14:textId="77777777" w:rsidR="00331C23" w:rsidRPr="003E3EFB" w:rsidRDefault="00331C23" w:rsidP="00331C23">
      <w:pPr>
        <w:spacing w:after="120"/>
        <w:rPr>
          <w:rFonts w:ascii="Gellix" w:hAnsi="Gellix"/>
          <w:b/>
          <w:bCs/>
          <w:sz w:val="21"/>
          <w:szCs w:val="21"/>
          <w:lang w:val="en-GB"/>
        </w:rPr>
      </w:pPr>
      <w:r w:rsidRPr="00FF78D2">
        <w:rPr>
          <w:rFonts w:ascii="Gellix" w:hAnsi="Gellix"/>
          <w:sz w:val="21"/>
          <w:szCs w:val="21"/>
          <w:lang w:val="en-GB"/>
        </w:rPr>
        <w:t>The table below is a non-exhaustive overview of the types of data that crosses borders.</w:t>
      </w:r>
      <w:r w:rsidDel="00DC22F0">
        <w:rPr>
          <w:rFonts w:ascii="Gellix" w:hAnsi="Gellix"/>
          <w:b/>
          <w:bCs/>
          <w:sz w:val="21"/>
          <w:szCs w:val="21"/>
          <w:lang w:val="en-GB"/>
        </w:rPr>
        <w:t xml:space="preserve"> </w:t>
      </w:r>
    </w:p>
    <w:tbl>
      <w:tblPr>
        <w:tblStyle w:val="Tabellrutnt"/>
        <w:tblW w:w="0" w:type="auto"/>
        <w:tblLook w:val="04A0" w:firstRow="1" w:lastRow="0" w:firstColumn="1" w:lastColumn="0" w:noHBand="0" w:noVBand="1"/>
      </w:tblPr>
      <w:tblGrid>
        <w:gridCol w:w="3270"/>
        <w:gridCol w:w="3292"/>
        <w:gridCol w:w="2500"/>
      </w:tblGrid>
      <w:tr w:rsidR="00331C23" w:rsidRPr="0078690C" w14:paraId="736AE35D" w14:textId="77777777">
        <w:tc>
          <w:tcPr>
            <w:tcW w:w="3270" w:type="dxa"/>
            <w:shd w:val="clear" w:color="auto" w:fill="E8E8E8" w:themeFill="background2"/>
          </w:tcPr>
          <w:p w14:paraId="17C82979" w14:textId="77777777" w:rsidR="00331C23" w:rsidRPr="0078690C" w:rsidRDefault="00331C23">
            <w:pPr>
              <w:spacing w:after="120"/>
              <w:rPr>
                <w:rFonts w:ascii="Gellix" w:hAnsi="Gellix"/>
                <w:b/>
                <w:bCs/>
                <w:sz w:val="21"/>
                <w:szCs w:val="21"/>
                <w:lang w:val="en-US"/>
              </w:rPr>
            </w:pPr>
            <w:r w:rsidRPr="0078690C">
              <w:rPr>
                <w:rFonts w:ascii="Gellix" w:hAnsi="Gellix"/>
                <w:b/>
                <w:bCs/>
                <w:sz w:val="21"/>
                <w:szCs w:val="21"/>
                <w:lang w:val="en-US"/>
              </w:rPr>
              <w:t>Supply chain stage</w:t>
            </w:r>
          </w:p>
        </w:tc>
        <w:tc>
          <w:tcPr>
            <w:tcW w:w="3292" w:type="dxa"/>
            <w:shd w:val="clear" w:color="auto" w:fill="E8E8E8" w:themeFill="background2"/>
          </w:tcPr>
          <w:p w14:paraId="74EBB616" w14:textId="77777777" w:rsidR="00331C23" w:rsidRPr="0078690C" w:rsidRDefault="00331C23">
            <w:pPr>
              <w:spacing w:after="120"/>
              <w:rPr>
                <w:rFonts w:ascii="Gellix" w:hAnsi="Gellix"/>
                <w:b/>
                <w:bCs/>
                <w:sz w:val="21"/>
                <w:szCs w:val="21"/>
                <w:lang w:val="en-US"/>
              </w:rPr>
            </w:pPr>
            <w:r w:rsidRPr="0078690C">
              <w:rPr>
                <w:rFonts w:ascii="Gellix" w:hAnsi="Gellix"/>
                <w:b/>
                <w:bCs/>
                <w:sz w:val="21"/>
                <w:szCs w:val="21"/>
                <w:lang w:val="en-US"/>
              </w:rPr>
              <w:t>Type of data transferred</w:t>
            </w:r>
          </w:p>
        </w:tc>
        <w:tc>
          <w:tcPr>
            <w:tcW w:w="2500" w:type="dxa"/>
            <w:shd w:val="clear" w:color="auto" w:fill="E8E8E8" w:themeFill="background2"/>
          </w:tcPr>
          <w:p w14:paraId="11B54D80" w14:textId="77777777" w:rsidR="00331C23" w:rsidRPr="0078690C" w:rsidRDefault="00331C23">
            <w:pPr>
              <w:spacing w:after="120"/>
              <w:rPr>
                <w:rFonts w:ascii="Gellix" w:hAnsi="Gellix"/>
                <w:b/>
                <w:bCs/>
                <w:sz w:val="21"/>
                <w:szCs w:val="21"/>
                <w:lang w:val="en-US"/>
              </w:rPr>
            </w:pPr>
            <w:r w:rsidRPr="0078690C">
              <w:rPr>
                <w:rFonts w:ascii="Gellix" w:hAnsi="Gellix"/>
                <w:b/>
                <w:bCs/>
                <w:sz w:val="21"/>
                <w:szCs w:val="21"/>
                <w:lang w:val="en-US"/>
              </w:rPr>
              <w:t>Data classification</w:t>
            </w:r>
          </w:p>
        </w:tc>
      </w:tr>
      <w:tr w:rsidR="00331C23" w:rsidRPr="0078690C" w14:paraId="67D6B7E8" w14:textId="77777777">
        <w:tc>
          <w:tcPr>
            <w:tcW w:w="3270" w:type="dxa"/>
          </w:tcPr>
          <w:p w14:paraId="66A16C01" w14:textId="77777777" w:rsidR="00331C23" w:rsidRPr="0078690C" w:rsidRDefault="00331C23">
            <w:pPr>
              <w:spacing w:after="120"/>
              <w:rPr>
                <w:rFonts w:ascii="Gellix" w:hAnsi="Gellix"/>
                <w:sz w:val="21"/>
                <w:szCs w:val="21"/>
                <w:lang w:val="en-US"/>
              </w:rPr>
            </w:pPr>
            <w:r w:rsidRPr="0078690C">
              <w:rPr>
                <w:rFonts w:ascii="Gellix" w:hAnsi="Gellix"/>
                <w:sz w:val="21"/>
                <w:szCs w:val="21"/>
                <w:lang w:val="en-US"/>
              </w:rPr>
              <w:t>Supply (sourcing of raw material)</w:t>
            </w:r>
          </w:p>
        </w:tc>
        <w:tc>
          <w:tcPr>
            <w:tcW w:w="3292" w:type="dxa"/>
          </w:tcPr>
          <w:p w14:paraId="59B96111" w14:textId="77777777" w:rsidR="00331C23" w:rsidRPr="0078690C" w:rsidRDefault="00331C23">
            <w:pPr>
              <w:spacing w:after="120"/>
              <w:rPr>
                <w:rFonts w:ascii="Gellix" w:hAnsi="Gellix"/>
                <w:sz w:val="21"/>
                <w:szCs w:val="21"/>
                <w:lang w:val="en-GB"/>
              </w:rPr>
            </w:pPr>
            <w:r w:rsidRPr="0078690C">
              <w:rPr>
                <w:rFonts w:ascii="Gellix" w:hAnsi="Gellix"/>
                <w:sz w:val="21"/>
                <w:szCs w:val="21"/>
                <w:lang w:val="en-GB"/>
              </w:rPr>
              <w:t>- Supplier information</w:t>
            </w:r>
            <w:r w:rsidRPr="0078690C">
              <w:rPr>
                <w:rFonts w:ascii="Gellix" w:hAnsi="Gellix"/>
                <w:sz w:val="21"/>
                <w:szCs w:val="21"/>
                <w:lang w:val="en-GB"/>
              </w:rPr>
              <w:br/>
              <w:t>- Material specifications</w:t>
            </w:r>
            <w:r w:rsidRPr="0078690C">
              <w:rPr>
                <w:rFonts w:ascii="Gellix" w:hAnsi="Gellix"/>
                <w:sz w:val="21"/>
                <w:szCs w:val="21"/>
                <w:lang w:val="en-GB"/>
              </w:rPr>
              <w:br/>
              <w:t>- Compliance certificates</w:t>
            </w:r>
            <w:r w:rsidRPr="0078690C">
              <w:rPr>
                <w:rFonts w:ascii="Gellix" w:hAnsi="Gellix"/>
                <w:sz w:val="21"/>
                <w:szCs w:val="21"/>
                <w:lang w:val="en-GB"/>
              </w:rPr>
              <w:br/>
            </w:r>
            <w:r w:rsidRPr="0078690C">
              <w:rPr>
                <w:rFonts w:ascii="Gellix" w:hAnsi="Gellix"/>
                <w:sz w:val="21"/>
                <w:szCs w:val="21"/>
                <w:lang w:val="en-GB"/>
              </w:rPr>
              <w:lastRenderedPageBreak/>
              <w:t>- Purchase orders</w:t>
            </w:r>
            <w:r w:rsidRPr="0078690C">
              <w:rPr>
                <w:rFonts w:ascii="Gellix" w:hAnsi="Gellix"/>
                <w:sz w:val="21"/>
                <w:szCs w:val="21"/>
                <w:lang w:val="en-GB"/>
              </w:rPr>
              <w:br/>
              <w:t>- Delivery schedules</w:t>
            </w:r>
          </w:p>
        </w:tc>
        <w:tc>
          <w:tcPr>
            <w:tcW w:w="2500" w:type="dxa"/>
          </w:tcPr>
          <w:p w14:paraId="37CDA8EF" w14:textId="77777777" w:rsidR="00331C23" w:rsidRPr="0078690C" w:rsidRDefault="00331C23">
            <w:pPr>
              <w:spacing w:after="120"/>
              <w:rPr>
                <w:rFonts w:ascii="Gellix" w:hAnsi="Gellix"/>
                <w:sz w:val="21"/>
                <w:szCs w:val="21"/>
                <w:lang w:val="en-GB"/>
              </w:rPr>
            </w:pPr>
            <w:r w:rsidRPr="0078690C">
              <w:rPr>
                <w:rFonts w:ascii="Gellix" w:hAnsi="Gellix"/>
                <w:sz w:val="21"/>
                <w:szCs w:val="21"/>
                <w:lang w:val="en-GB"/>
              </w:rPr>
              <w:lastRenderedPageBreak/>
              <w:t>Non personal data</w:t>
            </w:r>
          </w:p>
        </w:tc>
      </w:tr>
      <w:tr w:rsidR="00331C23" w:rsidRPr="0078690C" w14:paraId="32B97551" w14:textId="77777777">
        <w:tc>
          <w:tcPr>
            <w:tcW w:w="3270" w:type="dxa"/>
          </w:tcPr>
          <w:p w14:paraId="335A2C61" w14:textId="77777777" w:rsidR="00331C23" w:rsidRPr="0078690C" w:rsidRDefault="00331C23">
            <w:pPr>
              <w:spacing w:after="120"/>
              <w:rPr>
                <w:rFonts w:ascii="Gellix" w:hAnsi="Gellix"/>
                <w:sz w:val="21"/>
                <w:szCs w:val="21"/>
                <w:lang w:val="en-US"/>
              </w:rPr>
            </w:pPr>
            <w:r w:rsidRPr="0078690C">
              <w:rPr>
                <w:rFonts w:ascii="Gellix" w:hAnsi="Gellix"/>
                <w:sz w:val="21"/>
                <w:szCs w:val="21"/>
                <w:lang w:val="en-US"/>
              </w:rPr>
              <w:t>Manufacturing</w:t>
            </w:r>
          </w:p>
        </w:tc>
        <w:tc>
          <w:tcPr>
            <w:tcW w:w="3292" w:type="dxa"/>
          </w:tcPr>
          <w:p w14:paraId="25654AB3" w14:textId="77777777" w:rsidR="00331C23" w:rsidRPr="0078690C" w:rsidRDefault="00331C23">
            <w:pPr>
              <w:spacing w:after="120"/>
              <w:rPr>
                <w:rFonts w:ascii="Gellix" w:hAnsi="Gellix"/>
                <w:sz w:val="21"/>
                <w:szCs w:val="21"/>
                <w:lang w:val="en-GB"/>
              </w:rPr>
            </w:pPr>
            <w:r w:rsidRPr="0078690C">
              <w:rPr>
                <w:rFonts w:ascii="Gellix" w:hAnsi="Gellix"/>
                <w:sz w:val="21"/>
                <w:szCs w:val="21"/>
                <w:lang w:val="en-GB"/>
              </w:rPr>
              <w:t>- Production schedules</w:t>
            </w:r>
            <w:r w:rsidRPr="0078690C">
              <w:rPr>
                <w:rFonts w:ascii="Gellix" w:hAnsi="Gellix"/>
                <w:sz w:val="21"/>
                <w:szCs w:val="21"/>
                <w:lang w:val="en-GB"/>
              </w:rPr>
              <w:br/>
              <w:t>- Bill of materials</w:t>
            </w:r>
            <w:r w:rsidRPr="0078690C">
              <w:rPr>
                <w:rFonts w:ascii="Gellix" w:hAnsi="Gellix"/>
                <w:sz w:val="21"/>
                <w:szCs w:val="21"/>
                <w:lang w:val="en-GB"/>
              </w:rPr>
              <w:br/>
              <w:t>- Equipment maintenance records</w:t>
            </w:r>
            <w:r w:rsidRPr="0078690C">
              <w:rPr>
                <w:rFonts w:ascii="Gellix" w:hAnsi="Gellix"/>
                <w:sz w:val="21"/>
                <w:szCs w:val="21"/>
                <w:lang w:val="en-GB"/>
              </w:rPr>
              <w:br/>
              <w:t>- Quality control data</w:t>
            </w:r>
            <w:r w:rsidRPr="0078690C">
              <w:rPr>
                <w:rFonts w:ascii="Gellix" w:hAnsi="Gellix"/>
                <w:sz w:val="21"/>
                <w:szCs w:val="21"/>
                <w:lang w:val="en-GB"/>
              </w:rPr>
              <w:br/>
              <w:t>- Inventory levels</w:t>
            </w:r>
          </w:p>
        </w:tc>
        <w:tc>
          <w:tcPr>
            <w:tcW w:w="2500" w:type="dxa"/>
          </w:tcPr>
          <w:p w14:paraId="39EF771D" w14:textId="77777777" w:rsidR="00331C23" w:rsidRPr="0078690C" w:rsidRDefault="00331C23">
            <w:pPr>
              <w:spacing w:after="120"/>
              <w:rPr>
                <w:rFonts w:ascii="Gellix" w:hAnsi="Gellix"/>
                <w:sz w:val="21"/>
                <w:szCs w:val="21"/>
                <w:lang w:val="en-GB"/>
              </w:rPr>
            </w:pPr>
            <w:r w:rsidRPr="0078690C">
              <w:rPr>
                <w:rFonts w:ascii="Gellix" w:hAnsi="Gellix"/>
                <w:sz w:val="21"/>
                <w:szCs w:val="21"/>
                <w:lang w:val="en-GB"/>
              </w:rPr>
              <w:t>Non personal data</w:t>
            </w:r>
          </w:p>
        </w:tc>
      </w:tr>
      <w:tr w:rsidR="00331C23" w:rsidRPr="0078690C" w14:paraId="3F516730" w14:textId="77777777">
        <w:tc>
          <w:tcPr>
            <w:tcW w:w="3270" w:type="dxa"/>
          </w:tcPr>
          <w:p w14:paraId="0FD67FD7" w14:textId="77777777" w:rsidR="00331C23" w:rsidRPr="0078690C" w:rsidRDefault="00331C23">
            <w:pPr>
              <w:spacing w:after="120"/>
              <w:rPr>
                <w:rFonts w:ascii="Gellix" w:hAnsi="Gellix"/>
                <w:sz w:val="21"/>
                <w:szCs w:val="21"/>
                <w:lang w:val="en-US"/>
              </w:rPr>
            </w:pPr>
            <w:r w:rsidRPr="0078690C">
              <w:rPr>
                <w:rFonts w:ascii="Gellix" w:hAnsi="Gellix"/>
                <w:sz w:val="21"/>
                <w:szCs w:val="21"/>
                <w:lang w:val="en-US"/>
              </w:rPr>
              <w:t>Distribution (shipping and logistics)</w:t>
            </w:r>
          </w:p>
        </w:tc>
        <w:tc>
          <w:tcPr>
            <w:tcW w:w="3292" w:type="dxa"/>
          </w:tcPr>
          <w:p w14:paraId="32F325A9" w14:textId="77777777" w:rsidR="00331C23" w:rsidRPr="0078690C" w:rsidRDefault="00331C23">
            <w:pPr>
              <w:spacing w:after="120"/>
              <w:rPr>
                <w:rFonts w:ascii="Gellix" w:hAnsi="Gellix"/>
                <w:sz w:val="21"/>
                <w:szCs w:val="21"/>
                <w:lang w:val="en-GB"/>
              </w:rPr>
            </w:pPr>
            <w:r w:rsidRPr="0078690C">
              <w:rPr>
                <w:rFonts w:ascii="Gellix" w:hAnsi="Gellix"/>
                <w:sz w:val="21"/>
                <w:szCs w:val="21"/>
                <w:lang w:val="en-GB"/>
              </w:rPr>
              <w:t>- Shipping manifests</w:t>
            </w:r>
            <w:r w:rsidRPr="0078690C">
              <w:rPr>
                <w:rFonts w:ascii="Gellix" w:hAnsi="Gellix"/>
                <w:sz w:val="21"/>
                <w:szCs w:val="21"/>
                <w:lang w:val="en-GB"/>
              </w:rPr>
              <w:br/>
              <w:t>- Tracking information</w:t>
            </w:r>
            <w:r w:rsidRPr="0078690C">
              <w:rPr>
                <w:rFonts w:ascii="Gellix" w:hAnsi="Gellix"/>
                <w:sz w:val="21"/>
                <w:szCs w:val="21"/>
                <w:lang w:val="en-GB"/>
              </w:rPr>
              <w:br/>
              <w:t>- Customs documentation</w:t>
            </w:r>
            <w:r w:rsidRPr="0078690C">
              <w:rPr>
                <w:rFonts w:ascii="Gellix" w:hAnsi="Gellix"/>
                <w:sz w:val="21"/>
                <w:szCs w:val="21"/>
                <w:lang w:val="en-GB"/>
              </w:rPr>
              <w:br/>
              <w:t>- Carrier contracts</w:t>
            </w:r>
            <w:r w:rsidRPr="0078690C">
              <w:rPr>
                <w:rFonts w:ascii="Gellix" w:hAnsi="Gellix"/>
                <w:sz w:val="21"/>
                <w:szCs w:val="21"/>
                <w:lang w:val="en-GB"/>
              </w:rPr>
              <w:br/>
              <w:t>- Delivery timelines</w:t>
            </w:r>
          </w:p>
        </w:tc>
        <w:tc>
          <w:tcPr>
            <w:tcW w:w="2500" w:type="dxa"/>
          </w:tcPr>
          <w:p w14:paraId="34F893F8" w14:textId="77777777" w:rsidR="00331C23" w:rsidRPr="0078690C" w:rsidRDefault="00331C23">
            <w:pPr>
              <w:spacing w:after="120"/>
              <w:rPr>
                <w:rFonts w:ascii="Gellix" w:hAnsi="Gellix"/>
                <w:sz w:val="21"/>
                <w:szCs w:val="21"/>
                <w:lang w:val="en-GB"/>
              </w:rPr>
            </w:pPr>
            <w:r w:rsidRPr="0078690C">
              <w:rPr>
                <w:rFonts w:ascii="Gellix" w:hAnsi="Gellix"/>
                <w:sz w:val="21"/>
                <w:szCs w:val="21"/>
                <w:lang w:val="en-GB"/>
              </w:rPr>
              <w:t>Non personal data</w:t>
            </w:r>
          </w:p>
        </w:tc>
      </w:tr>
      <w:tr w:rsidR="00331C23" w:rsidRPr="0048791F" w14:paraId="05C8B45F" w14:textId="77777777">
        <w:tc>
          <w:tcPr>
            <w:tcW w:w="3270" w:type="dxa"/>
          </w:tcPr>
          <w:p w14:paraId="30F06AF7" w14:textId="77777777" w:rsidR="00331C23" w:rsidRPr="0078690C" w:rsidRDefault="00331C23">
            <w:pPr>
              <w:spacing w:after="120"/>
              <w:rPr>
                <w:rFonts w:ascii="Gellix" w:hAnsi="Gellix"/>
                <w:sz w:val="21"/>
                <w:szCs w:val="21"/>
                <w:lang w:val="en-US"/>
              </w:rPr>
            </w:pPr>
            <w:r w:rsidRPr="0078690C">
              <w:rPr>
                <w:rFonts w:ascii="Gellix" w:hAnsi="Gellix"/>
                <w:sz w:val="21"/>
                <w:szCs w:val="21"/>
                <w:lang w:val="en-US"/>
              </w:rPr>
              <w:t>Consumer (retail and end-user)</w:t>
            </w:r>
          </w:p>
        </w:tc>
        <w:tc>
          <w:tcPr>
            <w:tcW w:w="3292" w:type="dxa"/>
          </w:tcPr>
          <w:p w14:paraId="124446FF" w14:textId="77777777" w:rsidR="00331C23" w:rsidRPr="0078690C" w:rsidRDefault="00331C23">
            <w:pPr>
              <w:spacing w:after="120"/>
              <w:rPr>
                <w:rFonts w:ascii="Gellix" w:hAnsi="Gellix"/>
                <w:sz w:val="21"/>
                <w:szCs w:val="21"/>
                <w:lang w:val="en-GB"/>
              </w:rPr>
            </w:pPr>
            <w:r w:rsidRPr="0078690C">
              <w:rPr>
                <w:rFonts w:ascii="Gellix" w:hAnsi="Gellix"/>
                <w:sz w:val="21"/>
                <w:szCs w:val="21"/>
                <w:lang w:val="en-GB"/>
              </w:rPr>
              <w:t>- Sales data</w:t>
            </w:r>
            <w:r w:rsidRPr="0078690C">
              <w:rPr>
                <w:rFonts w:ascii="Gellix" w:hAnsi="Gellix"/>
                <w:sz w:val="21"/>
                <w:szCs w:val="21"/>
                <w:lang w:val="en-GB"/>
              </w:rPr>
              <w:br/>
              <w:t>- Customer feedback</w:t>
            </w:r>
            <w:r w:rsidRPr="0078690C">
              <w:rPr>
                <w:rFonts w:ascii="Gellix" w:hAnsi="Gellix"/>
                <w:sz w:val="21"/>
                <w:szCs w:val="21"/>
                <w:lang w:val="en-GB"/>
              </w:rPr>
              <w:br/>
              <w:t>- Warranty information</w:t>
            </w:r>
            <w:r w:rsidRPr="0078690C">
              <w:rPr>
                <w:rFonts w:ascii="Gellix" w:hAnsi="Gellix"/>
                <w:sz w:val="21"/>
                <w:szCs w:val="21"/>
                <w:lang w:val="en-GB"/>
              </w:rPr>
              <w:br/>
              <w:t>- Return and refund records</w:t>
            </w:r>
            <w:r w:rsidRPr="0078690C">
              <w:rPr>
                <w:rFonts w:ascii="Gellix" w:hAnsi="Gellix"/>
                <w:sz w:val="21"/>
                <w:szCs w:val="21"/>
                <w:lang w:val="en-GB"/>
              </w:rPr>
              <w:br/>
              <w:t>- Marketing analytics</w:t>
            </w:r>
          </w:p>
        </w:tc>
        <w:tc>
          <w:tcPr>
            <w:tcW w:w="2500" w:type="dxa"/>
          </w:tcPr>
          <w:p w14:paraId="60646021" w14:textId="77777777" w:rsidR="00331C23" w:rsidRPr="0078690C" w:rsidRDefault="00331C23">
            <w:pPr>
              <w:spacing w:after="120"/>
              <w:rPr>
                <w:rFonts w:ascii="Gellix" w:hAnsi="Gellix"/>
                <w:sz w:val="21"/>
                <w:szCs w:val="21"/>
                <w:lang w:val="en-GB"/>
              </w:rPr>
            </w:pPr>
            <w:r w:rsidRPr="0078690C">
              <w:rPr>
                <w:rFonts w:ascii="Gellix" w:hAnsi="Gellix"/>
                <w:sz w:val="21"/>
                <w:szCs w:val="21"/>
                <w:lang w:val="en-GB"/>
              </w:rPr>
              <w:t>Personal data (minus the Sales data)</w:t>
            </w:r>
          </w:p>
        </w:tc>
      </w:tr>
      <w:tr w:rsidR="00331C23" w:rsidRPr="0048791F" w14:paraId="4E6DAAC9" w14:textId="77777777">
        <w:tc>
          <w:tcPr>
            <w:tcW w:w="3270" w:type="dxa"/>
            <w:shd w:val="clear" w:color="auto" w:fill="auto"/>
          </w:tcPr>
          <w:p w14:paraId="7FBC66F1" w14:textId="77777777" w:rsidR="00331C23" w:rsidRPr="0078690C" w:rsidRDefault="00331C23">
            <w:pPr>
              <w:spacing w:after="120"/>
              <w:rPr>
                <w:rFonts w:ascii="Gellix" w:hAnsi="Gellix"/>
                <w:sz w:val="21"/>
                <w:szCs w:val="21"/>
                <w:lang w:val="en-US"/>
              </w:rPr>
            </w:pPr>
            <w:r w:rsidRPr="0078690C">
              <w:rPr>
                <w:rFonts w:ascii="Gellix" w:hAnsi="Gellix"/>
                <w:sz w:val="21"/>
                <w:szCs w:val="21"/>
                <w:lang w:val="en-US"/>
              </w:rPr>
              <w:t>Business operations that support all above stages</w:t>
            </w:r>
          </w:p>
        </w:tc>
        <w:tc>
          <w:tcPr>
            <w:tcW w:w="3292" w:type="dxa"/>
            <w:shd w:val="clear" w:color="auto" w:fill="auto"/>
          </w:tcPr>
          <w:p w14:paraId="79C621DC" w14:textId="77777777" w:rsidR="00331C23" w:rsidRPr="0078690C" w:rsidRDefault="00331C23">
            <w:pPr>
              <w:spacing w:after="120"/>
              <w:rPr>
                <w:rFonts w:ascii="Gellix" w:hAnsi="Gellix"/>
                <w:sz w:val="21"/>
                <w:szCs w:val="21"/>
                <w:lang w:val="en-GB"/>
              </w:rPr>
            </w:pPr>
            <w:r w:rsidRPr="0078690C">
              <w:rPr>
                <w:rFonts w:ascii="Gellix" w:hAnsi="Gellix"/>
                <w:sz w:val="21"/>
                <w:szCs w:val="21"/>
                <w:lang w:val="en-GB"/>
              </w:rPr>
              <w:t>Workforce management (i.e. production, logistics, sales, training, recruitment and performance)</w:t>
            </w:r>
          </w:p>
        </w:tc>
        <w:tc>
          <w:tcPr>
            <w:tcW w:w="2500" w:type="dxa"/>
            <w:shd w:val="clear" w:color="auto" w:fill="auto"/>
          </w:tcPr>
          <w:p w14:paraId="410DEDEE" w14:textId="77777777" w:rsidR="00331C23" w:rsidRPr="0078690C" w:rsidRDefault="00331C23">
            <w:pPr>
              <w:spacing w:after="120"/>
              <w:rPr>
                <w:rFonts w:ascii="Gellix" w:hAnsi="Gellix"/>
                <w:sz w:val="21"/>
                <w:szCs w:val="21"/>
                <w:lang w:val="en-GB"/>
              </w:rPr>
            </w:pPr>
            <w:r w:rsidRPr="0078690C">
              <w:rPr>
                <w:rFonts w:ascii="Gellix" w:hAnsi="Gellix"/>
                <w:sz w:val="21"/>
                <w:szCs w:val="21"/>
                <w:lang w:val="en-GB"/>
              </w:rPr>
              <w:t>Personal data (employee information, financial data linked to employees), and non-personal data (trainings, workforce analytics at aggregate level)</w:t>
            </w:r>
          </w:p>
        </w:tc>
      </w:tr>
    </w:tbl>
    <w:p w14:paraId="550D68CA" w14:textId="77777777" w:rsidR="00331C23" w:rsidRPr="006469FB" w:rsidRDefault="00331C23" w:rsidP="006469FB">
      <w:pPr>
        <w:rPr>
          <w:rFonts w:ascii="Gellix" w:hAnsi="Gellix"/>
          <w:sz w:val="21"/>
          <w:szCs w:val="21"/>
          <w:lang w:val="ro-RO"/>
        </w:rPr>
      </w:pPr>
    </w:p>
    <w:p w14:paraId="0941DA19" w14:textId="77777777" w:rsidR="00C52557" w:rsidRPr="006469FB" w:rsidRDefault="002961AB" w:rsidP="006469FB">
      <w:pPr>
        <w:pStyle w:val="Liststycke"/>
        <w:numPr>
          <w:ilvl w:val="0"/>
          <w:numId w:val="1"/>
        </w:numPr>
        <w:rPr>
          <w:rFonts w:ascii="Gellix" w:hAnsi="Gellix"/>
          <w:b/>
          <w:bCs/>
          <w:lang w:val="en-GB"/>
        </w:rPr>
      </w:pPr>
      <w:r w:rsidRPr="006469FB">
        <w:rPr>
          <w:rFonts w:ascii="Gellix" w:hAnsi="Gellix"/>
          <w:b/>
          <w:bCs/>
          <w:lang w:val="en-GB"/>
        </w:rPr>
        <w:t xml:space="preserve">Key Trade Policy Challenges for </w:t>
      </w:r>
      <w:r w:rsidR="000D5F2D" w:rsidRPr="006469FB">
        <w:rPr>
          <w:rFonts w:ascii="Gellix" w:hAnsi="Gellix"/>
          <w:b/>
          <w:bCs/>
          <w:lang w:val="en-GB"/>
        </w:rPr>
        <w:t xml:space="preserve">Data Flows in </w:t>
      </w:r>
      <w:r w:rsidRPr="006469FB">
        <w:rPr>
          <w:rFonts w:ascii="Gellix" w:hAnsi="Gellix"/>
          <w:b/>
          <w:bCs/>
          <w:lang w:val="en-GB"/>
        </w:rPr>
        <w:t xml:space="preserve">Global Supply Chains </w:t>
      </w:r>
    </w:p>
    <w:p w14:paraId="17967552" w14:textId="6A3EA9A2" w:rsidR="0029683E" w:rsidRPr="008B5A19" w:rsidRDefault="0029683E" w:rsidP="00C52557">
      <w:pPr>
        <w:spacing w:after="120"/>
        <w:rPr>
          <w:rFonts w:ascii="Gellix" w:hAnsi="Gellix"/>
          <w:sz w:val="21"/>
          <w:szCs w:val="21"/>
          <w:lang w:val="en-US"/>
        </w:rPr>
      </w:pPr>
      <w:r>
        <w:rPr>
          <w:rFonts w:ascii="Gellix" w:hAnsi="Gellix"/>
          <w:sz w:val="21"/>
          <w:szCs w:val="21"/>
          <w:lang w:val="en-US"/>
        </w:rPr>
        <w:t>The paper will briefly highlight the key trade policy challenges for data flows in g</w:t>
      </w:r>
      <w:r w:rsidR="008B5A19">
        <w:rPr>
          <w:rFonts w:ascii="Gellix" w:hAnsi="Gellix"/>
          <w:sz w:val="21"/>
          <w:szCs w:val="21"/>
          <w:lang w:val="en-US"/>
        </w:rPr>
        <w:t xml:space="preserve">lobal supply chains: </w:t>
      </w:r>
    </w:p>
    <w:p w14:paraId="10B98CCC" w14:textId="1F3A3881" w:rsidR="002961AB" w:rsidRPr="008B22E5" w:rsidRDefault="002961AB" w:rsidP="00C52557">
      <w:pPr>
        <w:spacing w:after="120"/>
        <w:rPr>
          <w:rFonts w:ascii="Gellix" w:hAnsi="Gellix"/>
          <w:b/>
          <w:bCs/>
          <w:sz w:val="21"/>
          <w:szCs w:val="21"/>
          <w:lang w:val="en-US"/>
        </w:rPr>
      </w:pPr>
      <w:r w:rsidRPr="008B22E5">
        <w:rPr>
          <w:rFonts w:ascii="Gellix" w:hAnsi="Gellix"/>
          <w:b/>
          <w:bCs/>
          <w:sz w:val="21"/>
          <w:szCs w:val="21"/>
          <w:lang w:val="en-US"/>
        </w:rPr>
        <w:t xml:space="preserve">Regulatory fragmentation </w:t>
      </w:r>
      <w:r w:rsidRPr="008B22E5">
        <w:rPr>
          <w:rFonts w:ascii="Gellix" w:hAnsi="Gellix"/>
          <w:b/>
          <w:bCs/>
          <w:sz w:val="21"/>
          <w:szCs w:val="21"/>
          <w:lang w:val="en-GB"/>
        </w:rPr>
        <w:t>creates supply chain uncertainty</w:t>
      </w:r>
    </w:p>
    <w:p w14:paraId="395B3A89" w14:textId="77777777" w:rsidR="002961AB" w:rsidRPr="008B22E5" w:rsidRDefault="002961AB" w:rsidP="000D5F2D">
      <w:pPr>
        <w:pStyle w:val="Liststycke"/>
        <w:numPr>
          <w:ilvl w:val="0"/>
          <w:numId w:val="3"/>
        </w:numPr>
        <w:spacing w:after="120"/>
        <w:rPr>
          <w:rFonts w:ascii="Gellix" w:hAnsi="Gellix"/>
          <w:sz w:val="21"/>
          <w:szCs w:val="21"/>
          <w:lang w:val="en-GB"/>
        </w:rPr>
      </w:pPr>
      <w:r w:rsidRPr="008B22E5">
        <w:rPr>
          <w:rFonts w:ascii="Gellix" w:hAnsi="Gellix"/>
          <w:sz w:val="21"/>
          <w:szCs w:val="21"/>
          <w:lang w:val="en-GB"/>
        </w:rPr>
        <w:t>No global framework for cross-border data flows; governments take different approaches (unilateral, trade agreements), increasing compliance costs and uncertainty.</w:t>
      </w:r>
    </w:p>
    <w:p w14:paraId="7BE17E18" w14:textId="77777777" w:rsidR="002961AB" w:rsidRPr="008B22E5" w:rsidRDefault="002961AB" w:rsidP="000D5F2D">
      <w:pPr>
        <w:pStyle w:val="Liststycke"/>
        <w:numPr>
          <w:ilvl w:val="0"/>
          <w:numId w:val="3"/>
        </w:numPr>
        <w:spacing w:after="120"/>
        <w:rPr>
          <w:rFonts w:ascii="Gellix" w:hAnsi="Gellix"/>
          <w:sz w:val="21"/>
          <w:szCs w:val="21"/>
          <w:lang w:val="en-GB"/>
        </w:rPr>
      </w:pPr>
      <w:r w:rsidRPr="008B22E5">
        <w:rPr>
          <w:rFonts w:ascii="Gellix" w:hAnsi="Gellix"/>
          <w:sz w:val="21"/>
          <w:szCs w:val="21"/>
          <w:lang w:val="en-GB"/>
        </w:rPr>
        <w:t>I</w:t>
      </w:r>
      <w:r w:rsidRPr="008B22E5">
        <w:rPr>
          <w:rFonts w:ascii="Gellix" w:eastAsia="Times New Roman" w:hAnsi="Gellix" w:cs="Times New Roman"/>
          <w:kern w:val="0"/>
          <w:sz w:val="21"/>
          <w:szCs w:val="21"/>
          <w:lang w:val="en-GB"/>
          <w14:ligatures w14:val="none"/>
        </w:rPr>
        <w:t>nconsistent regulations increase compliance costs and disrupt supply chain integration.</w:t>
      </w:r>
    </w:p>
    <w:p w14:paraId="03579245" w14:textId="74595D14" w:rsidR="000D5F2D" w:rsidRPr="008B22E5" w:rsidRDefault="000D5F2D" w:rsidP="000D5F2D">
      <w:pPr>
        <w:pStyle w:val="Liststycke"/>
        <w:numPr>
          <w:ilvl w:val="0"/>
          <w:numId w:val="3"/>
        </w:numPr>
        <w:spacing w:after="120"/>
        <w:rPr>
          <w:rFonts w:ascii="Gellix" w:hAnsi="Gellix"/>
          <w:sz w:val="21"/>
          <w:szCs w:val="21"/>
          <w:lang w:val="en-GB"/>
        </w:rPr>
      </w:pPr>
      <w:r w:rsidRPr="008B22E5">
        <w:rPr>
          <w:rFonts w:ascii="Gellix" w:hAnsi="Gellix"/>
          <w:sz w:val="21"/>
          <w:szCs w:val="21"/>
          <w:lang w:val="en-GB"/>
        </w:rPr>
        <w:t>Supply chain operators must maintain different data handling protocols for each market they operate in</w:t>
      </w:r>
    </w:p>
    <w:p w14:paraId="14AF673E" w14:textId="77777777" w:rsidR="002961AB" w:rsidRPr="008B22E5" w:rsidRDefault="002961AB" w:rsidP="000D5F2D">
      <w:pPr>
        <w:spacing w:before="100" w:beforeAutospacing="1" w:after="100" w:afterAutospacing="1" w:line="240" w:lineRule="auto"/>
        <w:rPr>
          <w:rFonts w:ascii="Gellix" w:eastAsia="Times New Roman" w:hAnsi="Gellix" w:cs="Times New Roman"/>
          <w:kern w:val="0"/>
          <w:sz w:val="21"/>
          <w:szCs w:val="21"/>
          <w:lang w:val="en-GB"/>
          <w14:ligatures w14:val="none"/>
        </w:rPr>
      </w:pPr>
      <w:r w:rsidRPr="008B22E5">
        <w:rPr>
          <w:rFonts w:ascii="Gellix" w:eastAsia="Times New Roman" w:hAnsi="Gellix" w:cs="Times New Roman"/>
          <w:b/>
          <w:bCs/>
          <w:kern w:val="0"/>
          <w:sz w:val="21"/>
          <w:szCs w:val="21"/>
          <w:lang w:val="en-GB"/>
          <w14:ligatures w14:val="none"/>
        </w:rPr>
        <w:t>Data Localization as a Barrier to Supply Chain Efficiency</w:t>
      </w:r>
    </w:p>
    <w:p w14:paraId="28186734" w14:textId="77777777" w:rsidR="002961AB" w:rsidRPr="008B22E5" w:rsidRDefault="002961AB" w:rsidP="00DC328A">
      <w:pPr>
        <w:numPr>
          <w:ilvl w:val="0"/>
          <w:numId w:val="3"/>
        </w:numPr>
        <w:spacing w:before="100" w:beforeAutospacing="1" w:after="100" w:afterAutospacing="1" w:line="240" w:lineRule="auto"/>
        <w:rPr>
          <w:rFonts w:ascii="Gellix" w:eastAsia="Times New Roman" w:hAnsi="Gellix" w:cs="Times New Roman"/>
          <w:kern w:val="0"/>
          <w:sz w:val="21"/>
          <w:szCs w:val="21"/>
          <w:lang w:val="en-GB"/>
          <w14:ligatures w14:val="none"/>
        </w:rPr>
      </w:pPr>
      <w:r w:rsidRPr="008B22E5">
        <w:rPr>
          <w:rFonts w:ascii="Gellix" w:eastAsia="Times New Roman" w:hAnsi="Gellix" w:cs="Times New Roman"/>
          <w:kern w:val="0"/>
          <w:sz w:val="21"/>
          <w:szCs w:val="21"/>
          <w:lang w:val="en-GB"/>
          <w14:ligatures w14:val="none"/>
        </w:rPr>
        <w:t>Restrictions on where data can be stored/processed slow down logistics, inventory management, and trade finance.</w:t>
      </w:r>
    </w:p>
    <w:p w14:paraId="32A90840" w14:textId="6A9ED8CD" w:rsidR="000D5F2D" w:rsidRPr="008B22E5" w:rsidRDefault="000D5F2D" w:rsidP="00DC328A">
      <w:pPr>
        <w:numPr>
          <w:ilvl w:val="0"/>
          <w:numId w:val="3"/>
        </w:numPr>
        <w:spacing w:before="100" w:beforeAutospacing="1" w:after="100" w:afterAutospacing="1" w:line="240" w:lineRule="auto"/>
        <w:rPr>
          <w:rFonts w:ascii="Gellix" w:eastAsia="Times New Roman" w:hAnsi="Gellix" w:cs="Times New Roman"/>
          <w:kern w:val="0"/>
          <w:sz w:val="21"/>
          <w:szCs w:val="21"/>
          <w:lang w:val="en-GB"/>
          <w14:ligatures w14:val="none"/>
        </w:rPr>
      </w:pPr>
      <w:r w:rsidRPr="008B22E5">
        <w:rPr>
          <w:rFonts w:ascii="Gellix" w:eastAsia="Times New Roman" w:hAnsi="Gellix" w:cs="Times New Roman"/>
          <w:kern w:val="0"/>
          <w:sz w:val="21"/>
          <w:szCs w:val="21"/>
          <w:lang w:val="en-GB"/>
          <w14:ligatures w14:val="none"/>
        </w:rPr>
        <w:t xml:space="preserve">Prevents centralized supply chain visibility and real-time decision-making across global operations </w:t>
      </w:r>
    </w:p>
    <w:p w14:paraId="31272FEB" w14:textId="4BC94E54" w:rsidR="00DC328A" w:rsidRPr="0086255C" w:rsidRDefault="000D5F2D">
      <w:pPr>
        <w:numPr>
          <w:ilvl w:val="0"/>
          <w:numId w:val="3"/>
        </w:numPr>
        <w:spacing w:before="100" w:beforeAutospacing="1" w:after="100" w:afterAutospacing="1" w:line="240" w:lineRule="auto"/>
        <w:rPr>
          <w:rFonts w:ascii="Gellix" w:eastAsia="Times New Roman" w:hAnsi="Gellix" w:cs="Times New Roman"/>
          <w:kern w:val="0"/>
          <w:sz w:val="21"/>
          <w:szCs w:val="21"/>
          <w:lang w:val="en-GB"/>
          <w14:ligatures w14:val="none"/>
        </w:rPr>
      </w:pPr>
      <w:r w:rsidRPr="0086255C">
        <w:rPr>
          <w:rFonts w:ascii="Gellix" w:eastAsia="Times New Roman" w:hAnsi="Gellix" w:cs="Times New Roman"/>
          <w:kern w:val="0"/>
          <w:sz w:val="21"/>
          <w:szCs w:val="21"/>
          <w:lang w:val="en-GB"/>
          <w14:ligatures w14:val="none"/>
        </w:rPr>
        <w:t>Forces companies to fragment their supply chain management systems, creating inefficiencies and blind spots</w:t>
      </w:r>
    </w:p>
    <w:p w14:paraId="56EA107F" w14:textId="77777777" w:rsidR="002961AB" w:rsidRPr="008B22E5" w:rsidRDefault="002961AB" w:rsidP="00DC328A">
      <w:pPr>
        <w:spacing w:before="100" w:beforeAutospacing="1" w:after="100" w:afterAutospacing="1" w:line="240" w:lineRule="auto"/>
        <w:rPr>
          <w:rFonts w:ascii="Gellix" w:eastAsia="Times New Roman" w:hAnsi="Gellix" w:cs="Times New Roman"/>
          <w:kern w:val="0"/>
          <w:sz w:val="21"/>
          <w:szCs w:val="21"/>
          <w:lang w:val="en-GB"/>
          <w14:ligatures w14:val="none"/>
        </w:rPr>
      </w:pPr>
      <w:r w:rsidRPr="008B22E5">
        <w:rPr>
          <w:rFonts w:ascii="Gellix" w:eastAsia="Times New Roman" w:hAnsi="Gellix" w:cs="Times New Roman"/>
          <w:b/>
          <w:bCs/>
          <w:kern w:val="0"/>
          <w:sz w:val="21"/>
          <w:szCs w:val="21"/>
          <w:lang w:val="en-GB"/>
          <w14:ligatures w14:val="none"/>
        </w:rPr>
        <w:lastRenderedPageBreak/>
        <w:t>Restrictive Data Policies Increase Supply Chain Costs &amp; Complexity</w:t>
      </w:r>
    </w:p>
    <w:p w14:paraId="6C87C3BB" w14:textId="750A9A16" w:rsidR="002961AB" w:rsidRPr="008B22E5" w:rsidRDefault="000D5F2D" w:rsidP="00DC328A">
      <w:pPr>
        <w:numPr>
          <w:ilvl w:val="0"/>
          <w:numId w:val="3"/>
        </w:numPr>
        <w:spacing w:before="100" w:beforeAutospacing="1" w:after="100" w:afterAutospacing="1" w:line="240" w:lineRule="auto"/>
        <w:rPr>
          <w:rFonts w:ascii="Gellix" w:eastAsia="Times New Roman" w:hAnsi="Gellix" w:cs="Times New Roman"/>
          <w:kern w:val="0"/>
          <w:sz w:val="21"/>
          <w:szCs w:val="21"/>
          <w:lang w:val="en-GB"/>
          <w14:ligatures w14:val="none"/>
        </w:rPr>
      </w:pPr>
      <w:r w:rsidRPr="008B22E5">
        <w:rPr>
          <w:rFonts w:ascii="Gellix" w:eastAsia="Times New Roman" w:hAnsi="Gellix" w:cs="Times New Roman"/>
          <w:kern w:val="0"/>
          <w:sz w:val="21"/>
          <w:szCs w:val="21"/>
          <w:lang w:val="en-GB"/>
          <w14:ligatures w14:val="none"/>
        </w:rPr>
        <w:t>Modern s</w:t>
      </w:r>
      <w:r w:rsidR="002961AB" w:rsidRPr="008B22E5">
        <w:rPr>
          <w:rFonts w:ascii="Gellix" w:eastAsia="Times New Roman" w:hAnsi="Gellix" w:cs="Times New Roman"/>
          <w:kern w:val="0"/>
          <w:sz w:val="21"/>
          <w:szCs w:val="21"/>
          <w:lang w:val="en-GB"/>
          <w14:ligatures w14:val="none"/>
        </w:rPr>
        <w:t xml:space="preserve">upply chains depend </w:t>
      </w:r>
      <w:r w:rsidR="002961AB" w:rsidRPr="0083205D">
        <w:rPr>
          <w:rFonts w:ascii="Gellix" w:eastAsia="Times New Roman" w:hAnsi="Gellix" w:cs="Times New Roman"/>
          <w:kern w:val="0"/>
          <w:sz w:val="21"/>
          <w:szCs w:val="21"/>
          <w:lang w:val="en-GB"/>
          <w14:ligatures w14:val="none"/>
        </w:rPr>
        <w:t>on seamless data transfers for tracking shipments, optimizing logistics, and managing supplier relationships</w:t>
      </w:r>
      <w:r w:rsidR="002961AB" w:rsidRPr="008B22E5">
        <w:rPr>
          <w:rFonts w:ascii="Gellix" w:eastAsia="Times New Roman" w:hAnsi="Gellix" w:cs="Times New Roman"/>
          <w:kern w:val="0"/>
          <w:sz w:val="21"/>
          <w:szCs w:val="21"/>
          <w:lang w:val="en-GB"/>
          <w14:ligatures w14:val="none"/>
        </w:rPr>
        <w:t>.</w:t>
      </w:r>
    </w:p>
    <w:p w14:paraId="2F6CD6D8" w14:textId="77777777" w:rsidR="002961AB" w:rsidRPr="008B22E5" w:rsidRDefault="002961AB" w:rsidP="00DC328A">
      <w:pPr>
        <w:numPr>
          <w:ilvl w:val="0"/>
          <w:numId w:val="3"/>
        </w:numPr>
        <w:spacing w:before="100" w:beforeAutospacing="1" w:after="100" w:afterAutospacing="1" w:line="240" w:lineRule="auto"/>
        <w:rPr>
          <w:rFonts w:ascii="Gellix" w:eastAsia="Times New Roman" w:hAnsi="Gellix" w:cs="Times New Roman"/>
          <w:kern w:val="0"/>
          <w:sz w:val="21"/>
          <w:szCs w:val="21"/>
          <w:lang w:val="en-GB"/>
          <w14:ligatures w14:val="none"/>
        </w:rPr>
      </w:pPr>
      <w:r w:rsidRPr="008B22E5">
        <w:rPr>
          <w:rFonts w:ascii="Gellix" w:eastAsia="Times New Roman" w:hAnsi="Gellix" w:cs="Times New Roman"/>
          <w:kern w:val="0"/>
          <w:sz w:val="21"/>
          <w:szCs w:val="21"/>
          <w:lang w:val="en-GB"/>
          <w14:ligatures w14:val="none"/>
        </w:rPr>
        <w:t>Fragmented rules make it harder for businesses to operate across borders, raising costs and reducing efficiency.</w:t>
      </w:r>
    </w:p>
    <w:p w14:paraId="7A16384A" w14:textId="478C3E0C" w:rsidR="000D5F2D" w:rsidRPr="008B22E5" w:rsidRDefault="000D5F2D" w:rsidP="00DC328A">
      <w:pPr>
        <w:numPr>
          <w:ilvl w:val="0"/>
          <w:numId w:val="3"/>
        </w:numPr>
        <w:spacing w:before="100" w:beforeAutospacing="1" w:after="100" w:afterAutospacing="1" w:line="240" w:lineRule="auto"/>
        <w:rPr>
          <w:rFonts w:ascii="Gellix" w:eastAsia="Times New Roman" w:hAnsi="Gellix" w:cs="Times New Roman"/>
          <w:kern w:val="0"/>
          <w:sz w:val="21"/>
          <w:szCs w:val="21"/>
          <w:lang w:val="en-GB"/>
          <w14:ligatures w14:val="none"/>
        </w:rPr>
      </w:pPr>
      <w:r w:rsidRPr="008B22E5">
        <w:rPr>
          <w:rFonts w:ascii="Gellix" w:eastAsia="Times New Roman" w:hAnsi="Gellix" w:cs="Times New Roman"/>
          <w:kern w:val="0"/>
          <w:sz w:val="21"/>
          <w:szCs w:val="21"/>
          <w:lang w:val="en-GB"/>
          <w14:ligatures w14:val="none"/>
        </w:rPr>
        <w:t>Digital supply chain innovations (IoT tracking, predictive inventory, supply risk analytics) hindered by data flow restrictions</w:t>
      </w:r>
    </w:p>
    <w:p w14:paraId="7D7AE452" w14:textId="77777777" w:rsidR="002961AB" w:rsidRPr="008B22E5" w:rsidRDefault="002961AB" w:rsidP="00DC328A">
      <w:pPr>
        <w:spacing w:before="100" w:beforeAutospacing="1" w:after="100" w:afterAutospacing="1" w:line="240" w:lineRule="auto"/>
        <w:rPr>
          <w:rFonts w:ascii="Gellix" w:eastAsia="Times New Roman" w:hAnsi="Gellix" w:cs="Times New Roman"/>
          <w:kern w:val="0"/>
          <w:sz w:val="21"/>
          <w:szCs w:val="21"/>
          <w:lang w:val="en-GB"/>
          <w14:ligatures w14:val="none"/>
        </w:rPr>
      </w:pPr>
      <w:r w:rsidRPr="008B22E5">
        <w:rPr>
          <w:rFonts w:ascii="Gellix" w:eastAsia="Times New Roman" w:hAnsi="Gellix" w:cs="Times New Roman"/>
          <w:b/>
          <w:bCs/>
          <w:kern w:val="0"/>
          <w:sz w:val="21"/>
          <w:szCs w:val="21"/>
          <w:lang w:val="en-GB"/>
          <w14:ligatures w14:val="none"/>
        </w:rPr>
        <w:t>Lack of Interoperable Standards Limits Supply Chain Digitalization</w:t>
      </w:r>
    </w:p>
    <w:p w14:paraId="41E4ED5C" w14:textId="0773C867" w:rsidR="000D5F2D" w:rsidRPr="008B22E5" w:rsidRDefault="000D5F2D" w:rsidP="00DC328A">
      <w:pPr>
        <w:numPr>
          <w:ilvl w:val="0"/>
          <w:numId w:val="3"/>
        </w:numPr>
        <w:spacing w:before="100" w:beforeAutospacing="1" w:after="100" w:afterAutospacing="1" w:line="240" w:lineRule="auto"/>
        <w:rPr>
          <w:rFonts w:ascii="Gellix" w:eastAsia="Times New Roman" w:hAnsi="Gellix" w:cs="Times New Roman"/>
          <w:kern w:val="0"/>
          <w:sz w:val="21"/>
          <w:szCs w:val="21"/>
          <w:lang w:val="en-GB"/>
          <w14:ligatures w14:val="none"/>
        </w:rPr>
      </w:pPr>
      <w:r w:rsidRPr="008B22E5">
        <w:rPr>
          <w:rFonts w:ascii="Gellix" w:eastAsia="Times New Roman" w:hAnsi="Gellix" w:cs="Times New Roman"/>
          <w:kern w:val="0"/>
          <w:sz w:val="21"/>
          <w:szCs w:val="21"/>
          <w:lang w:val="en-GB"/>
          <w14:ligatures w14:val="none"/>
        </w:rPr>
        <w:t xml:space="preserve">Supply chain partners must navigate conflicting data regulations, making it harder to implement end-to-end digital solutions </w:t>
      </w:r>
    </w:p>
    <w:p w14:paraId="0672B2E6" w14:textId="7FDBD694" w:rsidR="000D5F2D" w:rsidRPr="008B22E5" w:rsidRDefault="000D5F2D" w:rsidP="00DC328A">
      <w:pPr>
        <w:numPr>
          <w:ilvl w:val="0"/>
          <w:numId w:val="3"/>
        </w:numPr>
        <w:spacing w:before="100" w:beforeAutospacing="1" w:after="100" w:afterAutospacing="1" w:line="240" w:lineRule="auto"/>
        <w:rPr>
          <w:rFonts w:ascii="Gellix" w:eastAsia="Times New Roman" w:hAnsi="Gellix" w:cs="Times New Roman"/>
          <w:kern w:val="0"/>
          <w:sz w:val="21"/>
          <w:szCs w:val="21"/>
          <w:lang w:val="en-GB"/>
          <w14:ligatures w14:val="none"/>
        </w:rPr>
      </w:pPr>
      <w:r w:rsidRPr="008B22E5">
        <w:rPr>
          <w:rFonts w:ascii="Gellix" w:eastAsia="Times New Roman" w:hAnsi="Gellix" w:cs="Times New Roman"/>
          <w:kern w:val="0"/>
          <w:sz w:val="21"/>
          <w:szCs w:val="21"/>
          <w:lang w:val="en-GB"/>
          <w14:ligatures w14:val="none"/>
        </w:rPr>
        <w:t xml:space="preserve">MSMEs in supply networks face particular challenges integrating with global supply chains due to complex compliance requirements </w:t>
      </w:r>
    </w:p>
    <w:p w14:paraId="1125FE4C" w14:textId="2FC3F0B1" w:rsidR="002961AB" w:rsidRPr="008B22E5" w:rsidRDefault="000D5F2D" w:rsidP="00DC328A">
      <w:pPr>
        <w:numPr>
          <w:ilvl w:val="0"/>
          <w:numId w:val="3"/>
        </w:numPr>
        <w:spacing w:before="100" w:beforeAutospacing="1" w:after="100" w:afterAutospacing="1" w:line="240" w:lineRule="auto"/>
        <w:rPr>
          <w:rFonts w:ascii="Gellix" w:eastAsia="Times New Roman" w:hAnsi="Gellix" w:cs="Times New Roman"/>
          <w:kern w:val="0"/>
          <w:sz w:val="21"/>
          <w:szCs w:val="21"/>
          <w:lang w:val="en-GB"/>
          <w14:ligatures w14:val="none"/>
        </w:rPr>
      </w:pPr>
      <w:r w:rsidRPr="008B22E5">
        <w:rPr>
          <w:rFonts w:ascii="Gellix" w:eastAsia="Times New Roman" w:hAnsi="Gellix" w:cs="Times New Roman"/>
          <w:kern w:val="0"/>
          <w:sz w:val="21"/>
          <w:szCs w:val="21"/>
          <w:lang w:val="en-GB"/>
          <w14:ligatures w14:val="none"/>
        </w:rPr>
        <w:t>Inconsistent digital documentation standards create friction points across the supply chain</w:t>
      </w:r>
    </w:p>
    <w:p w14:paraId="7999524B" w14:textId="77777777" w:rsidR="002961AB" w:rsidRPr="008B22E5" w:rsidRDefault="002961AB" w:rsidP="00DC328A">
      <w:pPr>
        <w:spacing w:before="100" w:beforeAutospacing="1" w:after="100" w:afterAutospacing="1" w:line="240" w:lineRule="auto"/>
        <w:rPr>
          <w:rFonts w:ascii="Gellix" w:eastAsia="Times New Roman" w:hAnsi="Gellix" w:cs="Times New Roman"/>
          <w:kern w:val="0"/>
          <w:sz w:val="21"/>
          <w:szCs w:val="21"/>
          <w:lang w:val="en-GB"/>
          <w14:ligatures w14:val="none"/>
        </w:rPr>
      </w:pPr>
      <w:r w:rsidRPr="008B22E5">
        <w:rPr>
          <w:rFonts w:ascii="Gellix" w:eastAsia="Times New Roman" w:hAnsi="Gellix" w:cs="Times New Roman"/>
          <w:b/>
          <w:bCs/>
          <w:kern w:val="0"/>
          <w:sz w:val="21"/>
          <w:szCs w:val="21"/>
          <w:lang w:val="en-GB"/>
          <w14:ligatures w14:val="none"/>
        </w:rPr>
        <w:t>Confidential Business Information (CBI) &amp; Compliance Risks</w:t>
      </w:r>
    </w:p>
    <w:p w14:paraId="6C8A6019" w14:textId="77777777" w:rsidR="000D5F2D" w:rsidRPr="008B22E5" w:rsidRDefault="000D5F2D" w:rsidP="00DC328A">
      <w:pPr>
        <w:numPr>
          <w:ilvl w:val="0"/>
          <w:numId w:val="3"/>
        </w:numPr>
        <w:spacing w:before="100" w:beforeAutospacing="1" w:after="100" w:afterAutospacing="1" w:line="240" w:lineRule="auto"/>
        <w:rPr>
          <w:rFonts w:ascii="Gellix" w:eastAsia="Times New Roman" w:hAnsi="Gellix" w:cs="Times New Roman"/>
          <w:kern w:val="0"/>
          <w:sz w:val="21"/>
          <w:szCs w:val="21"/>
          <w:lang w:val="en-GB"/>
          <w14:ligatures w14:val="none"/>
        </w:rPr>
      </w:pPr>
      <w:r w:rsidRPr="008B22E5">
        <w:rPr>
          <w:rFonts w:ascii="Gellix" w:eastAsia="Times New Roman" w:hAnsi="Gellix" w:cs="Times New Roman"/>
          <w:kern w:val="0"/>
          <w:sz w:val="21"/>
          <w:szCs w:val="21"/>
          <w:lang w:val="en-GB"/>
          <w14:ligatures w14:val="none"/>
        </w:rPr>
        <w:t>Supply chain data (e.g., supplier networks, inventory levels, logistics routing, trade finance records) contains sensitive competitive information</w:t>
      </w:r>
    </w:p>
    <w:p w14:paraId="6C7A175F" w14:textId="2464685F" w:rsidR="000D5F2D" w:rsidRPr="008B22E5" w:rsidRDefault="000D5F2D" w:rsidP="00DC328A">
      <w:pPr>
        <w:numPr>
          <w:ilvl w:val="0"/>
          <w:numId w:val="3"/>
        </w:numPr>
        <w:spacing w:before="100" w:beforeAutospacing="1" w:after="100" w:afterAutospacing="1" w:line="240" w:lineRule="auto"/>
        <w:rPr>
          <w:rFonts w:ascii="Gellix" w:eastAsia="Times New Roman" w:hAnsi="Gellix" w:cs="Times New Roman"/>
          <w:kern w:val="0"/>
          <w:sz w:val="21"/>
          <w:szCs w:val="21"/>
          <w:lang w:val="en-GB"/>
          <w14:ligatures w14:val="none"/>
        </w:rPr>
      </w:pPr>
      <w:r w:rsidRPr="008B22E5">
        <w:rPr>
          <w:rFonts w:ascii="Gellix" w:eastAsia="Times New Roman" w:hAnsi="Gellix" w:cs="Times New Roman"/>
          <w:kern w:val="0"/>
          <w:sz w:val="21"/>
          <w:szCs w:val="21"/>
          <w:lang w:val="en-GB"/>
          <w14:ligatures w14:val="none"/>
        </w:rPr>
        <w:t>Forced data sharing in some jurisdictions increases risks of proprietary supply chain information exposure</w:t>
      </w:r>
    </w:p>
    <w:p w14:paraId="62C6510A" w14:textId="61B53C33" w:rsidR="00A7191B" w:rsidRDefault="002961AB" w:rsidP="00DC328A">
      <w:pPr>
        <w:numPr>
          <w:ilvl w:val="0"/>
          <w:numId w:val="3"/>
        </w:numPr>
        <w:spacing w:before="100" w:beforeAutospacing="1" w:after="100" w:afterAutospacing="1" w:line="240" w:lineRule="auto"/>
        <w:rPr>
          <w:rFonts w:ascii="Gellix" w:eastAsia="Times New Roman" w:hAnsi="Gellix" w:cs="Times New Roman"/>
          <w:kern w:val="0"/>
          <w:sz w:val="21"/>
          <w:szCs w:val="21"/>
          <w:lang w:val="en-GB"/>
          <w14:ligatures w14:val="none"/>
        </w:rPr>
      </w:pPr>
      <w:r w:rsidRPr="008B22E5">
        <w:rPr>
          <w:rFonts w:ascii="Gellix" w:eastAsia="Times New Roman" w:hAnsi="Gellix" w:cs="Times New Roman"/>
          <w:kern w:val="0"/>
          <w:sz w:val="21"/>
          <w:szCs w:val="21"/>
          <w:lang w:val="en-GB"/>
          <w14:ligatures w14:val="none"/>
        </w:rPr>
        <w:t>Weak data protections in some jurisdictions increase risks of misuse or exposure.</w:t>
      </w:r>
    </w:p>
    <w:p w14:paraId="00D34DF8" w14:textId="6F29CC11" w:rsidR="00A7191B" w:rsidRDefault="00A7191B">
      <w:pPr>
        <w:rPr>
          <w:rFonts w:ascii="Gellix" w:eastAsia="Times New Roman" w:hAnsi="Gellix" w:cs="Times New Roman"/>
          <w:kern w:val="0"/>
          <w:sz w:val="21"/>
          <w:szCs w:val="21"/>
          <w:lang w:val="en-GB"/>
          <w14:ligatures w14:val="none"/>
        </w:rPr>
      </w:pPr>
    </w:p>
    <w:p w14:paraId="7AD0D64D" w14:textId="77777777" w:rsidR="002961AB" w:rsidRPr="006469FB" w:rsidRDefault="002961AB" w:rsidP="006469FB">
      <w:pPr>
        <w:pStyle w:val="Liststycke"/>
        <w:numPr>
          <w:ilvl w:val="0"/>
          <w:numId w:val="1"/>
        </w:numPr>
        <w:spacing w:after="120"/>
        <w:ind w:left="426" w:hanging="437"/>
        <w:rPr>
          <w:rFonts w:ascii="Gellix" w:hAnsi="Gellix"/>
          <w:b/>
          <w:bCs/>
          <w:lang w:val="en-GB"/>
        </w:rPr>
      </w:pPr>
      <w:r w:rsidRPr="006469FB">
        <w:rPr>
          <w:rFonts w:ascii="Gellix" w:hAnsi="Gellix"/>
          <w:b/>
          <w:bCs/>
          <w:lang w:val="en-GB"/>
        </w:rPr>
        <w:t xml:space="preserve">ICC Recommendations to promote the free flow of data in supply chains </w:t>
      </w:r>
    </w:p>
    <w:p w14:paraId="1E787F0A" w14:textId="736F7A9C" w:rsidR="006F050E" w:rsidRPr="006F050E" w:rsidRDefault="006F050E" w:rsidP="00B357A4">
      <w:pPr>
        <w:spacing w:after="120"/>
        <w:rPr>
          <w:rFonts w:ascii="Gellix" w:hAnsi="Gellix"/>
          <w:sz w:val="21"/>
          <w:szCs w:val="21"/>
          <w:lang w:val="en-GB"/>
        </w:rPr>
      </w:pPr>
      <w:r>
        <w:rPr>
          <w:rFonts w:ascii="Gellix" w:hAnsi="Gellix"/>
          <w:sz w:val="21"/>
          <w:szCs w:val="21"/>
          <w:lang w:val="en-GB"/>
        </w:rPr>
        <w:t>The paper will conclude with the following recommendations:</w:t>
      </w:r>
    </w:p>
    <w:p w14:paraId="2609567B" w14:textId="5F1C9977" w:rsidR="00B357A4" w:rsidRPr="008B22E5" w:rsidRDefault="00B357A4" w:rsidP="00B357A4">
      <w:pPr>
        <w:spacing w:after="120"/>
        <w:rPr>
          <w:rFonts w:ascii="Gellix" w:hAnsi="Gellix"/>
          <w:b/>
          <w:bCs/>
          <w:sz w:val="21"/>
          <w:szCs w:val="21"/>
          <w:lang w:val="en-GB"/>
        </w:rPr>
      </w:pPr>
      <w:r w:rsidRPr="008B22E5">
        <w:rPr>
          <w:rFonts w:ascii="Gellix" w:hAnsi="Gellix"/>
          <w:b/>
          <w:bCs/>
          <w:sz w:val="21"/>
          <w:szCs w:val="21"/>
          <w:lang w:val="en-GB"/>
        </w:rPr>
        <w:t>Pursue Multilateral Rules at the WTO</w:t>
      </w:r>
    </w:p>
    <w:p w14:paraId="09B03EAE" w14:textId="50C04E5D" w:rsidR="005A0B23" w:rsidRPr="008B22E5" w:rsidRDefault="005A0B23" w:rsidP="00A97A06">
      <w:pPr>
        <w:pStyle w:val="Normalwebb"/>
        <w:numPr>
          <w:ilvl w:val="0"/>
          <w:numId w:val="8"/>
        </w:numPr>
        <w:spacing w:after="120" w:afterAutospacing="0"/>
        <w:ind w:left="357" w:hanging="357"/>
        <w:rPr>
          <w:rFonts w:ascii="Gellix" w:hAnsi="Gellix"/>
          <w:sz w:val="21"/>
          <w:szCs w:val="21"/>
        </w:rPr>
      </w:pPr>
      <w:r w:rsidRPr="008B22E5">
        <w:rPr>
          <w:rStyle w:val="Betoning"/>
          <w:rFonts w:ascii="Gellix" w:eastAsiaTheme="majorEastAsia" w:hAnsi="Gellix"/>
          <w:i w:val="0"/>
          <w:iCs w:val="0"/>
          <w:sz w:val="21"/>
          <w:szCs w:val="21"/>
        </w:rPr>
        <w:t>Pursue multilateral discussions at the WTO, including within the JSI on E-Commerce, to establish clear trade rules on cross-border data flows</w:t>
      </w:r>
    </w:p>
    <w:p w14:paraId="00C230C0" w14:textId="7C8B3161" w:rsidR="00B357A4" w:rsidRPr="008B22E5" w:rsidRDefault="00B357A4" w:rsidP="00A97A06">
      <w:pPr>
        <w:numPr>
          <w:ilvl w:val="0"/>
          <w:numId w:val="8"/>
        </w:numPr>
        <w:spacing w:after="120"/>
        <w:ind w:left="357" w:hanging="357"/>
        <w:rPr>
          <w:rFonts w:ascii="Gellix" w:hAnsi="Gellix"/>
          <w:sz w:val="21"/>
          <w:szCs w:val="21"/>
          <w:lang w:val="en-GB"/>
        </w:rPr>
      </w:pPr>
      <w:r w:rsidRPr="008B22E5">
        <w:rPr>
          <w:rFonts w:ascii="Gellix" w:hAnsi="Gellix"/>
          <w:sz w:val="21"/>
          <w:szCs w:val="21"/>
          <w:lang w:val="en-GB"/>
        </w:rPr>
        <w:t xml:space="preserve">Advocate for risk-based and </w:t>
      </w:r>
      <w:r w:rsidR="00261D04" w:rsidRPr="008B22E5">
        <w:rPr>
          <w:rFonts w:ascii="Gellix" w:hAnsi="Gellix"/>
          <w:sz w:val="21"/>
          <w:szCs w:val="21"/>
          <w:lang w:val="en-GB"/>
        </w:rPr>
        <w:t xml:space="preserve">evidence-based </w:t>
      </w:r>
      <w:r w:rsidRPr="008B22E5">
        <w:rPr>
          <w:rFonts w:ascii="Gellix" w:hAnsi="Gellix"/>
          <w:sz w:val="21"/>
          <w:szCs w:val="21"/>
          <w:lang w:val="en-GB"/>
        </w:rPr>
        <w:t>regulatory approaches that avoid unnecessary trade barriers</w:t>
      </w:r>
    </w:p>
    <w:p w14:paraId="34D4EF25" w14:textId="77777777" w:rsidR="00B357A4" w:rsidRPr="008B22E5" w:rsidRDefault="00B357A4" w:rsidP="00B357A4">
      <w:pPr>
        <w:numPr>
          <w:ilvl w:val="0"/>
          <w:numId w:val="8"/>
        </w:numPr>
        <w:spacing w:after="120"/>
        <w:rPr>
          <w:rFonts w:ascii="Gellix" w:hAnsi="Gellix"/>
          <w:sz w:val="21"/>
          <w:szCs w:val="21"/>
          <w:lang w:val="en-GB"/>
        </w:rPr>
      </w:pPr>
      <w:r w:rsidRPr="008B22E5">
        <w:rPr>
          <w:rFonts w:ascii="Gellix" w:hAnsi="Gellix"/>
          <w:sz w:val="21"/>
          <w:szCs w:val="21"/>
          <w:lang w:val="en-GB"/>
        </w:rPr>
        <w:t>Support differentiated obligations for various data types based on actual risk levels</w:t>
      </w:r>
    </w:p>
    <w:p w14:paraId="50DA0404" w14:textId="77777777" w:rsidR="00FF68D4" w:rsidRPr="008B22E5" w:rsidRDefault="00FF68D4" w:rsidP="00FF68D4">
      <w:pPr>
        <w:spacing w:after="120"/>
        <w:rPr>
          <w:rFonts w:ascii="Gellix" w:hAnsi="Gellix"/>
          <w:b/>
          <w:bCs/>
          <w:sz w:val="21"/>
          <w:szCs w:val="21"/>
          <w:lang w:val="en-GB"/>
        </w:rPr>
      </w:pPr>
      <w:r w:rsidRPr="008B22E5">
        <w:rPr>
          <w:rFonts w:ascii="Gellix" w:hAnsi="Gellix"/>
          <w:b/>
          <w:bCs/>
          <w:sz w:val="21"/>
          <w:szCs w:val="21"/>
          <w:lang w:val="en-GB"/>
        </w:rPr>
        <w:t xml:space="preserve">Ensure Open and Interoperable Cross-Border Data Frameworks </w:t>
      </w:r>
    </w:p>
    <w:p w14:paraId="43D378DA" w14:textId="5BC92520" w:rsidR="00A73144" w:rsidRPr="00034985" w:rsidRDefault="00A73144" w:rsidP="00034985">
      <w:pPr>
        <w:pStyle w:val="Liststycke"/>
        <w:numPr>
          <w:ilvl w:val="0"/>
          <w:numId w:val="12"/>
        </w:numPr>
        <w:spacing w:after="120"/>
        <w:rPr>
          <w:rFonts w:ascii="Gellix" w:hAnsi="Gellix"/>
          <w:sz w:val="21"/>
          <w:szCs w:val="21"/>
          <w:lang w:val="en-GB"/>
        </w:rPr>
      </w:pPr>
      <w:r w:rsidRPr="00034985">
        <w:rPr>
          <w:rFonts w:ascii="Gellix" w:hAnsi="Gellix"/>
          <w:sz w:val="21"/>
          <w:szCs w:val="21"/>
          <w:lang w:val="en-GB"/>
        </w:rPr>
        <w:t>Oppose indiscriminate data localization mandates that require all data—regardless of type—to be stored locally, disrupting global trade and supply chains.</w:t>
      </w:r>
    </w:p>
    <w:p w14:paraId="63FE0739" w14:textId="77777777" w:rsidR="003B3E3F" w:rsidRPr="008B22E5" w:rsidRDefault="003B3E3F" w:rsidP="00034985">
      <w:pPr>
        <w:numPr>
          <w:ilvl w:val="0"/>
          <w:numId w:val="10"/>
        </w:numPr>
        <w:tabs>
          <w:tab w:val="num" w:pos="720"/>
        </w:tabs>
        <w:spacing w:after="120"/>
        <w:rPr>
          <w:rFonts w:ascii="Gellix" w:hAnsi="Gellix"/>
          <w:sz w:val="21"/>
          <w:szCs w:val="21"/>
          <w:lang w:val="en-GB"/>
        </w:rPr>
      </w:pPr>
      <w:r w:rsidRPr="008B22E5">
        <w:rPr>
          <w:rFonts w:ascii="Gellix" w:hAnsi="Gellix"/>
          <w:sz w:val="21"/>
          <w:szCs w:val="21"/>
          <w:lang w:val="en-GB"/>
        </w:rPr>
        <w:t>Advocate for flexible and innovation-friendly data governance frameworks in trade negotiations that do not mandate specific technologies or systems</w:t>
      </w:r>
    </w:p>
    <w:p w14:paraId="5A37448B" w14:textId="45297F1B" w:rsidR="00B357A4" w:rsidRPr="008B22E5" w:rsidRDefault="00B357A4" w:rsidP="00034985">
      <w:pPr>
        <w:numPr>
          <w:ilvl w:val="0"/>
          <w:numId w:val="10"/>
        </w:numPr>
        <w:tabs>
          <w:tab w:val="num" w:pos="720"/>
        </w:tabs>
        <w:spacing w:after="120"/>
        <w:rPr>
          <w:rFonts w:ascii="Gellix" w:hAnsi="Gellix"/>
          <w:sz w:val="21"/>
          <w:szCs w:val="21"/>
          <w:lang w:val="en-GB"/>
        </w:rPr>
      </w:pPr>
      <w:r w:rsidRPr="008B22E5">
        <w:rPr>
          <w:rFonts w:ascii="Gellix" w:hAnsi="Gellix"/>
          <w:sz w:val="21"/>
          <w:szCs w:val="21"/>
          <w:lang w:val="en-GB"/>
        </w:rPr>
        <w:t>Prioritize regulatory coherence and mutual recognition of standards</w:t>
      </w:r>
    </w:p>
    <w:p w14:paraId="065C8EF5" w14:textId="27E5007B" w:rsidR="008F1D18" w:rsidRPr="008B22E5" w:rsidRDefault="008F1D18" w:rsidP="00034985">
      <w:pPr>
        <w:numPr>
          <w:ilvl w:val="0"/>
          <w:numId w:val="10"/>
        </w:numPr>
        <w:tabs>
          <w:tab w:val="num" w:pos="720"/>
        </w:tabs>
        <w:spacing w:after="120"/>
        <w:rPr>
          <w:rFonts w:ascii="Gellix" w:hAnsi="Gellix"/>
          <w:sz w:val="21"/>
          <w:szCs w:val="21"/>
          <w:lang w:val="en-GB"/>
        </w:rPr>
      </w:pPr>
      <w:r w:rsidRPr="008B22E5">
        <w:rPr>
          <w:rFonts w:ascii="Gellix" w:hAnsi="Gellix"/>
          <w:sz w:val="21"/>
          <w:szCs w:val="21"/>
          <w:lang w:val="en-GB"/>
        </w:rPr>
        <w:t>Promote regulatory frameworks that protect security and privacy without imposing unnecessary restrictions on trade and data-driven business models</w:t>
      </w:r>
    </w:p>
    <w:p w14:paraId="35243D96" w14:textId="77777777" w:rsidR="00864FB0" w:rsidRPr="00761EB1" w:rsidRDefault="003C39A8">
      <w:pPr>
        <w:numPr>
          <w:ilvl w:val="0"/>
          <w:numId w:val="10"/>
        </w:numPr>
        <w:spacing w:after="120"/>
        <w:rPr>
          <w:rFonts w:ascii="Gellix" w:hAnsi="Gellix"/>
          <w:b/>
          <w:bCs/>
          <w:sz w:val="21"/>
          <w:szCs w:val="21"/>
          <w:lang w:val="en-GB"/>
        </w:rPr>
      </w:pPr>
      <w:r w:rsidRPr="008B22E5">
        <w:rPr>
          <w:rFonts w:ascii="Gellix" w:hAnsi="Gellix"/>
          <w:sz w:val="21"/>
          <w:szCs w:val="21"/>
          <w:lang w:val="en-GB"/>
        </w:rPr>
        <w:lastRenderedPageBreak/>
        <w:t xml:space="preserve">Promote policies in trade agreements that differentiate between personal and non-personal data to enable proportionate, risk-based regulation </w:t>
      </w:r>
    </w:p>
    <w:p w14:paraId="7B4083C6" w14:textId="77777777" w:rsidR="00761EB1" w:rsidRPr="00761EB1" w:rsidRDefault="00761EB1" w:rsidP="0048791F">
      <w:pPr>
        <w:keepNext/>
        <w:keepLines/>
        <w:spacing w:after="120"/>
        <w:rPr>
          <w:rFonts w:ascii="Gellix" w:hAnsi="Gellix"/>
          <w:b/>
          <w:bCs/>
          <w:sz w:val="21"/>
          <w:szCs w:val="21"/>
          <w:lang w:val="en-GB"/>
        </w:rPr>
      </w:pPr>
      <w:r w:rsidRPr="00761EB1">
        <w:rPr>
          <w:rFonts w:ascii="Gellix" w:hAnsi="Gellix"/>
          <w:b/>
          <w:bCs/>
          <w:sz w:val="21"/>
          <w:szCs w:val="21"/>
          <w:lang w:val="en-GB"/>
        </w:rPr>
        <w:t>Safeguard Confidential Business Information in Cross-Border Data Regulations</w:t>
      </w:r>
    </w:p>
    <w:p w14:paraId="750C4839" w14:textId="77777777" w:rsidR="00761EB1" w:rsidRPr="00761EB1" w:rsidRDefault="00761EB1" w:rsidP="0048791F">
      <w:pPr>
        <w:keepNext/>
        <w:keepLines/>
        <w:numPr>
          <w:ilvl w:val="0"/>
          <w:numId w:val="13"/>
        </w:numPr>
        <w:tabs>
          <w:tab w:val="num" w:pos="720"/>
        </w:tabs>
        <w:spacing w:after="120"/>
        <w:rPr>
          <w:rFonts w:ascii="Gellix" w:hAnsi="Gellix"/>
          <w:sz w:val="21"/>
          <w:szCs w:val="21"/>
          <w:lang w:val="en-GB"/>
        </w:rPr>
      </w:pPr>
      <w:r w:rsidRPr="00761EB1">
        <w:rPr>
          <w:rFonts w:ascii="Gellix" w:hAnsi="Gellix"/>
          <w:sz w:val="21"/>
          <w:szCs w:val="21"/>
          <w:lang w:val="en-GB"/>
        </w:rPr>
        <w:t>Oppose forced data-sharing mandates that require businesses to disclose proprietary supply chain information (e.g., supplier networks, inventory levels, trade finance records) without adequate protections.</w:t>
      </w:r>
    </w:p>
    <w:p w14:paraId="733BB84D" w14:textId="77777777" w:rsidR="00761EB1" w:rsidRPr="00761EB1" w:rsidRDefault="00761EB1" w:rsidP="00761EB1">
      <w:pPr>
        <w:numPr>
          <w:ilvl w:val="0"/>
          <w:numId w:val="13"/>
        </w:numPr>
        <w:tabs>
          <w:tab w:val="num" w:pos="720"/>
        </w:tabs>
        <w:spacing w:after="120"/>
        <w:rPr>
          <w:rFonts w:ascii="Gellix" w:hAnsi="Gellix"/>
          <w:sz w:val="21"/>
          <w:szCs w:val="21"/>
          <w:lang w:val="en-GB"/>
        </w:rPr>
      </w:pPr>
      <w:r w:rsidRPr="00761EB1">
        <w:rPr>
          <w:rFonts w:ascii="Gellix" w:hAnsi="Gellix"/>
          <w:sz w:val="21"/>
          <w:szCs w:val="21"/>
          <w:lang w:val="en-GB"/>
        </w:rPr>
        <w:t>Advocate for strong protections against misuse of commercially sensitive data in trade agreements and regulatory frameworks.</w:t>
      </w:r>
    </w:p>
    <w:p w14:paraId="551A5D14" w14:textId="77777777" w:rsidR="00761EB1" w:rsidRPr="00761EB1" w:rsidRDefault="00761EB1" w:rsidP="00761EB1">
      <w:pPr>
        <w:numPr>
          <w:ilvl w:val="0"/>
          <w:numId w:val="13"/>
        </w:numPr>
        <w:tabs>
          <w:tab w:val="num" w:pos="720"/>
        </w:tabs>
        <w:spacing w:after="120"/>
        <w:rPr>
          <w:rFonts w:ascii="Gellix" w:hAnsi="Gellix"/>
          <w:b/>
          <w:bCs/>
          <w:sz w:val="21"/>
          <w:szCs w:val="21"/>
          <w:lang w:val="en-GB"/>
        </w:rPr>
      </w:pPr>
      <w:r w:rsidRPr="00761EB1">
        <w:rPr>
          <w:rFonts w:ascii="Gellix" w:hAnsi="Gellix"/>
          <w:sz w:val="21"/>
          <w:szCs w:val="21"/>
          <w:lang w:val="en-GB"/>
        </w:rPr>
        <w:t>Support clear, enforceable mechanisms to ensure that trade-related data transfers are subject to privacy, security, and non-discriminatory treatment provisions.</w:t>
      </w:r>
    </w:p>
    <w:p w14:paraId="54BC8F2C" w14:textId="78975419" w:rsidR="00B357A4" w:rsidRPr="008B22E5" w:rsidRDefault="592558A1" w:rsidP="00864FB0">
      <w:pPr>
        <w:spacing w:after="120"/>
        <w:rPr>
          <w:rFonts w:ascii="Gellix" w:hAnsi="Gellix"/>
          <w:b/>
          <w:bCs/>
          <w:sz w:val="21"/>
          <w:szCs w:val="21"/>
          <w:lang w:val="en-GB"/>
        </w:rPr>
      </w:pPr>
      <w:r w:rsidRPr="65B7D73E">
        <w:rPr>
          <w:rFonts w:ascii="Gellix" w:hAnsi="Gellix"/>
          <w:b/>
          <w:bCs/>
          <w:sz w:val="21"/>
          <w:szCs w:val="21"/>
          <w:lang w:val="en-GB"/>
        </w:rPr>
        <w:t>Support</w:t>
      </w:r>
      <w:r w:rsidR="044308F5" w:rsidRPr="65B7D73E">
        <w:rPr>
          <w:rFonts w:ascii="Gellix" w:hAnsi="Gellix"/>
          <w:b/>
          <w:bCs/>
          <w:sz w:val="21"/>
          <w:szCs w:val="21"/>
          <w:lang w:val="en-GB"/>
        </w:rPr>
        <w:t xml:space="preserve"> </w:t>
      </w:r>
      <w:r w:rsidR="0830851B" w:rsidRPr="65B7D73E">
        <w:rPr>
          <w:rFonts w:ascii="Gellix" w:hAnsi="Gellix"/>
          <w:b/>
          <w:bCs/>
          <w:sz w:val="21"/>
          <w:szCs w:val="21"/>
          <w:lang w:val="en-GB"/>
        </w:rPr>
        <w:t xml:space="preserve">a </w:t>
      </w:r>
      <w:r w:rsidRPr="65B7D73E">
        <w:rPr>
          <w:rFonts w:ascii="Gellix" w:hAnsi="Gellix"/>
          <w:b/>
          <w:bCs/>
          <w:sz w:val="21"/>
          <w:szCs w:val="21"/>
          <w:lang w:val="en-GB"/>
        </w:rPr>
        <w:t>Digital Trade Enabling Environment</w:t>
      </w:r>
    </w:p>
    <w:p w14:paraId="60CD6C9D" w14:textId="77777777" w:rsidR="00B357A4" w:rsidRPr="008B22E5" w:rsidRDefault="00B357A4" w:rsidP="00034985">
      <w:pPr>
        <w:numPr>
          <w:ilvl w:val="0"/>
          <w:numId w:val="11"/>
        </w:numPr>
        <w:tabs>
          <w:tab w:val="clear" w:pos="720"/>
          <w:tab w:val="num" w:pos="360"/>
        </w:tabs>
        <w:spacing w:after="120"/>
        <w:ind w:left="360"/>
        <w:rPr>
          <w:rFonts w:ascii="Gellix" w:hAnsi="Gellix"/>
          <w:sz w:val="21"/>
          <w:szCs w:val="21"/>
          <w:lang w:val="en-GB"/>
        </w:rPr>
      </w:pPr>
      <w:r w:rsidRPr="008B22E5">
        <w:rPr>
          <w:rFonts w:ascii="Gellix" w:hAnsi="Gellix"/>
          <w:sz w:val="21"/>
          <w:szCs w:val="21"/>
          <w:lang w:val="en-GB"/>
        </w:rPr>
        <w:t>Promote harmonized digital trade documentation standards to reduce friction in supply chains</w:t>
      </w:r>
    </w:p>
    <w:p w14:paraId="43CCB6E0" w14:textId="64AD1336" w:rsidR="00B357A4" w:rsidRPr="008B22E5" w:rsidRDefault="00AD473F" w:rsidP="00034985">
      <w:pPr>
        <w:numPr>
          <w:ilvl w:val="0"/>
          <w:numId w:val="11"/>
        </w:numPr>
        <w:tabs>
          <w:tab w:val="clear" w:pos="720"/>
          <w:tab w:val="num" w:pos="360"/>
        </w:tabs>
        <w:spacing w:after="120"/>
        <w:ind w:left="360"/>
        <w:rPr>
          <w:rFonts w:ascii="Gellix" w:hAnsi="Gellix"/>
          <w:sz w:val="21"/>
          <w:szCs w:val="21"/>
          <w:lang w:val="en-GB"/>
        </w:rPr>
      </w:pPr>
      <w:r w:rsidRPr="008B22E5">
        <w:rPr>
          <w:rFonts w:ascii="Gellix" w:hAnsi="Gellix"/>
          <w:sz w:val="21"/>
          <w:szCs w:val="21"/>
          <w:lang w:val="en-GB"/>
        </w:rPr>
        <w:t xml:space="preserve">Encourage the development </w:t>
      </w:r>
      <w:r w:rsidRPr="009B6D74">
        <w:rPr>
          <w:rFonts w:ascii="Gellix" w:hAnsi="Gellix"/>
          <w:sz w:val="21"/>
          <w:szCs w:val="21"/>
          <w:lang w:val="en-GB"/>
        </w:rPr>
        <w:t>of data handling certification programs</w:t>
      </w:r>
      <w:r w:rsidRPr="008B22E5">
        <w:rPr>
          <w:rFonts w:ascii="Gellix" w:hAnsi="Gellix"/>
          <w:sz w:val="21"/>
          <w:szCs w:val="21"/>
          <w:lang w:val="en-GB"/>
        </w:rPr>
        <w:t xml:space="preserve"> within trusted trader frameworks to enhance supply chain security and efficiency.</w:t>
      </w:r>
    </w:p>
    <w:p w14:paraId="1F90822C" w14:textId="77777777" w:rsidR="00B357A4" w:rsidRDefault="00B357A4" w:rsidP="00034985">
      <w:pPr>
        <w:numPr>
          <w:ilvl w:val="0"/>
          <w:numId w:val="11"/>
        </w:numPr>
        <w:tabs>
          <w:tab w:val="clear" w:pos="720"/>
          <w:tab w:val="num" w:pos="360"/>
        </w:tabs>
        <w:spacing w:after="120"/>
        <w:ind w:left="360"/>
        <w:rPr>
          <w:rFonts w:ascii="Gellix" w:hAnsi="Gellix"/>
          <w:sz w:val="21"/>
          <w:szCs w:val="21"/>
          <w:lang w:val="en-GB"/>
        </w:rPr>
      </w:pPr>
      <w:r w:rsidRPr="008B22E5">
        <w:rPr>
          <w:rFonts w:ascii="Gellix" w:hAnsi="Gellix"/>
          <w:sz w:val="21"/>
          <w:szCs w:val="21"/>
          <w:lang w:val="en-GB"/>
        </w:rPr>
        <w:t>Advocate for supply chain digitalization provisions in trade agreements</w:t>
      </w:r>
    </w:p>
    <w:p w14:paraId="206F2F8B" w14:textId="4EA49373" w:rsidR="00A7191B" w:rsidRDefault="00A7191B">
      <w:pPr>
        <w:rPr>
          <w:rFonts w:ascii="Gellix" w:hAnsi="Gellix"/>
          <w:sz w:val="21"/>
          <w:szCs w:val="21"/>
          <w:lang w:val="en-GB"/>
        </w:rPr>
      </w:pPr>
    </w:p>
    <w:p w14:paraId="404FCE38" w14:textId="7E348F1B" w:rsidR="00384DD2" w:rsidRDefault="006C2F68" w:rsidP="006F050E">
      <w:pPr>
        <w:spacing w:after="120"/>
        <w:rPr>
          <w:rFonts w:ascii="Gellix" w:hAnsi="Gellix"/>
          <w:b/>
          <w:bCs/>
          <w:lang w:val="en-GB"/>
        </w:rPr>
      </w:pPr>
      <w:r w:rsidRPr="006469FB">
        <w:rPr>
          <w:rFonts w:ascii="Gellix" w:hAnsi="Gellix"/>
          <w:b/>
          <w:bCs/>
          <w:lang w:val="en-GB"/>
        </w:rPr>
        <w:t>Quotes and other supporting messages</w:t>
      </w:r>
    </w:p>
    <w:p w14:paraId="45B8885E" w14:textId="7CDE1A2D" w:rsidR="00384DD2" w:rsidRPr="00A7191B" w:rsidRDefault="62A01C5B" w:rsidP="65B7D73E">
      <w:pPr>
        <w:spacing w:after="120"/>
        <w:rPr>
          <w:rFonts w:ascii="Gellix" w:hAnsi="Gellix"/>
          <w:sz w:val="21"/>
          <w:szCs w:val="21"/>
          <w:lang w:val="en-GB"/>
        </w:rPr>
      </w:pPr>
      <w:r w:rsidRPr="65B7D73E">
        <w:rPr>
          <w:sz w:val="21"/>
          <w:szCs w:val="21"/>
          <w:lang w:val="en-GB"/>
        </w:rPr>
        <w:t>The paper will also include</w:t>
      </w:r>
      <w:r w:rsidR="09586339" w:rsidRPr="65B7D73E">
        <w:rPr>
          <w:sz w:val="21"/>
          <w:szCs w:val="21"/>
          <w:lang w:val="en-GB"/>
        </w:rPr>
        <w:t>:</w:t>
      </w:r>
    </w:p>
    <w:p w14:paraId="39D95A77" w14:textId="0E95DF90" w:rsidR="006C2F68" w:rsidRPr="006469FB" w:rsidRDefault="006C2F68" w:rsidP="006469FB">
      <w:pPr>
        <w:pStyle w:val="Liststycke"/>
        <w:numPr>
          <w:ilvl w:val="1"/>
          <w:numId w:val="11"/>
        </w:numPr>
        <w:rPr>
          <w:rFonts w:ascii="Gellix" w:hAnsi="Gellix"/>
          <w:sz w:val="21"/>
          <w:szCs w:val="21"/>
          <w:lang w:val="en-GB"/>
        </w:rPr>
      </w:pPr>
      <w:r w:rsidRPr="006469FB">
        <w:rPr>
          <w:rFonts w:ascii="Gellix" w:hAnsi="Gellix"/>
          <w:sz w:val="21"/>
          <w:szCs w:val="21"/>
          <w:lang w:val="en-GB"/>
        </w:rPr>
        <w:t xml:space="preserve">Quotes from companies </w:t>
      </w:r>
      <w:r w:rsidR="00384DD2">
        <w:rPr>
          <w:rFonts w:ascii="Gellix" w:hAnsi="Gellix"/>
          <w:sz w:val="21"/>
          <w:szCs w:val="21"/>
          <w:lang w:val="en-GB"/>
        </w:rPr>
        <w:t xml:space="preserve">in break-out boxes </w:t>
      </w:r>
      <w:r w:rsidRPr="006469FB">
        <w:rPr>
          <w:rFonts w:ascii="Gellix" w:hAnsi="Gellix"/>
          <w:sz w:val="21"/>
          <w:szCs w:val="21"/>
          <w:lang w:val="en-GB"/>
        </w:rPr>
        <w:t xml:space="preserve">providing real-life reflections on the adverse effects of data flow restrictions (e.g. SMEs in developing countries, </w:t>
      </w:r>
      <w:r w:rsidR="006F050E">
        <w:rPr>
          <w:rFonts w:ascii="Gellix" w:hAnsi="Gellix"/>
          <w:sz w:val="21"/>
          <w:szCs w:val="21"/>
          <w:lang w:val="en-GB"/>
        </w:rPr>
        <w:t>m</w:t>
      </w:r>
      <w:r w:rsidRPr="006469FB">
        <w:rPr>
          <w:rFonts w:ascii="Gellix" w:hAnsi="Gellix"/>
          <w:sz w:val="21"/>
          <w:szCs w:val="21"/>
          <w:lang w:val="en-GB"/>
        </w:rPr>
        <w:t>ultinational).</w:t>
      </w:r>
    </w:p>
    <w:p w14:paraId="38BA4853" w14:textId="5DDFB99C" w:rsidR="002961AB" w:rsidRPr="006469FB" w:rsidRDefault="00E90A02" w:rsidP="006469FB">
      <w:pPr>
        <w:pStyle w:val="Liststycke"/>
        <w:numPr>
          <w:ilvl w:val="1"/>
          <w:numId w:val="11"/>
        </w:numPr>
        <w:spacing w:after="120"/>
        <w:rPr>
          <w:rFonts w:ascii="Gellix" w:hAnsi="Gellix"/>
          <w:sz w:val="21"/>
          <w:szCs w:val="21"/>
          <w:lang w:val="en-GB"/>
        </w:rPr>
      </w:pPr>
      <w:r w:rsidRPr="006469FB">
        <w:rPr>
          <w:rFonts w:ascii="Gellix" w:hAnsi="Gellix"/>
          <w:sz w:val="21"/>
          <w:szCs w:val="21"/>
          <w:lang w:val="en-GB"/>
        </w:rPr>
        <w:t xml:space="preserve">Breakout box </w:t>
      </w:r>
      <w:r w:rsidR="00BD70BE" w:rsidRPr="006469FB">
        <w:rPr>
          <w:rFonts w:ascii="Gellix" w:hAnsi="Gellix"/>
          <w:sz w:val="21"/>
          <w:szCs w:val="21"/>
          <w:lang w:val="en-GB"/>
        </w:rPr>
        <w:t>with an overview of the WTO Joint Statement Initiative (JSI)</w:t>
      </w:r>
      <w:r w:rsidR="00B3418D" w:rsidRPr="006469FB">
        <w:rPr>
          <w:rFonts w:ascii="Gellix" w:hAnsi="Gellix"/>
          <w:sz w:val="21"/>
          <w:szCs w:val="21"/>
          <w:lang w:val="en-GB"/>
        </w:rPr>
        <w:t xml:space="preserve"> principles </w:t>
      </w:r>
      <w:r w:rsidR="00705B94" w:rsidRPr="006469FB">
        <w:rPr>
          <w:rFonts w:ascii="Gellix" w:hAnsi="Gellix"/>
          <w:sz w:val="21"/>
          <w:szCs w:val="21"/>
          <w:lang w:val="en-GB"/>
        </w:rPr>
        <w:t>on e-commerce.</w:t>
      </w:r>
    </w:p>
    <w:p w14:paraId="1F65F7AE" w14:textId="04C7F553" w:rsidR="00331C23" w:rsidRDefault="4DA2D052" w:rsidP="002961AB">
      <w:pPr>
        <w:pStyle w:val="Liststycke"/>
        <w:numPr>
          <w:ilvl w:val="1"/>
          <w:numId w:val="11"/>
        </w:numPr>
        <w:rPr>
          <w:rFonts w:ascii="Gellix" w:hAnsi="Gellix"/>
          <w:sz w:val="21"/>
          <w:szCs w:val="21"/>
          <w:lang w:val="en-GB"/>
        </w:rPr>
      </w:pPr>
      <w:r w:rsidRPr="65B7D73E">
        <w:rPr>
          <w:rFonts w:ascii="Gellix" w:hAnsi="Gellix"/>
          <w:sz w:val="21"/>
          <w:szCs w:val="21"/>
          <w:lang w:val="en-GB"/>
        </w:rPr>
        <w:t>An a</w:t>
      </w:r>
      <w:r w:rsidR="5EAF2F2C" w:rsidRPr="65B7D73E">
        <w:rPr>
          <w:rFonts w:ascii="Gellix" w:hAnsi="Gellix"/>
          <w:sz w:val="21"/>
          <w:szCs w:val="21"/>
          <w:lang w:val="en-GB"/>
        </w:rPr>
        <w:t>dditional resource</w:t>
      </w:r>
      <w:r w:rsidRPr="65B7D73E">
        <w:rPr>
          <w:rFonts w:ascii="Gellix" w:hAnsi="Gellix"/>
          <w:sz w:val="21"/>
          <w:szCs w:val="21"/>
          <w:lang w:val="en-GB"/>
        </w:rPr>
        <w:t xml:space="preserve"> section at the end with </w:t>
      </w:r>
      <w:r w:rsidR="7C4374EE" w:rsidRPr="65B7D73E">
        <w:rPr>
          <w:rFonts w:ascii="Gellix" w:hAnsi="Gellix"/>
          <w:sz w:val="21"/>
          <w:szCs w:val="21"/>
          <w:lang w:val="en-GB"/>
        </w:rPr>
        <w:t>links</w:t>
      </w:r>
      <w:r w:rsidR="4B6562B7" w:rsidRPr="65B7D73E">
        <w:rPr>
          <w:rFonts w:ascii="Gellix" w:hAnsi="Gellix"/>
          <w:sz w:val="21"/>
          <w:szCs w:val="21"/>
          <w:lang w:val="en-GB"/>
        </w:rPr>
        <w:t xml:space="preserve"> </w:t>
      </w:r>
      <w:r w:rsidR="7C4374EE" w:rsidRPr="65B7D73E">
        <w:rPr>
          <w:rFonts w:ascii="Gellix" w:hAnsi="Gellix"/>
          <w:sz w:val="21"/>
          <w:szCs w:val="21"/>
          <w:lang w:val="en-GB"/>
        </w:rPr>
        <w:t xml:space="preserve">to </w:t>
      </w:r>
      <w:r w:rsidRPr="65B7D73E">
        <w:rPr>
          <w:rFonts w:ascii="Gellix" w:hAnsi="Gellix"/>
          <w:sz w:val="21"/>
          <w:szCs w:val="21"/>
          <w:lang w:val="en-GB"/>
        </w:rPr>
        <w:t xml:space="preserve">relevant </w:t>
      </w:r>
      <w:r w:rsidR="7C4374EE" w:rsidRPr="65B7D73E">
        <w:rPr>
          <w:rFonts w:ascii="Gellix" w:hAnsi="Gellix"/>
          <w:sz w:val="21"/>
          <w:szCs w:val="21"/>
          <w:lang w:val="en-GB"/>
        </w:rPr>
        <w:t xml:space="preserve">ICC </w:t>
      </w:r>
      <w:r w:rsidR="5EAF2F2C" w:rsidRPr="65B7D73E">
        <w:rPr>
          <w:rFonts w:ascii="Gellix" w:hAnsi="Gellix"/>
          <w:sz w:val="21"/>
          <w:szCs w:val="21"/>
          <w:lang w:val="en-GB"/>
        </w:rPr>
        <w:t xml:space="preserve">papers and </w:t>
      </w:r>
      <w:r w:rsidR="7C4374EE" w:rsidRPr="65B7D73E">
        <w:rPr>
          <w:rFonts w:ascii="Gellix" w:hAnsi="Gellix"/>
          <w:sz w:val="21"/>
          <w:szCs w:val="21"/>
          <w:lang w:val="en-GB"/>
        </w:rPr>
        <w:t xml:space="preserve">related </w:t>
      </w:r>
      <w:r w:rsidR="5EAF2F2C" w:rsidRPr="65B7D73E">
        <w:rPr>
          <w:rFonts w:ascii="Gellix" w:hAnsi="Gellix"/>
          <w:sz w:val="21"/>
          <w:szCs w:val="21"/>
          <w:lang w:val="en-GB"/>
        </w:rPr>
        <w:t>statements</w:t>
      </w:r>
      <w:r w:rsidR="7C074AF7" w:rsidRPr="65B7D73E">
        <w:rPr>
          <w:rFonts w:ascii="Gellix" w:hAnsi="Gellix"/>
          <w:sz w:val="21"/>
          <w:szCs w:val="21"/>
          <w:lang w:val="en-GB"/>
        </w:rPr>
        <w:t>.</w:t>
      </w:r>
      <w:r w:rsidR="5EAF2F2C" w:rsidRPr="65B7D73E">
        <w:rPr>
          <w:rFonts w:ascii="Gellix" w:hAnsi="Gellix"/>
          <w:sz w:val="21"/>
          <w:szCs w:val="21"/>
          <w:lang w:val="en-GB"/>
        </w:rPr>
        <w:t xml:space="preserve"> </w:t>
      </w:r>
    </w:p>
    <w:p w14:paraId="5B573705" w14:textId="47404A44" w:rsidR="00586CD4" w:rsidRDefault="2AE9A7DF" w:rsidP="00331C23">
      <w:pPr>
        <w:spacing w:after="0"/>
        <w:rPr>
          <w:rFonts w:ascii="Gellix" w:hAnsi="Gellix"/>
          <w:b/>
          <w:bCs/>
          <w:color w:val="007DFF"/>
          <w:lang w:val="en-US"/>
        </w:rPr>
      </w:pPr>
      <w:r w:rsidRPr="65B7D73E">
        <w:rPr>
          <w:rFonts w:ascii="Gellix" w:hAnsi="Gellix"/>
          <w:b/>
          <w:bCs/>
          <w:color w:val="007DFF"/>
          <w:lang w:val="en-US"/>
        </w:rPr>
        <w:t>Estim</w:t>
      </w:r>
      <w:r w:rsidR="517B9493" w:rsidRPr="65B7D73E">
        <w:rPr>
          <w:rFonts w:ascii="Gellix" w:hAnsi="Gellix"/>
          <w:b/>
          <w:bCs/>
          <w:color w:val="007DFF"/>
          <w:lang w:val="en-US"/>
        </w:rPr>
        <w:t>a</w:t>
      </w:r>
      <w:r w:rsidRPr="65B7D73E">
        <w:rPr>
          <w:rFonts w:ascii="Gellix" w:hAnsi="Gellix"/>
          <w:b/>
          <w:bCs/>
          <w:color w:val="007DFF"/>
          <w:lang w:val="en-US"/>
        </w:rPr>
        <w:t>ted t</w:t>
      </w:r>
      <w:r w:rsidR="227FB69B" w:rsidRPr="65B7D73E">
        <w:rPr>
          <w:rFonts w:ascii="Gellix" w:hAnsi="Gellix"/>
          <w:b/>
          <w:bCs/>
          <w:color w:val="007DFF"/>
          <w:lang w:val="en-US"/>
        </w:rPr>
        <w:t>imeline</w:t>
      </w:r>
    </w:p>
    <w:p w14:paraId="1C929993" w14:textId="77777777" w:rsidR="000B171B" w:rsidRPr="006469FB" w:rsidRDefault="000B171B" w:rsidP="00331C23">
      <w:pPr>
        <w:spacing w:after="0"/>
        <w:rPr>
          <w:rFonts w:ascii="Gellix" w:hAnsi="Gellix"/>
          <w:b/>
          <w:bCs/>
          <w:color w:val="007DFF"/>
          <w:lang w:val="en-US"/>
        </w:rPr>
      </w:pPr>
    </w:p>
    <w:tbl>
      <w:tblPr>
        <w:tblStyle w:val="Tabellrutnt"/>
        <w:tblW w:w="9537" w:type="dxa"/>
        <w:tblLook w:val="04A0" w:firstRow="1" w:lastRow="0" w:firstColumn="1" w:lastColumn="0" w:noHBand="0" w:noVBand="1"/>
      </w:tblPr>
      <w:tblGrid>
        <w:gridCol w:w="2122"/>
        <w:gridCol w:w="4394"/>
        <w:gridCol w:w="3021"/>
      </w:tblGrid>
      <w:tr w:rsidR="00586CD4" w:rsidRPr="0078690C" w14:paraId="37C9AD6D" w14:textId="77777777" w:rsidTr="65B7D73E">
        <w:tc>
          <w:tcPr>
            <w:tcW w:w="6516" w:type="dxa"/>
            <w:gridSpan w:val="2"/>
          </w:tcPr>
          <w:p w14:paraId="3BE6988D" w14:textId="77777777" w:rsidR="00586CD4" w:rsidRPr="0078690C" w:rsidRDefault="00586CD4">
            <w:pPr>
              <w:rPr>
                <w:rFonts w:ascii="Gellix" w:hAnsi="Gellix"/>
                <w:b/>
                <w:bCs/>
                <w:sz w:val="21"/>
                <w:szCs w:val="21"/>
                <w:lang w:val="en-GB"/>
              </w:rPr>
            </w:pPr>
            <w:r w:rsidRPr="0078690C">
              <w:rPr>
                <w:rFonts w:ascii="Gellix" w:hAnsi="Gellix"/>
                <w:b/>
                <w:bCs/>
                <w:sz w:val="21"/>
                <w:szCs w:val="21"/>
                <w:lang w:val="en-GB"/>
              </w:rPr>
              <w:t xml:space="preserve">Activities </w:t>
            </w:r>
          </w:p>
          <w:p w14:paraId="18773BFB" w14:textId="77777777" w:rsidR="00586CD4" w:rsidRPr="0078690C" w:rsidRDefault="00586CD4">
            <w:pPr>
              <w:rPr>
                <w:rFonts w:ascii="Gellix" w:hAnsi="Gellix"/>
                <w:b/>
                <w:bCs/>
                <w:sz w:val="21"/>
                <w:szCs w:val="21"/>
                <w:lang w:val="en-GB"/>
              </w:rPr>
            </w:pPr>
          </w:p>
        </w:tc>
        <w:tc>
          <w:tcPr>
            <w:tcW w:w="3021" w:type="dxa"/>
          </w:tcPr>
          <w:p w14:paraId="3144CF19" w14:textId="77777777" w:rsidR="00586CD4" w:rsidRPr="0078690C" w:rsidRDefault="00586CD4">
            <w:pPr>
              <w:rPr>
                <w:rFonts w:ascii="Gellix" w:hAnsi="Gellix"/>
                <w:b/>
                <w:bCs/>
                <w:sz w:val="21"/>
                <w:szCs w:val="21"/>
                <w:lang w:val="en-GB"/>
              </w:rPr>
            </w:pPr>
            <w:r w:rsidRPr="0078690C">
              <w:rPr>
                <w:rFonts w:ascii="Gellix" w:hAnsi="Gellix"/>
                <w:b/>
                <w:bCs/>
                <w:sz w:val="21"/>
                <w:szCs w:val="21"/>
                <w:lang w:val="en-GB"/>
              </w:rPr>
              <w:t>Deadline/Status</w:t>
            </w:r>
          </w:p>
        </w:tc>
      </w:tr>
      <w:tr w:rsidR="00586CD4" w:rsidRPr="0078690C" w14:paraId="20C2AF92" w14:textId="77777777" w:rsidTr="65B7D73E">
        <w:tc>
          <w:tcPr>
            <w:tcW w:w="2122" w:type="dxa"/>
            <w:vMerge w:val="restart"/>
          </w:tcPr>
          <w:p w14:paraId="4F0F030B" w14:textId="77777777" w:rsidR="00586CD4" w:rsidRPr="0078690C" w:rsidRDefault="00586CD4">
            <w:pPr>
              <w:rPr>
                <w:rFonts w:ascii="Gellix" w:hAnsi="Gellix"/>
                <w:sz w:val="21"/>
                <w:szCs w:val="21"/>
                <w:lang w:val="en-GB"/>
              </w:rPr>
            </w:pPr>
            <w:r w:rsidRPr="0078690C">
              <w:rPr>
                <w:rFonts w:ascii="Gellix" w:hAnsi="Gellix"/>
                <w:sz w:val="21"/>
                <w:szCs w:val="21"/>
                <w:lang w:val="en-GB"/>
              </w:rPr>
              <w:t>Drafting</w:t>
            </w:r>
          </w:p>
        </w:tc>
        <w:tc>
          <w:tcPr>
            <w:tcW w:w="4394" w:type="dxa"/>
          </w:tcPr>
          <w:p w14:paraId="0DF48BAD" w14:textId="77777777" w:rsidR="00586CD4" w:rsidRPr="0078690C" w:rsidRDefault="00586CD4">
            <w:pPr>
              <w:rPr>
                <w:rFonts w:ascii="Gellix" w:hAnsi="Gellix"/>
                <w:sz w:val="21"/>
                <w:szCs w:val="21"/>
                <w:lang w:val="en-GB"/>
              </w:rPr>
            </w:pPr>
            <w:r w:rsidRPr="0078690C">
              <w:rPr>
                <w:rFonts w:ascii="Gellix" w:hAnsi="Gellix"/>
                <w:sz w:val="21"/>
                <w:szCs w:val="21"/>
                <w:lang w:val="en-GB"/>
              </w:rPr>
              <w:t>Develop outline of paper</w:t>
            </w:r>
          </w:p>
        </w:tc>
        <w:tc>
          <w:tcPr>
            <w:tcW w:w="3021" w:type="dxa"/>
          </w:tcPr>
          <w:p w14:paraId="799F14AE" w14:textId="188AB194" w:rsidR="00586CD4" w:rsidRPr="0078690C" w:rsidRDefault="227FB69B">
            <w:pPr>
              <w:rPr>
                <w:rFonts w:ascii="Gellix" w:hAnsi="Gellix"/>
                <w:sz w:val="21"/>
                <w:szCs w:val="21"/>
                <w:lang w:val="en-GB"/>
              </w:rPr>
            </w:pPr>
            <w:r w:rsidRPr="65B7D73E">
              <w:rPr>
                <w:rFonts w:ascii="Gellix" w:hAnsi="Gellix"/>
                <w:sz w:val="21"/>
                <w:szCs w:val="21"/>
                <w:lang w:val="en-GB"/>
              </w:rPr>
              <w:t>2</w:t>
            </w:r>
            <w:r w:rsidR="0D2B72FE" w:rsidRPr="65B7D73E">
              <w:rPr>
                <w:rFonts w:ascii="Gellix" w:hAnsi="Gellix"/>
                <w:sz w:val="21"/>
                <w:szCs w:val="21"/>
                <w:lang w:val="en-GB"/>
              </w:rPr>
              <w:t>6</w:t>
            </w:r>
            <w:r w:rsidRPr="65B7D73E">
              <w:rPr>
                <w:rFonts w:ascii="Gellix" w:hAnsi="Gellix"/>
                <w:sz w:val="21"/>
                <w:szCs w:val="21"/>
                <w:lang w:val="en-GB"/>
              </w:rPr>
              <w:t xml:space="preserve"> March</w:t>
            </w:r>
          </w:p>
          <w:p w14:paraId="66E95730" w14:textId="77777777" w:rsidR="00586CD4" w:rsidRPr="0078690C" w:rsidRDefault="00586CD4">
            <w:pPr>
              <w:rPr>
                <w:rFonts w:ascii="Gellix" w:hAnsi="Gellix"/>
                <w:sz w:val="21"/>
                <w:szCs w:val="21"/>
                <w:lang w:val="en-GB"/>
              </w:rPr>
            </w:pPr>
          </w:p>
        </w:tc>
      </w:tr>
      <w:tr w:rsidR="00586CD4" w:rsidRPr="0078690C" w14:paraId="55FC61CA" w14:textId="77777777" w:rsidTr="65B7D73E">
        <w:tc>
          <w:tcPr>
            <w:tcW w:w="2122" w:type="dxa"/>
            <w:vMerge/>
          </w:tcPr>
          <w:p w14:paraId="40767122" w14:textId="77777777" w:rsidR="00586CD4" w:rsidRPr="0078690C" w:rsidRDefault="00586CD4">
            <w:pPr>
              <w:rPr>
                <w:rFonts w:ascii="Gellix" w:hAnsi="Gellix"/>
                <w:sz w:val="21"/>
                <w:szCs w:val="21"/>
                <w:lang w:val="en-GB"/>
              </w:rPr>
            </w:pPr>
          </w:p>
        </w:tc>
        <w:tc>
          <w:tcPr>
            <w:tcW w:w="4394" w:type="dxa"/>
          </w:tcPr>
          <w:p w14:paraId="1ADF087C" w14:textId="7E6510CF" w:rsidR="00586CD4" w:rsidRPr="0078690C" w:rsidRDefault="227FB69B" w:rsidP="65B7D73E">
            <w:pPr>
              <w:rPr>
                <w:rFonts w:ascii="Gellix" w:hAnsi="Gellix"/>
                <w:sz w:val="21"/>
                <w:szCs w:val="21"/>
                <w:lang w:val="en-GB"/>
              </w:rPr>
            </w:pPr>
            <w:r w:rsidRPr="65B7D73E">
              <w:rPr>
                <w:rFonts w:ascii="Gellix" w:hAnsi="Gellix"/>
                <w:sz w:val="21"/>
                <w:szCs w:val="21"/>
                <w:lang w:val="en-GB"/>
              </w:rPr>
              <w:t xml:space="preserve">Prepare </w:t>
            </w:r>
            <w:r w:rsidR="6C89B3C3" w:rsidRPr="65B7D73E">
              <w:rPr>
                <w:rFonts w:ascii="Gellix" w:hAnsi="Gellix"/>
                <w:b/>
                <w:bCs/>
                <w:sz w:val="21"/>
                <w:szCs w:val="21"/>
                <w:lang w:val="en-GB"/>
              </w:rPr>
              <w:t>(1)</w:t>
            </w:r>
            <w:r w:rsidR="6C89B3C3" w:rsidRPr="65B7D73E">
              <w:rPr>
                <w:rFonts w:ascii="Gellix" w:hAnsi="Gellix"/>
                <w:sz w:val="21"/>
                <w:szCs w:val="21"/>
                <w:lang w:val="en-GB"/>
              </w:rPr>
              <w:t xml:space="preserve"> </w:t>
            </w:r>
            <w:r w:rsidRPr="65B7D73E">
              <w:rPr>
                <w:rFonts w:ascii="Gellix" w:hAnsi="Gellix"/>
                <w:sz w:val="21"/>
                <w:szCs w:val="21"/>
                <w:lang w:val="en-GB"/>
              </w:rPr>
              <w:t>first draft of paper</w:t>
            </w:r>
            <w:r w:rsidR="6DA7B173" w:rsidRPr="65B7D73E">
              <w:rPr>
                <w:rFonts w:ascii="Gellix" w:hAnsi="Gellix"/>
                <w:sz w:val="21"/>
                <w:szCs w:val="21"/>
                <w:lang w:val="en-GB"/>
              </w:rPr>
              <w:t xml:space="preserve"> based on </w:t>
            </w:r>
            <w:r w:rsidR="356EFAE0" w:rsidRPr="65B7D73E">
              <w:rPr>
                <w:rFonts w:ascii="Gellix" w:hAnsi="Gellix"/>
                <w:sz w:val="21"/>
                <w:szCs w:val="21"/>
                <w:lang w:val="en-GB"/>
              </w:rPr>
              <w:t xml:space="preserve">feedback received from </w:t>
            </w:r>
            <w:r w:rsidR="3DC8825D" w:rsidRPr="65B7D73E">
              <w:rPr>
                <w:rFonts w:ascii="Gellix" w:hAnsi="Gellix"/>
                <w:sz w:val="21"/>
                <w:szCs w:val="21"/>
                <w:lang w:val="en-GB"/>
              </w:rPr>
              <w:t>l</w:t>
            </w:r>
            <w:r w:rsidR="356EFAE0" w:rsidRPr="65B7D73E">
              <w:rPr>
                <w:rFonts w:ascii="Gellix" w:hAnsi="Gellix"/>
                <w:sz w:val="21"/>
                <w:szCs w:val="21"/>
                <w:lang w:val="en-GB"/>
              </w:rPr>
              <w:t>eaders on outline</w:t>
            </w:r>
            <w:r w:rsidR="03C05F52" w:rsidRPr="65B7D73E">
              <w:rPr>
                <w:rFonts w:ascii="Gellix" w:hAnsi="Gellix"/>
                <w:sz w:val="21"/>
                <w:szCs w:val="21"/>
                <w:lang w:val="en-GB"/>
              </w:rPr>
              <w:t xml:space="preserve">, and </w:t>
            </w:r>
            <w:r w:rsidR="03C05F52" w:rsidRPr="65B7D73E">
              <w:rPr>
                <w:rFonts w:ascii="Gellix" w:hAnsi="Gellix"/>
                <w:b/>
                <w:bCs/>
                <w:sz w:val="21"/>
                <w:szCs w:val="21"/>
                <w:lang w:val="en-GB"/>
              </w:rPr>
              <w:t xml:space="preserve">(2) </w:t>
            </w:r>
            <w:r w:rsidR="03C05F52" w:rsidRPr="65B7D73E">
              <w:rPr>
                <w:rFonts w:ascii="Gellix" w:hAnsi="Gellix"/>
                <w:sz w:val="21"/>
                <w:szCs w:val="21"/>
                <w:lang w:val="en-GB"/>
              </w:rPr>
              <w:t xml:space="preserve">supply chain visuals </w:t>
            </w:r>
            <w:r w:rsidR="3F779B04" w:rsidRPr="65B7D73E">
              <w:rPr>
                <w:rFonts w:ascii="Gellix" w:hAnsi="Gellix"/>
                <w:sz w:val="21"/>
                <w:szCs w:val="21"/>
                <w:lang w:val="en-GB"/>
              </w:rPr>
              <w:t xml:space="preserve">(Design </w:t>
            </w:r>
            <w:r w:rsidR="03C05F52" w:rsidRPr="65B7D73E">
              <w:rPr>
                <w:rFonts w:ascii="Gellix" w:hAnsi="Gellix"/>
                <w:sz w:val="21"/>
                <w:szCs w:val="21"/>
                <w:lang w:val="en-GB"/>
              </w:rPr>
              <w:t>team</w:t>
            </w:r>
            <w:r w:rsidR="56915D1A" w:rsidRPr="65B7D73E">
              <w:rPr>
                <w:rFonts w:ascii="Gellix" w:hAnsi="Gellix"/>
                <w:sz w:val="21"/>
                <w:szCs w:val="21"/>
                <w:lang w:val="en-GB"/>
              </w:rPr>
              <w:t>)</w:t>
            </w:r>
            <w:r w:rsidR="69C7575E" w:rsidRPr="65B7D73E">
              <w:rPr>
                <w:rFonts w:ascii="Gellix" w:hAnsi="Gellix"/>
                <w:sz w:val="21"/>
                <w:szCs w:val="21"/>
                <w:lang w:val="en-GB"/>
              </w:rPr>
              <w:t>.</w:t>
            </w:r>
          </w:p>
        </w:tc>
        <w:tc>
          <w:tcPr>
            <w:tcW w:w="3021" w:type="dxa"/>
          </w:tcPr>
          <w:p w14:paraId="79553C6F" w14:textId="27FA7989" w:rsidR="00586CD4" w:rsidRPr="0078690C" w:rsidRDefault="07A22A2D">
            <w:pPr>
              <w:rPr>
                <w:rFonts w:ascii="Gellix" w:hAnsi="Gellix"/>
                <w:sz w:val="21"/>
                <w:szCs w:val="21"/>
                <w:lang w:val="en-GB"/>
              </w:rPr>
            </w:pPr>
            <w:r w:rsidRPr="65B7D73E">
              <w:rPr>
                <w:rFonts w:ascii="Gellix" w:hAnsi="Gellix"/>
                <w:sz w:val="21"/>
                <w:szCs w:val="21"/>
                <w:lang w:val="en-GB"/>
              </w:rPr>
              <w:t>15</w:t>
            </w:r>
            <w:r w:rsidR="227FB69B" w:rsidRPr="65B7D73E">
              <w:rPr>
                <w:rFonts w:ascii="Gellix" w:hAnsi="Gellix"/>
                <w:sz w:val="21"/>
                <w:szCs w:val="21"/>
                <w:lang w:val="en-GB"/>
              </w:rPr>
              <w:t xml:space="preserve"> April</w:t>
            </w:r>
          </w:p>
        </w:tc>
      </w:tr>
      <w:tr w:rsidR="00586CD4" w:rsidRPr="0078690C" w14:paraId="3CC02763" w14:textId="77777777" w:rsidTr="65B7D73E">
        <w:tc>
          <w:tcPr>
            <w:tcW w:w="2122" w:type="dxa"/>
            <w:vMerge/>
          </w:tcPr>
          <w:p w14:paraId="4E4058C6" w14:textId="77777777" w:rsidR="00586CD4" w:rsidRPr="0078690C" w:rsidRDefault="00586CD4">
            <w:pPr>
              <w:rPr>
                <w:rFonts w:ascii="Gellix" w:hAnsi="Gellix"/>
                <w:sz w:val="21"/>
                <w:szCs w:val="21"/>
                <w:lang w:val="en-GB"/>
              </w:rPr>
            </w:pPr>
          </w:p>
        </w:tc>
        <w:tc>
          <w:tcPr>
            <w:tcW w:w="4394" w:type="dxa"/>
          </w:tcPr>
          <w:p w14:paraId="159A8E55" w14:textId="77777777" w:rsidR="00586CD4" w:rsidRPr="0078690C" w:rsidRDefault="00586CD4">
            <w:pPr>
              <w:rPr>
                <w:rFonts w:ascii="Gellix" w:hAnsi="Gellix"/>
                <w:sz w:val="21"/>
                <w:szCs w:val="21"/>
                <w:lang w:val="en-GB"/>
              </w:rPr>
            </w:pPr>
            <w:r w:rsidRPr="0078690C">
              <w:rPr>
                <w:rFonts w:ascii="Gellix" w:hAnsi="Gellix"/>
                <w:sz w:val="21"/>
                <w:szCs w:val="21"/>
                <w:lang w:val="en-GB"/>
              </w:rPr>
              <w:t>Review period of first draft by TIC</w:t>
            </w:r>
            <w:r>
              <w:rPr>
                <w:rFonts w:ascii="Gellix" w:hAnsi="Gellix"/>
                <w:sz w:val="21"/>
                <w:szCs w:val="21"/>
                <w:lang w:val="en-GB"/>
              </w:rPr>
              <w:t xml:space="preserve"> + DEC</w:t>
            </w:r>
            <w:r w:rsidRPr="0078690C">
              <w:rPr>
                <w:rFonts w:ascii="Gellix" w:hAnsi="Gellix"/>
                <w:sz w:val="21"/>
                <w:szCs w:val="21"/>
                <w:lang w:val="en-GB"/>
              </w:rPr>
              <w:t xml:space="preserve"> leaders </w:t>
            </w:r>
            <w:r w:rsidRPr="0078690C">
              <w:rPr>
                <w:rFonts w:ascii="Gellix" w:hAnsi="Gellix"/>
                <w:sz w:val="21"/>
                <w:szCs w:val="21"/>
                <w:lang w:val="en-GB"/>
              </w:rPr>
              <w:br/>
            </w:r>
          </w:p>
        </w:tc>
        <w:tc>
          <w:tcPr>
            <w:tcW w:w="3021" w:type="dxa"/>
          </w:tcPr>
          <w:p w14:paraId="655303A8" w14:textId="339EFFA5" w:rsidR="00586CD4" w:rsidRPr="0078690C" w:rsidRDefault="6DF24C54">
            <w:pPr>
              <w:rPr>
                <w:rFonts w:ascii="Gellix" w:hAnsi="Gellix"/>
                <w:sz w:val="21"/>
                <w:szCs w:val="21"/>
                <w:lang w:val="en-GB"/>
              </w:rPr>
            </w:pPr>
            <w:r w:rsidRPr="65B7D73E">
              <w:rPr>
                <w:rFonts w:ascii="Gellix" w:hAnsi="Gellix"/>
                <w:sz w:val="21"/>
                <w:szCs w:val="21"/>
                <w:lang w:val="en-GB"/>
              </w:rPr>
              <w:t>2</w:t>
            </w:r>
            <w:r w:rsidR="397A62C3" w:rsidRPr="65B7D73E">
              <w:rPr>
                <w:rFonts w:ascii="Gellix" w:hAnsi="Gellix"/>
                <w:sz w:val="21"/>
                <w:szCs w:val="21"/>
                <w:lang w:val="en-GB"/>
              </w:rPr>
              <w:t>2</w:t>
            </w:r>
            <w:r w:rsidR="227FB69B" w:rsidRPr="65B7D73E">
              <w:rPr>
                <w:rFonts w:ascii="Gellix" w:hAnsi="Gellix"/>
                <w:sz w:val="21"/>
                <w:szCs w:val="21"/>
                <w:lang w:val="en-GB"/>
              </w:rPr>
              <w:t xml:space="preserve"> April</w:t>
            </w:r>
          </w:p>
        </w:tc>
      </w:tr>
      <w:tr w:rsidR="00586CD4" w:rsidRPr="0078690C" w14:paraId="625C429E" w14:textId="77777777" w:rsidTr="65B7D73E">
        <w:tc>
          <w:tcPr>
            <w:tcW w:w="2122" w:type="dxa"/>
            <w:vMerge/>
          </w:tcPr>
          <w:p w14:paraId="32B3D543" w14:textId="77777777" w:rsidR="00586CD4" w:rsidRPr="0078690C" w:rsidRDefault="00586CD4">
            <w:pPr>
              <w:rPr>
                <w:rFonts w:ascii="Gellix" w:hAnsi="Gellix"/>
                <w:sz w:val="21"/>
                <w:szCs w:val="21"/>
                <w:lang w:val="en-GB"/>
              </w:rPr>
            </w:pPr>
          </w:p>
        </w:tc>
        <w:tc>
          <w:tcPr>
            <w:tcW w:w="4394" w:type="dxa"/>
          </w:tcPr>
          <w:p w14:paraId="38092C14" w14:textId="77777777" w:rsidR="00586CD4" w:rsidRPr="0078690C" w:rsidRDefault="00586CD4">
            <w:pPr>
              <w:rPr>
                <w:rFonts w:ascii="Gellix" w:hAnsi="Gellix"/>
                <w:sz w:val="21"/>
                <w:szCs w:val="21"/>
                <w:lang w:val="en-GB"/>
              </w:rPr>
            </w:pPr>
            <w:r w:rsidRPr="0078690C">
              <w:rPr>
                <w:rFonts w:ascii="Gellix" w:hAnsi="Gellix"/>
                <w:sz w:val="21"/>
                <w:szCs w:val="21"/>
                <w:lang w:val="en-GB"/>
              </w:rPr>
              <w:t>Prepare second draft of paper</w:t>
            </w:r>
            <w:r w:rsidRPr="0078690C">
              <w:rPr>
                <w:rFonts w:ascii="Gellix" w:hAnsi="Gellix"/>
                <w:sz w:val="21"/>
                <w:szCs w:val="21"/>
                <w:lang w:val="en-GB"/>
              </w:rPr>
              <w:br/>
            </w:r>
          </w:p>
        </w:tc>
        <w:tc>
          <w:tcPr>
            <w:tcW w:w="3021" w:type="dxa"/>
          </w:tcPr>
          <w:p w14:paraId="52ECD2B5" w14:textId="2E0A0329" w:rsidR="00586CD4" w:rsidRPr="0078690C" w:rsidRDefault="227FB69B">
            <w:pPr>
              <w:rPr>
                <w:rFonts w:ascii="Gellix" w:hAnsi="Gellix"/>
                <w:sz w:val="21"/>
                <w:szCs w:val="21"/>
                <w:lang w:val="en-GB"/>
              </w:rPr>
            </w:pPr>
            <w:r w:rsidRPr="65B7D73E">
              <w:rPr>
                <w:rFonts w:ascii="Gellix" w:hAnsi="Gellix"/>
                <w:sz w:val="21"/>
                <w:szCs w:val="21"/>
                <w:lang w:val="en-GB"/>
              </w:rPr>
              <w:t>2</w:t>
            </w:r>
            <w:r w:rsidR="2037E812" w:rsidRPr="65B7D73E">
              <w:rPr>
                <w:rFonts w:ascii="Gellix" w:hAnsi="Gellix"/>
                <w:sz w:val="21"/>
                <w:szCs w:val="21"/>
                <w:lang w:val="en-GB"/>
              </w:rPr>
              <w:t xml:space="preserve">5 </w:t>
            </w:r>
            <w:r w:rsidRPr="65B7D73E">
              <w:rPr>
                <w:rFonts w:ascii="Gellix" w:hAnsi="Gellix"/>
                <w:sz w:val="21"/>
                <w:szCs w:val="21"/>
                <w:lang w:val="en-GB"/>
              </w:rPr>
              <w:t>April</w:t>
            </w:r>
          </w:p>
        </w:tc>
      </w:tr>
      <w:tr w:rsidR="00586CD4" w:rsidRPr="0078690C" w14:paraId="35AEB612" w14:textId="77777777" w:rsidTr="65B7D73E">
        <w:tc>
          <w:tcPr>
            <w:tcW w:w="2122" w:type="dxa"/>
            <w:vMerge/>
          </w:tcPr>
          <w:p w14:paraId="08749193" w14:textId="77777777" w:rsidR="00586CD4" w:rsidRPr="0078690C" w:rsidRDefault="00586CD4">
            <w:pPr>
              <w:rPr>
                <w:rFonts w:ascii="Gellix" w:hAnsi="Gellix"/>
                <w:sz w:val="21"/>
                <w:szCs w:val="21"/>
                <w:lang w:val="en-GB"/>
              </w:rPr>
            </w:pPr>
          </w:p>
        </w:tc>
        <w:tc>
          <w:tcPr>
            <w:tcW w:w="4394" w:type="dxa"/>
          </w:tcPr>
          <w:p w14:paraId="7B0176A3" w14:textId="528BBAAD" w:rsidR="00586CD4" w:rsidRPr="0078690C" w:rsidRDefault="227FB69B">
            <w:pPr>
              <w:rPr>
                <w:rFonts w:ascii="Gellix" w:hAnsi="Gellix"/>
                <w:sz w:val="21"/>
                <w:szCs w:val="21"/>
                <w:lang w:val="en-GB"/>
              </w:rPr>
            </w:pPr>
            <w:r w:rsidRPr="65B7D73E">
              <w:rPr>
                <w:rFonts w:ascii="Gellix" w:hAnsi="Gellix"/>
                <w:sz w:val="21"/>
                <w:szCs w:val="21"/>
                <w:lang w:val="en-GB"/>
              </w:rPr>
              <w:t>Review period for comments from DEC + TIC Commissions</w:t>
            </w:r>
            <w:r w:rsidR="00586CD4" w:rsidRPr="00D35AE3">
              <w:rPr>
                <w:lang w:val="en-GB"/>
              </w:rPr>
              <w:br/>
            </w:r>
          </w:p>
        </w:tc>
        <w:tc>
          <w:tcPr>
            <w:tcW w:w="3021" w:type="dxa"/>
          </w:tcPr>
          <w:p w14:paraId="5B88113D" w14:textId="1AD01A46" w:rsidR="00586CD4" w:rsidRPr="0078690C" w:rsidRDefault="51941D99" w:rsidP="65B7D73E">
            <w:pPr>
              <w:rPr>
                <w:rFonts w:ascii="Gellix" w:hAnsi="Gellix"/>
                <w:sz w:val="21"/>
                <w:szCs w:val="21"/>
                <w:lang w:val="en-GB"/>
              </w:rPr>
            </w:pPr>
            <w:r w:rsidRPr="65B7D73E">
              <w:rPr>
                <w:rFonts w:ascii="Gellix" w:hAnsi="Gellix"/>
                <w:sz w:val="21"/>
                <w:szCs w:val="21"/>
                <w:lang w:val="en-GB"/>
              </w:rPr>
              <w:t>25 April-2 May</w:t>
            </w:r>
          </w:p>
          <w:p w14:paraId="02313AF0" w14:textId="3C5258E5" w:rsidR="00586CD4" w:rsidRPr="0078690C" w:rsidRDefault="00586CD4">
            <w:pPr>
              <w:rPr>
                <w:rFonts w:ascii="Gellix" w:hAnsi="Gellix"/>
                <w:sz w:val="21"/>
                <w:szCs w:val="21"/>
                <w:lang w:val="en-GB"/>
              </w:rPr>
            </w:pPr>
          </w:p>
        </w:tc>
      </w:tr>
      <w:tr w:rsidR="00586CD4" w:rsidRPr="0078690C" w14:paraId="134BAF74" w14:textId="77777777" w:rsidTr="65B7D73E">
        <w:tc>
          <w:tcPr>
            <w:tcW w:w="2122" w:type="dxa"/>
            <w:vMerge/>
          </w:tcPr>
          <w:p w14:paraId="0A8BA2D1" w14:textId="77777777" w:rsidR="00586CD4" w:rsidRPr="0078690C" w:rsidRDefault="00586CD4">
            <w:pPr>
              <w:rPr>
                <w:rFonts w:ascii="Gellix" w:hAnsi="Gellix"/>
                <w:sz w:val="21"/>
                <w:szCs w:val="21"/>
                <w:lang w:val="en-GB"/>
              </w:rPr>
            </w:pPr>
          </w:p>
        </w:tc>
        <w:tc>
          <w:tcPr>
            <w:tcW w:w="4394" w:type="dxa"/>
          </w:tcPr>
          <w:p w14:paraId="29F1E0FA" w14:textId="77777777" w:rsidR="00586CD4" w:rsidRPr="0078690C" w:rsidRDefault="00586CD4">
            <w:pPr>
              <w:rPr>
                <w:rFonts w:ascii="Gellix" w:hAnsi="Gellix"/>
                <w:sz w:val="21"/>
                <w:szCs w:val="21"/>
                <w:lang w:val="en-GB"/>
              </w:rPr>
            </w:pPr>
            <w:r w:rsidRPr="0078690C">
              <w:rPr>
                <w:rFonts w:ascii="Gellix" w:hAnsi="Gellix"/>
                <w:sz w:val="21"/>
                <w:szCs w:val="21"/>
                <w:lang w:val="en-GB"/>
              </w:rPr>
              <w:t>Finalise document</w:t>
            </w:r>
          </w:p>
        </w:tc>
        <w:tc>
          <w:tcPr>
            <w:tcW w:w="3021" w:type="dxa"/>
          </w:tcPr>
          <w:p w14:paraId="3F50A160" w14:textId="58F36661" w:rsidR="00586CD4" w:rsidRPr="0078690C" w:rsidRDefault="60750109">
            <w:pPr>
              <w:rPr>
                <w:rFonts w:ascii="Gellix" w:hAnsi="Gellix"/>
                <w:sz w:val="21"/>
                <w:szCs w:val="21"/>
                <w:lang w:val="en-GB"/>
              </w:rPr>
            </w:pPr>
            <w:r w:rsidRPr="65B7D73E">
              <w:rPr>
                <w:rFonts w:ascii="Gellix" w:hAnsi="Gellix"/>
                <w:sz w:val="21"/>
                <w:szCs w:val="21"/>
                <w:lang w:val="en-GB"/>
              </w:rPr>
              <w:t xml:space="preserve">12 </w:t>
            </w:r>
            <w:r w:rsidR="227FB69B" w:rsidRPr="65B7D73E">
              <w:rPr>
                <w:rFonts w:ascii="Gellix" w:hAnsi="Gellix"/>
                <w:sz w:val="21"/>
                <w:szCs w:val="21"/>
                <w:lang w:val="en-GB"/>
              </w:rPr>
              <w:t>May</w:t>
            </w:r>
          </w:p>
        </w:tc>
      </w:tr>
      <w:tr w:rsidR="00586CD4" w:rsidRPr="00FF78D2" w14:paraId="072C4C8E" w14:textId="77777777" w:rsidTr="65B7D73E">
        <w:tc>
          <w:tcPr>
            <w:tcW w:w="2122" w:type="dxa"/>
          </w:tcPr>
          <w:p w14:paraId="5996A4DE" w14:textId="77777777" w:rsidR="00586CD4" w:rsidRPr="0078690C" w:rsidRDefault="00586CD4">
            <w:pPr>
              <w:rPr>
                <w:rFonts w:ascii="Gellix" w:hAnsi="Gellix"/>
                <w:sz w:val="21"/>
                <w:szCs w:val="21"/>
                <w:lang w:val="en-GB"/>
              </w:rPr>
            </w:pPr>
            <w:r w:rsidRPr="0078690C">
              <w:rPr>
                <w:rFonts w:ascii="Gellix" w:hAnsi="Gellix"/>
                <w:sz w:val="21"/>
                <w:szCs w:val="21"/>
                <w:lang w:val="en-GB"/>
              </w:rPr>
              <w:t>Design</w:t>
            </w:r>
          </w:p>
        </w:tc>
        <w:tc>
          <w:tcPr>
            <w:tcW w:w="4394" w:type="dxa"/>
          </w:tcPr>
          <w:p w14:paraId="033FCD8A" w14:textId="1CEA0312" w:rsidR="00586CD4" w:rsidRPr="0078690C" w:rsidRDefault="227FB69B">
            <w:pPr>
              <w:rPr>
                <w:rFonts w:ascii="Gellix" w:hAnsi="Gellix"/>
                <w:sz w:val="21"/>
                <w:szCs w:val="21"/>
                <w:lang w:val="en-GB"/>
              </w:rPr>
            </w:pPr>
            <w:r w:rsidRPr="65B7D73E">
              <w:rPr>
                <w:rFonts w:ascii="Gellix" w:hAnsi="Gellix"/>
                <w:sz w:val="21"/>
                <w:szCs w:val="21"/>
                <w:lang w:val="en-GB"/>
              </w:rPr>
              <w:t xml:space="preserve">Design of </w:t>
            </w:r>
            <w:r w:rsidR="15DDB01E" w:rsidRPr="65B7D73E">
              <w:rPr>
                <w:rFonts w:ascii="Gellix" w:hAnsi="Gellix"/>
                <w:sz w:val="21"/>
                <w:szCs w:val="21"/>
                <w:lang w:val="en-GB"/>
              </w:rPr>
              <w:t>final brief</w:t>
            </w:r>
          </w:p>
        </w:tc>
        <w:tc>
          <w:tcPr>
            <w:tcW w:w="3021" w:type="dxa"/>
          </w:tcPr>
          <w:p w14:paraId="41BCE865" w14:textId="46DE6F62" w:rsidR="00586CD4" w:rsidRPr="0078690C" w:rsidRDefault="715C4369">
            <w:pPr>
              <w:rPr>
                <w:rFonts w:ascii="Gellix" w:hAnsi="Gellix"/>
                <w:sz w:val="21"/>
                <w:szCs w:val="21"/>
                <w:lang w:val="en-GB"/>
              </w:rPr>
            </w:pPr>
            <w:r w:rsidRPr="65B7D73E">
              <w:rPr>
                <w:rFonts w:ascii="Gellix" w:hAnsi="Gellix"/>
                <w:sz w:val="21"/>
                <w:szCs w:val="21"/>
                <w:lang w:val="en-GB"/>
              </w:rPr>
              <w:t>16 May</w:t>
            </w:r>
          </w:p>
        </w:tc>
      </w:tr>
      <w:tr w:rsidR="00586CD4" w:rsidRPr="0078690C" w14:paraId="55BB842E" w14:textId="77777777" w:rsidTr="65B7D73E">
        <w:tc>
          <w:tcPr>
            <w:tcW w:w="2122" w:type="dxa"/>
          </w:tcPr>
          <w:p w14:paraId="4981903E" w14:textId="77777777" w:rsidR="00586CD4" w:rsidRPr="0078690C" w:rsidRDefault="00586CD4">
            <w:pPr>
              <w:rPr>
                <w:rFonts w:ascii="Gellix" w:hAnsi="Gellix"/>
                <w:sz w:val="21"/>
                <w:szCs w:val="21"/>
                <w:lang w:val="en-GB"/>
              </w:rPr>
            </w:pPr>
            <w:r w:rsidRPr="0078690C">
              <w:rPr>
                <w:rFonts w:ascii="Gellix" w:hAnsi="Gellix"/>
                <w:sz w:val="21"/>
                <w:szCs w:val="21"/>
                <w:lang w:val="en-GB"/>
              </w:rPr>
              <w:t>Launch</w:t>
            </w:r>
          </w:p>
        </w:tc>
        <w:tc>
          <w:tcPr>
            <w:tcW w:w="4394" w:type="dxa"/>
          </w:tcPr>
          <w:p w14:paraId="0A877E42" w14:textId="77777777" w:rsidR="00586CD4" w:rsidRPr="0078690C" w:rsidRDefault="00586CD4">
            <w:pPr>
              <w:rPr>
                <w:rFonts w:ascii="Gellix" w:hAnsi="Gellix"/>
                <w:sz w:val="21"/>
                <w:szCs w:val="21"/>
                <w:lang w:val="en-GB"/>
              </w:rPr>
            </w:pPr>
            <w:r w:rsidRPr="0078690C">
              <w:rPr>
                <w:rFonts w:ascii="Gellix" w:hAnsi="Gellix"/>
                <w:sz w:val="21"/>
                <w:szCs w:val="21"/>
                <w:lang w:val="en-GB"/>
              </w:rPr>
              <w:t>Official launch date to be agreed</w:t>
            </w:r>
          </w:p>
          <w:p w14:paraId="0B035464" w14:textId="77777777" w:rsidR="00586CD4" w:rsidRPr="0078690C" w:rsidRDefault="00586CD4">
            <w:pPr>
              <w:rPr>
                <w:rFonts w:ascii="Gellix" w:hAnsi="Gellix"/>
                <w:sz w:val="21"/>
                <w:szCs w:val="21"/>
                <w:lang w:val="en-GB"/>
              </w:rPr>
            </w:pPr>
          </w:p>
        </w:tc>
        <w:tc>
          <w:tcPr>
            <w:tcW w:w="3021" w:type="dxa"/>
          </w:tcPr>
          <w:p w14:paraId="19C92C77" w14:textId="4A490768" w:rsidR="00586CD4" w:rsidRPr="0078690C" w:rsidRDefault="2EFEC7CD">
            <w:pPr>
              <w:rPr>
                <w:rFonts w:ascii="Gellix" w:hAnsi="Gellix"/>
                <w:sz w:val="21"/>
                <w:szCs w:val="21"/>
                <w:lang w:val="en-GB"/>
              </w:rPr>
            </w:pPr>
            <w:r w:rsidRPr="65B7D73E">
              <w:rPr>
                <w:rFonts w:ascii="Gellix" w:hAnsi="Gellix"/>
                <w:sz w:val="21"/>
                <w:szCs w:val="21"/>
                <w:lang w:val="en-GB"/>
              </w:rPr>
              <w:t xml:space="preserve">19 </w:t>
            </w:r>
            <w:r w:rsidR="227FB69B" w:rsidRPr="65B7D73E">
              <w:rPr>
                <w:rFonts w:ascii="Gellix" w:hAnsi="Gellix"/>
                <w:sz w:val="21"/>
                <w:szCs w:val="21"/>
                <w:lang w:val="en-GB"/>
              </w:rPr>
              <w:t>May (TBC)</w:t>
            </w:r>
          </w:p>
        </w:tc>
      </w:tr>
    </w:tbl>
    <w:p w14:paraId="15CAC655" w14:textId="77777777" w:rsidR="00586CD4" w:rsidRPr="0078690C" w:rsidRDefault="00586CD4" w:rsidP="00586CD4">
      <w:pPr>
        <w:jc w:val="both"/>
        <w:rPr>
          <w:rFonts w:ascii="Gellix" w:hAnsi="Gellix"/>
          <w:sz w:val="21"/>
          <w:szCs w:val="21"/>
          <w:lang w:val="en-GB"/>
        </w:rPr>
      </w:pPr>
    </w:p>
    <w:p w14:paraId="1F277AC1" w14:textId="77777777" w:rsidR="00586CD4" w:rsidRPr="0078690C" w:rsidRDefault="00586CD4" w:rsidP="00586CD4">
      <w:pPr>
        <w:jc w:val="both"/>
        <w:rPr>
          <w:rFonts w:ascii="Gellix" w:hAnsi="Gellix"/>
          <w:sz w:val="21"/>
          <w:szCs w:val="21"/>
          <w:lang w:val="en-GB"/>
        </w:rPr>
      </w:pPr>
    </w:p>
    <w:p w14:paraId="5AE32328" w14:textId="77777777" w:rsidR="00586CD4" w:rsidRPr="008B22E5" w:rsidRDefault="00586CD4" w:rsidP="002961AB">
      <w:pPr>
        <w:rPr>
          <w:rFonts w:ascii="Gellix" w:hAnsi="Gellix"/>
          <w:sz w:val="21"/>
          <w:szCs w:val="21"/>
          <w:lang w:val="en-GB"/>
        </w:rPr>
      </w:pPr>
    </w:p>
    <w:sectPr w:rsidR="00586CD4" w:rsidRPr="008B22E5" w:rsidSect="00282CB4">
      <w:headerReference w:type="default" r:id="rId10"/>
      <w:footerReference w:type="default" r:id="rId11"/>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9E1B5" w14:textId="77777777" w:rsidR="00464322" w:rsidRDefault="00464322" w:rsidP="002961AB">
      <w:pPr>
        <w:spacing w:after="0" w:line="240" w:lineRule="auto"/>
      </w:pPr>
      <w:r>
        <w:separator/>
      </w:r>
    </w:p>
  </w:endnote>
  <w:endnote w:type="continuationSeparator" w:id="0">
    <w:p w14:paraId="37FF3C95" w14:textId="77777777" w:rsidR="00464322" w:rsidRDefault="00464322" w:rsidP="002961AB">
      <w:pPr>
        <w:spacing w:after="0" w:line="240" w:lineRule="auto"/>
      </w:pPr>
      <w:r>
        <w:continuationSeparator/>
      </w:r>
    </w:p>
  </w:endnote>
  <w:endnote w:type="continuationNotice" w:id="1">
    <w:p w14:paraId="58B5C3A5" w14:textId="77777777" w:rsidR="00464322" w:rsidRDefault="004643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ellix">
    <w:altName w:val="Cambria"/>
    <w:panose1 w:val="020B0604020202020204"/>
    <w:charset w:val="4D"/>
    <w:family w:val="auto"/>
    <w:notTrueType/>
    <w:pitch w:val="variable"/>
    <w:sig w:usb0="A10000EF" w:usb1="0000207A" w:usb2="00000000" w:usb3="00000000" w:csb0="00000093"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10546" w14:textId="48F9A986" w:rsidR="008F1893" w:rsidRPr="008F1893" w:rsidRDefault="008F1893">
    <w:pPr>
      <w:pStyle w:val="Sidfot"/>
      <w:rPr>
        <w:rFonts w:ascii="Gellix" w:hAnsi="Gellix"/>
        <w:i/>
        <w:iCs/>
        <w:sz w:val="16"/>
        <w:szCs w:val="16"/>
        <w:lang w:val="en-GB"/>
      </w:rPr>
    </w:pPr>
    <w:r w:rsidRPr="008F1893">
      <w:rPr>
        <w:rFonts w:ascii="Gellix" w:hAnsi="Gellix"/>
        <w:i/>
        <w:iCs/>
        <w:sz w:val="16"/>
        <w:szCs w:val="16"/>
        <w:lang w:val="en-GB"/>
      </w:rPr>
      <w:t>Last updated 26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5C4BE" w14:textId="77777777" w:rsidR="00464322" w:rsidRDefault="00464322" w:rsidP="002961AB">
      <w:pPr>
        <w:spacing w:after="0" w:line="240" w:lineRule="auto"/>
      </w:pPr>
      <w:r>
        <w:separator/>
      </w:r>
    </w:p>
  </w:footnote>
  <w:footnote w:type="continuationSeparator" w:id="0">
    <w:p w14:paraId="61112BEC" w14:textId="77777777" w:rsidR="00464322" w:rsidRDefault="00464322" w:rsidP="002961AB">
      <w:pPr>
        <w:spacing w:after="0" w:line="240" w:lineRule="auto"/>
      </w:pPr>
      <w:r>
        <w:continuationSeparator/>
      </w:r>
    </w:p>
  </w:footnote>
  <w:footnote w:type="continuationNotice" w:id="1">
    <w:p w14:paraId="1F6EB005" w14:textId="77777777" w:rsidR="00464322" w:rsidRDefault="004643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84FB4" w14:textId="1B3D951A" w:rsidR="00681CB4" w:rsidRDefault="00D20615" w:rsidP="00681CB4">
    <w:pPr>
      <w:pStyle w:val="Sidhuvud"/>
      <w:jc w:val="right"/>
    </w:pPr>
    <w:r>
      <w:rPr>
        <w:noProof/>
      </w:rPr>
      <mc:AlternateContent>
        <mc:Choice Requires="wps">
          <w:drawing>
            <wp:anchor distT="45720" distB="45720" distL="114300" distR="114300" simplePos="0" relativeHeight="251659264" behindDoc="0" locked="0" layoutInCell="1" allowOverlap="1" wp14:anchorId="248DC0BE" wp14:editId="4A8B237A">
              <wp:simplePos x="0" y="0"/>
              <wp:positionH relativeFrom="column">
                <wp:posOffset>-369378</wp:posOffset>
              </wp:positionH>
              <wp:positionV relativeFrom="paragraph">
                <wp:posOffset>11137</wp:posOffset>
              </wp:positionV>
              <wp:extent cx="274320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4620"/>
                      </a:xfrm>
                      <a:prstGeom prst="rect">
                        <a:avLst/>
                      </a:prstGeom>
                      <a:solidFill>
                        <a:srgbClr val="FFFFFF"/>
                      </a:solidFill>
                      <a:ln w="9525">
                        <a:noFill/>
                        <a:miter lim="800000"/>
                        <a:headEnd/>
                        <a:tailEnd/>
                      </a:ln>
                    </wps:spPr>
                    <wps:txbx>
                      <w:txbxContent>
                        <w:p w14:paraId="34116ADE" w14:textId="215AF383" w:rsidR="00D20615" w:rsidRPr="008F1893" w:rsidRDefault="00D20615" w:rsidP="008F1893">
                          <w:pPr>
                            <w:spacing w:after="0" w:line="240" w:lineRule="auto"/>
                            <w:rPr>
                              <w:i/>
                              <w:iCs/>
                              <w:sz w:val="22"/>
                              <w:szCs w:val="22"/>
                              <w:lang w:val="en-GB"/>
                            </w:rPr>
                          </w:pPr>
                          <w:r w:rsidRPr="008F1893">
                            <w:rPr>
                              <w:rFonts w:ascii="Gellix" w:hAnsi="Gellix"/>
                              <w:b/>
                              <w:bCs/>
                              <w:i/>
                              <w:iCs/>
                              <w:color w:val="FF0000"/>
                              <w:sz w:val="22"/>
                              <w:szCs w:val="22"/>
                              <w:lang w:val="en-US"/>
                            </w:rPr>
                            <w:t xml:space="preserve">INTERNAL WORKING DOCUMENT </w:t>
                          </w:r>
                          <w:r w:rsidR="00723385" w:rsidRPr="008F1893">
                            <w:rPr>
                              <w:rFonts w:ascii="Gellix" w:hAnsi="Gellix"/>
                              <w:b/>
                              <w:bCs/>
                              <w:i/>
                              <w:iCs/>
                              <w:color w:val="FF0000"/>
                              <w:sz w:val="22"/>
                              <w:szCs w:val="22"/>
                              <w:lang w:val="en-US"/>
                            </w:rPr>
                            <w:t xml:space="preserve">- </w:t>
                          </w:r>
                          <w:r w:rsidRPr="008F1893">
                            <w:rPr>
                              <w:rFonts w:ascii="Gellix" w:hAnsi="Gellix"/>
                              <w:b/>
                              <w:bCs/>
                              <w:i/>
                              <w:iCs/>
                              <w:color w:val="FF0000"/>
                              <w:sz w:val="22"/>
                              <w:szCs w:val="22"/>
                              <w:lang w:val="en-US"/>
                            </w:rPr>
                            <w:t xml:space="preserve">NOT </w:t>
                          </w:r>
                          <w:r w:rsidR="00723385" w:rsidRPr="008F1893">
                            <w:rPr>
                              <w:rFonts w:ascii="Gellix" w:hAnsi="Gellix"/>
                              <w:b/>
                              <w:bCs/>
                              <w:i/>
                              <w:iCs/>
                              <w:color w:val="FF0000"/>
                              <w:sz w:val="22"/>
                              <w:szCs w:val="22"/>
                              <w:lang w:val="en-US"/>
                            </w:rPr>
                            <w:t xml:space="preserve">FOR </w:t>
                          </w:r>
                          <w:r w:rsidRPr="008F1893">
                            <w:rPr>
                              <w:rFonts w:ascii="Gellix" w:hAnsi="Gellix"/>
                              <w:b/>
                              <w:bCs/>
                              <w:i/>
                              <w:iCs/>
                              <w:color w:val="FF0000"/>
                              <w:sz w:val="22"/>
                              <w:szCs w:val="22"/>
                              <w:lang w:val="en-US"/>
                            </w:rPr>
                            <w:t>CIRCULAT</w:t>
                          </w:r>
                          <w:r w:rsidR="00723385" w:rsidRPr="008F1893">
                            <w:rPr>
                              <w:rFonts w:ascii="Gellix" w:hAnsi="Gellix"/>
                              <w:b/>
                              <w:bCs/>
                              <w:i/>
                              <w:iCs/>
                              <w:color w:val="FF0000"/>
                              <w:sz w:val="22"/>
                              <w:szCs w:val="22"/>
                              <w:lang w:val="en-US"/>
                            </w:rPr>
                            <w: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8DC0BE" id="_x0000_t202" coordsize="21600,21600" o:spt="202" path="m,l,21600r21600,l21600,xe">
              <v:stroke joinstyle="miter"/>
              <v:path gradientshapeok="t" o:connecttype="rect"/>
            </v:shapetype>
            <v:shape id="Text Box 2" o:spid="_x0000_s1026" type="#_x0000_t202" style="position:absolute;left:0;text-align:left;margin-left:-29.1pt;margin-top:.9pt;width:3in;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" stroked="f">
              <v:textbox style="mso-fit-shape-to-text:t">
                <w:txbxContent>
                  <w:p w14:paraId="34116ADE" w14:textId="215AF383" w:rsidR="00D20615" w:rsidRPr="008F1893" w:rsidRDefault="00D20615" w:rsidP="008F1893">
                    <w:pPr>
                      <w:spacing w:after="0" w:line="240" w:lineRule="auto"/>
                      <w:rPr>
                        <w:i/>
                        <w:iCs/>
                        <w:sz w:val="22"/>
                        <w:szCs w:val="22"/>
                        <w:lang w:val="en-GB"/>
                      </w:rPr>
                    </w:pPr>
                    <w:r w:rsidRPr="008F1893">
                      <w:rPr>
                        <w:rFonts w:ascii="Gellix" w:hAnsi="Gellix"/>
                        <w:b/>
                        <w:bCs/>
                        <w:i/>
                        <w:iCs/>
                        <w:color w:val="FF0000"/>
                        <w:sz w:val="22"/>
                        <w:szCs w:val="22"/>
                        <w:lang w:val="en-US"/>
                      </w:rPr>
                      <w:t xml:space="preserve">INTERNAL WORKING DOCUMENT </w:t>
                    </w:r>
                    <w:r w:rsidR="00723385" w:rsidRPr="008F1893">
                      <w:rPr>
                        <w:rFonts w:ascii="Gellix" w:hAnsi="Gellix"/>
                        <w:b/>
                        <w:bCs/>
                        <w:i/>
                        <w:iCs/>
                        <w:color w:val="FF0000"/>
                        <w:sz w:val="22"/>
                        <w:szCs w:val="22"/>
                        <w:lang w:val="en-US"/>
                      </w:rPr>
                      <w:t xml:space="preserve">- </w:t>
                    </w:r>
                    <w:r w:rsidRPr="008F1893">
                      <w:rPr>
                        <w:rFonts w:ascii="Gellix" w:hAnsi="Gellix"/>
                        <w:b/>
                        <w:bCs/>
                        <w:i/>
                        <w:iCs/>
                        <w:color w:val="FF0000"/>
                        <w:sz w:val="22"/>
                        <w:szCs w:val="22"/>
                        <w:lang w:val="en-US"/>
                      </w:rPr>
                      <w:t xml:space="preserve">NOT </w:t>
                    </w:r>
                    <w:r w:rsidR="00723385" w:rsidRPr="008F1893">
                      <w:rPr>
                        <w:rFonts w:ascii="Gellix" w:hAnsi="Gellix"/>
                        <w:b/>
                        <w:bCs/>
                        <w:i/>
                        <w:iCs/>
                        <w:color w:val="FF0000"/>
                        <w:sz w:val="22"/>
                        <w:szCs w:val="22"/>
                        <w:lang w:val="en-US"/>
                      </w:rPr>
                      <w:t xml:space="preserve">FOR </w:t>
                    </w:r>
                    <w:r w:rsidRPr="008F1893">
                      <w:rPr>
                        <w:rFonts w:ascii="Gellix" w:hAnsi="Gellix"/>
                        <w:b/>
                        <w:bCs/>
                        <w:i/>
                        <w:iCs/>
                        <w:color w:val="FF0000"/>
                        <w:sz w:val="22"/>
                        <w:szCs w:val="22"/>
                        <w:lang w:val="en-US"/>
                      </w:rPr>
                      <w:t>CIRCULAT</w:t>
                    </w:r>
                    <w:r w:rsidR="00723385" w:rsidRPr="008F1893">
                      <w:rPr>
                        <w:rFonts w:ascii="Gellix" w:hAnsi="Gellix"/>
                        <w:b/>
                        <w:bCs/>
                        <w:i/>
                        <w:iCs/>
                        <w:color w:val="FF0000"/>
                        <w:sz w:val="22"/>
                        <w:szCs w:val="22"/>
                        <w:lang w:val="en-US"/>
                      </w:rPr>
                      <w:t>ION</w:t>
                    </w:r>
                  </w:p>
                </w:txbxContent>
              </v:textbox>
              <w10:wrap type="square"/>
            </v:shape>
          </w:pict>
        </mc:Fallback>
      </mc:AlternateContent>
    </w:r>
    <w:r w:rsidR="00681CB4" w:rsidRPr="007B1416">
      <w:rPr>
        <w:noProof/>
      </w:rPr>
      <w:drawing>
        <wp:inline distT="0" distB="0" distL="0" distR="0" wp14:anchorId="6B48B059" wp14:editId="5EA23779">
          <wp:extent cx="1217160" cy="756000"/>
          <wp:effectExtent l="0" t="0" r="2540" b="6350"/>
          <wp:docPr id="1790740822" name="Image 8"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010401" name="Image 8" descr="A blue and black background&#10;&#10;Description automatically generated"/>
                  <pic:cNvPicPr/>
                </pic:nvPicPr>
                <pic:blipFill>
                  <a:blip r:embed="rId1"/>
                  <a:stretch>
                    <a:fillRect/>
                  </a:stretch>
                </pic:blipFill>
                <pic:spPr>
                  <a:xfrm>
                    <a:off x="0" y="0"/>
                    <a:ext cx="1217160" cy="75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441C"/>
    <w:multiLevelType w:val="hybridMultilevel"/>
    <w:tmpl w:val="2C2AD34A"/>
    <w:lvl w:ilvl="0" w:tplc="FF3AFC04">
      <w:start w:val="3"/>
      <w:numFmt w:val="bullet"/>
      <w:lvlText w:val="-"/>
      <w:lvlJc w:val="left"/>
      <w:pPr>
        <w:ind w:left="2493" w:hanging="360"/>
      </w:pPr>
      <w:rPr>
        <w:rFonts w:ascii="Aptos" w:eastAsiaTheme="minorEastAsia" w:hAnsi="Aptos" w:cstheme="minorBidi" w:hint="default"/>
      </w:rPr>
    </w:lvl>
    <w:lvl w:ilvl="1" w:tplc="08090003" w:tentative="1">
      <w:start w:val="1"/>
      <w:numFmt w:val="bullet"/>
      <w:lvlText w:val="o"/>
      <w:lvlJc w:val="left"/>
      <w:pPr>
        <w:ind w:left="3213" w:hanging="360"/>
      </w:pPr>
      <w:rPr>
        <w:rFonts w:ascii="Courier New" w:hAnsi="Courier New" w:cs="Courier New" w:hint="default"/>
      </w:rPr>
    </w:lvl>
    <w:lvl w:ilvl="2" w:tplc="08090005" w:tentative="1">
      <w:start w:val="1"/>
      <w:numFmt w:val="bullet"/>
      <w:lvlText w:val=""/>
      <w:lvlJc w:val="left"/>
      <w:pPr>
        <w:ind w:left="3933" w:hanging="360"/>
      </w:pPr>
      <w:rPr>
        <w:rFonts w:ascii="Wingdings" w:hAnsi="Wingdings" w:hint="default"/>
      </w:rPr>
    </w:lvl>
    <w:lvl w:ilvl="3" w:tplc="08090001" w:tentative="1">
      <w:start w:val="1"/>
      <w:numFmt w:val="bullet"/>
      <w:lvlText w:val=""/>
      <w:lvlJc w:val="left"/>
      <w:pPr>
        <w:ind w:left="4653" w:hanging="360"/>
      </w:pPr>
      <w:rPr>
        <w:rFonts w:ascii="Symbol" w:hAnsi="Symbol" w:hint="default"/>
      </w:rPr>
    </w:lvl>
    <w:lvl w:ilvl="4" w:tplc="08090003" w:tentative="1">
      <w:start w:val="1"/>
      <w:numFmt w:val="bullet"/>
      <w:lvlText w:val="o"/>
      <w:lvlJc w:val="left"/>
      <w:pPr>
        <w:ind w:left="5373" w:hanging="360"/>
      </w:pPr>
      <w:rPr>
        <w:rFonts w:ascii="Courier New" w:hAnsi="Courier New" w:cs="Courier New" w:hint="default"/>
      </w:rPr>
    </w:lvl>
    <w:lvl w:ilvl="5" w:tplc="08090005" w:tentative="1">
      <w:start w:val="1"/>
      <w:numFmt w:val="bullet"/>
      <w:lvlText w:val=""/>
      <w:lvlJc w:val="left"/>
      <w:pPr>
        <w:ind w:left="6093" w:hanging="360"/>
      </w:pPr>
      <w:rPr>
        <w:rFonts w:ascii="Wingdings" w:hAnsi="Wingdings" w:hint="default"/>
      </w:rPr>
    </w:lvl>
    <w:lvl w:ilvl="6" w:tplc="08090001" w:tentative="1">
      <w:start w:val="1"/>
      <w:numFmt w:val="bullet"/>
      <w:lvlText w:val=""/>
      <w:lvlJc w:val="left"/>
      <w:pPr>
        <w:ind w:left="6813" w:hanging="360"/>
      </w:pPr>
      <w:rPr>
        <w:rFonts w:ascii="Symbol" w:hAnsi="Symbol" w:hint="default"/>
      </w:rPr>
    </w:lvl>
    <w:lvl w:ilvl="7" w:tplc="08090003" w:tentative="1">
      <w:start w:val="1"/>
      <w:numFmt w:val="bullet"/>
      <w:lvlText w:val="o"/>
      <w:lvlJc w:val="left"/>
      <w:pPr>
        <w:ind w:left="7533" w:hanging="360"/>
      </w:pPr>
      <w:rPr>
        <w:rFonts w:ascii="Courier New" w:hAnsi="Courier New" w:cs="Courier New" w:hint="default"/>
      </w:rPr>
    </w:lvl>
    <w:lvl w:ilvl="8" w:tplc="08090005" w:tentative="1">
      <w:start w:val="1"/>
      <w:numFmt w:val="bullet"/>
      <w:lvlText w:val=""/>
      <w:lvlJc w:val="left"/>
      <w:pPr>
        <w:ind w:left="8253" w:hanging="360"/>
      </w:pPr>
      <w:rPr>
        <w:rFonts w:ascii="Wingdings" w:hAnsi="Wingdings" w:hint="default"/>
      </w:rPr>
    </w:lvl>
  </w:abstractNum>
  <w:abstractNum w:abstractNumId="1" w15:restartNumberingAfterBreak="0">
    <w:nsid w:val="1FD319CA"/>
    <w:multiLevelType w:val="multilevel"/>
    <w:tmpl w:val="180E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97E20"/>
    <w:multiLevelType w:val="multilevel"/>
    <w:tmpl w:val="AEE407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AC87332"/>
    <w:multiLevelType w:val="multilevel"/>
    <w:tmpl w:val="423E9D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101313F"/>
    <w:multiLevelType w:val="hybridMultilevel"/>
    <w:tmpl w:val="C63CA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D27713"/>
    <w:multiLevelType w:val="hybridMultilevel"/>
    <w:tmpl w:val="B3AA24AA"/>
    <w:lvl w:ilvl="0" w:tplc="08090001">
      <w:start w:val="1"/>
      <w:numFmt w:val="bullet"/>
      <w:lvlText w:val=""/>
      <w:lvlJc w:val="left"/>
      <w:pPr>
        <w:ind w:left="1068" w:hanging="360"/>
      </w:pPr>
      <w:rPr>
        <w:rFonts w:ascii="Symbol" w:hAnsi="Symbol"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6" w15:restartNumberingAfterBreak="0">
    <w:nsid w:val="53547C77"/>
    <w:multiLevelType w:val="multilevel"/>
    <w:tmpl w:val="6DAE22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75F1EFC"/>
    <w:multiLevelType w:val="hybridMultilevel"/>
    <w:tmpl w:val="56AED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5F50B1"/>
    <w:multiLevelType w:val="hybridMultilevel"/>
    <w:tmpl w:val="5066C882"/>
    <w:lvl w:ilvl="0" w:tplc="7876BDEA">
      <w:numFmt w:val="bullet"/>
      <w:lvlText w:val="-"/>
      <w:lvlJc w:val="left"/>
      <w:pPr>
        <w:ind w:left="360" w:hanging="360"/>
      </w:pPr>
      <w:rPr>
        <w:rFonts w:ascii="Gellix" w:eastAsiaTheme="minorEastAsia" w:hAnsi="Gellix"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B5614B6"/>
    <w:multiLevelType w:val="hybridMultilevel"/>
    <w:tmpl w:val="5F34CC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6061391"/>
    <w:multiLevelType w:val="hybridMultilevel"/>
    <w:tmpl w:val="CBE494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5D2925"/>
    <w:multiLevelType w:val="multilevel"/>
    <w:tmpl w:val="DB561D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2"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701C1F"/>
    <w:multiLevelType w:val="hybridMultilevel"/>
    <w:tmpl w:val="11427250"/>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67738C"/>
    <w:multiLevelType w:val="hybridMultilevel"/>
    <w:tmpl w:val="E4B6BE4E"/>
    <w:lvl w:ilvl="0" w:tplc="5A7A57BC">
      <w:start w:val="1"/>
      <w:numFmt w:val="decimal"/>
      <w:lvlText w:val="%1."/>
      <w:lvlJc w:val="left"/>
      <w:pPr>
        <w:ind w:left="360" w:hanging="360"/>
      </w:pPr>
      <w:rPr>
        <w:rFonts w:hint="default"/>
        <w:b/>
        <w:bCs/>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44316305">
    <w:abstractNumId w:val="13"/>
  </w:num>
  <w:num w:numId="2" w16cid:durableId="1841001694">
    <w:abstractNumId w:val="5"/>
  </w:num>
  <w:num w:numId="3" w16cid:durableId="344946264">
    <w:abstractNumId w:val="9"/>
  </w:num>
  <w:num w:numId="4" w16cid:durableId="37248721">
    <w:abstractNumId w:val="8"/>
  </w:num>
  <w:num w:numId="5" w16cid:durableId="1836529059">
    <w:abstractNumId w:val="10"/>
  </w:num>
  <w:num w:numId="6" w16cid:durableId="189296495">
    <w:abstractNumId w:val="7"/>
  </w:num>
  <w:num w:numId="7" w16cid:durableId="883952136">
    <w:abstractNumId w:val="0"/>
  </w:num>
  <w:num w:numId="8" w16cid:durableId="1714227731">
    <w:abstractNumId w:val="2"/>
  </w:num>
  <w:num w:numId="9" w16cid:durableId="185794867">
    <w:abstractNumId w:val="1"/>
  </w:num>
  <w:num w:numId="10" w16cid:durableId="1954554628">
    <w:abstractNumId w:val="3"/>
  </w:num>
  <w:num w:numId="11" w16cid:durableId="700856751">
    <w:abstractNumId w:val="11"/>
  </w:num>
  <w:num w:numId="12" w16cid:durableId="229119695">
    <w:abstractNumId w:val="4"/>
  </w:num>
  <w:num w:numId="13" w16cid:durableId="1947541455">
    <w:abstractNumId w:val="6"/>
  </w:num>
  <w:num w:numId="14" w16cid:durableId="45274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1AB"/>
    <w:rsid w:val="00002603"/>
    <w:rsid w:val="00002E42"/>
    <w:rsid w:val="00006749"/>
    <w:rsid w:val="00034985"/>
    <w:rsid w:val="00063EE2"/>
    <w:rsid w:val="0007547A"/>
    <w:rsid w:val="00080553"/>
    <w:rsid w:val="000901DC"/>
    <w:rsid w:val="00092F3D"/>
    <w:rsid w:val="000A76F8"/>
    <w:rsid w:val="000B171B"/>
    <w:rsid w:val="000C4CEA"/>
    <w:rsid w:val="000D5F2D"/>
    <w:rsid w:val="001426A6"/>
    <w:rsid w:val="001510B8"/>
    <w:rsid w:val="0016578C"/>
    <w:rsid w:val="00194785"/>
    <w:rsid w:val="00196151"/>
    <w:rsid w:val="001A1E44"/>
    <w:rsid w:val="001C38D4"/>
    <w:rsid w:val="001D44FE"/>
    <w:rsid w:val="001F1417"/>
    <w:rsid w:val="00207043"/>
    <w:rsid w:val="00207993"/>
    <w:rsid w:val="00243B4F"/>
    <w:rsid w:val="00261D04"/>
    <w:rsid w:val="002672F3"/>
    <w:rsid w:val="00282CB4"/>
    <w:rsid w:val="0028445A"/>
    <w:rsid w:val="002961AB"/>
    <w:rsid w:val="0029683E"/>
    <w:rsid w:val="002D1754"/>
    <w:rsid w:val="002E4FDC"/>
    <w:rsid w:val="002F3C54"/>
    <w:rsid w:val="002F4161"/>
    <w:rsid w:val="003124E2"/>
    <w:rsid w:val="00316CDA"/>
    <w:rsid w:val="00331C23"/>
    <w:rsid w:val="00344711"/>
    <w:rsid w:val="00345717"/>
    <w:rsid w:val="00382199"/>
    <w:rsid w:val="00384DD2"/>
    <w:rsid w:val="003A21C3"/>
    <w:rsid w:val="003B3E3F"/>
    <w:rsid w:val="003C39A8"/>
    <w:rsid w:val="003C552F"/>
    <w:rsid w:val="003C5D32"/>
    <w:rsid w:val="003E3EFB"/>
    <w:rsid w:val="003E6E34"/>
    <w:rsid w:val="003F3DC0"/>
    <w:rsid w:val="00404703"/>
    <w:rsid w:val="004341F8"/>
    <w:rsid w:val="00441B86"/>
    <w:rsid w:val="00464322"/>
    <w:rsid w:val="0048791F"/>
    <w:rsid w:val="004943B5"/>
    <w:rsid w:val="00496AD8"/>
    <w:rsid w:val="004F0403"/>
    <w:rsid w:val="004F12A4"/>
    <w:rsid w:val="00515452"/>
    <w:rsid w:val="005271E1"/>
    <w:rsid w:val="00535008"/>
    <w:rsid w:val="00552E8B"/>
    <w:rsid w:val="00561068"/>
    <w:rsid w:val="005706E9"/>
    <w:rsid w:val="00586CD4"/>
    <w:rsid w:val="00596DEA"/>
    <w:rsid w:val="005A0B23"/>
    <w:rsid w:val="005B17EC"/>
    <w:rsid w:val="005E3EC1"/>
    <w:rsid w:val="005E69DE"/>
    <w:rsid w:val="005E7705"/>
    <w:rsid w:val="005F6406"/>
    <w:rsid w:val="006103E9"/>
    <w:rsid w:val="00621A6C"/>
    <w:rsid w:val="00630593"/>
    <w:rsid w:val="006469FB"/>
    <w:rsid w:val="00681CB4"/>
    <w:rsid w:val="00694D80"/>
    <w:rsid w:val="00695A51"/>
    <w:rsid w:val="006B48C1"/>
    <w:rsid w:val="006C2F68"/>
    <w:rsid w:val="006C76C5"/>
    <w:rsid w:val="006E15E2"/>
    <w:rsid w:val="006F050E"/>
    <w:rsid w:val="006F280A"/>
    <w:rsid w:val="006F3814"/>
    <w:rsid w:val="00702590"/>
    <w:rsid w:val="00705B94"/>
    <w:rsid w:val="007136F6"/>
    <w:rsid w:val="00723385"/>
    <w:rsid w:val="00734BE5"/>
    <w:rsid w:val="00754ACE"/>
    <w:rsid w:val="00761EB1"/>
    <w:rsid w:val="007A4821"/>
    <w:rsid w:val="007B2832"/>
    <w:rsid w:val="007B3A84"/>
    <w:rsid w:val="007B7F61"/>
    <w:rsid w:val="007C4245"/>
    <w:rsid w:val="007D7DF4"/>
    <w:rsid w:val="0083205D"/>
    <w:rsid w:val="0086255C"/>
    <w:rsid w:val="00864FB0"/>
    <w:rsid w:val="008849AB"/>
    <w:rsid w:val="00897520"/>
    <w:rsid w:val="008B22E5"/>
    <w:rsid w:val="008B5A19"/>
    <w:rsid w:val="008C58F8"/>
    <w:rsid w:val="008F1893"/>
    <w:rsid w:val="008F1D18"/>
    <w:rsid w:val="00907BFF"/>
    <w:rsid w:val="00921BAB"/>
    <w:rsid w:val="009673E6"/>
    <w:rsid w:val="00984DB0"/>
    <w:rsid w:val="009B6D74"/>
    <w:rsid w:val="009C1CA5"/>
    <w:rsid w:val="009D1985"/>
    <w:rsid w:val="00A25984"/>
    <w:rsid w:val="00A420AC"/>
    <w:rsid w:val="00A50635"/>
    <w:rsid w:val="00A50D2F"/>
    <w:rsid w:val="00A51269"/>
    <w:rsid w:val="00A7191B"/>
    <w:rsid w:val="00A72633"/>
    <w:rsid w:val="00A73144"/>
    <w:rsid w:val="00A80F30"/>
    <w:rsid w:val="00A97A06"/>
    <w:rsid w:val="00AA1E45"/>
    <w:rsid w:val="00AA5871"/>
    <w:rsid w:val="00AC2CB6"/>
    <w:rsid w:val="00AD473F"/>
    <w:rsid w:val="00AD63DD"/>
    <w:rsid w:val="00B0579D"/>
    <w:rsid w:val="00B3418D"/>
    <w:rsid w:val="00B357A4"/>
    <w:rsid w:val="00B42DA0"/>
    <w:rsid w:val="00BA084A"/>
    <w:rsid w:val="00BD70BE"/>
    <w:rsid w:val="00BE0675"/>
    <w:rsid w:val="00C0727C"/>
    <w:rsid w:val="00C321D1"/>
    <w:rsid w:val="00C44EA0"/>
    <w:rsid w:val="00C52557"/>
    <w:rsid w:val="00C665A5"/>
    <w:rsid w:val="00C77B29"/>
    <w:rsid w:val="00C8173D"/>
    <w:rsid w:val="00CA5EB6"/>
    <w:rsid w:val="00CA77F8"/>
    <w:rsid w:val="00CB5B6D"/>
    <w:rsid w:val="00CF791B"/>
    <w:rsid w:val="00D0601D"/>
    <w:rsid w:val="00D160DD"/>
    <w:rsid w:val="00D20615"/>
    <w:rsid w:val="00D20F80"/>
    <w:rsid w:val="00D35AE3"/>
    <w:rsid w:val="00D65547"/>
    <w:rsid w:val="00DA6602"/>
    <w:rsid w:val="00DC22F0"/>
    <w:rsid w:val="00DC328A"/>
    <w:rsid w:val="00DC4BA1"/>
    <w:rsid w:val="00DD5020"/>
    <w:rsid w:val="00E06F82"/>
    <w:rsid w:val="00E2355F"/>
    <w:rsid w:val="00E428E7"/>
    <w:rsid w:val="00E4369D"/>
    <w:rsid w:val="00E56B70"/>
    <w:rsid w:val="00E77CF7"/>
    <w:rsid w:val="00E90A02"/>
    <w:rsid w:val="00F131BE"/>
    <w:rsid w:val="00F30AE4"/>
    <w:rsid w:val="00F42B41"/>
    <w:rsid w:val="00F51078"/>
    <w:rsid w:val="00F624DA"/>
    <w:rsid w:val="00F7314E"/>
    <w:rsid w:val="00FA75DC"/>
    <w:rsid w:val="00FC35A3"/>
    <w:rsid w:val="00FC4AEB"/>
    <w:rsid w:val="00FD766D"/>
    <w:rsid w:val="00FE62BA"/>
    <w:rsid w:val="00FE7362"/>
    <w:rsid w:val="00FF68D4"/>
    <w:rsid w:val="03C05F52"/>
    <w:rsid w:val="044308F5"/>
    <w:rsid w:val="07A22A2D"/>
    <w:rsid w:val="0830851B"/>
    <w:rsid w:val="09586339"/>
    <w:rsid w:val="0D2B72FE"/>
    <w:rsid w:val="15DDB01E"/>
    <w:rsid w:val="18BC5D55"/>
    <w:rsid w:val="197F305C"/>
    <w:rsid w:val="2037E812"/>
    <w:rsid w:val="227FB69B"/>
    <w:rsid w:val="23DAFB1B"/>
    <w:rsid w:val="27DFE259"/>
    <w:rsid w:val="28279B87"/>
    <w:rsid w:val="29473E09"/>
    <w:rsid w:val="2AE9A7DF"/>
    <w:rsid w:val="2EFEC7CD"/>
    <w:rsid w:val="356EFAE0"/>
    <w:rsid w:val="364CDCA1"/>
    <w:rsid w:val="3652DD48"/>
    <w:rsid w:val="397A62C3"/>
    <w:rsid w:val="39CB8350"/>
    <w:rsid w:val="3DC8825D"/>
    <w:rsid w:val="3F779B04"/>
    <w:rsid w:val="4B6562B7"/>
    <w:rsid w:val="4DA2D052"/>
    <w:rsid w:val="517B9493"/>
    <w:rsid w:val="51941D99"/>
    <w:rsid w:val="55DC6B35"/>
    <w:rsid w:val="56915D1A"/>
    <w:rsid w:val="588BCA32"/>
    <w:rsid w:val="592558A1"/>
    <w:rsid w:val="5EAF2F2C"/>
    <w:rsid w:val="5FDDAA29"/>
    <w:rsid w:val="60750109"/>
    <w:rsid w:val="62A01C5B"/>
    <w:rsid w:val="632F8B40"/>
    <w:rsid w:val="65B7D73E"/>
    <w:rsid w:val="65C1ECE7"/>
    <w:rsid w:val="675B460F"/>
    <w:rsid w:val="69C7575E"/>
    <w:rsid w:val="6B2D3EFE"/>
    <w:rsid w:val="6C89B3C3"/>
    <w:rsid w:val="6DA7B173"/>
    <w:rsid w:val="6DF24C54"/>
    <w:rsid w:val="6EA8D183"/>
    <w:rsid w:val="715C4369"/>
    <w:rsid w:val="78440973"/>
    <w:rsid w:val="7BAB29CF"/>
    <w:rsid w:val="7C074AF7"/>
    <w:rsid w:val="7C43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7BD65"/>
  <w15:chartTrackingRefBased/>
  <w15:docId w15:val="{DE5DD57D-FE8B-4F20-8C3E-F4F22D03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1AB"/>
    <w:rPr>
      <w:lang w:val="fr-FR"/>
    </w:rPr>
  </w:style>
  <w:style w:type="paragraph" w:styleId="Rubrik1">
    <w:name w:val="heading 1"/>
    <w:basedOn w:val="Normal"/>
    <w:next w:val="Normal"/>
    <w:link w:val="Rubrik1Char"/>
    <w:uiPriority w:val="9"/>
    <w:qFormat/>
    <w:rsid w:val="002961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961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961A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961A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961A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961A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961A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961A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961A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961A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961A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961A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961A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961A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961A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961A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961A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961AB"/>
    <w:rPr>
      <w:rFonts w:eastAsiaTheme="majorEastAsia" w:cstheme="majorBidi"/>
      <w:color w:val="272727" w:themeColor="text1" w:themeTint="D8"/>
    </w:rPr>
  </w:style>
  <w:style w:type="paragraph" w:styleId="Rubrik">
    <w:name w:val="Title"/>
    <w:basedOn w:val="Normal"/>
    <w:next w:val="Normal"/>
    <w:link w:val="RubrikChar"/>
    <w:uiPriority w:val="10"/>
    <w:qFormat/>
    <w:rsid w:val="002961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961A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961A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961A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961A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961AB"/>
    <w:rPr>
      <w:i/>
      <w:iCs/>
      <w:color w:val="404040" w:themeColor="text1" w:themeTint="BF"/>
    </w:rPr>
  </w:style>
  <w:style w:type="paragraph" w:styleId="Liststycke">
    <w:name w:val="List Paragraph"/>
    <w:basedOn w:val="Normal"/>
    <w:uiPriority w:val="34"/>
    <w:qFormat/>
    <w:rsid w:val="002961AB"/>
    <w:pPr>
      <w:ind w:left="720"/>
      <w:contextualSpacing/>
    </w:pPr>
  </w:style>
  <w:style w:type="character" w:styleId="Starkbetoning">
    <w:name w:val="Intense Emphasis"/>
    <w:basedOn w:val="Standardstycketeckensnitt"/>
    <w:uiPriority w:val="21"/>
    <w:qFormat/>
    <w:rsid w:val="002961AB"/>
    <w:rPr>
      <w:i/>
      <w:iCs/>
      <w:color w:val="0F4761" w:themeColor="accent1" w:themeShade="BF"/>
    </w:rPr>
  </w:style>
  <w:style w:type="paragraph" w:styleId="Starktcitat">
    <w:name w:val="Intense Quote"/>
    <w:basedOn w:val="Normal"/>
    <w:next w:val="Normal"/>
    <w:link w:val="StarktcitatChar"/>
    <w:uiPriority w:val="30"/>
    <w:qFormat/>
    <w:rsid w:val="002961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961AB"/>
    <w:rPr>
      <w:i/>
      <w:iCs/>
      <w:color w:val="0F4761" w:themeColor="accent1" w:themeShade="BF"/>
    </w:rPr>
  </w:style>
  <w:style w:type="character" w:styleId="Starkreferens">
    <w:name w:val="Intense Reference"/>
    <w:basedOn w:val="Standardstycketeckensnitt"/>
    <w:uiPriority w:val="32"/>
    <w:qFormat/>
    <w:rsid w:val="002961AB"/>
    <w:rPr>
      <w:b/>
      <w:bCs/>
      <w:smallCaps/>
      <w:color w:val="0F4761" w:themeColor="accent1" w:themeShade="BF"/>
      <w:spacing w:val="5"/>
    </w:rPr>
  </w:style>
  <w:style w:type="character" w:styleId="Hyperlnk">
    <w:name w:val="Hyperlink"/>
    <w:basedOn w:val="Standardstycketeckensnitt"/>
    <w:uiPriority w:val="99"/>
    <w:unhideWhenUsed/>
    <w:rsid w:val="002961AB"/>
    <w:rPr>
      <w:color w:val="467886" w:themeColor="hyperlink"/>
      <w:u w:val="single"/>
    </w:rPr>
  </w:style>
  <w:style w:type="table" w:styleId="Tabellrutnt">
    <w:name w:val="Table Grid"/>
    <w:basedOn w:val="Normaltabell"/>
    <w:uiPriority w:val="39"/>
    <w:rsid w:val="002961AB"/>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961AB"/>
    <w:rPr>
      <w:sz w:val="16"/>
      <w:szCs w:val="16"/>
    </w:rPr>
  </w:style>
  <w:style w:type="paragraph" w:styleId="Kommentarer">
    <w:name w:val="annotation text"/>
    <w:basedOn w:val="Normal"/>
    <w:link w:val="KommentarerChar"/>
    <w:uiPriority w:val="99"/>
    <w:unhideWhenUsed/>
    <w:rsid w:val="002961AB"/>
    <w:pPr>
      <w:spacing w:line="240" w:lineRule="auto"/>
    </w:pPr>
    <w:rPr>
      <w:sz w:val="20"/>
      <w:szCs w:val="20"/>
    </w:rPr>
  </w:style>
  <w:style w:type="character" w:customStyle="1" w:styleId="KommentarerChar">
    <w:name w:val="Kommentarer Char"/>
    <w:basedOn w:val="Standardstycketeckensnitt"/>
    <w:link w:val="Kommentarer"/>
    <w:uiPriority w:val="99"/>
    <w:rsid w:val="002961AB"/>
    <w:rPr>
      <w:sz w:val="20"/>
      <w:szCs w:val="20"/>
      <w:lang w:val="fr-FR"/>
    </w:rPr>
  </w:style>
  <w:style w:type="paragraph" w:styleId="Fotnotstext">
    <w:name w:val="footnote text"/>
    <w:basedOn w:val="Normal"/>
    <w:link w:val="FotnotstextChar"/>
    <w:uiPriority w:val="99"/>
    <w:semiHidden/>
    <w:unhideWhenUsed/>
    <w:rsid w:val="002961AB"/>
    <w:pPr>
      <w:spacing w:after="0" w:line="240" w:lineRule="auto"/>
    </w:pPr>
    <w:rPr>
      <w:sz w:val="20"/>
      <w:szCs w:val="20"/>
      <w:lang w:val="en-GB"/>
    </w:rPr>
  </w:style>
  <w:style w:type="character" w:customStyle="1" w:styleId="FotnotstextChar">
    <w:name w:val="Fotnotstext Char"/>
    <w:basedOn w:val="Standardstycketeckensnitt"/>
    <w:link w:val="Fotnotstext"/>
    <w:uiPriority w:val="99"/>
    <w:semiHidden/>
    <w:rsid w:val="002961AB"/>
    <w:rPr>
      <w:sz w:val="20"/>
      <w:szCs w:val="20"/>
    </w:rPr>
  </w:style>
  <w:style w:type="character" w:styleId="Fotnotsreferens">
    <w:name w:val="footnote reference"/>
    <w:basedOn w:val="Standardstycketeckensnitt"/>
    <w:uiPriority w:val="99"/>
    <w:semiHidden/>
    <w:unhideWhenUsed/>
    <w:rsid w:val="002961AB"/>
    <w:rPr>
      <w:vertAlign w:val="superscript"/>
    </w:rPr>
  </w:style>
  <w:style w:type="paragraph" w:styleId="Kommentarsmne">
    <w:name w:val="annotation subject"/>
    <w:basedOn w:val="Kommentarer"/>
    <w:next w:val="Kommentarer"/>
    <w:link w:val="KommentarsmneChar"/>
    <w:uiPriority w:val="99"/>
    <w:semiHidden/>
    <w:unhideWhenUsed/>
    <w:rsid w:val="002961AB"/>
    <w:rPr>
      <w:b/>
      <w:bCs/>
    </w:rPr>
  </w:style>
  <w:style w:type="character" w:customStyle="1" w:styleId="KommentarsmneChar">
    <w:name w:val="Kommentarsämne Char"/>
    <w:basedOn w:val="KommentarerChar"/>
    <w:link w:val="Kommentarsmne"/>
    <w:uiPriority w:val="99"/>
    <w:semiHidden/>
    <w:rsid w:val="002961AB"/>
    <w:rPr>
      <w:b/>
      <w:bCs/>
      <w:sz w:val="20"/>
      <w:szCs w:val="20"/>
      <w:lang w:val="fr-FR"/>
    </w:rPr>
  </w:style>
  <w:style w:type="paragraph" w:styleId="Normalwebb">
    <w:name w:val="Normal (Web)"/>
    <w:basedOn w:val="Normal"/>
    <w:uiPriority w:val="99"/>
    <w:semiHidden/>
    <w:unhideWhenUsed/>
    <w:rsid w:val="005A0B23"/>
    <w:pPr>
      <w:spacing w:before="100" w:beforeAutospacing="1" w:after="100" w:afterAutospacing="1" w:line="240" w:lineRule="auto"/>
    </w:pPr>
    <w:rPr>
      <w:rFonts w:ascii="Times New Roman" w:eastAsia="Times New Roman" w:hAnsi="Times New Roman" w:cs="Times New Roman"/>
      <w:kern w:val="0"/>
      <w:lang w:val="en-GB"/>
      <w14:ligatures w14:val="none"/>
    </w:rPr>
  </w:style>
  <w:style w:type="character" w:styleId="Betoning">
    <w:name w:val="Emphasis"/>
    <w:basedOn w:val="Standardstycketeckensnitt"/>
    <w:uiPriority w:val="20"/>
    <w:qFormat/>
    <w:rsid w:val="005A0B23"/>
    <w:rPr>
      <w:i/>
      <w:iCs/>
    </w:rPr>
  </w:style>
  <w:style w:type="paragraph" w:styleId="Sidhuvud">
    <w:name w:val="header"/>
    <w:basedOn w:val="Normal"/>
    <w:link w:val="SidhuvudChar"/>
    <w:uiPriority w:val="99"/>
    <w:unhideWhenUsed/>
    <w:rsid w:val="00FE7362"/>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630593"/>
    <w:rPr>
      <w:lang w:val="fr-FR"/>
    </w:rPr>
  </w:style>
  <w:style w:type="paragraph" w:styleId="Sidfot">
    <w:name w:val="footer"/>
    <w:basedOn w:val="Normal"/>
    <w:link w:val="SidfotChar"/>
    <w:uiPriority w:val="99"/>
    <w:unhideWhenUsed/>
    <w:rsid w:val="00FE7362"/>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630593"/>
    <w:rPr>
      <w:lang w:val="fr-FR"/>
    </w:rPr>
  </w:style>
  <w:style w:type="paragraph" w:styleId="Revision">
    <w:name w:val="Revision"/>
    <w:hidden/>
    <w:uiPriority w:val="99"/>
    <w:semiHidden/>
    <w:rsid w:val="00CF791B"/>
    <w:pPr>
      <w:spacing w:after="0" w:line="240" w:lineRule="auto"/>
    </w:pPr>
    <w:rPr>
      <w:lang w:val="fr-FR"/>
    </w:rPr>
  </w:style>
  <w:style w:type="character" w:styleId="Olstomnmnande">
    <w:name w:val="Unresolved Mention"/>
    <w:basedOn w:val="Standardstycketeckensnitt"/>
    <w:uiPriority w:val="99"/>
    <w:semiHidden/>
    <w:unhideWhenUsed/>
    <w:rsid w:val="00984DB0"/>
    <w:rPr>
      <w:color w:val="605E5C"/>
      <w:shd w:val="clear" w:color="auto" w:fill="E1DFDD"/>
    </w:rPr>
  </w:style>
  <w:style w:type="character" w:styleId="AnvndHyperlnk">
    <w:name w:val="FollowedHyperlink"/>
    <w:basedOn w:val="Standardstycketeckensnitt"/>
    <w:uiPriority w:val="99"/>
    <w:semiHidden/>
    <w:unhideWhenUsed/>
    <w:rsid w:val="00DC4BA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275841">
      <w:bodyDiv w:val="1"/>
      <w:marLeft w:val="0"/>
      <w:marRight w:val="0"/>
      <w:marTop w:val="0"/>
      <w:marBottom w:val="0"/>
      <w:divBdr>
        <w:top w:val="none" w:sz="0" w:space="0" w:color="auto"/>
        <w:left w:val="none" w:sz="0" w:space="0" w:color="auto"/>
        <w:bottom w:val="none" w:sz="0" w:space="0" w:color="auto"/>
        <w:right w:val="none" w:sz="0" w:space="0" w:color="auto"/>
      </w:divBdr>
    </w:div>
    <w:div w:id="535238551">
      <w:bodyDiv w:val="1"/>
      <w:marLeft w:val="0"/>
      <w:marRight w:val="0"/>
      <w:marTop w:val="0"/>
      <w:marBottom w:val="0"/>
      <w:divBdr>
        <w:top w:val="none" w:sz="0" w:space="0" w:color="auto"/>
        <w:left w:val="none" w:sz="0" w:space="0" w:color="auto"/>
        <w:bottom w:val="none" w:sz="0" w:space="0" w:color="auto"/>
        <w:right w:val="none" w:sz="0" w:space="0" w:color="auto"/>
      </w:divBdr>
      <w:divsChild>
        <w:div w:id="1375229458">
          <w:marLeft w:val="0"/>
          <w:marRight w:val="0"/>
          <w:marTop w:val="0"/>
          <w:marBottom w:val="0"/>
          <w:divBdr>
            <w:top w:val="none" w:sz="0" w:space="0" w:color="auto"/>
            <w:left w:val="none" w:sz="0" w:space="0" w:color="auto"/>
            <w:bottom w:val="none" w:sz="0" w:space="0" w:color="auto"/>
            <w:right w:val="none" w:sz="0" w:space="0" w:color="auto"/>
          </w:divBdr>
          <w:divsChild>
            <w:div w:id="1004435253">
              <w:marLeft w:val="0"/>
              <w:marRight w:val="0"/>
              <w:marTop w:val="0"/>
              <w:marBottom w:val="0"/>
              <w:divBdr>
                <w:top w:val="none" w:sz="0" w:space="0" w:color="auto"/>
                <w:left w:val="none" w:sz="0" w:space="0" w:color="auto"/>
                <w:bottom w:val="none" w:sz="0" w:space="0" w:color="auto"/>
                <w:right w:val="none" w:sz="0" w:space="0" w:color="auto"/>
              </w:divBdr>
              <w:divsChild>
                <w:div w:id="81429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667275">
      <w:bodyDiv w:val="1"/>
      <w:marLeft w:val="0"/>
      <w:marRight w:val="0"/>
      <w:marTop w:val="0"/>
      <w:marBottom w:val="0"/>
      <w:divBdr>
        <w:top w:val="none" w:sz="0" w:space="0" w:color="auto"/>
        <w:left w:val="none" w:sz="0" w:space="0" w:color="auto"/>
        <w:bottom w:val="none" w:sz="0" w:space="0" w:color="auto"/>
        <w:right w:val="none" w:sz="0" w:space="0" w:color="auto"/>
      </w:divBdr>
    </w:div>
    <w:div w:id="1249457516">
      <w:bodyDiv w:val="1"/>
      <w:marLeft w:val="0"/>
      <w:marRight w:val="0"/>
      <w:marTop w:val="0"/>
      <w:marBottom w:val="0"/>
      <w:divBdr>
        <w:top w:val="none" w:sz="0" w:space="0" w:color="auto"/>
        <w:left w:val="none" w:sz="0" w:space="0" w:color="auto"/>
        <w:bottom w:val="none" w:sz="0" w:space="0" w:color="auto"/>
        <w:right w:val="none" w:sz="0" w:space="0" w:color="auto"/>
      </w:divBdr>
      <w:divsChild>
        <w:div w:id="1922250074">
          <w:marLeft w:val="0"/>
          <w:marRight w:val="0"/>
          <w:marTop w:val="0"/>
          <w:marBottom w:val="0"/>
          <w:divBdr>
            <w:top w:val="none" w:sz="0" w:space="0" w:color="auto"/>
            <w:left w:val="none" w:sz="0" w:space="0" w:color="auto"/>
            <w:bottom w:val="none" w:sz="0" w:space="0" w:color="auto"/>
            <w:right w:val="none" w:sz="0" w:space="0" w:color="auto"/>
          </w:divBdr>
          <w:divsChild>
            <w:div w:id="1064138026">
              <w:marLeft w:val="0"/>
              <w:marRight w:val="0"/>
              <w:marTop w:val="0"/>
              <w:marBottom w:val="0"/>
              <w:divBdr>
                <w:top w:val="none" w:sz="0" w:space="0" w:color="auto"/>
                <w:left w:val="none" w:sz="0" w:space="0" w:color="auto"/>
                <w:bottom w:val="none" w:sz="0" w:space="0" w:color="auto"/>
                <w:right w:val="none" w:sz="0" w:space="0" w:color="auto"/>
              </w:divBdr>
              <w:divsChild>
                <w:div w:id="12195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84487">
      <w:bodyDiv w:val="1"/>
      <w:marLeft w:val="0"/>
      <w:marRight w:val="0"/>
      <w:marTop w:val="0"/>
      <w:marBottom w:val="0"/>
      <w:divBdr>
        <w:top w:val="none" w:sz="0" w:space="0" w:color="auto"/>
        <w:left w:val="none" w:sz="0" w:space="0" w:color="auto"/>
        <w:bottom w:val="none" w:sz="0" w:space="0" w:color="auto"/>
        <w:right w:val="none" w:sz="0" w:space="0" w:color="auto"/>
      </w:divBdr>
    </w:div>
    <w:div w:id="1817069173">
      <w:bodyDiv w:val="1"/>
      <w:marLeft w:val="0"/>
      <w:marRight w:val="0"/>
      <w:marTop w:val="0"/>
      <w:marBottom w:val="0"/>
      <w:divBdr>
        <w:top w:val="none" w:sz="0" w:space="0" w:color="auto"/>
        <w:left w:val="none" w:sz="0" w:space="0" w:color="auto"/>
        <w:bottom w:val="none" w:sz="0" w:space="0" w:color="auto"/>
        <w:right w:val="none" w:sz="0" w:space="0" w:color="auto"/>
      </w:divBdr>
    </w:div>
    <w:div w:id="1894927201">
      <w:bodyDiv w:val="1"/>
      <w:marLeft w:val="0"/>
      <w:marRight w:val="0"/>
      <w:marTop w:val="0"/>
      <w:marBottom w:val="0"/>
      <w:divBdr>
        <w:top w:val="none" w:sz="0" w:space="0" w:color="auto"/>
        <w:left w:val="none" w:sz="0" w:space="0" w:color="auto"/>
        <w:bottom w:val="none" w:sz="0" w:space="0" w:color="auto"/>
        <w:right w:val="none" w:sz="0" w:space="0" w:color="auto"/>
      </w:divBdr>
    </w:div>
    <w:div w:id="1932010484">
      <w:bodyDiv w:val="1"/>
      <w:marLeft w:val="0"/>
      <w:marRight w:val="0"/>
      <w:marTop w:val="0"/>
      <w:marBottom w:val="0"/>
      <w:divBdr>
        <w:top w:val="none" w:sz="0" w:space="0" w:color="auto"/>
        <w:left w:val="none" w:sz="0" w:space="0" w:color="auto"/>
        <w:bottom w:val="none" w:sz="0" w:space="0" w:color="auto"/>
        <w:right w:val="none" w:sz="0" w:space="0" w:color="auto"/>
      </w:divBdr>
    </w:div>
    <w:div w:id="214723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8" ma:contentTypeDescription="Create a new document." ma:contentTypeScope="" ma:versionID="eedb10cc814107a3eb45c8aa65d9cb27">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aec84c812e92ab3f283b7caedb389f8c"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cf7fcc-4ac6-4448-a404-5e4417a2ee04">
      <Terms xmlns="http://schemas.microsoft.com/office/infopath/2007/PartnerControls"/>
    </lcf76f155ced4ddcb4097134ff3c332f>
    <TaxCatchAll xmlns="598f140b-4145-4024-8bcc-6d7083f15a24" xsi:nil="true"/>
  </documentManagement>
</p:properties>
</file>

<file path=customXml/itemProps1.xml><?xml version="1.0" encoding="utf-8"?>
<ds:datastoreItem xmlns:ds="http://schemas.openxmlformats.org/officeDocument/2006/customXml" ds:itemID="{2ECC10CD-8BAF-4661-90FE-238453E10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86DEC0-B3A4-4A1B-AF18-77EE484896D5}">
  <ds:schemaRefs>
    <ds:schemaRef ds:uri="http://schemas.microsoft.com/sharepoint/v3/contenttype/forms"/>
  </ds:schemaRefs>
</ds:datastoreItem>
</file>

<file path=customXml/itemProps3.xml><?xml version="1.0" encoding="utf-8"?>
<ds:datastoreItem xmlns:ds="http://schemas.openxmlformats.org/officeDocument/2006/customXml" ds:itemID="{9DB3CF66-F1EF-4AC1-8109-5D1CF325ADEC}">
  <ds:schemaRefs>
    <ds:schemaRef ds:uri="http://schemas.microsoft.com/office/2006/metadata/properties"/>
    <ds:schemaRef ds:uri="http://schemas.microsoft.com/office/infopath/2007/PartnerControls"/>
    <ds:schemaRef ds:uri="fecf7fcc-4ac6-4448-a404-5e4417a2ee04"/>
    <ds:schemaRef ds:uri="598f140b-4145-4024-8bcc-6d7083f15a24"/>
  </ds:schemaRefs>
</ds:datastoreItem>
</file>

<file path=docMetadata/LabelInfo.xml><?xml version="1.0" encoding="utf-8"?>
<clbl:labelList xmlns:clbl="http://schemas.microsoft.com/office/2020/mipLabelMetadata">
  <clbl:label id="{c541a3c6-520b-49ce-8220-2228ac7c3626}" enabled="0" method="" siteId="{c541a3c6-520b-49ce-8220-2228ac7c362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1693</Words>
  <Characters>8975</Characters>
  <Application>Microsoft Office Word</Application>
  <DocSecurity>4</DocSecurity>
  <Lines>74</Lines>
  <Paragraphs>21</Paragraphs>
  <ScaleCrop>false</ScaleCrop>
  <Company>International Chamber of Commerce</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PICARD Valerie</dc:creator>
  <cp:keywords/>
  <dc:description/>
  <cp:lastModifiedBy>Ebba Johansson</cp:lastModifiedBy>
  <cp:revision>2</cp:revision>
  <dcterms:created xsi:type="dcterms:W3CDTF">2025-04-02T09:14:00Z</dcterms:created>
  <dcterms:modified xsi:type="dcterms:W3CDTF">2025-04-02T09:14:00Z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MediaServiceImageTags">
    <vt:lpwstr/>
  </property>
</Properties>
</file>