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9AA1D" w14:textId="124C0E61" w:rsidR="005071EB" w:rsidRPr="005071EB" w:rsidRDefault="005071EB" w:rsidP="00E44BA1">
      <w:pPr>
        <w:spacing w:after="0"/>
        <w:rPr>
          <w:i/>
          <w:iCs/>
        </w:rPr>
      </w:pPr>
      <w:r w:rsidRPr="005071EB">
        <w:rPr>
          <w:i/>
          <w:iCs/>
        </w:rPr>
        <w:t>Draft of 31 Oct</w:t>
      </w:r>
      <w:r>
        <w:rPr>
          <w:i/>
          <w:iCs/>
        </w:rPr>
        <w:t>ober 20</w:t>
      </w:r>
      <w:r w:rsidRPr="005071EB">
        <w:rPr>
          <w:i/>
          <w:iCs/>
        </w:rPr>
        <w:t>24</w:t>
      </w:r>
    </w:p>
    <w:p w14:paraId="74BD0B41" w14:textId="77777777" w:rsidR="005071EB" w:rsidRDefault="005071EB" w:rsidP="00E44BA1">
      <w:pPr>
        <w:spacing w:after="0"/>
        <w:rPr>
          <w:b/>
          <w:bCs/>
          <w:sz w:val="32"/>
          <w:szCs w:val="32"/>
        </w:rPr>
      </w:pPr>
    </w:p>
    <w:p w14:paraId="20A3688D" w14:textId="703C7803" w:rsidR="00E44BA1" w:rsidRDefault="000B1688" w:rsidP="00E44BA1">
      <w:pPr>
        <w:spacing w:after="0"/>
      </w:pPr>
      <w:r w:rsidRPr="000B1688">
        <w:rPr>
          <w:b/>
          <w:bCs/>
          <w:sz w:val="32"/>
          <w:szCs w:val="32"/>
        </w:rPr>
        <w:t xml:space="preserve">A </w:t>
      </w:r>
      <w:r w:rsidR="006A704F">
        <w:rPr>
          <w:b/>
          <w:bCs/>
          <w:sz w:val="32"/>
          <w:szCs w:val="32"/>
        </w:rPr>
        <w:t>Sword and a shield: u</w:t>
      </w:r>
      <w:r w:rsidR="00053828">
        <w:rPr>
          <w:b/>
          <w:bCs/>
          <w:sz w:val="32"/>
          <w:szCs w:val="32"/>
        </w:rPr>
        <w:t xml:space="preserve">sing competition law </w:t>
      </w:r>
      <w:r w:rsidR="00206FA3" w:rsidRPr="000B1688">
        <w:rPr>
          <w:b/>
          <w:bCs/>
          <w:sz w:val="32"/>
          <w:szCs w:val="32"/>
        </w:rPr>
        <w:t>to tackle climate change and unsustainable practices</w:t>
      </w:r>
      <w:r w:rsidR="00206FA3" w:rsidRPr="00206FA3">
        <w:br/>
      </w:r>
    </w:p>
    <w:p w14:paraId="1007BB28" w14:textId="27FCF8A8" w:rsidR="00206FA3" w:rsidRDefault="00206FA3" w:rsidP="00E44BA1">
      <w:pPr>
        <w:spacing w:after="0"/>
        <w:rPr>
          <w:b/>
          <w:bCs/>
          <w:sz w:val="28"/>
          <w:szCs w:val="28"/>
        </w:rPr>
      </w:pPr>
      <w:r w:rsidRPr="00206FA3">
        <w:br/>
      </w:r>
      <w:r w:rsidR="000B1688" w:rsidRPr="000B1688">
        <w:rPr>
          <w:b/>
          <w:bCs/>
          <w:sz w:val="28"/>
          <w:szCs w:val="28"/>
        </w:rPr>
        <w:t>1. INTRODUCTIO</w:t>
      </w:r>
      <w:r w:rsidR="00C42163">
        <w:rPr>
          <w:b/>
          <w:bCs/>
          <w:sz w:val="28"/>
          <w:szCs w:val="28"/>
        </w:rPr>
        <w:t>N</w:t>
      </w:r>
      <w:r w:rsidRPr="00206FA3">
        <w:br/>
      </w:r>
      <w:r w:rsidRPr="00206FA3">
        <w:br/>
        <w:t xml:space="preserve">The </w:t>
      </w:r>
      <w:r w:rsidR="000A339A">
        <w:t>International Chamber of Commerce (</w:t>
      </w:r>
      <w:r w:rsidRPr="00206FA3">
        <w:t>ICC</w:t>
      </w:r>
      <w:r w:rsidR="000A339A">
        <w:t>)</w:t>
      </w:r>
      <w:r w:rsidRPr="00206FA3">
        <w:t xml:space="preserve"> has presented papers on climate change, sustainability and competition policy at each of the last two United Nations </w:t>
      </w:r>
      <w:r w:rsidR="000A339A">
        <w:t>C</w:t>
      </w:r>
      <w:r w:rsidRPr="00206FA3">
        <w:t xml:space="preserve">onferences of the </w:t>
      </w:r>
      <w:r w:rsidR="00E41F47">
        <w:t>P</w:t>
      </w:r>
      <w:r w:rsidRPr="00206FA3">
        <w:t xml:space="preserve">arties </w:t>
      </w:r>
      <w:r w:rsidR="00A1041C">
        <w:t xml:space="preserve">(COP) </w:t>
      </w:r>
      <w:r w:rsidRPr="00206FA3">
        <w:t xml:space="preserve">– </w:t>
      </w:r>
      <w:r w:rsidR="00E41F47">
        <w:t xml:space="preserve">COP </w:t>
      </w:r>
      <w:r w:rsidRPr="00206FA3">
        <w:t xml:space="preserve">27 in November </w:t>
      </w:r>
      <w:r w:rsidR="008626C0">
        <w:t>20</w:t>
      </w:r>
      <w:r w:rsidRPr="00206FA3">
        <w:t xml:space="preserve">22 and </w:t>
      </w:r>
      <w:r w:rsidR="008626C0">
        <w:t xml:space="preserve">COP </w:t>
      </w:r>
      <w:r w:rsidRPr="00206FA3">
        <w:t>28 in November 2023.</w:t>
      </w:r>
      <w:r w:rsidRPr="00206FA3">
        <w:br/>
      </w:r>
      <w:r w:rsidRPr="00206FA3">
        <w:br/>
      </w:r>
      <w:r w:rsidR="00A57ABC" w:rsidRPr="00A57ABC">
        <w:rPr>
          <w:b/>
          <w:bCs/>
          <w:sz w:val="28"/>
          <w:szCs w:val="28"/>
        </w:rPr>
        <w:t>C</w:t>
      </w:r>
      <w:r w:rsidR="005071EB">
        <w:rPr>
          <w:b/>
          <w:bCs/>
          <w:sz w:val="28"/>
          <w:szCs w:val="28"/>
        </w:rPr>
        <w:t>OP</w:t>
      </w:r>
      <w:r w:rsidRPr="00A57ABC">
        <w:rPr>
          <w:b/>
          <w:bCs/>
          <w:sz w:val="28"/>
          <w:szCs w:val="28"/>
        </w:rPr>
        <w:t xml:space="preserve"> 27</w:t>
      </w:r>
      <w:r w:rsidRPr="00206FA3">
        <w:br/>
      </w:r>
      <w:r w:rsidRPr="00206FA3">
        <w:br/>
        <w:t>At C</w:t>
      </w:r>
      <w:r w:rsidR="0045487D">
        <w:t>OP</w:t>
      </w:r>
      <w:r w:rsidRPr="00206FA3">
        <w:t xml:space="preserve"> 27</w:t>
      </w:r>
      <w:r w:rsidR="00D56E95">
        <w:t>,</w:t>
      </w:r>
      <w:r w:rsidRPr="00206FA3">
        <w:t xml:space="preserve"> ICC </w:t>
      </w:r>
      <w:r w:rsidR="0045487D">
        <w:t>p</w:t>
      </w:r>
      <w:r w:rsidRPr="00206FA3">
        <w:t xml:space="preserve">ublished a white paper calling upon governments, legislators and competition authorities to do everything in their power to eliminate the inconsistency between the imperative to fight climate change and competition policies which were preventing companies from working together in a meaningful manner to assist the transition to a green economy and </w:t>
      </w:r>
      <w:r w:rsidR="00FD5C27">
        <w:t xml:space="preserve">a </w:t>
      </w:r>
      <w:r w:rsidRPr="00206FA3">
        <w:t>sustainable future</w:t>
      </w:r>
      <w:r w:rsidR="00171BED">
        <w:rPr>
          <w:rStyle w:val="FootnoteReference"/>
        </w:rPr>
        <w:footnoteReference w:id="2"/>
      </w:r>
      <w:r w:rsidRPr="00206FA3">
        <w:t>.</w:t>
      </w:r>
      <w:r w:rsidRPr="00206FA3">
        <w:br/>
      </w:r>
      <w:r w:rsidRPr="00206FA3">
        <w:br/>
        <w:t>That white paper built on ICC members experience with competition authorities expressing doubts about competitors need to cooperate to neutralise the potential disadvantages of being a pioneer of change (“first mover disadvantages</w:t>
      </w:r>
      <w:r w:rsidR="005E3CEB">
        <w:t>”</w:t>
      </w:r>
      <w:r w:rsidRPr="00206FA3">
        <w:t>) to reach sustainability go</w:t>
      </w:r>
      <w:r w:rsidR="007567BE">
        <w:t>als</w:t>
      </w:r>
      <w:r w:rsidRPr="00206FA3">
        <w:t xml:space="preserve"> sooner and more efficiently. Some authorities seemed hesitant to embrace sustainability considerations fearing that competitors were in fact looking for an excuse to collude and that greenwashing was their real intention.</w:t>
      </w:r>
      <w:r w:rsidRPr="00206FA3">
        <w:br/>
      </w:r>
      <w:r w:rsidRPr="00206FA3">
        <w:br/>
        <w:t xml:space="preserve">In </w:t>
      </w:r>
      <w:r w:rsidR="007567BE">
        <w:t>it</w:t>
      </w:r>
      <w:r w:rsidR="007B74C2">
        <w:t>s</w:t>
      </w:r>
      <w:r w:rsidRPr="00206FA3">
        <w:t xml:space="preserve"> paper ICC presented 12 real life examples of competitors looking to work together,</w:t>
      </w:r>
      <w:r w:rsidR="007B74C2">
        <w:t xml:space="preserve"> but</w:t>
      </w:r>
      <w:r w:rsidRPr="00206FA3">
        <w:t xml:space="preserve"> which were eventually abandoned for fear of competition law. This illustrated the </w:t>
      </w:r>
      <w:r w:rsidR="007B74C2">
        <w:t xml:space="preserve">pressing </w:t>
      </w:r>
      <w:r w:rsidRPr="00206FA3">
        <w:t xml:space="preserve">need for competition policy and enforcement to be updated to facilitate such vital action to fight climate change and pursue sustainability. In particular it showed that </w:t>
      </w:r>
      <w:r w:rsidR="00EF4DE8">
        <w:t xml:space="preserve">modern </w:t>
      </w:r>
      <w:r w:rsidRPr="00206FA3">
        <w:t>competition policy needed to integrate sustainability economics, taking account of market failures and collective action problems.</w:t>
      </w:r>
      <w:r w:rsidRPr="00206FA3">
        <w:br/>
      </w:r>
      <w:r w:rsidRPr="00206FA3">
        <w:br/>
        <w:t>ICC called competition authorities to introduce guidelines and provide concrete assistance in particular cases to support and encourage the</w:t>
      </w:r>
      <w:r w:rsidR="00171BED">
        <w:t xml:space="preserve"> sor</w:t>
      </w:r>
      <w:r w:rsidRPr="00206FA3">
        <w:t>t of cooperation which we need to see if the private sector is to</w:t>
      </w:r>
      <w:r w:rsidR="00171BED">
        <w:t xml:space="preserve"> </w:t>
      </w:r>
      <w:r w:rsidRPr="00206FA3">
        <w:t>play its full part in the transition to a sustainable economy.</w:t>
      </w:r>
      <w:r w:rsidRPr="00206FA3">
        <w:br/>
      </w:r>
      <w:r w:rsidRPr="00206FA3">
        <w:br/>
      </w:r>
      <w:r w:rsidR="00A57ABC" w:rsidRPr="00A57ABC">
        <w:rPr>
          <w:b/>
          <w:bCs/>
          <w:sz w:val="28"/>
          <w:szCs w:val="28"/>
        </w:rPr>
        <w:t>COP 28</w:t>
      </w:r>
    </w:p>
    <w:p w14:paraId="6B96C50A" w14:textId="77777777" w:rsidR="006A704F" w:rsidRPr="00206FA3" w:rsidRDefault="006A704F" w:rsidP="00E44BA1">
      <w:pPr>
        <w:spacing w:after="0"/>
      </w:pPr>
    </w:p>
    <w:p w14:paraId="7A3FB9BF" w14:textId="76402255" w:rsidR="00742D0D" w:rsidRDefault="00713C84" w:rsidP="00E44BA1">
      <w:pPr>
        <w:spacing w:after="0"/>
        <w:rPr>
          <w:b/>
          <w:bCs/>
          <w:sz w:val="28"/>
          <w:szCs w:val="28"/>
        </w:rPr>
      </w:pPr>
      <w:r w:rsidRPr="00713C84">
        <w:t xml:space="preserve">Prior to </w:t>
      </w:r>
      <w:r w:rsidR="00277D2F">
        <w:t>COP</w:t>
      </w:r>
      <w:r w:rsidRPr="00713C84">
        <w:t xml:space="preserve"> 27 some great work ha</w:t>
      </w:r>
      <w:r w:rsidR="00585F92">
        <w:t>d</w:t>
      </w:r>
      <w:r w:rsidRPr="00713C84">
        <w:t xml:space="preserve"> been done in a number of jurisdictions including the Netherlands, Austria and Greece. However, this accelerated after </w:t>
      </w:r>
      <w:r w:rsidR="00277D2F">
        <w:t>COP</w:t>
      </w:r>
      <w:r w:rsidRPr="00713C84">
        <w:t xml:space="preserve"> 27 with</w:t>
      </w:r>
      <w:r w:rsidR="00277D2F">
        <w:t xml:space="preserve">, in </w:t>
      </w:r>
      <w:r w:rsidRPr="00713C84">
        <w:t xml:space="preserve">particular, </w:t>
      </w:r>
      <w:r w:rsidR="00277D2F">
        <w:t>t</w:t>
      </w:r>
      <w:r w:rsidRPr="00713C84">
        <w:t xml:space="preserve">he European Commission producing guidelines on sustainability cooperation agreements in its </w:t>
      </w:r>
      <w:r w:rsidR="003A4341">
        <w:t>H</w:t>
      </w:r>
      <w:r w:rsidRPr="00713C84">
        <w:t xml:space="preserve">orizontal </w:t>
      </w:r>
      <w:r w:rsidR="003A4341">
        <w:t>G</w:t>
      </w:r>
      <w:r w:rsidRPr="00713C84">
        <w:t>uidelines of June 2023 and the UK</w:t>
      </w:r>
      <w:r w:rsidR="003A4341">
        <w:t xml:space="preserve">’s </w:t>
      </w:r>
      <w:r w:rsidRPr="00713C84">
        <w:t xml:space="preserve">Competition and Markets Authority (CMA) producing its Green </w:t>
      </w:r>
      <w:r w:rsidR="003A4341">
        <w:t>G</w:t>
      </w:r>
      <w:r w:rsidRPr="00713C84">
        <w:t>uidance in October 2023</w:t>
      </w:r>
      <w:r w:rsidR="00457D9B">
        <w:t>. I</w:t>
      </w:r>
      <w:r w:rsidRPr="00713C84">
        <w:t>n November 2023</w:t>
      </w:r>
      <w:r w:rsidR="00457D9B">
        <w:t xml:space="preserve"> t</w:t>
      </w:r>
      <w:r w:rsidRPr="00713C84">
        <w:t xml:space="preserve">he ICC produced a progress </w:t>
      </w:r>
      <w:r w:rsidRPr="00713C84">
        <w:lastRenderedPageBreak/>
        <w:t>report reporting on developments in these, and other, jurisdictions</w:t>
      </w:r>
      <w:r w:rsidR="00AC3B3F">
        <w:rPr>
          <w:rStyle w:val="FootnoteReference"/>
        </w:rPr>
        <w:footnoteReference w:id="3"/>
      </w:r>
      <w:r w:rsidRPr="00713C84">
        <w:t xml:space="preserve">. It summarised the guidelines </w:t>
      </w:r>
      <w:r w:rsidR="00C966AF">
        <w:t xml:space="preserve">and </w:t>
      </w:r>
      <w:r w:rsidRPr="00713C84">
        <w:t>other soft</w:t>
      </w:r>
      <w:r w:rsidR="0096148D">
        <w:t xml:space="preserve"> law</w:t>
      </w:r>
      <w:r w:rsidRPr="00713C84">
        <w:t xml:space="preserve"> documents which had been published to help businesses assess sustainability agreements. It also called upon other nations, particularly the US and China, to engage with this issue given the global nature of climate change and the fact that many of the most important initiatives involve cooperation amongst companies operating on a transnational basis. Overall, the paper highlighted the importance of a transparent set of policies and regulations</w:t>
      </w:r>
      <w:r w:rsidRPr="00713C84">
        <w:rPr>
          <w:b/>
          <w:bCs/>
        </w:rPr>
        <w:t xml:space="preserve"> </w:t>
      </w:r>
      <w:r w:rsidRPr="00713C84">
        <w:t>to encourage companies to pursue</w:t>
      </w:r>
      <w:r w:rsidRPr="00713C84">
        <w:rPr>
          <w:b/>
          <w:bCs/>
        </w:rPr>
        <w:t xml:space="preserve"> </w:t>
      </w:r>
      <w:r w:rsidRPr="00713C84">
        <w:t>sustainability goals jointly.</w:t>
      </w:r>
      <w:r w:rsidRPr="00713C84">
        <w:rPr>
          <w:b/>
          <w:bCs/>
        </w:rPr>
        <w:br/>
      </w:r>
      <w:r w:rsidRPr="00713C84">
        <w:rPr>
          <w:b/>
          <w:bCs/>
        </w:rPr>
        <w:br/>
      </w:r>
      <w:r w:rsidRPr="00713C84">
        <w:rPr>
          <w:b/>
          <w:bCs/>
          <w:sz w:val="28"/>
          <w:szCs w:val="28"/>
        </w:rPr>
        <w:t>Work remaining to be done.</w:t>
      </w:r>
    </w:p>
    <w:p w14:paraId="48696500" w14:textId="166DEEE9" w:rsidR="00A57ABC" w:rsidRDefault="00713C84" w:rsidP="00E44BA1">
      <w:pPr>
        <w:spacing w:after="0"/>
      </w:pPr>
      <w:r w:rsidRPr="00713C84">
        <w:rPr>
          <w:b/>
          <w:bCs/>
        </w:rPr>
        <w:br/>
      </w:r>
      <w:r w:rsidRPr="00713C84">
        <w:t>While much has been done to he</w:t>
      </w:r>
      <w:r w:rsidR="003037F3">
        <w:t>lp</w:t>
      </w:r>
      <w:r w:rsidRPr="00713C84">
        <w:t xml:space="preserve"> competition</w:t>
      </w:r>
      <w:r w:rsidR="0021521A">
        <w:t xml:space="preserve"> </w:t>
      </w:r>
      <w:r w:rsidRPr="00713C84">
        <w:t xml:space="preserve">policy serve the transition to a sustainably economy, particularly on sustainability cooperation agreements, ICC recognises that much </w:t>
      </w:r>
      <w:r w:rsidR="0007468B">
        <w:t xml:space="preserve">more </w:t>
      </w:r>
      <w:r w:rsidRPr="00713C84">
        <w:t>remains to be done.</w:t>
      </w:r>
      <w:r w:rsidRPr="00713C84">
        <w:br/>
      </w:r>
      <w:r w:rsidRPr="00713C84">
        <w:br/>
        <w:t xml:space="preserve">First, the guidelines on sustainability agreements are work in progress, and they can – and should – be updated in the light of </w:t>
      </w:r>
      <w:r w:rsidR="0007468B">
        <w:t xml:space="preserve">practical </w:t>
      </w:r>
      <w:r w:rsidRPr="00713C84">
        <w:t>experience. This requires making greater use of the authorities</w:t>
      </w:r>
      <w:r w:rsidR="0021521A">
        <w:t>’</w:t>
      </w:r>
      <w:r w:rsidRPr="00713C84">
        <w:t xml:space="preserve"> open</w:t>
      </w:r>
      <w:r w:rsidR="003F716E">
        <w:t xml:space="preserve"> </w:t>
      </w:r>
      <w:r w:rsidRPr="00713C84">
        <w:t>door policies. To do that businesses need to come forward with more</w:t>
      </w:r>
      <w:r w:rsidR="0021521A">
        <w:t xml:space="preserve"> real life</w:t>
      </w:r>
      <w:r w:rsidRPr="00713C84">
        <w:t xml:space="preserve"> examples of projects which they would like to carry out in areas where existing guidelines do not yet provide sufficient general guidance.</w:t>
      </w:r>
    </w:p>
    <w:p w14:paraId="7377D85D" w14:textId="77777777" w:rsidR="00BB0169" w:rsidRPr="00742D0D" w:rsidRDefault="00BB0169" w:rsidP="00E44BA1">
      <w:pPr>
        <w:spacing w:after="0"/>
      </w:pPr>
    </w:p>
    <w:p w14:paraId="4BEAEFDB" w14:textId="181FEB5B" w:rsidR="00BE5B8A" w:rsidRDefault="00713C84" w:rsidP="00E44BA1">
      <w:pPr>
        <w:spacing w:after="0"/>
      </w:pPr>
      <w:r w:rsidRPr="00713C84">
        <w:t xml:space="preserve"> Secondly, the focus so far has (understandably) been on climate change, </w:t>
      </w:r>
      <w:r w:rsidR="00693BEF">
        <w:t>and much less</w:t>
      </w:r>
      <w:r w:rsidRPr="00713C84">
        <w:t xml:space="preserve"> on the other existential threat to humanity</w:t>
      </w:r>
      <w:r w:rsidR="00693BEF">
        <w:t>,</w:t>
      </w:r>
      <w:r w:rsidRPr="00713C84">
        <w:t xml:space="preserve"> bio diversity loss.  Future guidelines should place a higher emphasis on this crucial area.</w:t>
      </w:r>
      <w:r w:rsidRPr="00713C84">
        <w:br/>
      </w:r>
      <w:r w:rsidRPr="00713C84">
        <w:br/>
        <w:t>Thirdly, the greatest progress has been made in Europe but, as mentioned above, many of the agreements which would have the greatest impact on the transition to a sustainable economy have implications around the world and, unfortunately, less progress has been made elsewhere in the world.  While some countries like Australia, Japan, Singapore are catching up with Europe, progress in China and the US remains a top priority</w:t>
      </w:r>
      <w:r w:rsidR="007E18AB">
        <w:rPr>
          <w:rStyle w:val="FootnoteReference"/>
        </w:rPr>
        <w:footnoteReference w:id="4"/>
      </w:r>
      <w:r w:rsidRPr="00713C84">
        <w:t>.</w:t>
      </w:r>
      <w:r w:rsidRPr="00713C84">
        <w:br/>
      </w:r>
      <w:r w:rsidRPr="00713C84">
        <w:br/>
        <w:t xml:space="preserve">So far the focus has (again, understandably) been on ensuring that competition policy does not </w:t>
      </w:r>
      <w:r w:rsidR="0059158D">
        <w:t>unduly</w:t>
      </w:r>
      <w:r w:rsidRPr="00713C84">
        <w:t xml:space="preserve"> inhibit private sector agreements to transition industries onto a more sustainable basis. However, more thought needs to be given to other areas of the law, such as anti-subsidy/state aid law, merge</w:t>
      </w:r>
      <w:r w:rsidR="00957BC5">
        <w:t xml:space="preserve">r control </w:t>
      </w:r>
      <w:r w:rsidRPr="00713C84">
        <w:t>and laws relating to control of monopoly power/abuse of dominance. The l</w:t>
      </w:r>
      <w:r w:rsidR="008A6E66" w:rsidRPr="00742D0D">
        <w:t>a</w:t>
      </w:r>
      <w:r w:rsidRPr="00713C84">
        <w:t>tter of these areas is the subject of this paper which the ICC presents to</w:t>
      </w:r>
      <w:r w:rsidR="004C1BCB">
        <w:t xml:space="preserve"> COP</w:t>
      </w:r>
      <w:r w:rsidRPr="00713C84">
        <w:t xml:space="preserve"> 29</w:t>
      </w:r>
      <w:r w:rsidR="000A339A">
        <w:rPr>
          <w:rStyle w:val="FootnoteReference"/>
        </w:rPr>
        <w:footnoteReference w:id="5"/>
      </w:r>
      <w:r w:rsidRPr="00713C84">
        <w:t>.</w:t>
      </w:r>
      <w:r w:rsidRPr="00713C84">
        <w:br/>
      </w:r>
      <w:r w:rsidRPr="00713C84">
        <w:br/>
        <w:t>There are broadly two ways in which laws controlling monopoly power and the abuse of dominant positions relate to climate change and the transition to a more sustainable economy:</w:t>
      </w:r>
    </w:p>
    <w:p w14:paraId="4A6FC4EB" w14:textId="5B69873F" w:rsidR="00713C84" w:rsidRDefault="00713C84" w:rsidP="00E44BA1">
      <w:pPr>
        <w:pStyle w:val="ListParagraph"/>
        <w:numPr>
          <w:ilvl w:val="0"/>
          <w:numId w:val="10"/>
        </w:numPr>
        <w:spacing w:after="0"/>
      </w:pPr>
      <w:r w:rsidRPr="00713C84">
        <w:t xml:space="preserve">the potential use </w:t>
      </w:r>
      <w:r w:rsidR="00E90CB4">
        <w:t xml:space="preserve">of </w:t>
      </w:r>
      <w:r w:rsidRPr="00713C84">
        <w:t>anti</w:t>
      </w:r>
      <w:r w:rsidR="009A5195">
        <w:t>-</w:t>
      </w:r>
      <w:r w:rsidRPr="00713C84">
        <w:t>monopoly/abuse of dominance provisions to tackle unsustainable practices by firms as abuses</w:t>
      </w:r>
      <w:r w:rsidR="00E90CB4">
        <w:t xml:space="preserve"> </w:t>
      </w:r>
      <w:r w:rsidRPr="00713C84">
        <w:t xml:space="preserve"> (the so</w:t>
      </w:r>
      <w:r w:rsidR="00E93235">
        <w:t>-</w:t>
      </w:r>
      <w:r w:rsidRPr="00713C84">
        <w:t>called “sword”); and</w:t>
      </w:r>
    </w:p>
    <w:p w14:paraId="1D89D844" w14:textId="7A766BC0" w:rsidR="008A6E66" w:rsidRPr="00742D0D" w:rsidRDefault="00991FF9" w:rsidP="00E44BA1">
      <w:pPr>
        <w:pStyle w:val="ListParagraph"/>
        <w:numPr>
          <w:ilvl w:val="0"/>
          <w:numId w:val="10"/>
        </w:numPr>
        <w:spacing w:after="0"/>
      </w:pPr>
      <w:r w:rsidRPr="00991FF9">
        <w:lastRenderedPageBreak/>
        <w:t>Secondly taking proper account of sustainability considerations when considering whether or not a firm has committed an abus</w:t>
      </w:r>
      <w:r w:rsidR="00C06F6D">
        <w:t>e of</w:t>
      </w:r>
      <w:r w:rsidRPr="00991FF9">
        <w:t xml:space="preserve"> dominance or otherwise infringed anti-monopoly laws (</w:t>
      </w:r>
      <w:r w:rsidR="001D3ED5">
        <w:t xml:space="preserve">the </w:t>
      </w:r>
      <w:r w:rsidRPr="00991FF9">
        <w:t>so</w:t>
      </w:r>
      <w:r w:rsidR="001D3ED5">
        <w:t>-called “</w:t>
      </w:r>
      <w:r w:rsidRPr="00991FF9">
        <w:t>shield”)</w:t>
      </w:r>
      <w:r w:rsidR="000D67DB">
        <w:rPr>
          <w:rStyle w:val="FootnoteReference"/>
        </w:rPr>
        <w:footnoteReference w:id="6"/>
      </w:r>
      <w:r w:rsidRPr="00991FF9">
        <w:t>.</w:t>
      </w:r>
    </w:p>
    <w:p w14:paraId="3A7C32BB" w14:textId="77777777" w:rsidR="002F62A6" w:rsidRDefault="002F62A6" w:rsidP="00E44BA1">
      <w:pPr>
        <w:spacing w:after="0"/>
        <w:rPr>
          <w:b/>
          <w:bCs/>
        </w:rPr>
      </w:pPr>
    </w:p>
    <w:p w14:paraId="7E3907DD" w14:textId="2C5B0283" w:rsidR="00991FF9" w:rsidRPr="00991FF9" w:rsidRDefault="00991FF9" w:rsidP="00E44BA1">
      <w:pPr>
        <w:spacing w:after="0"/>
      </w:pPr>
      <w:r w:rsidRPr="00991FF9">
        <w:rPr>
          <w:b/>
          <w:bCs/>
        </w:rPr>
        <w:br/>
      </w:r>
      <w:r w:rsidR="008A6E66" w:rsidRPr="008A6E66">
        <w:rPr>
          <w:b/>
          <w:bCs/>
          <w:sz w:val="28"/>
          <w:szCs w:val="28"/>
        </w:rPr>
        <w:t>2. THE SWORD: USING ABUSE OF DOMINANCE/ANTI-MONOPOLY POWERS TO FIGHT C</w:t>
      </w:r>
      <w:r w:rsidR="00245E71">
        <w:rPr>
          <w:b/>
          <w:bCs/>
          <w:sz w:val="28"/>
          <w:szCs w:val="28"/>
        </w:rPr>
        <w:t>LIMATE</w:t>
      </w:r>
      <w:r w:rsidR="008A6E66" w:rsidRPr="008A6E66">
        <w:rPr>
          <w:b/>
          <w:bCs/>
          <w:sz w:val="28"/>
          <w:szCs w:val="28"/>
        </w:rPr>
        <w:t xml:space="preserve"> CHANGE AND OTHER UNSUSTAINABLE PRACTICES.</w:t>
      </w:r>
      <w:r w:rsidRPr="00991FF9">
        <w:rPr>
          <w:b/>
          <w:bCs/>
        </w:rPr>
        <w:br/>
      </w:r>
      <w:r w:rsidRPr="00991FF9">
        <w:rPr>
          <w:b/>
          <w:bCs/>
        </w:rPr>
        <w:br/>
      </w:r>
      <w:r w:rsidRPr="00991FF9">
        <w:t xml:space="preserve">Much of this paper focuses on European Union </w:t>
      </w:r>
      <w:r w:rsidR="009405A2">
        <w:t>(</w:t>
      </w:r>
      <w:r w:rsidRPr="00991FF9">
        <w:t xml:space="preserve">EU) law and, specifically, on </w:t>
      </w:r>
      <w:r w:rsidR="009405A2">
        <w:t>A</w:t>
      </w:r>
      <w:r w:rsidRPr="00991FF9">
        <w:t xml:space="preserve">rticle 102 of the </w:t>
      </w:r>
      <w:r w:rsidR="009405A2">
        <w:t>T</w:t>
      </w:r>
      <w:r w:rsidRPr="00991FF9">
        <w:t xml:space="preserve">reaty on the </w:t>
      </w:r>
      <w:r w:rsidR="00F05C5D">
        <w:t>F</w:t>
      </w:r>
      <w:r w:rsidRPr="00991FF9">
        <w:t xml:space="preserve">unctioning of the European </w:t>
      </w:r>
      <w:r w:rsidR="00F05C5D">
        <w:t>U</w:t>
      </w:r>
      <w:r w:rsidRPr="00991FF9">
        <w:t>nion</w:t>
      </w:r>
      <w:r w:rsidR="00F05C5D">
        <w:t xml:space="preserve"> (</w:t>
      </w:r>
      <w:r w:rsidRPr="00991FF9">
        <w:t>TFEU) which prohibits</w:t>
      </w:r>
      <w:r w:rsidR="00F05C5D">
        <w:t xml:space="preserve"> </w:t>
      </w:r>
      <w:r w:rsidRPr="00991FF9">
        <w:t xml:space="preserve">any </w:t>
      </w:r>
      <w:r w:rsidR="000F33F6">
        <w:t>“ab</w:t>
      </w:r>
      <w:r w:rsidRPr="00991FF9">
        <w:t>use“</w:t>
      </w:r>
      <w:r w:rsidR="002045BE">
        <w:t xml:space="preserve"> o</w:t>
      </w:r>
      <w:r w:rsidRPr="00991FF9">
        <w:t>f a “dominant position“. This may seem like a narrow perspective</w:t>
      </w:r>
      <w:r w:rsidR="000F33F6">
        <w:t xml:space="preserve"> but t</w:t>
      </w:r>
      <w:r w:rsidRPr="00991FF9">
        <w:t>he national competition law</w:t>
      </w:r>
      <w:r w:rsidR="000F33F6">
        <w:t>s</w:t>
      </w:r>
      <w:r w:rsidRPr="00991FF9">
        <w:t xml:space="preserve"> of many countries </w:t>
      </w:r>
      <w:r w:rsidR="00B16643">
        <w:t>(</w:t>
      </w:r>
      <w:r w:rsidRPr="00991FF9">
        <w:t>not only in Europe but around the world</w:t>
      </w:r>
      <w:r w:rsidR="00B16643">
        <w:t>)</w:t>
      </w:r>
      <w:r w:rsidRPr="00991FF9">
        <w:t xml:space="preserve"> are modelled on EU law – with many containing identical wording. Furthermore, laws which use different wording </w:t>
      </w:r>
      <w:r w:rsidR="00DD2D9E">
        <w:t>(S</w:t>
      </w:r>
      <w:r w:rsidRPr="00991FF9">
        <w:t xml:space="preserve">uch as </w:t>
      </w:r>
      <w:r w:rsidR="00DD2D9E">
        <w:t>S</w:t>
      </w:r>
      <w:r w:rsidRPr="00991FF9">
        <w:t>ection 2 of the US</w:t>
      </w:r>
      <w:r w:rsidR="00DD2D9E">
        <w:t xml:space="preserve"> </w:t>
      </w:r>
      <w:r w:rsidRPr="00991FF9">
        <w:t>Sherman act or Australia</w:t>
      </w:r>
      <w:r w:rsidR="002871FF">
        <w:t>n</w:t>
      </w:r>
      <w:r w:rsidRPr="00991FF9">
        <w:t xml:space="preserve"> law with its</w:t>
      </w:r>
      <w:r w:rsidRPr="00991FF9">
        <w:rPr>
          <w:b/>
          <w:bCs/>
        </w:rPr>
        <w:t xml:space="preserve"> </w:t>
      </w:r>
      <w:r w:rsidRPr="00F7298D">
        <w:t>“</w:t>
      </w:r>
      <w:r w:rsidR="00C33417">
        <w:t>misuse of market power</w:t>
      </w:r>
      <w:r w:rsidRPr="00F7298D">
        <w:t xml:space="preserve">“ </w:t>
      </w:r>
      <w:r w:rsidR="00C33417">
        <w:t>provision</w:t>
      </w:r>
      <w:r w:rsidRPr="00991FF9">
        <w:t>) are generally tackling the same fundamental problem – the control of market power and its negative effects on the economy, consumers, society</w:t>
      </w:r>
      <w:r w:rsidR="00F7298D">
        <w:t xml:space="preserve"> (</w:t>
      </w:r>
      <w:r w:rsidRPr="00991FF9">
        <w:t>and, in this context, the plan</w:t>
      </w:r>
      <w:r w:rsidR="00F7298D">
        <w:t>et</w:t>
      </w:r>
      <w:r w:rsidRPr="00991FF9">
        <w:t xml:space="preserve">). </w:t>
      </w:r>
      <w:r w:rsidR="00F7298D">
        <w:t>W</w:t>
      </w:r>
      <w:r w:rsidRPr="00991FF9">
        <w:t>e therefore use the terms control of monopoly power and abuse of dominance fairly interchangeably in this paper.</w:t>
      </w:r>
    </w:p>
    <w:p w14:paraId="6CEF9D7F" w14:textId="77777777" w:rsidR="00991FF9" w:rsidRPr="00991FF9" w:rsidRDefault="00991FF9" w:rsidP="00E44BA1">
      <w:pPr>
        <w:spacing w:after="0"/>
      </w:pPr>
    </w:p>
    <w:p w14:paraId="3F7A06D9" w14:textId="77777777" w:rsidR="00991FF9" w:rsidRPr="00991FF9" w:rsidRDefault="00991FF9" w:rsidP="00E44BA1">
      <w:pPr>
        <w:spacing w:after="0"/>
      </w:pPr>
      <w:r w:rsidRPr="00991FF9">
        <w:t>Particularly as we need to look at this across multiple jurisdictions, it is worth standing back and making a few general comments about market power and sustainability generally:</w:t>
      </w:r>
    </w:p>
    <w:p w14:paraId="47659A75" w14:textId="77777777" w:rsidR="00991FF9" w:rsidRPr="00991FF9" w:rsidRDefault="00991FF9" w:rsidP="00E44BA1">
      <w:pPr>
        <w:spacing w:after="0"/>
      </w:pPr>
    </w:p>
    <w:p w14:paraId="1FE35C5D" w14:textId="4C92EEF9" w:rsidR="00991FF9" w:rsidRDefault="00085C9F" w:rsidP="00E44BA1">
      <w:pPr>
        <w:spacing w:after="0"/>
      </w:pPr>
      <w:r>
        <w:t xml:space="preserve">(i). </w:t>
      </w:r>
      <w:r w:rsidR="00A319BE">
        <w:t>W</w:t>
      </w:r>
      <w:r w:rsidR="00991FF9" w:rsidRPr="00991FF9">
        <w:t>hatever view i</w:t>
      </w:r>
      <w:r w:rsidR="00A319BE">
        <w:t>s</w:t>
      </w:r>
      <w:r w:rsidR="00991FF9" w:rsidRPr="00991FF9">
        <w:t xml:space="preserve"> take</w:t>
      </w:r>
      <w:r w:rsidR="00A319BE">
        <w:t>n</w:t>
      </w:r>
      <w:r w:rsidR="00991FF9" w:rsidRPr="00991FF9">
        <w:t xml:space="preserve"> about the extent to which dominant companies are responsible for climate change and uns</w:t>
      </w:r>
      <w:r w:rsidR="00C82966">
        <w:t>ustainable</w:t>
      </w:r>
      <w:r w:rsidR="00991FF9" w:rsidRPr="00991FF9">
        <w:t xml:space="preserve"> business practices, it should be accepted that, other things being equal, big companies are likely to have a bigger impact on </w:t>
      </w:r>
      <w:r w:rsidR="00991FF9" w:rsidRPr="00BB0169">
        <w:t xml:space="preserve">the </w:t>
      </w:r>
      <w:r w:rsidR="007B4544" w:rsidRPr="00BB0169">
        <w:t>planet/</w:t>
      </w:r>
      <w:r w:rsidR="00991FF9" w:rsidRPr="00BB0169">
        <w:t>marke</w:t>
      </w:r>
      <w:r w:rsidR="00A4599C" w:rsidRPr="00BB0169">
        <w:t>t</w:t>
      </w:r>
      <w:r w:rsidR="00ED2687" w:rsidRPr="00BB0169">
        <w:t xml:space="preserve">s </w:t>
      </w:r>
      <w:r w:rsidR="00991FF9" w:rsidRPr="00BB0169">
        <w:t xml:space="preserve">than </w:t>
      </w:r>
      <w:r w:rsidR="00991FF9" w:rsidRPr="00991FF9">
        <w:t>smaller ones</w:t>
      </w:r>
      <w:r w:rsidR="00A319BE">
        <w:t>,</w:t>
      </w:r>
      <w:r w:rsidR="00991FF9" w:rsidRPr="00991FF9">
        <w:t xml:space="preserve"> and are more likely to have a dominant position– or at least market power</w:t>
      </w:r>
      <w:r w:rsidR="00467DA2">
        <w:t>. I</w:t>
      </w:r>
      <w:r w:rsidR="00991FF9" w:rsidRPr="00991FF9">
        <w:t xml:space="preserve">f we have tools that can mitigate </w:t>
      </w:r>
      <w:r w:rsidR="00467DA2">
        <w:t xml:space="preserve">any negative </w:t>
      </w:r>
      <w:r w:rsidR="00991FF9" w:rsidRPr="00991FF9">
        <w:t xml:space="preserve">impact of such companies </w:t>
      </w:r>
      <w:r w:rsidR="00467DA2">
        <w:t xml:space="preserve">on </w:t>
      </w:r>
      <w:r w:rsidR="00991FF9" w:rsidRPr="00991FF9">
        <w:t>climate change</w:t>
      </w:r>
      <w:r w:rsidR="00467DA2">
        <w:t xml:space="preserve"> (</w:t>
      </w:r>
      <w:r w:rsidR="00991FF9" w:rsidRPr="00991FF9">
        <w:t>or other unsustainable practices) then we have</w:t>
      </w:r>
      <w:r w:rsidR="00467DA2">
        <w:t>,</w:t>
      </w:r>
      <w:r w:rsidR="00991FF9" w:rsidRPr="00991FF9">
        <w:t xml:space="preserve"> not only a moral duty to use them</w:t>
      </w:r>
      <w:r w:rsidR="00467DA2">
        <w:t>,</w:t>
      </w:r>
      <w:r w:rsidR="00991FF9" w:rsidRPr="00991FF9">
        <w:t xml:space="preserve"> but it makes sense from a basic efficiency of time and resources perspective to focus on these companies</w:t>
      </w:r>
      <w:r w:rsidR="00F10449">
        <w:rPr>
          <w:rStyle w:val="FootnoteReference"/>
        </w:rPr>
        <w:footnoteReference w:id="7"/>
      </w:r>
      <w:r w:rsidR="00991FF9" w:rsidRPr="00991FF9">
        <w:t xml:space="preserve"> – especially given the urgency of the task.</w:t>
      </w:r>
    </w:p>
    <w:p w14:paraId="71AD0044" w14:textId="0E36A0AC" w:rsidR="00991FF9" w:rsidRPr="00991FF9" w:rsidRDefault="008D08B9" w:rsidP="00E44BA1">
      <w:pPr>
        <w:spacing w:after="0"/>
      </w:pPr>
      <w:r>
        <w:t>(ii). I</w:t>
      </w:r>
      <w:r w:rsidR="00991FF9" w:rsidRPr="00991FF9">
        <w:t>n the light of the growing evidence of increased concentration</w:t>
      </w:r>
      <w:r w:rsidR="0013518B">
        <w:t>,</w:t>
      </w:r>
      <w:r w:rsidR="00991FF9" w:rsidRPr="00991FF9">
        <w:t xml:space="preserve"> and the impact that this has had on business dynamism</w:t>
      </w:r>
      <w:r w:rsidR="0013518B">
        <w:rPr>
          <w:rStyle w:val="FootnoteReference"/>
        </w:rPr>
        <w:footnoteReference w:id="8"/>
      </w:r>
      <w:r w:rsidR="00991FF9" w:rsidRPr="00991FF9">
        <w:t>, we should not be too afraid to take a more robust approach to the concept of abuse – while, of course, staying within the limits of the law.</w:t>
      </w:r>
    </w:p>
    <w:p w14:paraId="14F02705" w14:textId="77777777" w:rsidR="00991FF9" w:rsidRPr="00991FF9" w:rsidRDefault="00991FF9" w:rsidP="00E44BA1">
      <w:pPr>
        <w:spacing w:after="0"/>
      </w:pPr>
    </w:p>
    <w:p w14:paraId="5C159719" w14:textId="6ECF565C" w:rsidR="00991FF9" w:rsidRPr="00991FF9" w:rsidRDefault="00512066" w:rsidP="00E44BA1">
      <w:pPr>
        <w:spacing w:after="0"/>
      </w:pPr>
      <w:r>
        <w:t xml:space="preserve">(iii). </w:t>
      </w:r>
      <w:r w:rsidR="00991FF9" w:rsidRPr="00991FF9">
        <w:t>ICC recognises that those with the greatest power have the greatest responsibility to use it properly</w:t>
      </w:r>
      <w:r w:rsidR="00B9341B">
        <w:t xml:space="preserve">. Reflecting this </w:t>
      </w:r>
      <w:r w:rsidR="00991FF9" w:rsidRPr="00991FF9">
        <w:t>EU courts have made it clear that dominant firms have a “special responsibility not to allow their conduct to impair genuine undistorted competition</w:t>
      </w:r>
      <w:r w:rsidR="00481522">
        <w:t>” The m</w:t>
      </w:r>
      <w:r w:rsidR="00991FF9" w:rsidRPr="00991FF9">
        <w:t>essage is clear: in the face of extreme market power we should not feel the need to take a restrictive approach to challenging any abuse of that power.</w:t>
      </w:r>
    </w:p>
    <w:p w14:paraId="43528155" w14:textId="77777777" w:rsidR="00991FF9" w:rsidRPr="00991FF9" w:rsidRDefault="00991FF9" w:rsidP="00E44BA1">
      <w:pPr>
        <w:spacing w:after="0"/>
      </w:pPr>
    </w:p>
    <w:p w14:paraId="4F387F42" w14:textId="48A2A89B" w:rsidR="00991FF9" w:rsidRDefault="00481522" w:rsidP="00E44BA1">
      <w:pPr>
        <w:spacing w:after="0"/>
      </w:pPr>
      <w:r>
        <w:lastRenderedPageBreak/>
        <w:t>(iv). I</w:t>
      </w:r>
      <w:r w:rsidR="00991FF9" w:rsidRPr="00991FF9">
        <w:t xml:space="preserve">t is clear that the concept of an abuse is not a static one and needs to be considered in the light of current economic, social and environmental priorities. </w:t>
      </w:r>
      <w:r w:rsidR="00FB65C4">
        <w:t>T</w:t>
      </w:r>
      <w:r w:rsidR="00991FF9" w:rsidRPr="00991FF9">
        <w:t>he fight against climate change is a number one global priority and this reality cannot be ignored when considering the use of the legal tools available to us.</w:t>
      </w:r>
    </w:p>
    <w:p w14:paraId="60442CD9" w14:textId="77777777" w:rsidR="00A121F6" w:rsidRPr="00991FF9" w:rsidRDefault="00A121F6" w:rsidP="00E44BA1">
      <w:pPr>
        <w:spacing w:after="0"/>
      </w:pPr>
    </w:p>
    <w:p w14:paraId="37549298" w14:textId="7B06842C" w:rsidR="00687420" w:rsidRPr="00687420" w:rsidRDefault="00FB65C4" w:rsidP="00E44BA1">
      <w:pPr>
        <w:spacing w:after="0"/>
      </w:pPr>
      <w:r>
        <w:t>(v). C</w:t>
      </w:r>
      <w:r w:rsidR="00687420" w:rsidRPr="00687420">
        <w:t xml:space="preserve">onsistent with this the EU courts have recognised that fundamental to the concept of an abuse is “recourse to methods different from those which condition normal competition“ or which deviates from </w:t>
      </w:r>
      <w:r w:rsidR="00CB616A">
        <w:t>“</w:t>
      </w:r>
      <w:r w:rsidR="00687420" w:rsidRPr="00687420">
        <w:t>competition on the merits“</w:t>
      </w:r>
      <w:r w:rsidR="009E1278">
        <w:rPr>
          <w:rStyle w:val="FootnoteReference"/>
        </w:rPr>
        <w:footnoteReference w:id="9"/>
      </w:r>
      <w:r w:rsidR="00687420" w:rsidRPr="00687420">
        <w:t xml:space="preserve">. What is </w:t>
      </w:r>
      <w:r w:rsidR="00CB616A">
        <w:t>“</w:t>
      </w:r>
      <w:r w:rsidR="00687420" w:rsidRPr="00687420">
        <w:t>normal</w:t>
      </w:r>
      <w:r w:rsidR="00CB616A">
        <w:t>”</w:t>
      </w:r>
      <w:r w:rsidR="00687420" w:rsidRPr="00687420">
        <w:t xml:space="preserve"> may change overtime and should reflect societies values at any given time. </w:t>
      </w:r>
      <w:r w:rsidR="00005208">
        <w:t>C</w:t>
      </w:r>
      <w:r w:rsidR="00687420" w:rsidRPr="00687420">
        <w:t>ompetition based on unsustainable practices is not “normal“ or “on the merit</w:t>
      </w:r>
      <w:r w:rsidR="00060134">
        <w:t>s</w:t>
      </w:r>
      <w:r w:rsidR="00687420" w:rsidRPr="00687420">
        <w:t>” and full consideration should be given to using powers which can tackle this.</w:t>
      </w:r>
    </w:p>
    <w:p w14:paraId="4288B39A" w14:textId="77777777" w:rsidR="00687420" w:rsidRPr="00687420" w:rsidRDefault="00687420" w:rsidP="00E44BA1">
      <w:pPr>
        <w:spacing w:after="0"/>
      </w:pPr>
    </w:p>
    <w:p w14:paraId="115EE162" w14:textId="39E640A0" w:rsidR="00687420" w:rsidRDefault="00687420" w:rsidP="00E44BA1">
      <w:pPr>
        <w:spacing w:after="0"/>
      </w:pPr>
      <w:r w:rsidRPr="00687420">
        <w:t xml:space="preserve">We recognise that this area of the law is still underdeveloped. However, </w:t>
      </w:r>
      <w:r w:rsidR="00060134">
        <w:t xml:space="preserve">in the </w:t>
      </w:r>
      <w:r w:rsidRPr="00687420">
        <w:t>light of the factors mentioned above, and</w:t>
      </w:r>
      <w:r w:rsidR="00060134">
        <w:t xml:space="preserve"> in </w:t>
      </w:r>
      <w:r w:rsidRPr="00687420">
        <w:t>particular that the categories of abuse under EU law are not fixed</w:t>
      </w:r>
      <w:r w:rsidR="00A01643">
        <w:rPr>
          <w:rStyle w:val="FootnoteReference"/>
        </w:rPr>
        <w:footnoteReference w:id="10"/>
      </w:r>
      <w:r w:rsidRPr="00687420">
        <w:t>, with recent decisional practice showing the legal tools in this area to be very flexible, there is no</w:t>
      </w:r>
      <w:r w:rsidRPr="00687420">
        <w:rPr>
          <w:b/>
          <w:bCs/>
        </w:rPr>
        <w:t xml:space="preserve"> </w:t>
      </w:r>
      <w:r w:rsidRPr="00687420">
        <w:t xml:space="preserve">reason why, conduct inconsistent with climate change or which </w:t>
      </w:r>
      <w:r w:rsidR="000C44E1">
        <w:t xml:space="preserve">is </w:t>
      </w:r>
      <w:r w:rsidRPr="00687420">
        <w:t>otherwise unsustainable, cannot be challenged when committed by dominant firms. For example, there is no reason why unsustainable practices such as burning toxic waste, dumping pollutants in river</w:t>
      </w:r>
      <w:r w:rsidR="00134BA6">
        <w:t>s,</w:t>
      </w:r>
      <w:r w:rsidRPr="00687420">
        <w:t xml:space="preserve"> or cutting down the Amazon jungle should not be recognised for what they are – abusive practices </w:t>
      </w:r>
      <w:r w:rsidR="00293F12">
        <w:t>(</w:t>
      </w:r>
      <w:r w:rsidRPr="00687420">
        <w:t xml:space="preserve">and </w:t>
      </w:r>
      <w:r w:rsidR="00293F12">
        <w:t xml:space="preserve">if </w:t>
      </w:r>
      <w:r w:rsidRPr="00687420">
        <w:t xml:space="preserve">perpetrated by </w:t>
      </w:r>
      <w:r w:rsidR="00293F12">
        <w:t>d</w:t>
      </w:r>
      <w:r w:rsidRPr="00687420">
        <w:t>omin</w:t>
      </w:r>
      <w:r w:rsidR="00293F12">
        <w:t>a</w:t>
      </w:r>
      <w:r w:rsidR="002D65FE">
        <w:t xml:space="preserve">nt </w:t>
      </w:r>
      <w:r w:rsidRPr="00687420">
        <w:t>companies</w:t>
      </w:r>
      <w:r w:rsidR="000C44E1">
        <w:t xml:space="preserve"> analysed as a</w:t>
      </w:r>
      <w:r w:rsidR="00840AB6">
        <w:t xml:space="preserve"> potential</w:t>
      </w:r>
      <w:r w:rsidRPr="00687420">
        <w:t xml:space="preserve"> abuse of dominance)</w:t>
      </w:r>
      <w:r w:rsidR="002F62A6">
        <w:t>.</w:t>
      </w:r>
    </w:p>
    <w:p w14:paraId="1E9702D1" w14:textId="77777777" w:rsidR="002F62A6" w:rsidRPr="00687420" w:rsidRDefault="002F62A6" w:rsidP="00E44BA1">
      <w:pPr>
        <w:spacing w:after="0"/>
      </w:pPr>
    </w:p>
    <w:p w14:paraId="7FF9162F" w14:textId="034D28BD" w:rsidR="00687420" w:rsidRPr="00687420" w:rsidRDefault="00687420" w:rsidP="00E44BA1">
      <w:pPr>
        <w:spacing w:after="0"/>
      </w:pPr>
      <w:r w:rsidRPr="00687420">
        <w:t xml:space="preserve">In other words, we can use the abuse of dominance provisions as a “sword“ to attack unsustainable practices to facilitate </w:t>
      </w:r>
      <w:r w:rsidR="00D84026">
        <w:t xml:space="preserve">the transition </w:t>
      </w:r>
      <w:r w:rsidRPr="00687420">
        <w:t>to a sustainably economy consistent with other laws and regulations designed to transition our economies onto a sustainable basi</w:t>
      </w:r>
      <w:r w:rsidR="00DB5ACF">
        <w:t>s (s</w:t>
      </w:r>
      <w:r w:rsidRPr="00687420">
        <w:t>uch as the “green deal“ in the EU)</w:t>
      </w:r>
      <w:r w:rsidR="00DB5ACF">
        <w:t>. T</w:t>
      </w:r>
      <w:r w:rsidRPr="00687420">
        <w:t xml:space="preserve">his is particularly the case where the practices in question are inconsistent with legally binding commitments in relation to climate change </w:t>
      </w:r>
      <w:r w:rsidR="00DB5ACF">
        <w:t>(</w:t>
      </w:r>
      <w:r w:rsidRPr="00687420">
        <w:t xml:space="preserve">e.g. </w:t>
      </w:r>
      <w:r w:rsidR="00327EB4">
        <w:t xml:space="preserve">those made at </w:t>
      </w:r>
      <w:r w:rsidRPr="00687420">
        <w:t xml:space="preserve">at </w:t>
      </w:r>
      <w:r w:rsidR="00327EB4">
        <w:t xml:space="preserve">COPPs </w:t>
      </w:r>
      <w:r w:rsidRPr="00687420">
        <w:t xml:space="preserve">such as that in Paris in 2015) or with internationally recognised norms and reports </w:t>
      </w:r>
      <w:r w:rsidR="00327EB4">
        <w:t>(</w:t>
      </w:r>
      <w:r w:rsidRPr="00687420">
        <w:t xml:space="preserve">such as those of the </w:t>
      </w:r>
      <w:r w:rsidR="00327EB4">
        <w:t>I</w:t>
      </w:r>
      <w:r w:rsidRPr="00687420">
        <w:t xml:space="preserve">nternational </w:t>
      </w:r>
      <w:r w:rsidR="00327EB4">
        <w:t>E</w:t>
      </w:r>
      <w:r w:rsidRPr="00687420">
        <w:t xml:space="preserve">nergy </w:t>
      </w:r>
      <w:r w:rsidR="00327EB4">
        <w:t>A</w:t>
      </w:r>
      <w:r w:rsidRPr="00687420">
        <w:t>uthority or the IPCC) setting out what needs to be done to transition to a sustainable economy.</w:t>
      </w:r>
    </w:p>
    <w:p w14:paraId="11D50203" w14:textId="77777777" w:rsidR="00687420" w:rsidRPr="00687420" w:rsidRDefault="00687420" w:rsidP="00E44BA1">
      <w:pPr>
        <w:spacing w:after="0"/>
      </w:pPr>
    </w:p>
    <w:p w14:paraId="33BAE729" w14:textId="6CB10EFE" w:rsidR="00687420" w:rsidRPr="00687420" w:rsidRDefault="00687420" w:rsidP="00E44BA1">
      <w:pPr>
        <w:spacing w:after="0"/>
      </w:pPr>
      <w:r w:rsidRPr="00687420">
        <w:t>One example might be the distortion of competition that arises when a dominant company avoids the cost of disposing of waste products</w:t>
      </w:r>
      <w:r w:rsidR="00085DE3">
        <w:t xml:space="preserve"> responsibly</w:t>
      </w:r>
      <w:r w:rsidRPr="00687420">
        <w:t>: e.g. by dumping them on land or in rivers while it’s small rivals properly incur those costs – thus suffering a competitive disadvantage. In the language of EU law, this could be both and “exclusionary“ and/or an “explo</w:t>
      </w:r>
      <w:r w:rsidR="004E56AF">
        <w:t>itat</w:t>
      </w:r>
      <w:r w:rsidRPr="00687420">
        <w:t>ive“ abuse of the former</w:t>
      </w:r>
      <w:r w:rsidR="004E56AF">
        <w:t>’s</w:t>
      </w:r>
      <w:r w:rsidRPr="00687420">
        <w:t xml:space="preserve"> dominant position.</w:t>
      </w:r>
    </w:p>
    <w:p w14:paraId="2442E0F8" w14:textId="77777777" w:rsidR="00687420" w:rsidRPr="00687420" w:rsidRDefault="00687420" w:rsidP="00E44BA1">
      <w:pPr>
        <w:spacing w:after="0"/>
      </w:pPr>
    </w:p>
    <w:p w14:paraId="34BD521A" w14:textId="1D18E921" w:rsidR="00687420" w:rsidRPr="00687420" w:rsidRDefault="00687420" w:rsidP="00E44BA1">
      <w:pPr>
        <w:spacing w:after="0"/>
      </w:pPr>
      <w:r w:rsidRPr="00687420">
        <w:t>Using the competition “sword“ would complement environmental</w:t>
      </w:r>
      <w:r w:rsidR="004E56AF">
        <w:t xml:space="preserve"> (</w:t>
      </w:r>
      <w:r w:rsidRPr="00687420">
        <w:t xml:space="preserve">and potentially social sustainability) regulations – either because </w:t>
      </w:r>
      <w:r w:rsidR="00F66988">
        <w:t>r</w:t>
      </w:r>
      <w:r w:rsidRPr="00687420">
        <w:t>egulation is absent, or because it is not being properly enforced</w:t>
      </w:r>
      <w:r w:rsidR="00F66988">
        <w:t xml:space="preserve"> (</w:t>
      </w:r>
      <w:r w:rsidRPr="00687420">
        <w:t>or not enforced at all)</w:t>
      </w:r>
      <w:r w:rsidR="00F66988">
        <w:t>.</w:t>
      </w:r>
    </w:p>
    <w:p w14:paraId="5E037846" w14:textId="77777777" w:rsidR="00687420" w:rsidRPr="00687420" w:rsidRDefault="00687420" w:rsidP="00E44BA1">
      <w:pPr>
        <w:spacing w:after="0"/>
      </w:pPr>
    </w:p>
    <w:p w14:paraId="3A74233F" w14:textId="3B66B757" w:rsidR="009266B2" w:rsidRPr="002F62A6" w:rsidRDefault="00F20C0D" w:rsidP="002F62A6">
      <w:pPr>
        <w:spacing w:after="0"/>
        <w:rPr>
          <w:b/>
          <w:bCs/>
        </w:rPr>
      </w:pPr>
      <w:r w:rsidRPr="00F20C0D">
        <w:t>In August, 2024, The European Commission published</w:t>
      </w:r>
      <w:r w:rsidR="00BB3C5B" w:rsidRPr="00742D0D">
        <w:t xml:space="preserve"> d</w:t>
      </w:r>
      <w:r w:rsidRPr="00F20C0D">
        <w:t xml:space="preserve">raft guidelines on the application of </w:t>
      </w:r>
      <w:r w:rsidR="00F10CE4">
        <w:t>A</w:t>
      </w:r>
      <w:r w:rsidRPr="00F20C0D">
        <w:t>rticle</w:t>
      </w:r>
      <w:r w:rsidR="00F10CE4">
        <w:t xml:space="preserve"> </w:t>
      </w:r>
      <w:r w:rsidRPr="00F20C0D">
        <w:t>102</w:t>
      </w:r>
      <w:r w:rsidR="007502EC" w:rsidRPr="00742D0D">
        <w:t xml:space="preserve"> </w:t>
      </w:r>
      <w:r w:rsidRPr="00F20C0D">
        <w:t>TFEU</w:t>
      </w:r>
      <w:r w:rsidR="007502EC" w:rsidRPr="00742D0D">
        <w:t xml:space="preserve"> to</w:t>
      </w:r>
      <w:r w:rsidRPr="00F20C0D">
        <w:t xml:space="preserve"> abusive exclusionary con</w:t>
      </w:r>
      <w:r w:rsidR="00784269">
        <w:t>duct</w:t>
      </w:r>
      <w:r w:rsidRPr="00F20C0D">
        <w:t xml:space="preserve"> by dominant companies. ICC has commented on these guidelines and included within th</w:t>
      </w:r>
      <w:r w:rsidR="00F10CE4">
        <w:t>o</w:t>
      </w:r>
      <w:r w:rsidRPr="00F20C0D">
        <w:t>se comments its views on the draft guidelines from a sustainability/climate change perspective. ICC</w:t>
      </w:r>
      <w:r w:rsidR="00784269">
        <w:t>’s</w:t>
      </w:r>
      <w:r w:rsidRPr="00F20C0D">
        <w:t xml:space="preserve"> comments on this aspect are set out in </w:t>
      </w:r>
      <w:r w:rsidR="007502EC" w:rsidRPr="00742D0D">
        <w:rPr>
          <w:u w:val="single"/>
        </w:rPr>
        <w:t>A</w:t>
      </w:r>
      <w:r w:rsidRPr="00F20C0D">
        <w:rPr>
          <w:u w:val="single"/>
        </w:rPr>
        <w:t xml:space="preserve">nnex </w:t>
      </w:r>
      <w:r w:rsidR="00E82FA0">
        <w:rPr>
          <w:u w:val="single"/>
        </w:rPr>
        <w:t>A.</w:t>
      </w:r>
      <w:r w:rsidR="00E96850">
        <w:t xml:space="preserve"> </w:t>
      </w:r>
      <w:r w:rsidR="002F62A6">
        <w:t xml:space="preserve"> </w:t>
      </w:r>
      <w:r w:rsidRPr="00F20C0D">
        <w:t xml:space="preserve">ICC called upon The European Commission to show leadership and take the opportunity to consolidate and </w:t>
      </w:r>
      <w:r w:rsidR="0089532C">
        <w:t xml:space="preserve">clarify </w:t>
      </w:r>
      <w:r w:rsidRPr="00F20C0D">
        <w:t xml:space="preserve">the law and practice in this area by including within the guidelines a specific section </w:t>
      </w:r>
      <w:r w:rsidRPr="00F20C0D">
        <w:lastRenderedPageBreak/>
        <w:t>focused on sustainability and climate change</w:t>
      </w:r>
      <w:r w:rsidR="0089532C">
        <w:t xml:space="preserve"> (</w:t>
      </w:r>
      <w:r w:rsidRPr="00F20C0D">
        <w:t xml:space="preserve">as the </w:t>
      </w:r>
      <w:r w:rsidR="00C51C47">
        <w:t>C</w:t>
      </w:r>
      <w:r w:rsidRPr="00F20C0D">
        <w:t>ommission, quite</w:t>
      </w:r>
      <w:r w:rsidRPr="00F20C0D">
        <w:rPr>
          <w:b/>
          <w:bCs/>
        </w:rPr>
        <w:t xml:space="preserve"> </w:t>
      </w:r>
      <w:r w:rsidRPr="00F20C0D">
        <w:t>rightly, did when it included a chapter on sustainability cooperation agreements in its 2023 horizontal guidelines</w:t>
      </w:r>
      <w:r w:rsidRPr="00F20C0D">
        <w:rPr>
          <w:b/>
          <w:bCs/>
        </w:rPr>
        <w:t>).</w:t>
      </w:r>
      <w:r w:rsidR="002F62A6">
        <w:rPr>
          <w:b/>
          <w:bCs/>
        </w:rPr>
        <w:t xml:space="preserve"> </w:t>
      </w:r>
      <w:r w:rsidR="009266B2" w:rsidRPr="00687420">
        <w:t xml:space="preserve">There are few cases in this area but </w:t>
      </w:r>
      <w:r w:rsidR="00742166">
        <w:t>t</w:t>
      </w:r>
      <w:r w:rsidR="00814BD5">
        <w:t>he ICC’s comments on the d</w:t>
      </w:r>
      <w:r w:rsidR="00946755">
        <w:t>r</w:t>
      </w:r>
      <w:r w:rsidR="00814BD5">
        <w:t xml:space="preserve">aft Commission guidelines referred to above </w:t>
      </w:r>
      <w:r w:rsidR="009266B2" w:rsidRPr="00687420">
        <w:t>set</w:t>
      </w:r>
      <w:r w:rsidR="009266B2" w:rsidRPr="00742D0D">
        <w:t>s</w:t>
      </w:r>
      <w:r w:rsidR="009266B2" w:rsidRPr="00687420">
        <w:t xml:space="preserve"> out a few examples from a couple of European jurisdictions</w:t>
      </w:r>
      <w:r w:rsidR="00946755">
        <w:rPr>
          <w:rStyle w:val="FootnoteReference"/>
        </w:rPr>
        <w:footnoteReference w:id="11"/>
      </w:r>
      <w:r w:rsidR="009266B2" w:rsidRPr="00687420">
        <w:t>.</w:t>
      </w:r>
    </w:p>
    <w:p w14:paraId="0D9D721C" w14:textId="77777777" w:rsidR="002F62A6" w:rsidRDefault="002F62A6" w:rsidP="00E44BA1">
      <w:pPr>
        <w:spacing w:after="0"/>
      </w:pPr>
    </w:p>
    <w:p w14:paraId="7F66E3B5" w14:textId="11E83049" w:rsidR="009266B2" w:rsidRPr="002F62A6" w:rsidRDefault="009266B2" w:rsidP="002F62A6">
      <w:pPr>
        <w:spacing w:after="0"/>
        <w:rPr>
          <w:u w:val="single"/>
        </w:rPr>
      </w:pPr>
      <w:r w:rsidRPr="00687420">
        <w:t>There are also a number of cases pending in this area</w:t>
      </w:r>
      <w:r w:rsidR="00362552">
        <w:t>.  An example from the European Commission (</w:t>
      </w:r>
      <w:r w:rsidR="00E33670">
        <w:t xml:space="preserve">the Greek lignite case) is also included in </w:t>
      </w:r>
      <w:r w:rsidR="00851B2C">
        <w:t xml:space="preserve">our submission to the Commission. </w:t>
      </w:r>
      <w:r w:rsidR="00851B2C">
        <w:rPr>
          <w:rStyle w:val="FootnoteReference"/>
        </w:rPr>
        <w:footnoteReference w:id="12"/>
      </w:r>
      <w:r w:rsidR="00851B2C">
        <w:t xml:space="preserve"> A couple more examples of interesting pending cases </w:t>
      </w:r>
      <w:r w:rsidR="000E464B">
        <w:t xml:space="preserve">are given </w:t>
      </w:r>
      <w:r w:rsidRPr="00687420">
        <w:t xml:space="preserve">in </w:t>
      </w:r>
      <w:r w:rsidRPr="00687420">
        <w:rPr>
          <w:u w:val="single"/>
        </w:rPr>
        <w:t>Annex B</w:t>
      </w:r>
      <w:r w:rsidRPr="002F62A6">
        <w:t>.</w:t>
      </w:r>
      <w:r w:rsidR="002F62A6" w:rsidRPr="002F62A6">
        <w:t xml:space="preserve"> </w:t>
      </w:r>
      <w:r w:rsidRPr="00742D0D">
        <w:t>While ICC sees scope for the development of new sustainability abuses,</w:t>
      </w:r>
      <w:r w:rsidR="00A42498">
        <w:t xml:space="preserve"> several of</w:t>
      </w:r>
      <w:r w:rsidRPr="00742D0D">
        <w:t xml:space="preserve"> the ca</w:t>
      </w:r>
      <w:r w:rsidR="00341E33">
        <w:t xml:space="preserve">ses referred to </w:t>
      </w:r>
      <w:r w:rsidR="00A42498">
        <w:t xml:space="preserve">in Annexes A and B </w:t>
      </w:r>
      <w:r w:rsidRPr="00742D0D">
        <w:t xml:space="preserve"> illustrate that this is not always necessary as the theories of harm in question involve well established categories of abuse (</w:t>
      </w:r>
      <w:r w:rsidR="00A42498">
        <w:t xml:space="preserve">eg </w:t>
      </w:r>
      <w:r w:rsidRPr="00742D0D">
        <w:t>misleading the regulator</w:t>
      </w:r>
      <w:r w:rsidR="00DE14D6">
        <w:t xml:space="preserve"> in the UK water industry case </w:t>
      </w:r>
      <w:r w:rsidRPr="00742D0D">
        <w:t xml:space="preserve"> or predatory pricing</w:t>
      </w:r>
      <w:r w:rsidR="00431AAA">
        <w:t xml:space="preserve"> in the Greek lignite case</w:t>
      </w:r>
      <w:r w:rsidRPr="00742D0D">
        <w:t>).</w:t>
      </w:r>
    </w:p>
    <w:p w14:paraId="1A76F6B3" w14:textId="77777777" w:rsidR="009266B2" w:rsidRPr="0028370F" w:rsidRDefault="009266B2" w:rsidP="00E44BA1">
      <w:pPr>
        <w:spacing w:after="0"/>
      </w:pPr>
    </w:p>
    <w:p w14:paraId="30A6E9C3" w14:textId="77777777" w:rsidR="00A66446" w:rsidRPr="00F20C0D" w:rsidRDefault="00A66446" w:rsidP="00E44BA1">
      <w:pPr>
        <w:spacing w:after="0"/>
        <w:rPr>
          <w:b/>
          <w:bCs/>
        </w:rPr>
      </w:pPr>
    </w:p>
    <w:p w14:paraId="1D77A004" w14:textId="6FE12BD2" w:rsidR="00F20C0D" w:rsidRDefault="007502EC" w:rsidP="00E44BA1">
      <w:pPr>
        <w:spacing w:after="0"/>
        <w:rPr>
          <w:b/>
          <w:bCs/>
          <w:sz w:val="28"/>
          <w:szCs w:val="28"/>
        </w:rPr>
      </w:pPr>
      <w:r w:rsidRPr="007502EC">
        <w:rPr>
          <w:b/>
          <w:bCs/>
          <w:sz w:val="28"/>
          <w:szCs w:val="28"/>
        </w:rPr>
        <w:t>3. S</w:t>
      </w:r>
      <w:r w:rsidRPr="00F20C0D">
        <w:rPr>
          <w:b/>
          <w:bCs/>
          <w:sz w:val="28"/>
          <w:szCs w:val="28"/>
        </w:rPr>
        <w:t>HIELD: WHERE SUSTAINABILITY CONSIDERATIONS MEAN THERE IS NO ABUSE OF MONOPOLY POWER</w:t>
      </w:r>
    </w:p>
    <w:p w14:paraId="3F71128B" w14:textId="77777777" w:rsidR="002F62A6" w:rsidRPr="00F20C0D" w:rsidRDefault="002F62A6" w:rsidP="00E44BA1">
      <w:pPr>
        <w:spacing w:after="0"/>
        <w:rPr>
          <w:b/>
          <w:bCs/>
          <w:sz w:val="28"/>
          <w:szCs w:val="28"/>
        </w:rPr>
      </w:pPr>
    </w:p>
    <w:p w14:paraId="407E6869" w14:textId="1AB91ADD" w:rsidR="00F20C0D" w:rsidRDefault="00F20C0D" w:rsidP="00E44BA1">
      <w:pPr>
        <w:spacing w:after="0"/>
      </w:pPr>
      <w:r w:rsidRPr="00F20C0D">
        <w:t>While, as considered above, abuse of dominance/</w:t>
      </w:r>
      <w:r w:rsidR="00C51C47">
        <w:t>anti-</w:t>
      </w:r>
      <w:r w:rsidRPr="00F20C0D">
        <w:t xml:space="preserve">monopoly provisions can be used if a dominant company abuses a dominant position by engaging in unsustainable practices, we should never lose sight of the fact that many </w:t>
      </w:r>
      <w:r w:rsidR="002B2152">
        <w:t>d</w:t>
      </w:r>
      <w:r w:rsidRPr="00F20C0D">
        <w:t xml:space="preserve">ominant companies are amongst our largest and most successful companies which also have the potential to make the greatest contribution to the transition to a more sustainably economy </w:t>
      </w:r>
      <w:r w:rsidR="00C51C47">
        <w:t xml:space="preserve">and </w:t>
      </w:r>
      <w:r w:rsidRPr="00F20C0D">
        <w:t>in the fight against climate change</w:t>
      </w:r>
      <w:r w:rsidR="002B2152">
        <w:t>. W</w:t>
      </w:r>
      <w:r w:rsidRPr="00F20C0D">
        <w:t>e must be careful not to discourage such companies</w:t>
      </w:r>
      <w:r w:rsidR="005F185F">
        <w:t xml:space="preserve"> (</w:t>
      </w:r>
      <w:r w:rsidRPr="00F20C0D">
        <w:t>and individuals within them) from making this contribution and avoid wrongfully classifying efforts in this direction as abusive</w:t>
      </w:r>
      <w:r w:rsidR="005F185F">
        <w:t xml:space="preserve">. </w:t>
      </w:r>
      <w:r w:rsidRPr="00F20C0D">
        <w:t>While we are right to be alert to the possibility of some companies ““greenwashing”</w:t>
      </w:r>
      <w:r w:rsidR="00D66DAD">
        <w:t xml:space="preserve">, there </w:t>
      </w:r>
      <w:r w:rsidRPr="00F20C0D">
        <w:t>are companies</w:t>
      </w:r>
      <w:r w:rsidR="00D66DAD">
        <w:t xml:space="preserve"> (</w:t>
      </w:r>
      <w:r w:rsidRPr="00F20C0D">
        <w:t>and certainly many individuals within companies) which are genuinely trying to</w:t>
      </w:r>
      <w:r w:rsidR="00D66DAD">
        <w:t xml:space="preserve"> “</w:t>
      </w:r>
      <w:r w:rsidRPr="00F20C0D">
        <w:t>make a difference“. This is sometimes called the use of s</w:t>
      </w:r>
      <w:r w:rsidR="00194096">
        <w:t>ustainability</w:t>
      </w:r>
      <w:r w:rsidRPr="00F20C0D">
        <w:t xml:space="preserve"> as a “shield“</w:t>
      </w:r>
      <w:r w:rsidR="00194096">
        <w:t>-</w:t>
      </w:r>
      <w:r w:rsidRPr="00F20C0D">
        <w:t xml:space="preserve"> although we need to be careful with this term as the fundamental point is that t</w:t>
      </w:r>
      <w:r w:rsidR="006E0629">
        <w:t xml:space="preserve">here is </w:t>
      </w:r>
      <w:r w:rsidRPr="00F20C0D">
        <w:t>no infringement of the law in these circumstances.</w:t>
      </w:r>
    </w:p>
    <w:p w14:paraId="75F7D22D" w14:textId="77777777" w:rsidR="002F62A6" w:rsidRPr="00F20C0D" w:rsidRDefault="002F62A6" w:rsidP="00E44BA1">
      <w:pPr>
        <w:spacing w:after="0"/>
      </w:pPr>
    </w:p>
    <w:p w14:paraId="42BCE712" w14:textId="59971002" w:rsidR="00F20C0D" w:rsidRDefault="00F20C0D" w:rsidP="00E44BA1">
      <w:pPr>
        <w:spacing w:after="0"/>
      </w:pPr>
      <w:r w:rsidRPr="00F20C0D">
        <w:t>In particular, it is clear under European law that there is a strong legal case for factoring in environmental and other sustainability</w:t>
      </w:r>
      <w:r w:rsidR="00D86976">
        <w:t xml:space="preserve"> considerations </w:t>
      </w:r>
      <w:r w:rsidRPr="00F20C0D">
        <w:t xml:space="preserve">when </w:t>
      </w:r>
      <w:r w:rsidR="00D86976">
        <w:t xml:space="preserve">analysing </w:t>
      </w:r>
      <w:r w:rsidRPr="00F20C0D">
        <w:t>whether conduct does, or does not, amount to an abuse under article 102 T</w:t>
      </w:r>
      <w:r w:rsidR="00736C9B">
        <w:t>F</w:t>
      </w:r>
      <w:r w:rsidRPr="00F20C0D">
        <w:t>EU as this provision must be read in the light of the “constitutional“ provisions of the</w:t>
      </w:r>
      <w:r w:rsidR="005F7FAD">
        <w:t xml:space="preserve">  EU </w:t>
      </w:r>
      <w:r w:rsidRPr="00F20C0D">
        <w:t xml:space="preserve"> treaties which require environmental factors to be integrated into </w:t>
      </w:r>
      <w:r w:rsidRPr="00C06D4D">
        <w:rPr>
          <w:u w:val="single"/>
        </w:rPr>
        <w:t>all</w:t>
      </w:r>
      <w:r w:rsidRPr="00F20C0D">
        <w:t xml:space="preserve">  EU policies and activities</w:t>
      </w:r>
      <w:r w:rsidR="00736C9B">
        <w:rPr>
          <w:rStyle w:val="FootnoteReference"/>
        </w:rPr>
        <w:footnoteReference w:id="13"/>
      </w:r>
      <w:r w:rsidR="00EF183E">
        <w:t xml:space="preserve">. There </w:t>
      </w:r>
      <w:r w:rsidRPr="00F20C0D">
        <w:t xml:space="preserve">is also an equally strong moral and logical case for doing so </w:t>
      </w:r>
      <w:r w:rsidR="00EF183E">
        <w:t>(</w:t>
      </w:r>
      <w:r w:rsidRPr="00F20C0D">
        <w:t>not only under</w:t>
      </w:r>
      <w:r w:rsidR="00704AC6">
        <w:t xml:space="preserve"> EU </w:t>
      </w:r>
      <w:r w:rsidRPr="00F20C0D">
        <w:t>law but in the application of any</w:t>
      </w:r>
      <w:r w:rsidR="00704AC6">
        <w:t xml:space="preserve"> laws controlling the misuse of </w:t>
      </w:r>
      <w:r w:rsidRPr="00F20C0D">
        <w:t xml:space="preserve"> “monopoly“ power)</w:t>
      </w:r>
      <w:r w:rsidR="00704AC6">
        <w:t>. I</w:t>
      </w:r>
      <w:r w:rsidRPr="00F20C0D">
        <w:t>f conduct is genuinely intended to</w:t>
      </w:r>
      <w:r w:rsidR="00704AC6">
        <w:t xml:space="preserve"> combat </w:t>
      </w:r>
      <w:r w:rsidRPr="00F20C0D">
        <w:t>climate change, reduce environmental damage or otherwise contribute to sustainable development, it is difficult to see how as a matter of common sense and language, that can be seen as an abuse that the law intended to prohibit</w:t>
      </w:r>
      <w:r w:rsidR="006B218E">
        <w:t>.</w:t>
      </w:r>
    </w:p>
    <w:p w14:paraId="1F5CE639" w14:textId="77777777" w:rsidR="002F62A6" w:rsidRPr="00F20C0D" w:rsidRDefault="002F62A6" w:rsidP="00E44BA1">
      <w:pPr>
        <w:spacing w:after="0"/>
      </w:pPr>
    </w:p>
    <w:p w14:paraId="730405D0" w14:textId="552ABA20" w:rsidR="00F20C0D" w:rsidRDefault="006B218E" w:rsidP="00E44BA1">
      <w:pPr>
        <w:spacing w:after="0"/>
      </w:pPr>
      <w:r>
        <w:t>Although t</w:t>
      </w:r>
      <w:r w:rsidR="00F20C0D" w:rsidRPr="00F20C0D">
        <w:t>here are few cases of direct relevan</w:t>
      </w:r>
      <w:r w:rsidR="007B655C">
        <w:t>ce</w:t>
      </w:r>
      <w:r w:rsidR="00F20C0D" w:rsidRPr="00F20C0D">
        <w:t xml:space="preserve">, there are many instances where environmental (or other sustainability) considerations may lead to the conclusion that conduct that might at first (superficial) site appear to be potentially abusive, is not on closer inspection. </w:t>
      </w:r>
      <w:r w:rsidR="000A0191">
        <w:t xml:space="preserve">One </w:t>
      </w:r>
      <w:r w:rsidR="003528A6">
        <w:t>e</w:t>
      </w:r>
      <w:r w:rsidR="00F20C0D" w:rsidRPr="00F20C0D">
        <w:t xml:space="preserve">xample might be </w:t>
      </w:r>
      <w:r w:rsidR="00F20C0D" w:rsidRPr="00F20C0D">
        <w:lastRenderedPageBreak/>
        <w:t>charging different customers different prices according to the use to which the product is put – e.g. how environmentally friendly it is</w:t>
      </w:r>
      <w:r w:rsidR="00C24204">
        <w:t xml:space="preserve"> (</w:t>
      </w:r>
      <w:r w:rsidR="00F20C0D" w:rsidRPr="00F20C0D">
        <w:t xml:space="preserve">e.g. whether products are recycled or the energy efficiency of the downstream production process) to </w:t>
      </w:r>
      <w:r w:rsidR="00E204F5">
        <w:t xml:space="preserve">counter </w:t>
      </w:r>
      <w:r w:rsidR="00F20C0D" w:rsidRPr="00F20C0D">
        <w:t>false allegations of discriminatory pricing or constructive refusal to supply</w:t>
      </w:r>
      <w:r w:rsidR="001E16E5">
        <w:rPr>
          <w:rStyle w:val="FootnoteReference"/>
        </w:rPr>
        <w:footnoteReference w:id="14"/>
      </w:r>
      <w:r w:rsidR="00F20C0D" w:rsidRPr="00F20C0D">
        <w:t>.</w:t>
      </w:r>
    </w:p>
    <w:p w14:paraId="68989A6D" w14:textId="77777777" w:rsidR="002F62A6" w:rsidRPr="00F20C0D" w:rsidRDefault="002F62A6" w:rsidP="00E44BA1">
      <w:pPr>
        <w:spacing w:after="0"/>
      </w:pPr>
    </w:p>
    <w:p w14:paraId="0A98CFB5" w14:textId="4230BBE1" w:rsidR="00F20C0D" w:rsidRDefault="00F20C0D" w:rsidP="00E44BA1">
      <w:pPr>
        <w:spacing w:after="0"/>
      </w:pPr>
      <w:r w:rsidRPr="00F20C0D">
        <w:t>In our view, in most instances conduct of the sort mentioned above is simply not an abuse. However, in cases where it might reasonably be held to be an abuse, it may be that</w:t>
      </w:r>
      <w:r w:rsidR="00C277DC">
        <w:t xml:space="preserve"> the sustainability considerations amount to an</w:t>
      </w:r>
      <w:r w:rsidRPr="00F20C0D">
        <w:t xml:space="preserve"> “objective justification</w:t>
      </w:r>
      <w:r w:rsidR="0041487E">
        <w:t>”</w:t>
      </w:r>
      <w:r w:rsidRPr="00F20C0D">
        <w:t xml:space="preserve"> for the conduct which negates a finding of abuse</w:t>
      </w:r>
      <w:r w:rsidR="00DE1624">
        <w:rPr>
          <w:rStyle w:val="FootnoteReference"/>
        </w:rPr>
        <w:footnoteReference w:id="15"/>
      </w:r>
      <w:r w:rsidRPr="00F20C0D">
        <w:t>. </w:t>
      </w:r>
    </w:p>
    <w:p w14:paraId="7B6ADDE1" w14:textId="77777777" w:rsidR="002F62A6" w:rsidRPr="00F20C0D" w:rsidRDefault="002F62A6" w:rsidP="00E44BA1">
      <w:pPr>
        <w:spacing w:after="0"/>
      </w:pPr>
    </w:p>
    <w:p w14:paraId="6934C5C9" w14:textId="23717D5E" w:rsidR="006C68A2" w:rsidRPr="006C68A2" w:rsidRDefault="006C68A2" w:rsidP="00E44BA1">
      <w:pPr>
        <w:spacing w:after="0"/>
      </w:pPr>
      <w:r w:rsidRPr="006C68A2">
        <w:t>For example, in one case the French competition authority found that the conduct of a monopolist</w:t>
      </w:r>
      <w:r w:rsidR="00CD1D79">
        <w:t xml:space="preserve"> </w:t>
      </w:r>
      <w:r w:rsidR="00052D16">
        <w:t>(a community of Cistercian monks)</w:t>
      </w:r>
      <w:r w:rsidRPr="006C68A2">
        <w:t xml:space="preserve"> had the effect of </w:t>
      </w:r>
      <w:r w:rsidR="00243E5B">
        <w:t xml:space="preserve">extending </w:t>
      </w:r>
      <w:r w:rsidRPr="006C68A2">
        <w:t xml:space="preserve">its monopoly powers </w:t>
      </w:r>
      <w:r w:rsidR="00524851">
        <w:t>-</w:t>
      </w:r>
      <w:r w:rsidRPr="006C68A2">
        <w:t>and was therefore potentially an abuse of its dominant position</w:t>
      </w:r>
      <w:r w:rsidR="00524851">
        <w:t>-</w:t>
      </w:r>
      <w:r w:rsidR="003B075B">
        <w:t>but</w:t>
      </w:r>
      <w:r w:rsidR="002E42A5">
        <w:t xml:space="preserve"> held</w:t>
      </w:r>
      <w:r w:rsidRPr="006C68A2">
        <w:t xml:space="preserve"> that that conduct was an “objective necessity“. In that case the monopolist</w:t>
      </w:r>
      <w:r w:rsidR="00612B1E">
        <w:t xml:space="preserve"> </w:t>
      </w:r>
      <w:r w:rsidRPr="006C68A2">
        <w:t xml:space="preserve">controlled access to a small island port and had only allowed one </w:t>
      </w:r>
      <w:r w:rsidRPr="002F62A6">
        <w:t>company to operate</w:t>
      </w:r>
      <w:r w:rsidRPr="006C68A2">
        <w:t xml:space="preserve"> there. They found this was justified</w:t>
      </w:r>
      <w:r w:rsidR="002E42A5">
        <w:t xml:space="preserve"> on the particular facts</w:t>
      </w:r>
      <w:r w:rsidRPr="006C68A2">
        <w:t xml:space="preserve"> by the need to conserve across a relatively small area the peace and </w:t>
      </w:r>
      <w:r w:rsidR="00776D77">
        <w:t>t</w:t>
      </w:r>
      <w:r w:rsidRPr="006C68A2">
        <w:t>ranquility of the monastery</w:t>
      </w:r>
      <w:r w:rsidR="00776D77">
        <w:t xml:space="preserve"> there</w:t>
      </w:r>
      <w:r w:rsidRPr="006C68A2">
        <w:t xml:space="preserve"> and </w:t>
      </w:r>
      <w:r w:rsidR="00776D77">
        <w:t xml:space="preserve">to </w:t>
      </w:r>
      <w:r w:rsidRPr="006C68A2">
        <w:t>safeguard the integrity of the listed site</w:t>
      </w:r>
      <w:r w:rsidR="00023F46">
        <w:rPr>
          <w:rStyle w:val="FootnoteReference"/>
        </w:rPr>
        <w:footnoteReference w:id="16"/>
      </w:r>
      <w:r w:rsidRPr="006C68A2">
        <w:t>. </w:t>
      </w:r>
    </w:p>
    <w:p w14:paraId="2894A37C" w14:textId="77777777" w:rsidR="006C68A2" w:rsidRDefault="006C68A2" w:rsidP="00E44BA1">
      <w:pPr>
        <w:spacing w:after="0"/>
        <w:rPr>
          <w:b/>
          <w:bCs/>
        </w:rPr>
      </w:pPr>
    </w:p>
    <w:p w14:paraId="18641AE3" w14:textId="77777777" w:rsidR="002F62A6" w:rsidRPr="006C68A2" w:rsidRDefault="002F62A6" w:rsidP="00E44BA1">
      <w:pPr>
        <w:spacing w:after="0"/>
        <w:rPr>
          <w:b/>
          <w:bCs/>
        </w:rPr>
      </w:pPr>
    </w:p>
    <w:p w14:paraId="6950A25D" w14:textId="53682691" w:rsidR="006C68A2" w:rsidRDefault="004A055C" w:rsidP="00E44BA1">
      <w:pPr>
        <w:spacing w:after="0"/>
        <w:rPr>
          <w:b/>
          <w:bCs/>
          <w:sz w:val="28"/>
          <w:szCs w:val="28"/>
        </w:rPr>
      </w:pPr>
      <w:r w:rsidRPr="004A055C">
        <w:rPr>
          <w:b/>
          <w:bCs/>
          <w:sz w:val="28"/>
          <w:szCs w:val="28"/>
        </w:rPr>
        <w:t>4. CONCLUSION</w:t>
      </w:r>
    </w:p>
    <w:p w14:paraId="5702CB04" w14:textId="77777777" w:rsidR="002F62A6" w:rsidRPr="006C68A2" w:rsidRDefault="002F62A6" w:rsidP="00E44BA1">
      <w:pPr>
        <w:spacing w:after="0"/>
        <w:rPr>
          <w:b/>
          <w:bCs/>
          <w:sz w:val="28"/>
          <w:szCs w:val="28"/>
        </w:rPr>
      </w:pPr>
    </w:p>
    <w:p w14:paraId="29701781" w14:textId="655191A3" w:rsidR="006C68A2" w:rsidRDefault="006C68A2" w:rsidP="00E44BA1">
      <w:pPr>
        <w:spacing w:after="0"/>
      </w:pPr>
      <w:r w:rsidRPr="006C68A2">
        <w:t>The focus so far has, quite rightly, been on ensuring that competition policy does not stand in the way of vital cooperative action by businesses to fight climate change and help transition their industries onto a sustainable basis</w:t>
      </w:r>
      <w:r w:rsidR="001B650D">
        <w:t>. H</w:t>
      </w:r>
      <w:r w:rsidRPr="006C68A2">
        <w:t>owever, climate change is an existential crisis for humanity and we must use all the tools and policies at our disposal to combat it</w:t>
      </w:r>
      <w:r w:rsidR="001B650D">
        <w:t>.</w:t>
      </w:r>
    </w:p>
    <w:p w14:paraId="4598A7D9" w14:textId="77777777" w:rsidR="002F62A6" w:rsidRPr="006C68A2" w:rsidRDefault="002F62A6" w:rsidP="00E44BA1">
      <w:pPr>
        <w:spacing w:after="0"/>
      </w:pPr>
    </w:p>
    <w:p w14:paraId="34AD933D" w14:textId="77777777" w:rsidR="00053505" w:rsidRDefault="006C68A2" w:rsidP="00E44BA1">
      <w:pPr>
        <w:spacing w:after="0"/>
      </w:pPr>
      <w:r w:rsidRPr="006C68A2">
        <w:t>Many jurisdictions, such as the EU and most European countries, have powers to control abuses of monopoly power</w:t>
      </w:r>
      <w:r w:rsidR="00053505">
        <w:t>. In</w:t>
      </w:r>
      <w:r w:rsidRPr="006C68A2">
        <w:t xml:space="preserve"> the current context, there is no legal or practical reason why these powerful tools should not be used to tackle unsustainable practices where these are carried out by dominant companies</w:t>
      </w:r>
      <w:r w:rsidR="00053505">
        <w:t>. O</w:t>
      </w:r>
      <w:r w:rsidRPr="006C68A2">
        <w:t>n the contr</w:t>
      </w:r>
      <w:r w:rsidR="00053505">
        <w:t>ar</w:t>
      </w:r>
      <w:r w:rsidRPr="006C68A2">
        <w:t>y, there is every legal and moral reason to use them</w:t>
      </w:r>
      <w:r w:rsidR="00053505">
        <w:t>.</w:t>
      </w:r>
    </w:p>
    <w:p w14:paraId="26A229D5" w14:textId="77777777" w:rsidR="002F62A6" w:rsidRDefault="002F62A6" w:rsidP="00E44BA1">
      <w:pPr>
        <w:spacing w:after="0"/>
      </w:pPr>
    </w:p>
    <w:p w14:paraId="4C4287AE" w14:textId="362B97A3" w:rsidR="006C68A2" w:rsidRPr="006C68A2" w:rsidRDefault="00053505" w:rsidP="00E44BA1">
      <w:pPr>
        <w:spacing w:after="0"/>
      </w:pPr>
      <w:r>
        <w:t>Equ</w:t>
      </w:r>
      <w:r w:rsidR="006C68A2" w:rsidRPr="006C68A2">
        <w:t xml:space="preserve">ally, and most importantly, we should not lose sight of the fact that some </w:t>
      </w:r>
      <w:r>
        <w:t>d</w:t>
      </w:r>
      <w:r w:rsidR="006C68A2" w:rsidRPr="006C68A2">
        <w:t>omin</w:t>
      </w:r>
      <w:r>
        <w:t>ant</w:t>
      </w:r>
      <w:r w:rsidR="006C68A2" w:rsidRPr="006C68A2">
        <w:t xml:space="preserve"> companies are amongst our largest and most successful companies with the greatest potential to play a part in fighting</w:t>
      </w:r>
      <w:r w:rsidR="00B33F51">
        <w:t xml:space="preserve"> climate </w:t>
      </w:r>
      <w:r w:rsidR="006C68A2" w:rsidRPr="006C68A2">
        <w:t>change. We therefore need to be careful not to wrongly classify actions taken to fight climate change</w:t>
      </w:r>
      <w:r w:rsidR="00B33F51">
        <w:t>,</w:t>
      </w:r>
      <w:r w:rsidR="006C68A2" w:rsidRPr="006C68A2">
        <w:t xml:space="preserve"> or</w:t>
      </w:r>
      <w:r w:rsidR="00B33F51">
        <w:t xml:space="preserve"> to </w:t>
      </w:r>
      <w:r w:rsidR="006C68A2" w:rsidRPr="006C68A2">
        <w:t>promote sustainability</w:t>
      </w:r>
      <w:r w:rsidR="00B33F51">
        <w:t xml:space="preserve">, </w:t>
      </w:r>
      <w:r w:rsidR="006C68A2" w:rsidRPr="006C68A2">
        <w:t>as unlawful abuses of their position.</w:t>
      </w:r>
    </w:p>
    <w:p w14:paraId="2F5BF38E" w14:textId="77777777" w:rsidR="006C68A2" w:rsidRPr="002A2D1B" w:rsidRDefault="006C68A2" w:rsidP="00E44BA1">
      <w:pPr>
        <w:spacing w:after="0"/>
      </w:pPr>
    </w:p>
    <w:p w14:paraId="630FAC8B" w14:textId="41651817" w:rsidR="002F62A6" w:rsidRDefault="002F62A6">
      <w:pPr>
        <w:rPr>
          <w:b/>
          <w:bCs/>
        </w:rPr>
      </w:pPr>
      <w:r>
        <w:rPr>
          <w:b/>
          <w:bCs/>
        </w:rPr>
        <w:br w:type="page"/>
      </w:r>
    </w:p>
    <w:p w14:paraId="3C79C9B1" w14:textId="0843A923" w:rsidR="003952CF" w:rsidRDefault="00C04BE9" w:rsidP="00E44BA1">
      <w:pPr>
        <w:spacing w:after="0"/>
        <w:rPr>
          <w:b/>
          <w:bCs/>
          <w:sz w:val="28"/>
          <w:szCs w:val="28"/>
        </w:rPr>
      </w:pPr>
      <w:r w:rsidRPr="00C04BE9">
        <w:rPr>
          <w:b/>
          <w:bCs/>
          <w:sz w:val="28"/>
          <w:szCs w:val="28"/>
        </w:rPr>
        <w:lastRenderedPageBreak/>
        <w:t>ANNEX A</w:t>
      </w:r>
    </w:p>
    <w:p w14:paraId="223BC68B" w14:textId="77777777" w:rsidR="002F62A6" w:rsidRDefault="002F62A6" w:rsidP="00E44BA1">
      <w:pPr>
        <w:spacing w:after="0"/>
        <w:rPr>
          <w:b/>
          <w:bCs/>
          <w:sz w:val="28"/>
          <w:szCs w:val="28"/>
        </w:rPr>
      </w:pPr>
    </w:p>
    <w:p w14:paraId="2BF8CF4E" w14:textId="1E073709" w:rsidR="00A209A5" w:rsidRDefault="00870307" w:rsidP="00E44BA1">
      <w:pPr>
        <w:spacing w:after="0"/>
        <w:rPr>
          <w:b/>
          <w:bCs/>
          <w:sz w:val="28"/>
          <w:szCs w:val="28"/>
        </w:rPr>
      </w:pPr>
      <w:r>
        <w:rPr>
          <w:b/>
          <w:bCs/>
          <w:sz w:val="28"/>
          <w:szCs w:val="28"/>
        </w:rPr>
        <w:t xml:space="preserve">ICC’ Comments on Sustainability </w:t>
      </w:r>
      <w:r w:rsidR="00C3382F">
        <w:rPr>
          <w:b/>
          <w:bCs/>
          <w:sz w:val="28"/>
          <w:szCs w:val="28"/>
        </w:rPr>
        <w:t xml:space="preserve">included in its response to the European’s draft 102 Guidelines </w:t>
      </w:r>
      <w:r w:rsidR="007D37C1">
        <w:rPr>
          <w:b/>
          <w:bCs/>
          <w:sz w:val="28"/>
          <w:szCs w:val="28"/>
        </w:rPr>
        <w:t>in relation to abusive exclusionary conduct by dominant undertakings.</w:t>
      </w:r>
    </w:p>
    <w:p w14:paraId="30973450" w14:textId="77777777" w:rsidR="002F62A6" w:rsidRDefault="002F62A6" w:rsidP="00E44BA1">
      <w:pPr>
        <w:spacing w:after="0"/>
        <w:rPr>
          <w:b/>
          <w:bCs/>
        </w:rPr>
      </w:pPr>
    </w:p>
    <w:p w14:paraId="64139911" w14:textId="77777777" w:rsidR="00877B27" w:rsidRDefault="005B0F6B" w:rsidP="00E44BA1">
      <w:pPr>
        <w:pStyle w:val="ListParagraph"/>
        <w:numPr>
          <w:ilvl w:val="0"/>
          <w:numId w:val="9"/>
        </w:numPr>
        <w:spacing w:after="0"/>
      </w:pPr>
      <w:r w:rsidRPr="003C0086">
        <w:t>ICC would additionally like to draw attention to the absence of any meaningful reference to sustainability considerations in the Draft Guidelines. This stands in stark contrast to the updated Horizontal Guidelines in 2022, which dedicated an entire chapter of the guidance on horizontal co-operation agreements ("HGL") to "sustainability agreements". The HGL set out how businesses can work together to fight climate change; put their industry on a more sustainable basis; and achieve broader social sustainability objectives. While not perfect, the HGL provides a clear framework by which businesses can enter into agreements on things such as green production, phasing out the use of dirty fuels, and sourcing inputs on a more sustainable basis.</w:t>
      </w:r>
    </w:p>
    <w:p w14:paraId="37AA7ADE" w14:textId="77777777" w:rsidR="002F62A6" w:rsidRPr="0028370F" w:rsidRDefault="002F62A6" w:rsidP="002F62A6">
      <w:pPr>
        <w:pStyle w:val="ListParagraph"/>
        <w:spacing w:after="0"/>
        <w:ind w:left="360"/>
      </w:pPr>
    </w:p>
    <w:p w14:paraId="463F141E" w14:textId="77777777" w:rsidR="00572CEF" w:rsidRDefault="005B0F6B" w:rsidP="00E44BA1">
      <w:pPr>
        <w:pStyle w:val="ListParagraph"/>
        <w:numPr>
          <w:ilvl w:val="0"/>
          <w:numId w:val="9"/>
        </w:numPr>
        <w:spacing w:after="0"/>
      </w:pPr>
      <w:r w:rsidRPr="003C0086">
        <w:t xml:space="preserve"> ICC would encourage the Commission to consider taking a similar approach to the Draft Guidelines, and provide a clear framework for taking into account sustainability considerations at all levels of the Article 102 assessment. Taking such an approach would be consistent with the Commission's statement at Paragraph 1 of the Draft Guidelines regarding the importance of ensuring "an efficient allocation of resources, thereby contributing to sustainable development and enabling strong and diversified supply chains, all of which contributes to the Union’s resilience and long-term prosperity." </w:t>
      </w:r>
    </w:p>
    <w:p w14:paraId="6D499579" w14:textId="77777777" w:rsidR="002F62A6" w:rsidRDefault="002F62A6" w:rsidP="002F62A6">
      <w:pPr>
        <w:pStyle w:val="ListParagraph"/>
      </w:pPr>
    </w:p>
    <w:p w14:paraId="66D0A4A7" w14:textId="77777777" w:rsidR="002F62A6" w:rsidRPr="0028370F" w:rsidRDefault="002F62A6" w:rsidP="002F62A6">
      <w:pPr>
        <w:pStyle w:val="ListParagraph"/>
        <w:spacing w:after="0"/>
        <w:ind w:left="360"/>
      </w:pPr>
    </w:p>
    <w:p w14:paraId="1F164997" w14:textId="2C27B9DE" w:rsidR="00572CEF" w:rsidRPr="0028370F" w:rsidRDefault="00572CEF" w:rsidP="002F62A6">
      <w:pPr>
        <w:spacing w:after="0"/>
        <w:rPr>
          <w:b/>
          <w:bCs/>
          <w:sz w:val="28"/>
          <w:szCs w:val="28"/>
        </w:rPr>
      </w:pPr>
      <w:r w:rsidRPr="0028370F">
        <w:rPr>
          <w:b/>
          <w:bCs/>
          <w:sz w:val="28"/>
          <w:szCs w:val="28"/>
        </w:rPr>
        <w:t>Sustainability and the conduct assessmen</w:t>
      </w:r>
      <w:r w:rsidR="003250BA">
        <w:rPr>
          <w:b/>
          <w:bCs/>
          <w:sz w:val="28"/>
          <w:szCs w:val="28"/>
        </w:rPr>
        <w:t>t</w:t>
      </w:r>
    </w:p>
    <w:p w14:paraId="03AFBE5D" w14:textId="77777777" w:rsidR="00197C88" w:rsidRPr="0028370F" w:rsidRDefault="00197C88" w:rsidP="00E44BA1">
      <w:pPr>
        <w:spacing w:after="0"/>
        <w:rPr>
          <w:b/>
          <w:bCs/>
        </w:rPr>
      </w:pPr>
    </w:p>
    <w:p w14:paraId="64CAF68E" w14:textId="77471737" w:rsidR="00486D14" w:rsidRDefault="005B0F6B" w:rsidP="00E44BA1">
      <w:pPr>
        <w:pStyle w:val="ListParagraph"/>
        <w:numPr>
          <w:ilvl w:val="0"/>
          <w:numId w:val="9"/>
        </w:numPr>
        <w:spacing w:after="0"/>
      </w:pPr>
      <w:r w:rsidRPr="003250BA">
        <w:t>The courts have long recognised that dominant companies have a “special responsibility” not to allow its conduct to impair genuine undistorted competition and that the categories of abuse are not fixed. Moreover, recent decisional practice has demonstrated that the existing categories of conduct are increasingly flexible. There is, therefore, no reason why unsustainable practices by dominant companies, such as: burning toxic waste, dumping pollutants in rivers, using child labour, paying starvation wages, or cutting down Amazon jungle should not be recognised for what they are – abusive practices, and where perpetrated by dominant companies, treated as an abuse of dominance</w:t>
      </w:r>
      <w:r w:rsidR="008C3872" w:rsidRPr="0028370F">
        <w:rPr>
          <w:rStyle w:val="FootnoteReference"/>
        </w:rPr>
        <w:footnoteReference w:id="17"/>
      </w:r>
      <w:r w:rsidR="00486D14" w:rsidRPr="0028370F">
        <w:t>.</w:t>
      </w:r>
    </w:p>
    <w:p w14:paraId="38913189" w14:textId="77777777" w:rsidR="002F62A6" w:rsidRPr="0028370F" w:rsidRDefault="002F62A6" w:rsidP="002F62A6">
      <w:pPr>
        <w:pStyle w:val="ListParagraph"/>
        <w:spacing w:after="0"/>
        <w:ind w:left="360"/>
      </w:pPr>
    </w:p>
    <w:p w14:paraId="684D1EC0" w14:textId="38192104" w:rsidR="00486D14" w:rsidRDefault="005B0F6B" w:rsidP="00E44BA1">
      <w:pPr>
        <w:pStyle w:val="ListParagraph"/>
        <w:numPr>
          <w:ilvl w:val="0"/>
          <w:numId w:val="9"/>
        </w:numPr>
        <w:spacing w:after="0"/>
      </w:pPr>
      <w:r w:rsidRPr="003250BA">
        <w:t>One practical example might be the distortion of competition that arises when a dominant company avoids the costs of disposing responsibility of waste products (e.g. by dumping them on land or in rivers) while it’s smaller rivals incur those costs, suffering a competitive disadvantage as a result. This could be considered both an “exclusionary”, and arguably an “exploitative,” abuse by a company in a dominant positio</w:t>
      </w:r>
      <w:r w:rsidR="002F62A6">
        <w:t>n.</w:t>
      </w:r>
    </w:p>
    <w:p w14:paraId="3D6A1EE7" w14:textId="77777777" w:rsidR="002F62A6" w:rsidRDefault="002F62A6" w:rsidP="002F62A6">
      <w:pPr>
        <w:pStyle w:val="ListParagraph"/>
      </w:pPr>
    </w:p>
    <w:p w14:paraId="26559CB9" w14:textId="77777777" w:rsidR="002F62A6" w:rsidRPr="0028370F" w:rsidRDefault="002F62A6" w:rsidP="002F62A6">
      <w:pPr>
        <w:spacing w:after="0"/>
      </w:pPr>
    </w:p>
    <w:p w14:paraId="38A9BFE0" w14:textId="77777777" w:rsidR="00D6039D" w:rsidRDefault="005B0F6B" w:rsidP="00E44BA1">
      <w:pPr>
        <w:pStyle w:val="ListParagraph"/>
        <w:numPr>
          <w:ilvl w:val="0"/>
          <w:numId w:val="9"/>
        </w:numPr>
        <w:spacing w:after="0"/>
      </w:pPr>
      <w:r w:rsidRPr="003250BA">
        <w:lastRenderedPageBreak/>
        <w:t xml:space="preserve"> Although there are more limited cases in this area, national competition authorities are showing increasingly willingness to recognise sustainability considerations in the assessment of abuse. </w:t>
      </w:r>
    </w:p>
    <w:p w14:paraId="5B068FFE" w14:textId="77777777" w:rsidR="002F62A6" w:rsidRPr="0028370F" w:rsidRDefault="002F62A6" w:rsidP="002F62A6">
      <w:pPr>
        <w:pStyle w:val="ListParagraph"/>
        <w:spacing w:after="0"/>
        <w:ind w:left="360"/>
      </w:pPr>
    </w:p>
    <w:p w14:paraId="29E9A8AC" w14:textId="77777777" w:rsidR="0062357C" w:rsidRDefault="005B0F6B" w:rsidP="00E44BA1">
      <w:pPr>
        <w:pStyle w:val="ListParagraph"/>
        <w:numPr>
          <w:ilvl w:val="0"/>
          <w:numId w:val="9"/>
        </w:numPr>
        <w:spacing w:after="0"/>
      </w:pPr>
      <w:r w:rsidRPr="003250BA">
        <w:t>For example, in the Google/Enel X case, harming the environment was an aggravating factor when fines of £100 million were imposed on Google by the ICA, the Italian competition authority. The ICA took into account the “possible negative effects (which)</w:t>
      </w:r>
      <w:r w:rsidRPr="0028370F">
        <w:rPr>
          <w:b/>
          <w:bCs/>
        </w:rPr>
        <w:t xml:space="preserve"> could occur to the </w:t>
      </w:r>
      <w:r w:rsidRPr="003250BA">
        <w:t>diffusion of electric vehicles, to the use of “clean” energy and to the transition towards a more environmentally sustainable mobility”.</w:t>
      </w:r>
      <w:r w:rsidR="0062357C" w:rsidRPr="0028370F">
        <w:rPr>
          <w:rStyle w:val="FootnoteReference"/>
        </w:rPr>
        <w:footnoteReference w:id="18"/>
      </w:r>
      <w:r w:rsidRPr="003250BA">
        <w:t xml:space="preserve"> </w:t>
      </w:r>
    </w:p>
    <w:p w14:paraId="0CE67813" w14:textId="77777777" w:rsidR="002F62A6" w:rsidRPr="0028370F" w:rsidRDefault="002F62A6" w:rsidP="002F62A6">
      <w:pPr>
        <w:spacing w:after="0"/>
      </w:pPr>
    </w:p>
    <w:p w14:paraId="26FB5040" w14:textId="77777777" w:rsidR="0062357C" w:rsidRDefault="005B0F6B" w:rsidP="00E44BA1">
      <w:pPr>
        <w:pStyle w:val="ListParagraph"/>
        <w:numPr>
          <w:ilvl w:val="0"/>
          <w:numId w:val="9"/>
        </w:numPr>
        <w:spacing w:after="0"/>
      </w:pPr>
      <w:r w:rsidRPr="003250BA">
        <w:t>Similarly, in the Corepla case, the ICA imposed a EUR 27 million fine on a plastics supply chain consortium for abusing its dominant position in the market for the recovery and recycling of plastic packaging for food use. The ICA said its intervention contributed to the achievement of recycling and waste management-related environmental goals (as established by both EU and Italian legislation).</w:t>
      </w:r>
      <w:r w:rsidR="0062357C" w:rsidRPr="0028370F">
        <w:rPr>
          <w:rStyle w:val="FootnoteReference"/>
        </w:rPr>
        <w:footnoteReference w:id="19"/>
      </w:r>
    </w:p>
    <w:p w14:paraId="6A18BA9B" w14:textId="77777777" w:rsidR="002F62A6" w:rsidRPr="0028370F" w:rsidRDefault="002F62A6" w:rsidP="002F62A6">
      <w:pPr>
        <w:spacing w:after="0"/>
      </w:pPr>
    </w:p>
    <w:p w14:paraId="139DAED2" w14:textId="6540A09B" w:rsidR="009409B5" w:rsidRDefault="005B0F6B" w:rsidP="00E44BA1">
      <w:pPr>
        <w:pStyle w:val="ListParagraph"/>
        <w:numPr>
          <w:ilvl w:val="0"/>
          <w:numId w:val="9"/>
        </w:numPr>
        <w:spacing w:after="0"/>
      </w:pPr>
      <w:r w:rsidRPr="003250BA">
        <w:t xml:space="preserve"> Another example is the Engie II case in France. In this case the French competition authority was concerned that various pricing and contractual provisions of Engie were an abuse of its dominant position. These included an obligation on co-owners not to use energy sources other than gas for heating and hot water. The case was settled by means of commitments which included releasing co-owners associations from the obligation to use only gas for heating and hot water which would enable them to consider other energy sources for heating and hot water.</w:t>
      </w:r>
      <w:r w:rsidR="009409B5" w:rsidRPr="0028370F">
        <w:rPr>
          <w:rStyle w:val="FootnoteReference"/>
        </w:rPr>
        <w:footnoteReference w:id="20"/>
      </w:r>
    </w:p>
    <w:p w14:paraId="68652314" w14:textId="77777777" w:rsidR="002F62A6" w:rsidRPr="0028370F" w:rsidRDefault="002F62A6" w:rsidP="002F62A6">
      <w:pPr>
        <w:spacing w:after="0"/>
      </w:pPr>
    </w:p>
    <w:p w14:paraId="60EBC40E" w14:textId="74EE1AAF" w:rsidR="00263C01" w:rsidRDefault="005B0F6B" w:rsidP="00E44BA1">
      <w:pPr>
        <w:pStyle w:val="ListParagraph"/>
        <w:numPr>
          <w:ilvl w:val="0"/>
          <w:numId w:val="9"/>
        </w:numPr>
        <w:spacing w:after="0"/>
      </w:pPr>
      <w:r w:rsidRPr="003250BA">
        <w:t>Moreover, the Commission is also considering a number of pending cases in this area. For example, in alleging that the dominant Greek electricity provider, PPC, has abused its dominant position by selling its electricity in the Greek wholesale electricity market below cost, the Commission's statement of objections alleges that, not only were independent power providers marginalised, but also investment into more environmentally friendly energy sources was deterred. In outlining the harm, the Commission draws upon how the conduct may have led, not only to higher prices for Greek consumers, but also to “higher emission levels and local pollution”.</w:t>
      </w:r>
      <w:r w:rsidR="00EA5CBD" w:rsidRPr="0028370F">
        <w:rPr>
          <w:rStyle w:val="FootnoteReference"/>
        </w:rPr>
        <w:footnoteReference w:id="21"/>
      </w:r>
    </w:p>
    <w:p w14:paraId="2AEB6D58" w14:textId="77777777" w:rsidR="002608FC" w:rsidRPr="0028370F" w:rsidRDefault="002608FC" w:rsidP="00E44BA1">
      <w:pPr>
        <w:pStyle w:val="ListParagraph"/>
        <w:spacing w:after="0"/>
        <w:ind w:left="360"/>
      </w:pPr>
    </w:p>
    <w:p w14:paraId="490EACD2" w14:textId="77777777" w:rsidR="00263C01" w:rsidRPr="0028370F" w:rsidRDefault="005B0F6B" w:rsidP="00E44BA1">
      <w:pPr>
        <w:pStyle w:val="ListParagraph"/>
        <w:numPr>
          <w:ilvl w:val="0"/>
          <w:numId w:val="9"/>
        </w:numPr>
        <w:spacing w:after="0"/>
      </w:pPr>
      <w:r w:rsidRPr="003250BA">
        <w:t>While ICC considers that there is scope to expand the categories of abusive conduct to include unsustainable practices by dominant companies (where these exclude rivals or exploit consumers), the above cases illustrate that this may not always be necessary where the theories of harm involve well established categories of abuse. In Google/Enel X, Google had refused to allow interoperability between its (dominant) android operating systems and an app which allowed electric car drivers access to a range of charging services. Similarly, in the Greek Lignite case, PPC is alleged to have engaged in predatory pricing.</w:t>
      </w:r>
    </w:p>
    <w:p w14:paraId="5D172A42" w14:textId="77777777" w:rsidR="00263C01" w:rsidRDefault="00263C01" w:rsidP="00E44BA1">
      <w:pPr>
        <w:pStyle w:val="ListParagraph"/>
        <w:spacing w:after="0"/>
        <w:rPr>
          <w:b/>
          <w:bCs/>
        </w:rPr>
      </w:pPr>
    </w:p>
    <w:p w14:paraId="3B02F8B5" w14:textId="77777777" w:rsidR="00744B57" w:rsidRDefault="00744B57" w:rsidP="00E44BA1">
      <w:pPr>
        <w:pStyle w:val="ListParagraph"/>
        <w:spacing w:after="0"/>
        <w:rPr>
          <w:b/>
          <w:bCs/>
        </w:rPr>
      </w:pPr>
    </w:p>
    <w:p w14:paraId="775EF6A1" w14:textId="77777777" w:rsidR="00744B57" w:rsidRDefault="00744B57" w:rsidP="00E44BA1">
      <w:pPr>
        <w:pStyle w:val="ListParagraph"/>
        <w:spacing w:after="0"/>
        <w:rPr>
          <w:b/>
          <w:bCs/>
        </w:rPr>
      </w:pPr>
    </w:p>
    <w:p w14:paraId="559D4B92" w14:textId="77777777" w:rsidR="00744B57" w:rsidRDefault="00744B57" w:rsidP="00E44BA1">
      <w:pPr>
        <w:pStyle w:val="ListParagraph"/>
        <w:spacing w:after="0"/>
        <w:rPr>
          <w:b/>
          <w:bCs/>
        </w:rPr>
      </w:pPr>
    </w:p>
    <w:p w14:paraId="6C2D1F92" w14:textId="77777777" w:rsidR="00744B57" w:rsidRDefault="00744B57" w:rsidP="00E44BA1">
      <w:pPr>
        <w:pStyle w:val="ListParagraph"/>
        <w:spacing w:after="0"/>
        <w:rPr>
          <w:b/>
          <w:bCs/>
        </w:rPr>
      </w:pPr>
    </w:p>
    <w:p w14:paraId="4B6BE83D" w14:textId="4E43638E" w:rsidR="00263C01" w:rsidRPr="002F62A6" w:rsidRDefault="005B0F6B" w:rsidP="002F62A6">
      <w:pPr>
        <w:spacing w:after="0"/>
        <w:rPr>
          <w:b/>
          <w:bCs/>
          <w:sz w:val="28"/>
          <w:szCs w:val="28"/>
        </w:rPr>
      </w:pPr>
      <w:r w:rsidRPr="002F62A6">
        <w:rPr>
          <w:b/>
          <w:bCs/>
          <w:sz w:val="28"/>
          <w:szCs w:val="28"/>
        </w:rPr>
        <w:lastRenderedPageBreak/>
        <w:t xml:space="preserve">Sustainability and the objective justification assessment </w:t>
      </w:r>
    </w:p>
    <w:p w14:paraId="43A0716E" w14:textId="77777777" w:rsidR="00263C01" w:rsidRDefault="00263C01" w:rsidP="00E44BA1">
      <w:pPr>
        <w:pStyle w:val="ListParagraph"/>
        <w:spacing w:after="0"/>
        <w:rPr>
          <w:b/>
          <w:bCs/>
        </w:rPr>
      </w:pPr>
    </w:p>
    <w:p w14:paraId="3A92CADA" w14:textId="3E18B1C3" w:rsidR="00E44217" w:rsidRDefault="005B0F6B" w:rsidP="00E44BA1">
      <w:pPr>
        <w:pStyle w:val="ListParagraph"/>
        <w:numPr>
          <w:ilvl w:val="0"/>
          <w:numId w:val="9"/>
        </w:numPr>
        <w:spacing w:after="0"/>
      </w:pPr>
      <w:r w:rsidRPr="003250BA">
        <w:t>ICC would also encourage the Commission to make explicit the ability for undertakings to raise sustainability considerations in the context of the efficiencies defence and/or objective justification mechanism. This is particularly pertinent given the fact that many dominant companies are amongst the largest and most successful companies in our economy and, therefore, have the potential to make the greatest contribution to the transition to a more sustainable economy and the fight against climate change. Similar to the HGL, the Draft Guidelines should make it clear that the Commission wants to encourage, rather than discourage, large companies from making this contribution and avoid wrongfully classing efforts in that direction as abusive.</w:t>
      </w:r>
    </w:p>
    <w:p w14:paraId="550A7028" w14:textId="77777777" w:rsidR="00DA26A3" w:rsidRPr="0028370F" w:rsidRDefault="00DA26A3" w:rsidP="00DA26A3">
      <w:pPr>
        <w:pStyle w:val="ListParagraph"/>
        <w:spacing w:after="0"/>
        <w:ind w:left="360"/>
      </w:pPr>
    </w:p>
    <w:p w14:paraId="4E067276" w14:textId="2FEB5D30" w:rsidR="00FC5C67" w:rsidRDefault="005B0F6B" w:rsidP="00E44BA1">
      <w:pPr>
        <w:pStyle w:val="ListParagraph"/>
        <w:numPr>
          <w:ilvl w:val="0"/>
          <w:numId w:val="9"/>
        </w:numPr>
        <w:spacing w:after="0"/>
      </w:pPr>
      <w:r w:rsidRPr="003250BA">
        <w:t>Examples of the potentially justifiable conduct to which the Commission could refer, drawing inspiration from the Hellenic Competition Commission (the "HCC"),</w:t>
      </w:r>
      <w:r w:rsidR="00C73DBD" w:rsidRPr="0028370F">
        <w:rPr>
          <w:rStyle w:val="FootnoteReference"/>
        </w:rPr>
        <w:footnoteReference w:id="22"/>
      </w:r>
      <w:r w:rsidRPr="003250BA">
        <w:t xml:space="preserve"> include the setting of a higher price to cover environmental and broader sustainability costs or to reinvest in environmental protection and/or the attainment of sustainability objectives without this being found excessive, bundling or tying environmentally friendlier product options, charging different customers different prices for products based on the impact on sustainability goals or refusing to provide inputs to an undertaking that does not satisfy certain sustainability standards.</w:t>
      </w:r>
      <w:r w:rsidR="00FC5C67" w:rsidRPr="0028370F">
        <w:rPr>
          <w:rStyle w:val="FootnoteReference"/>
        </w:rPr>
        <w:footnoteReference w:id="23"/>
      </w:r>
    </w:p>
    <w:p w14:paraId="48414689" w14:textId="77777777" w:rsidR="00DA26A3" w:rsidRPr="0028370F" w:rsidRDefault="00DA26A3" w:rsidP="00DA26A3">
      <w:pPr>
        <w:spacing w:after="0"/>
      </w:pPr>
    </w:p>
    <w:p w14:paraId="54EE38FE" w14:textId="77777777" w:rsidR="00FC5C67" w:rsidRPr="0028370F" w:rsidRDefault="005B0F6B" w:rsidP="00E44BA1">
      <w:pPr>
        <w:pStyle w:val="ListParagraph"/>
        <w:numPr>
          <w:ilvl w:val="0"/>
          <w:numId w:val="9"/>
        </w:numPr>
        <w:spacing w:after="0"/>
      </w:pPr>
      <w:r w:rsidRPr="003250BA">
        <w:t xml:space="preserve">Taking such an approach would demonstrate the Commission's commitment to encouraging businesses to strive to achieve broad social sustainability objectives. Climate change and putting the European economy on a more sustainable basis is absolutely critical. ICC would, therefore, encourage the Commission to take the opportunity to consolidate and clarify the law and practice in this area. </w:t>
      </w:r>
    </w:p>
    <w:p w14:paraId="386C1706" w14:textId="4FE393CC" w:rsidR="00732D65" w:rsidRDefault="005B0F6B" w:rsidP="00E44BA1">
      <w:pPr>
        <w:spacing w:after="0"/>
        <w:ind w:left="360"/>
      </w:pPr>
      <w:r w:rsidRPr="003250BA">
        <w:t xml:space="preserve"> </w:t>
      </w:r>
    </w:p>
    <w:p w14:paraId="35A1C346" w14:textId="150D65D9" w:rsidR="00DA26A3" w:rsidRDefault="00DA26A3">
      <w:r>
        <w:br w:type="page"/>
      </w:r>
    </w:p>
    <w:p w14:paraId="577403A4" w14:textId="516A37BD" w:rsidR="006D1DBC" w:rsidRPr="007F1F48" w:rsidRDefault="00C04BE9" w:rsidP="00E44BA1">
      <w:pPr>
        <w:spacing w:after="0"/>
        <w:rPr>
          <w:b/>
          <w:bCs/>
          <w:sz w:val="28"/>
          <w:szCs w:val="28"/>
        </w:rPr>
      </w:pPr>
      <w:r w:rsidRPr="007F1F48">
        <w:rPr>
          <w:b/>
          <w:bCs/>
          <w:sz w:val="28"/>
          <w:szCs w:val="28"/>
        </w:rPr>
        <w:lastRenderedPageBreak/>
        <w:t>ANNEX B</w:t>
      </w:r>
    </w:p>
    <w:p w14:paraId="25B99D09" w14:textId="77777777" w:rsidR="00A209A5" w:rsidRDefault="00A209A5" w:rsidP="00E44BA1">
      <w:pPr>
        <w:spacing w:after="0"/>
        <w:rPr>
          <w:b/>
          <w:bCs/>
          <w:sz w:val="28"/>
          <w:szCs w:val="28"/>
        </w:rPr>
      </w:pPr>
    </w:p>
    <w:p w14:paraId="6C4861ED" w14:textId="3EEC3D6A" w:rsidR="000530B3" w:rsidRDefault="006F3953" w:rsidP="00E44BA1">
      <w:pPr>
        <w:spacing w:after="0"/>
        <w:rPr>
          <w:b/>
          <w:bCs/>
          <w:sz w:val="28"/>
          <w:szCs w:val="28"/>
        </w:rPr>
      </w:pPr>
      <w:r>
        <w:rPr>
          <w:b/>
          <w:bCs/>
          <w:sz w:val="28"/>
          <w:szCs w:val="28"/>
        </w:rPr>
        <w:t xml:space="preserve">FURTHER </w:t>
      </w:r>
      <w:r w:rsidR="00C04BE9" w:rsidRPr="00980347">
        <w:rPr>
          <w:b/>
          <w:bCs/>
          <w:sz w:val="28"/>
          <w:szCs w:val="28"/>
        </w:rPr>
        <w:t>PENDING CASES</w:t>
      </w:r>
    </w:p>
    <w:p w14:paraId="77276F78" w14:textId="77777777" w:rsidR="009845AA" w:rsidRDefault="009845AA" w:rsidP="00E44BA1">
      <w:pPr>
        <w:spacing w:after="0"/>
        <w:rPr>
          <w:b/>
          <w:bCs/>
          <w:sz w:val="28"/>
          <w:szCs w:val="28"/>
        </w:rPr>
      </w:pPr>
    </w:p>
    <w:p w14:paraId="246EBED2" w14:textId="07FCD7DD" w:rsidR="00053A70" w:rsidRDefault="00C04BE9" w:rsidP="00E44BA1">
      <w:pPr>
        <w:spacing w:after="0"/>
        <w:rPr>
          <w:b/>
          <w:bCs/>
          <w:sz w:val="28"/>
          <w:szCs w:val="28"/>
        </w:rPr>
      </w:pPr>
      <w:r>
        <w:rPr>
          <w:b/>
          <w:bCs/>
          <w:sz w:val="28"/>
          <w:szCs w:val="28"/>
        </w:rPr>
        <w:t>WHERE ABUSE OF DOMINANCE TOOLS ARE BEING USE TO TACKLE ALLEGEDLY UNSUSTAINABLE CONDUCT</w:t>
      </w:r>
    </w:p>
    <w:p w14:paraId="3F703AD4" w14:textId="77777777" w:rsidR="004D46F0" w:rsidRDefault="004D46F0" w:rsidP="00E44BA1">
      <w:pPr>
        <w:spacing w:after="0"/>
        <w:rPr>
          <w:b/>
          <w:bCs/>
          <w:sz w:val="28"/>
          <w:szCs w:val="28"/>
        </w:rPr>
      </w:pPr>
    </w:p>
    <w:p w14:paraId="2EA8CAF6" w14:textId="77777777" w:rsidR="00744B57" w:rsidRPr="004D46F0" w:rsidRDefault="00744B57" w:rsidP="00E44BA1">
      <w:pPr>
        <w:spacing w:after="0"/>
        <w:rPr>
          <w:b/>
          <w:bCs/>
          <w:sz w:val="28"/>
          <w:szCs w:val="28"/>
        </w:rPr>
      </w:pPr>
    </w:p>
    <w:p w14:paraId="30F8C85E" w14:textId="1BE99389" w:rsidR="00980347" w:rsidRDefault="00980347" w:rsidP="00744B57">
      <w:pPr>
        <w:pStyle w:val="ListParagraph"/>
        <w:numPr>
          <w:ilvl w:val="0"/>
          <w:numId w:val="5"/>
        </w:numPr>
        <w:spacing w:after="0"/>
        <w:ind w:left="284"/>
        <w:rPr>
          <w:b/>
          <w:bCs/>
          <w:sz w:val="28"/>
          <w:szCs w:val="28"/>
        </w:rPr>
      </w:pPr>
      <w:r w:rsidRPr="004D46F0">
        <w:rPr>
          <w:b/>
          <w:bCs/>
          <w:sz w:val="28"/>
          <w:szCs w:val="28"/>
        </w:rPr>
        <w:t>UK Water industry Case</w:t>
      </w:r>
    </w:p>
    <w:p w14:paraId="60D2964D" w14:textId="77777777" w:rsidR="00DA26A3" w:rsidRPr="004D46F0" w:rsidRDefault="00DA26A3" w:rsidP="00DA26A3">
      <w:pPr>
        <w:pStyle w:val="ListParagraph"/>
        <w:spacing w:after="0"/>
        <w:rPr>
          <w:b/>
          <w:bCs/>
          <w:sz w:val="28"/>
          <w:szCs w:val="28"/>
        </w:rPr>
      </w:pPr>
    </w:p>
    <w:p w14:paraId="7AE39CEE" w14:textId="15D79F57" w:rsidR="009F6EA6" w:rsidRDefault="00980347" w:rsidP="00E44BA1">
      <w:pPr>
        <w:spacing w:after="0"/>
      </w:pPr>
      <w:r w:rsidRPr="00CB1757">
        <w:t>Perhaps the most interesting of these is a collective action for damages brought in the UK’s Competition Appeal Tribunal (CAT) against several water and sewage companies.</w:t>
      </w:r>
      <w:r w:rsidRPr="00CB1757">
        <w:rPr>
          <w:vertAlign w:val="superscript"/>
        </w:rPr>
        <w:footnoteReference w:id="24"/>
      </w:r>
      <w:r w:rsidRPr="00CB1757">
        <w:t>. The allegation is that these companies infringed the Chapter 2 prohibition of the Competition Act 1998 (the UK’s equivalent of Article 102 TFEU) by providing misleading information to the relevant regulatory bodies in relation to pollution incidents. This alleged under reporting resulted in the companies being allowed to increase prices to consumers for sewerage services. The claim is for over £</w:t>
      </w:r>
      <w:r w:rsidR="00255B46">
        <w:t>1.5 b</w:t>
      </w:r>
      <w:r w:rsidRPr="00CB1757">
        <w:t>illion</w:t>
      </w:r>
      <w:r w:rsidR="00255B46">
        <w:t xml:space="preserve"> and brought on behalf of over </w:t>
      </w:r>
      <w:r w:rsidR="00263E1F">
        <w:t>30 million consumers.</w:t>
      </w:r>
      <w:r w:rsidRPr="00CB1757">
        <w:rPr>
          <w:vertAlign w:val="superscript"/>
        </w:rPr>
        <w:footnoteReference w:id="25"/>
      </w:r>
      <w:r w:rsidRPr="00CB1757">
        <w:t xml:space="preserve">. </w:t>
      </w:r>
    </w:p>
    <w:p w14:paraId="7937ECF4" w14:textId="77777777" w:rsidR="00DA26A3" w:rsidRDefault="00DA26A3" w:rsidP="00E44BA1">
      <w:pPr>
        <w:spacing w:after="0"/>
      </w:pPr>
    </w:p>
    <w:p w14:paraId="05AF12A9" w14:textId="77777777" w:rsidR="00DA26A3" w:rsidRPr="00CB1757" w:rsidRDefault="00DA26A3" w:rsidP="00E44BA1">
      <w:pPr>
        <w:spacing w:after="0"/>
      </w:pPr>
    </w:p>
    <w:p w14:paraId="799BC243" w14:textId="7CFA55C3" w:rsidR="00980347" w:rsidRDefault="00980347" w:rsidP="00744B57">
      <w:pPr>
        <w:pStyle w:val="ListParagraph"/>
        <w:numPr>
          <w:ilvl w:val="0"/>
          <w:numId w:val="5"/>
        </w:numPr>
        <w:spacing w:after="0"/>
        <w:ind w:left="426"/>
        <w:rPr>
          <w:b/>
          <w:bCs/>
          <w:sz w:val="28"/>
          <w:szCs w:val="28"/>
        </w:rPr>
      </w:pPr>
      <w:r w:rsidRPr="004D46F0">
        <w:rPr>
          <w:b/>
          <w:bCs/>
          <w:sz w:val="28"/>
          <w:szCs w:val="28"/>
        </w:rPr>
        <w:t>Italian Novamont Cas</w:t>
      </w:r>
      <w:r w:rsidR="00DA26A3">
        <w:rPr>
          <w:b/>
          <w:bCs/>
          <w:sz w:val="28"/>
          <w:szCs w:val="28"/>
        </w:rPr>
        <w:t>e</w:t>
      </w:r>
    </w:p>
    <w:p w14:paraId="18687DEC" w14:textId="2EF9E013" w:rsidR="00DA26A3" w:rsidRPr="004D46F0" w:rsidRDefault="00DA26A3" w:rsidP="00DA26A3">
      <w:pPr>
        <w:pStyle w:val="ListParagraph"/>
        <w:spacing w:after="0"/>
        <w:rPr>
          <w:b/>
          <w:bCs/>
          <w:sz w:val="28"/>
          <w:szCs w:val="28"/>
        </w:rPr>
      </w:pPr>
    </w:p>
    <w:p w14:paraId="67786FA3" w14:textId="77777777" w:rsidR="00980347" w:rsidRDefault="00980347" w:rsidP="00E44BA1">
      <w:pPr>
        <w:spacing w:after="0"/>
      </w:pPr>
      <w:r w:rsidRPr="00CB1757">
        <w:t xml:space="preserve">The Italian competition authority has launched an investigation into Novamont for allegedly abusing its dominant position in the bioplastic bag sector. It is said to have entered into exclusivity agreements both with food retailers and with manufacturers and distributors of plastic bags which may have prevented the emergence of alternative and more efficient bioplastics. </w:t>
      </w:r>
    </w:p>
    <w:p w14:paraId="0E42B58F" w14:textId="77777777" w:rsidR="00DA26A3" w:rsidRPr="00CB1757" w:rsidRDefault="00DA26A3" w:rsidP="00E44BA1">
      <w:pPr>
        <w:spacing w:after="0"/>
      </w:pPr>
    </w:p>
    <w:p w14:paraId="4D228EEC" w14:textId="2575BA06" w:rsidR="00C35014" w:rsidRPr="008529F2" w:rsidRDefault="00980347" w:rsidP="00DA26A3">
      <w:pPr>
        <w:spacing w:after="0"/>
      </w:pPr>
      <w:r w:rsidRPr="00CB1757">
        <w:t>The case illustrates neatly the interplay between competition/competition policy and sustainability: “Safeguarding an open competition process in the bioplastics sector helps achieve the environmental protection objectives pursued by European and domestic legislators, since it could</w:t>
      </w:r>
      <w:r w:rsidRPr="00980347">
        <w:rPr>
          <w:b/>
          <w:bCs/>
        </w:rPr>
        <w:t xml:space="preserve"> </w:t>
      </w:r>
      <w:r w:rsidRPr="00CB1757">
        <w:t>encourage alternative and more efficient bioplastics than Mater-Bi and since it also favours, from a dynamic point of view, the development of cheaper or better quality eco-compatible products”</w:t>
      </w:r>
      <w:r w:rsidRPr="00CB1757">
        <w:rPr>
          <w:vertAlign w:val="superscript"/>
        </w:rPr>
        <w:footnoteReference w:id="26"/>
      </w:r>
    </w:p>
    <w:p w14:paraId="2A663F74" w14:textId="77777777" w:rsidR="00C35014" w:rsidRDefault="00C35014" w:rsidP="00E44BA1">
      <w:pPr>
        <w:spacing w:after="0"/>
        <w:rPr>
          <w:b/>
          <w:bCs/>
        </w:rPr>
      </w:pPr>
    </w:p>
    <w:p w14:paraId="36F734AC" w14:textId="77777777" w:rsidR="00C35014" w:rsidRDefault="00C35014" w:rsidP="00E44BA1">
      <w:pPr>
        <w:spacing w:after="0"/>
        <w:rPr>
          <w:b/>
          <w:bCs/>
        </w:rPr>
      </w:pPr>
    </w:p>
    <w:p w14:paraId="1844609D" w14:textId="77777777" w:rsidR="0085447D" w:rsidRPr="00C04BE9" w:rsidRDefault="0085447D" w:rsidP="00E44BA1">
      <w:pPr>
        <w:spacing w:after="0"/>
      </w:pPr>
    </w:p>
    <w:sectPr w:rsidR="0085447D" w:rsidRPr="00C04B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D291" w14:textId="77777777" w:rsidR="000C57E3" w:rsidRDefault="000C57E3" w:rsidP="00980347">
      <w:pPr>
        <w:spacing w:after="0" w:line="240" w:lineRule="auto"/>
      </w:pPr>
      <w:r>
        <w:separator/>
      </w:r>
    </w:p>
  </w:endnote>
  <w:endnote w:type="continuationSeparator" w:id="0">
    <w:p w14:paraId="12817490" w14:textId="77777777" w:rsidR="000C57E3" w:rsidRDefault="000C57E3" w:rsidP="00980347">
      <w:pPr>
        <w:spacing w:after="0" w:line="240" w:lineRule="auto"/>
      </w:pPr>
      <w:r>
        <w:continuationSeparator/>
      </w:r>
    </w:p>
  </w:endnote>
  <w:endnote w:type="continuationNotice" w:id="1">
    <w:p w14:paraId="34B007B3" w14:textId="77777777" w:rsidR="000C57E3" w:rsidRDefault="000C5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0583" w14:textId="77777777" w:rsidR="000C57E3" w:rsidRDefault="000C57E3" w:rsidP="00980347">
      <w:pPr>
        <w:spacing w:after="0" w:line="240" w:lineRule="auto"/>
      </w:pPr>
      <w:r>
        <w:separator/>
      </w:r>
    </w:p>
  </w:footnote>
  <w:footnote w:type="continuationSeparator" w:id="0">
    <w:p w14:paraId="71A9E5B3" w14:textId="77777777" w:rsidR="000C57E3" w:rsidRDefault="000C57E3" w:rsidP="00980347">
      <w:pPr>
        <w:spacing w:after="0" w:line="240" w:lineRule="auto"/>
      </w:pPr>
      <w:r>
        <w:continuationSeparator/>
      </w:r>
    </w:p>
  </w:footnote>
  <w:footnote w:type="continuationNotice" w:id="1">
    <w:p w14:paraId="65C8C60C" w14:textId="77777777" w:rsidR="000C57E3" w:rsidRDefault="000C57E3">
      <w:pPr>
        <w:spacing w:after="0" w:line="240" w:lineRule="auto"/>
      </w:pPr>
    </w:p>
  </w:footnote>
  <w:footnote w:id="2">
    <w:p w14:paraId="377B1C12" w14:textId="6ABD9968" w:rsidR="00171BED" w:rsidRDefault="00171BED">
      <w:pPr>
        <w:pStyle w:val="FootnoteText"/>
      </w:pPr>
      <w:r>
        <w:rPr>
          <w:rStyle w:val="FootnoteReference"/>
        </w:rPr>
        <w:footnoteRef/>
      </w:r>
      <w:r w:rsidR="00585F92">
        <w:t>“</w:t>
      </w:r>
      <w:r w:rsidR="00FC13DD">
        <w:t>When Chilling Contributes to Warming. How competition policy acts as a barrier to climate action</w:t>
      </w:r>
      <w:r w:rsidR="00585F92">
        <w:t>”</w:t>
      </w:r>
      <w:r w:rsidR="00FC13DD">
        <w:t>.</w:t>
      </w:r>
    </w:p>
  </w:footnote>
  <w:footnote w:id="3">
    <w:p w14:paraId="005DAE74" w14:textId="46400357" w:rsidR="00AC3B3F" w:rsidRDefault="00AC3B3F">
      <w:pPr>
        <w:pStyle w:val="FootnoteText"/>
      </w:pPr>
      <w:r>
        <w:rPr>
          <w:rStyle w:val="FootnoteReference"/>
        </w:rPr>
        <w:footnoteRef/>
      </w:r>
      <w:r>
        <w:t xml:space="preserve"> “Taking the chill out of climate action. A progress report</w:t>
      </w:r>
      <w:r w:rsidR="00DB0128">
        <w:t xml:space="preserve"> on aligning competition policy with global sustainability goals”</w:t>
      </w:r>
    </w:p>
  </w:footnote>
  <w:footnote w:id="4">
    <w:p w14:paraId="1B94B623" w14:textId="169923EB" w:rsidR="007E18AB" w:rsidRDefault="007E18AB">
      <w:pPr>
        <w:pStyle w:val="FootnoteText"/>
      </w:pPr>
      <w:r>
        <w:rPr>
          <w:rStyle w:val="FootnoteReference"/>
        </w:rPr>
        <w:footnoteRef/>
      </w:r>
      <w:r>
        <w:t xml:space="preserve"> </w:t>
      </w:r>
      <w:r w:rsidR="00395A30">
        <w:t xml:space="preserve">For a perspective on the </w:t>
      </w:r>
      <w:r w:rsidR="00BC7815">
        <w:t>impasse in the US see the Maurits Dolmans blog “Th</w:t>
      </w:r>
      <w:r w:rsidR="00AD732E">
        <w:t>e need to integrate externalities, market failures, and collective action problems</w:t>
      </w:r>
      <w:r w:rsidR="0088337B">
        <w:t xml:space="preserve"> in antitrust analysis-thoughts on the US House Judiciary Committee Report on ESG Investigation and Rebuttal Report”.</w:t>
      </w:r>
    </w:p>
  </w:footnote>
  <w:footnote w:id="5">
    <w:p w14:paraId="0E889424" w14:textId="7A5E737B" w:rsidR="000A339A" w:rsidRDefault="000A339A">
      <w:pPr>
        <w:pStyle w:val="FootnoteText"/>
      </w:pPr>
      <w:r>
        <w:rPr>
          <w:rStyle w:val="FootnoteReference"/>
        </w:rPr>
        <w:footnoteRef/>
      </w:r>
      <w:r>
        <w:t xml:space="preserve"> </w:t>
      </w:r>
      <w:r w:rsidR="00713B1E">
        <w:t>This paper has been prepared by the ICC’s Competition and Sustai</w:t>
      </w:r>
      <w:r w:rsidR="003222D5">
        <w:t>nability Taskforce under its chair, Simon Holmes</w:t>
      </w:r>
      <w:r w:rsidR="00F634CF">
        <w:t xml:space="preserve">. </w:t>
      </w:r>
    </w:p>
  </w:footnote>
  <w:footnote w:id="6">
    <w:p w14:paraId="79C949F1" w14:textId="5A8D6B3E" w:rsidR="000D67DB" w:rsidRDefault="000D67DB">
      <w:pPr>
        <w:pStyle w:val="FootnoteText"/>
      </w:pPr>
      <w:r>
        <w:rPr>
          <w:rStyle w:val="FootnoteReference"/>
        </w:rPr>
        <w:footnoteRef/>
      </w:r>
      <w:r>
        <w:t xml:space="preserve"> </w:t>
      </w:r>
      <w:r w:rsidR="004C5E45">
        <w:t>For fuller di</w:t>
      </w:r>
      <w:r w:rsidR="00BC4ACA">
        <w:t xml:space="preserve">scussion of the sword and shield and the </w:t>
      </w:r>
      <w:r w:rsidR="005F54EE">
        <w:t>relationship between sustainability and abuse of dominance provisions see</w:t>
      </w:r>
      <w:r w:rsidR="00D42FAA">
        <w:t>: “Climate Change, sustainability, and competition law</w:t>
      </w:r>
      <w:r w:rsidR="003D05A5">
        <w:t>”</w:t>
      </w:r>
      <w:r w:rsidR="00B72ABF">
        <w:t>, S</w:t>
      </w:r>
      <w:r w:rsidR="00D42FAA">
        <w:t>imon Holmes [</w:t>
      </w:r>
      <w:r w:rsidR="00774813">
        <w:t>JAE</w:t>
      </w:r>
      <w:r w:rsidR="005D6F55">
        <w:t xml:space="preserve"> (</w:t>
      </w:r>
      <w:r w:rsidR="00774813">
        <w:t>2020</w:t>
      </w:r>
      <w:r w:rsidR="005D6F55">
        <w:t>) 8(2)</w:t>
      </w:r>
      <w:r w:rsidR="002F6FCB">
        <w:t xml:space="preserve"> 354]; “A sustainable future: how can control of monopoly power play a part?”</w:t>
      </w:r>
      <w:r w:rsidR="007D500E">
        <w:t>, Simon Holmes and Michelle Meagher</w:t>
      </w:r>
      <w:r w:rsidR="002F6FCB">
        <w:t xml:space="preserve"> [</w:t>
      </w:r>
      <w:r w:rsidR="00D07E27">
        <w:t>2023 44 ECLR Issue</w:t>
      </w:r>
      <w:r w:rsidR="00BB71FB">
        <w:t xml:space="preserve"> </w:t>
      </w:r>
      <w:r w:rsidR="00C2110F">
        <w:t xml:space="preserve">2 </w:t>
      </w:r>
      <w:r w:rsidR="00BB71FB">
        <w:t xml:space="preserve">at page </w:t>
      </w:r>
      <w:r w:rsidR="00C2110F">
        <w:t>61];</w:t>
      </w:r>
      <w:r w:rsidR="00B72ABF">
        <w:t xml:space="preserve"> and </w:t>
      </w:r>
      <w:r w:rsidR="00C2110F">
        <w:t xml:space="preserve"> </w:t>
      </w:r>
      <w:r w:rsidR="0029649C">
        <w:t>Iacovides and Vrettos</w:t>
      </w:r>
      <w:r w:rsidR="00E97F1D">
        <w:t xml:space="preserve"> “Radical for whom? Unsustainable Businesses Practices </w:t>
      </w:r>
      <w:r w:rsidR="00D32069">
        <w:t>as abuses of dominance” in Simon Holmes, Dirk Middelschulte and Martijn Snoep</w:t>
      </w:r>
      <w:r w:rsidR="00452A08">
        <w:t xml:space="preserve"> (eds) “Competition Law</w:t>
      </w:r>
      <w:r w:rsidR="00254C09">
        <w:t>, Climate Change and Environmental Sustainability”</w:t>
      </w:r>
      <w:r w:rsidR="003D05A5">
        <w:t xml:space="preserve"> (Concurrences, 2021).</w:t>
      </w:r>
    </w:p>
  </w:footnote>
  <w:footnote w:id="7">
    <w:p w14:paraId="41ED9163" w14:textId="08F44B10" w:rsidR="00F10449" w:rsidRDefault="00F10449">
      <w:pPr>
        <w:pStyle w:val="FootnoteText"/>
      </w:pPr>
      <w:r>
        <w:rPr>
          <w:rStyle w:val="FootnoteReference"/>
        </w:rPr>
        <w:footnoteRef/>
      </w:r>
      <w:r>
        <w:t xml:space="preserve"> </w:t>
      </w:r>
      <w:r w:rsidR="00FC24DD">
        <w:t xml:space="preserve">It has been estimated that just 100 companies </w:t>
      </w:r>
      <w:r w:rsidR="00BB216C">
        <w:t>have been responsible for over 70% of global emissions since 1988</w:t>
      </w:r>
      <w:r w:rsidR="00583B4A">
        <w:t xml:space="preserve"> </w:t>
      </w:r>
      <w:r w:rsidR="00DA4840">
        <w:t>[Paul Griffin, “The Carbon Major D</w:t>
      </w:r>
      <w:r w:rsidR="00790244">
        <w:t>atabase-CDP Carbon Majors Report 2017”, CDP, July,2017]</w:t>
      </w:r>
      <w:r w:rsidR="0036096F">
        <w:t>.</w:t>
      </w:r>
    </w:p>
  </w:footnote>
  <w:footnote w:id="8">
    <w:p w14:paraId="60BEB083" w14:textId="285C06E4" w:rsidR="0013518B" w:rsidRDefault="0013518B">
      <w:pPr>
        <w:pStyle w:val="FootnoteText"/>
      </w:pPr>
      <w:r>
        <w:rPr>
          <w:rStyle w:val="FootnoteReference"/>
        </w:rPr>
        <w:footnoteRef/>
      </w:r>
      <w:r>
        <w:t xml:space="preserve"> </w:t>
      </w:r>
      <w:r w:rsidR="00A673B5">
        <w:t>“Rising</w:t>
      </w:r>
      <w:r w:rsidR="00A405BD">
        <w:t xml:space="preserve"> Corporate Market Power: emerging</w:t>
      </w:r>
      <w:r w:rsidR="00BB2DFE">
        <w:t xml:space="preserve"> </w:t>
      </w:r>
      <w:r w:rsidR="00A405BD">
        <w:t>pol</w:t>
      </w:r>
      <w:r w:rsidR="00BB2DFE">
        <w:t>i</w:t>
      </w:r>
      <w:r w:rsidR="00A405BD">
        <w:t xml:space="preserve">cy issues”, IMF </w:t>
      </w:r>
      <w:r w:rsidR="0073509A">
        <w:t>Staff Discussion Notes, SDN/21/01,</w:t>
      </w:r>
      <w:r w:rsidR="00BB2DFE">
        <w:t>March, 2021.</w:t>
      </w:r>
    </w:p>
  </w:footnote>
  <w:footnote w:id="9">
    <w:p w14:paraId="44098C56" w14:textId="342A0783" w:rsidR="009E1278" w:rsidRDefault="009E1278">
      <w:pPr>
        <w:pStyle w:val="FootnoteText"/>
      </w:pPr>
      <w:r>
        <w:rPr>
          <w:rStyle w:val="FootnoteReference"/>
        </w:rPr>
        <w:footnoteRef/>
      </w:r>
      <w:r>
        <w:t xml:space="preserve"> See cases like Hoffman La Roche</w:t>
      </w:r>
      <w:r w:rsidR="00063A6C">
        <w:t xml:space="preserve"> [</w:t>
      </w:r>
      <w:r w:rsidR="002724F0">
        <w:t>1979, 3 CMLR,211 at 91]</w:t>
      </w:r>
    </w:p>
  </w:footnote>
  <w:footnote w:id="10">
    <w:p w14:paraId="05F48906" w14:textId="6FF25A31" w:rsidR="00A01643" w:rsidRDefault="00A01643">
      <w:pPr>
        <w:pStyle w:val="FootnoteText"/>
      </w:pPr>
      <w:r>
        <w:rPr>
          <w:rStyle w:val="FootnoteReference"/>
        </w:rPr>
        <w:footnoteRef/>
      </w:r>
      <w:r>
        <w:t xml:space="preserve"> See cases like Astra Zeneca [</w:t>
      </w:r>
      <w:r w:rsidR="00603D4F">
        <w:t xml:space="preserve">2010 </w:t>
      </w:r>
      <w:r w:rsidR="000413F8">
        <w:t>5 CMLR 28].</w:t>
      </w:r>
    </w:p>
  </w:footnote>
  <w:footnote w:id="11">
    <w:p w14:paraId="275214FA" w14:textId="1BF17060" w:rsidR="00946755" w:rsidRDefault="00946755">
      <w:pPr>
        <w:pStyle w:val="FootnoteText"/>
      </w:pPr>
      <w:r>
        <w:rPr>
          <w:rStyle w:val="FootnoteReference"/>
        </w:rPr>
        <w:footnoteRef/>
      </w:r>
      <w:r>
        <w:t xml:space="preserve"> See paras </w:t>
      </w:r>
      <w:r w:rsidR="001559D0">
        <w:t xml:space="preserve">6 to 8 </w:t>
      </w:r>
      <w:r>
        <w:t>in Annex A.</w:t>
      </w:r>
    </w:p>
  </w:footnote>
  <w:footnote w:id="12">
    <w:p w14:paraId="7798EB24" w14:textId="1EA9319B" w:rsidR="00851B2C" w:rsidRDefault="00851B2C">
      <w:pPr>
        <w:pStyle w:val="FootnoteText"/>
      </w:pPr>
      <w:r>
        <w:rPr>
          <w:rStyle w:val="FootnoteReference"/>
        </w:rPr>
        <w:footnoteRef/>
      </w:r>
      <w:r>
        <w:t xml:space="preserve"> See para</w:t>
      </w:r>
      <w:r w:rsidR="001559D0">
        <w:t xml:space="preserve"> 9</w:t>
      </w:r>
      <w:r>
        <w:t xml:space="preserve">  in Annex A.</w:t>
      </w:r>
    </w:p>
  </w:footnote>
  <w:footnote w:id="13">
    <w:p w14:paraId="5DAD3724" w14:textId="06D99F47" w:rsidR="00736C9B" w:rsidRDefault="00736C9B">
      <w:pPr>
        <w:pStyle w:val="FootnoteText"/>
      </w:pPr>
      <w:r>
        <w:rPr>
          <w:rStyle w:val="FootnoteReference"/>
        </w:rPr>
        <w:footnoteRef/>
      </w:r>
      <w:r>
        <w:t xml:space="preserve"> </w:t>
      </w:r>
      <w:r w:rsidR="00AF1EB1">
        <w:t>Article 11</w:t>
      </w:r>
      <w:r w:rsidR="001B5D53">
        <w:t xml:space="preserve"> </w:t>
      </w:r>
      <w:r w:rsidR="00AF1EB1">
        <w:t xml:space="preserve">TFEU (see also </w:t>
      </w:r>
      <w:r w:rsidR="008C06F1">
        <w:t>Articles 7</w:t>
      </w:r>
      <w:r w:rsidR="000C6E3D">
        <w:t xml:space="preserve">, 9 </w:t>
      </w:r>
      <w:r w:rsidR="008C06F1">
        <w:t>and</w:t>
      </w:r>
      <w:r w:rsidR="007B655C">
        <w:t xml:space="preserve"> 191</w:t>
      </w:r>
      <w:r w:rsidR="008C06F1">
        <w:t xml:space="preserve"> TFEU; Arti</w:t>
      </w:r>
      <w:r w:rsidR="00CA2A01">
        <w:t xml:space="preserve">cle 3(1),3(5),and 3(5) of the Treaty on European Union and </w:t>
      </w:r>
      <w:r w:rsidR="001B5D53">
        <w:t xml:space="preserve">Article 37 of </w:t>
      </w:r>
      <w:r w:rsidR="00F20A1A">
        <w:t xml:space="preserve">the </w:t>
      </w:r>
      <w:r w:rsidR="001B5D53">
        <w:t>EU Charter on Fundamental Rights.</w:t>
      </w:r>
    </w:p>
  </w:footnote>
  <w:footnote w:id="14">
    <w:p w14:paraId="715969AB" w14:textId="77777777" w:rsidR="001E16E5" w:rsidRDefault="001E16E5" w:rsidP="001E16E5">
      <w:pPr>
        <w:pStyle w:val="FootnoteText"/>
      </w:pPr>
      <w:r>
        <w:rPr>
          <w:rStyle w:val="FootnoteReference"/>
        </w:rPr>
        <w:footnoteRef/>
      </w:r>
      <w:r>
        <w:t xml:space="preserve"> For further examples of the “shield” see “A sustainable future: how can control of monopoly power play a part” by Simon Holmes and Michelle Meagher [2023 44 ECLR Issue 1 at page 676].</w:t>
      </w:r>
    </w:p>
  </w:footnote>
  <w:footnote w:id="15">
    <w:p w14:paraId="69CE6A77" w14:textId="1B9BF1A2" w:rsidR="00DE1624" w:rsidRDefault="00DE1624">
      <w:pPr>
        <w:pStyle w:val="FootnoteText"/>
      </w:pPr>
      <w:r>
        <w:rPr>
          <w:rStyle w:val="FootnoteReference"/>
        </w:rPr>
        <w:footnoteRef/>
      </w:r>
      <w:r w:rsidR="00F8645F">
        <w:t xml:space="preserve"> </w:t>
      </w:r>
      <w:r w:rsidR="000F3AC5">
        <w:t xml:space="preserve">See, for example, Suzanne Kingston “Greening of EU Competition Law and Policy” at page </w:t>
      </w:r>
      <w:r w:rsidR="004246B8">
        <w:t xml:space="preserve">304. </w:t>
      </w:r>
      <w:r w:rsidR="009D52B5">
        <w:t xml:space="preserve">See also paras 11 to 13 </w:t>
      </w:r>
      <w:r w:rsidR="00C90F08">
        <w:t>in Annex A.</w:t>
      </w:r>
    </w:p>
  </w:footnote>
  <w:footnote w:id="16">
    <w:p w14:paraId="53E355EA" w14:textId="73D31419" w:rsidR="00023F46" w:rsidRDefault="00023F46">
      <w:pPr>
        <w:pStyle w:val="FootnoteText"/>
      </w:pPr>
      <w:r>
        <w:rPr>
          <w:rStyle w:val="FootnoteReference"/>
        </w:rPr>
        <w:footnoteRef/>
      </w:r>
      <w:r>
        <w:t xml:space="preserve"> </w:t>
      </w:r>
      <w:r w:rsidR="0065701F">
        <w:t xml:space="preserve">“Passenger Transport </w:t>
      </w:r>
      <w:r w:rsidR="002D16E6">
        <w:t xml:space="preserve">to the Isle of Saint Honorat”, </w:t>
      </w:r>
      <w:r w:rsidR="00192799">
        <w:t>Conseil de la concurrence, 9 November, 2</w:t>
      </w:r>
      <w:r w:rsidR="0008290B">
        <w:t>005.</w:t>
      </w:r>
    </w:p>
  </w:footnote>
  <w:footnote w:id="17">
    <w:p w14:paraId="378803DB" w14:textId="30F3E591" w:rsidR="008C3872" w:rsidRDefault="008C3872">
      <w:pPr>
        <w:pStyle w:val="FootnoteText"/>
      </w:pPr>
      <w:r>
        <w:rPr>
          <w:rStyle w:val="FootnoteReference"/>
        </w:rPr>
        <w:footnoteRef/>
      </w:r>
      <w:r>
        <w:t xml:space="preserve"> </w:t>
      </w:r>
      <w:r w:rsidR="00B0298B" w:rsidRPr="003250BA">
        <w:t>For a more detailed consideration of this see, for example, “A sustainable Future: how can control of monopoly power play a part?” (Simon Holmes and Michelle Meagher) at Part II and articles cited therein.</w:t>
      </w:r>
    </w:p>
  </w:footnote>
  <w:footnote w:id="18">
    <w:p w14:paraId="51D2AA66" w14:textId="6145E031" w:rsidR="0062357C" w:rsidRDefault="0062357C">
      <w:pPr>
        <w:pStyle w:val="FootnoteText"/>
      </w:pPr>
      <w:r>
        <w:rPr>
          <w:rStyle w:val="FootnoteReference"/>
        </w:rPr>
        <w:footnoteRef/>
      </w:r>
      <w:r>
        <w:t xml:space="preserve"> </w:t>
      </w:r>
      <w:r w:rsidR="00EB767D" w:rsidRPr="003250BA">
        <w:t>AGCM Press Release of 13 May, 2021</w:t>
      </w:r>
    </w:p>
  </w:footnote>
  <w:footnote w:id="19">
    <w:p w14:paraId="76466B6B" w14:textId="69C5E385" w:rsidR="0062357C" w:rsidRDefault="0062357C">
      <w:pPr>
        <w:pStyle w:val="FootnoteText"/>
      </w:pPr>
      <w:r>
        <w:rPr>
          <w:rStyle w:val="FootnoteReference"/>
        </w:rPr>
        <w:footnoteRef/>
      </w:r>
      <w:r w:rsidR="00EB767D" w:rsidRPr="003250BA">
        <w:t xml:space="preserve"> AGCM Press Release of 10 November, 2020</w:t>
      </w:r>
    </w:p>
  </w:footnote>
  <w:footnote w:id="20">
    <w:p w14:paraId="1832F2EC" w14:textId="24915D9D" w:rsidR="009409B5" w:rsidRDefault="009409B5">
      <w:pPr>
        <w:pStyle w:val="FootnoteText"/>
      </w:pPr>
      <w:r>
        <w:rPr>
          <w:rStyle w:val="FootnoteReference"/>
        </w:rPr>
        <w:footnoteRef/>
      </w:r>
      <w:r>
        <w:t xml:space="preserve"> </w:t>
      </w:r>
      <w:r w:rsidR="00EB767D" w:rsidRPr="003250BA">
        <w:t>Decision of the French Competition Authority of 7 September, 2017</w:t>
      </w:r>
    </w:p>
  </w:footnote>
  <w:footnote w:id="21">
    <w:p w14:paraId="55C09E95" w14:textId="7C43F41F" w:rsidR="00EA5CBD" w:rsidRDefault="00EA5CBD">
      <w:pPr>
        <w:pStyle w:val="FootnoteText"/>
      </w:pPr>
      <w:r>
        <w:rPr>
          <w:rStyle w:val="FootnoteReference"/>
        </w:rPr>
        <w:footnoteRef/>
      </w:r>
      <w:r>
        <w:t xml:space="preserve"> </w:t>
      </w:r>
      <w:r w:rsidR="002608FC" w:rsidRPr="003250BA">
        <w:t>The Greek Lignite case, Commission Press Release of 7 February, 2024 [IP/24/672]. October 2024</w:t>
      </w:r>
      <w:r w:rsidR="002608FC">
        <w:t>.</w:t>
      </w:r>
    </w:p>
  </w:footnote>
  <w:footnote w:id="22">
    <w:p w14:paraId="7362C30A" w14:textId="55FCB694" w:rsidR="00C73DBD" w:rsidRPr="00732D65" w:rsidRDefault="00C73DBD">
      <w:pPr>
        <w:pStyle w:val="FootnoteText"/>
      </w:pPr>
      <w:r w:rsidRPr="00732D65">
        <w:rPr>
          <w:rStyle w:val="FootnoteReference"/>
        </w:rPr>
        <w:footnoteRef/>
      </w:r>
      <w:r w:rsidRPr="00732D65">
        <w:t xml:space="preserve"> </w:t>
      </w:r>
      <w:r w:rsidRPr="0028370F">
        <w:t>Hellenic Competition Commission, ‘Sustainability Sandbox- Public Consultation: Proposal for the creation of a sandbox for sustainability and competition in the Greek Market’ (July 2021).</w:t>
      </w:r>
    </w:p>
  </w:footnote>
  <w:footnote w:id="23">
    <w:p w14:paraId="460B6595" w14:textId="77777777" w:rsidR="003250BA" w:rsidRPr="0028370F" w:rsidRDefault="00FC5C67" w:rsidP="0028370F">
      <w:r w:rsidRPr="00732D65">
        <w:rPr>
          <w:rStyle w:val="FootnoteReference"/>
        </w:rPr>
        <w:footnoteRef/>
      </w:r>
      <w:r w:rsidRPr="00732D65">
        <w:t xml:space="preserve"> </w:t>
      </w:r>
      <w:r w:rsidR="003250BA" w:rsidRPr="0028370F">
        <w:t xml:space="preserve">While initiatives such as these can, where necessary, be analysed under the “objective justification” mechanism, in many cases they will simply not amount to an “abuse” such that no such analysis is required. </w:t>
      </w:r>
    </w:p>
    <w:p w14:paraId="3E44DD18" w14:textId="77777777" w:rsidR="003250BA" w:rsidRDefault="003250BA" w:rsidP="003250BA">
      <w:pPr>
        <w:rPr>
          <w:b/>
          <w:bCs/>
        </w:rPr>
      </w:pPr>
    </w:p>
    <w:p w14:paraId="763A5464" w14:textId="72E2C4FF" w:rsidR="00FC5C67" w:rsidRDefault="00FC5C67">
      <w:pPr>
        <w:pStyle w:val="FootnoteText"/>
      </w:pPr>
    </w:p>
  </w:footnote>
  <w:footnote w:id="24">
    <w:p w14:paraId="2D7A01BF" w14:textId="4C299C95" w:rsidR="00980347" w:rsidRDefault="00980347" w:rsidP="00980347">
      <w:pPr>
        <w:pStyle w:val="FootnoteText"/>
      </w:pPr>
      <w:r>
        <w:rPr>
          <w:rStyle w:val="FootnoteReference"/>
        </w:rPr>
        <w:footnoteRef/>
      </w:r>
      <w:r>
        <w:t xml:space="preserve"> </w:t>
      </w:r>
      <w:r w:rsidR="00DD3511">
        <w:t xml:space="preserve">Sinon Holmes is </w:t>
      </w:r>
      <w:r>
        <w:t>a member of the CAT but not involved in these proceedings.</w:t>
      </w:r>
    </w:p>
  </w:footnote>
  <w:footnote w:id="25">
    <w:p w14:paraId="3CA1B94E" w14:textId="77777777" w:rsidR="00980347" w:rsidRDefault="00980347" w:rsidP="00980347">
      <w:pPr>
        <w:pStyle w:val="FootnoteText"/>
      </w:pPr>
      <w:r>
        <w:rPr>
          <w:rStyle w:val="FootnoteReference"/>
        </w:rPr>
        <w:footnoteRef/>
      </w:r>
      <w:r>
        <w:t xml:space="preserve"> CAT Case No 1603/7/7/23.</w:t>
      </w:r>
    </w:p>
  </w:footnote>
  <w:footnote w:id="26">
    <w:p w14:paraId="4570CC77" w14:textId="77777777" w:rsidR="00980347" w:rsidRDefault="00980347" w:rsidP="00980347">
      <w:pPr>
        <w:pStyle w:val="FootnoteText"/>
      </w:pPr>
      <w:r>
        <w:rPr>
          <w:rStyle w:val="FootnoteReference"/>
        </w:rPr>
        <w:footnoteRef/>
      </w:r>
      <w:r>
        <w:t xml:space="preserve"> AGCM Press release of 9 April,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C88"/>
    <w:multiLevelType w:val="multilevel"/>
    <w:tmpl w:val="653E799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2C2A1D"/>
    <w:multiLevelType w:val="hybridMultilevel"/>
    <w:tmpl w:val="BAA00E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156DB"/>
    <w:multiLevelType w:val="hybridMultilevel"/>
    <w:tmpl w:val="DC28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06F57"/>
    <w:multiLevelType w:val="hybridMultilevel"/>
    <w:tmpl w:val="C9CE61DA"/>
    <w:lvl w:ilvl="0" w:tplc="7F569B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0F1B"/>
    <w:multiLevelType w:val="hybridMultilevel"/>
    <w:tmpl w:val="8530E786"/>
    <w:lvl w:ilvl="0" w:tplc="A4D02B24">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414D6A01"/>
    <w:multiLevelType w:val="hybridMultilevel"/>
    <w:tmpl w:val="9E78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81DA1"/>
    <w:multiLevelType w:val="hybridMultilevel"/>
    <w:tmpl w:val="E5B88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006DA9"/>
    <w:multiLevelType w:val="hybridMultilevel"/>
    <w:tmpl w:val="2CCCD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C061B4"/>
    <w:multiLevelType w:val="hybridMultilevel"/>
    <w:tmpl w:val="1EDAF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F36"/>
    <w:multiLevelType w:val="multilevel"/>
    <w:tmpl w:val="71926666"/>
    <w:lvl w:ilvl="0">
      <w:start w:val="1"/>
      <w:numFmt w:val="decimal"/>
      <w:lvlText w:val="%1."/>
      <w:lvlJc w:val="left"/>
      <w:pPr>
        <w:ind w:left="720" w:hanging="360"/>
      </w:pPr>
      <w:rPr>
        <w:b/>
        <w:sz w:val="28"/>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383409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711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98616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175847">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745191">
    <w:abstractNumId w:val="8"/>
  </w:num>
  <w:num w:numId="6" w16cid:durableId="2074964105">
    <w:abstractNumId w:val="7"/>
  </w:num>
  <w:num w:numId="7" w16cid:durableId="420373722">
    <w:abstractNumId w:val="3"/>
  </w:num>
  <w:num w:numId="8" w16cid:durableId="985740213">
    <w:abstractNumId w:val="2"/>
  </w:num>
  <w:num w:numId="9" w16cid:durableId="1422146652">
    <w:abstractNumId w:val="1"/>
  </w:num>
  <w:num w:numId="10" w16cid:durableId="148269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4B"/>
    <w:rsid w:val="00005208"/>
    <w:rsid w:val="00023F46"/>
    <w:rsid w:val="00026F26"/>
    <w:rsid w:val="000413F8"/>
    <w:rsid w:val="00052D16"/>
    <w:rsid w:val="000530B3"/>
    <w:rsid w:val="00053505"/>
    <w:rsid w:val="00053828"/>
    <w:rsid w:val="00053A70"/>
    <w:rsid w:val="00054E7A"/>
    <w:rsid w:val="00055F6C"/>
    <w:rsid w:val="000573F3"/>
    <w:rsid w:val="00060134"/>
    <w:rsid w:val="00063A6C"/>
    <w:rsid w:val="0007468B"/>
    <w:rsid w:val="0008290B"/>
    <w:rsid w:val="00085C9F"/>
    <w:rsid w:val="00085DE3"/>
    <w:rsid w:val="000A0191"/>
    <w:rsid w:val="000A18C9"/>
    <w:rsid w:val="000A339A"/>
    <w:rsid w:val="000B1688"/>
    <w:rsid w:val="000B1780"/>
    <w:rsid w:val="000C44E1"/>
    <w:rsid w:val="000C57E3"/>
    <w:rsid w:val="000C6E3D"/>
    <w:rsid w:val="000D2B43"/>
    <w:rsid w:val="000D5D5F"/>
    <w:rsid w:val="000D67DB"/>
    <w:rsid w:val="000E464B"/>
    <w:rsid w:val="000F1C75"/>
    <w:rsid w:val="000F33F6"/>
    <w:rsid w:val="000F3AC5"/>
    <w:rsid w:val="00104F8B"/>
    <w:rsid w:val="00134BA6"/>
    <w:rsid w:val="0013518B"/>
    <w:rsid w:val="001559D0"/>
    <w:rsid w:val="00171BED"/>
    <w:rsid w:val="00192799"/>
    <w:rsid w:val="001939DD"/>
    <w:rsid w:val="00194096"/>
    <w:rsid w:val="00197C88"/>
    <w:rsid w:val="001B5D53"/>
    <w:rsid w:val="001B650D"/>
    <w:rsid w:val="001D2378"/>
    <w:rsid w:val="001D3ED5"/>
    <w:rsid w:val="001E16E5"/>
    <w:rsid w:val="001E2855"/>
    <w:rsid w:val="002034D7"/>
    <w:rsid w:val="002039C4"/>
    <w:rsid w:val="002045BE"/>
    <w:rsid w:val="00206FA3"/>
    <w:rsid w:val="00206FD7"/>
    <w:rsid w:val="002142FB"/>
    <w:rsid w:val="0021521A"/>
    <w:rsid w:val="002217B8"/>
    <w:rsid w:val="00226E48"/>
    <w:rsid w:val="00243E5B"/>
    <w:rsid w:val="00245E71"/>
    <w:rsid w:val="00254C09"/>
    <w:rsid w:val="00255B46"/>
    <w:rsid w:val="002608FC"/>
    <w:rsid w:val="00263C01"/>
    <w:rsid w:val="00263E1F"/>
    <w:rsid w:val="002724F0"/>
    <w:rsid w:val="00277D2F"/>
    <w:rsid w:val="00280BA1"/>
    <w:rsid w:val="0028370F"/>
    <w:rsid w:val="002871FF"/>
    <w:rsid w:val="00293F12"/>
    <w:rsid w:val="0029649C"/>
    <w:rsid w:val="002A2D1B"/>
    <w:rsid w:val="002B2152"/>
    <w:rsid w:val="002D16E6"/>
    <w:rsid w:val="002D65FE"/>
    <w:rsid w:val="002E42A5"/>
    <w:rsid w:val="002F62A6"/>
    <w:rsid w:val="002F6FCB"/>
    <w:rsid w:val="003005CC"/>
    <w:rsid w:val="003037F3"/>
    <w:rsid w:val="00313E12"/>
    <w:rsid w:val="003222D5"/>
    <w:rsid w:val="003250BA"/>
    <w:rsid w:val="00327EB4"/>
    <w:rsid w:val="00341E33"/>
    <w:rsid w:val="00347F24"/>
    <w:rsid w:val="003528A6"/>
    <w:rsid w:val="0036096F"/>
    <w:rsid w:val="00362552"/>
    <w:rsid w:val="00364B3F"/>
    <w:rsid w:val="00383F09"/>
    <w:rsid w:val="003952CF"/>
    <w:rsid w:val="00395A30"/>
    <w:rsid w:val="003A4341"/>
    <w:rsid w:val="003B075B"/>
    <w:rsid w:val="003C0086"/>
    <w:rsid w:val="003D05A5"/>
    <w:rsid w:val="003E3737"/>
    <w:rsid w:val="003E4322"/>
    <w:rsid w:val="003F3C7C"/>
    <w:rsid w:val="003F716E"/>
    <w:rsid w:val="0041487E"/>
    <w:rsid w:val="004246B8"/>
    <w:rsid w:val="00431095"/>
    <w:rsid w:val="00431AAA"/>
    <w:rsid w:val="00452A08"/>
    <w:rsid w:val="004539EE"/>
    <w:rsid w:val="0045487D"/>
    <w:rsid w:val="004559CE"/>
    <w:rsid w:val="00457D9B"/>
    <w:rsid w:val="00467DA2"/>
    <w:rsid w:val="00475D2B"/>
    <w:rsid w:val="00481522"/>
    <w:rsid w:val="00486D14"/>
    <w:rsid w:val="00491FAE"/>
    <w:rsid w:val="004A055C"/>
    <w:rsid w:val="004C1AF4"/>
    <w:rsid w:val="004C1BCB"/>
    <w:rsid w:val="004C4634"/>
    <w:rsid w:val="004C5E45"/>
    <w:rsid w:val="004D3571"/>
    <w:rsid w:val="004D46F0"/>
    <w:rsid w:val="004E56AF"/>
    <w:rsid w:val="005071EB"/>
    <w:rsid w:val="00512066"/>
    <w:rsid w:val="00524851"/>
    <w:rsid w:val="00525061"/>
    <w:rsid w:val="005263DC"/>
    <w:rsid w:val="00530E79"/>
    <w:rsid w:val="00556973"/>
    <w:rsid w:val="00572CEF"/>
    <w:rsid w:val="005810E5"/>
    <w:rsid w:val="00583720"/>
    <w:rsid w:val="00583B4A"/>
    <w:rsid w:val="00585F92"/>
    <w:rsid w:val="00587DD5"/>
    <w:rsid w:val="0059158D"/>
    <w:rsid w:val="005A65AF"/>
    <w:rsid w:val="005B0F6B"/>
    <w:rsid w:val="005B7CF8"/>
    <w:rsid w:val="005D6F55"/>
    <w:rsid w:val="005E0157"/>
    <w:rsid w:val="005E10C1"/>
    <w:rsid w:val="005E3CEB"/>
    <w:rsid w:val="005E7F7E"/>
    <w:rsid w:val="005F185F"/>
    <w:rsid w:val="005F54EE"/>
    <w:rsid w:val="005F7FAD"/>
    <w:rsid w:val="00603D4F"/>
    <w:rsid w:val="00604028"/>
    <w:rsid w:val="00610C0A"/>
    <w:rsid w:val="00612B1E"/>
    <w:rsid w:val="0062357C"/>
    <w:rsid w:val="00637BB2"/>
    <w:rsid w:val="006462F3"/>
    <w:rsid w:val="00651045"/>
    <w:rsid w:val="0065701F"/>
    <w:rsid w:val="0065722C"/>
    <w:rsid w:val="00660E4F"/>
    <w:rsid w:val="00687420"/>
    <w:rsid w:val="00693BEF"/>
    <w:rsid w:val="00695F45"/>
    <w:rsid w:val="006962FC"/>
    <w:rsid w:val="006A704F"/>
    <w:rsid w:val="006B218E"/>
    <w:rsid w:val="006B736F"/>
    <w:rsid w:val="006C07D7"/>
    <w:rsid w:val="006C0D68"/>
    <w:rsid w:val="006C68A2"/>
    <w:rsid w:val="006D1DBC"/>
    <w:rsid w:val="006E0629"/>
    <w:rsid w:val="006E3EAB"/>
    <w:rsid w:val="006E6876"/>
    <w:rsid w:val="006E71E5"/>
    <w:rsid w:val="006F3953"/>
    <w:rsid w:val="00704AC6"/>
    <w:rsid w:val="007103BF"/>
    <w:rsid w:val="00713B1E"/>
    <w:rsid w:val="00713C84"/>
    <w:rsid w:val="00732D65"/>
    <w:rsid w:val="0073509A"/>
    <w:rsid w:val="0073593A"/>
    <w:rsid w:val="00736C9B"/>
    <w:rsid w:val="00741A58"/>
    <w:rsid w:val="00742166"/>
    <w:rsid w:val="00742D0D"/>
    <w:rsid w:val="00744AC1"/>
    <w:rsid w:val="00744B57"/>
    <w:rsid w:val="007502EC"/>
    <w:rsid w:val="007567BE"/>
    <w:rsid w:val="00756D7B"/>
    <w:rsid w:val="00774813"/>
    <w:rsid w:val="00776D77"/>
    <w:rsid w:val="00784269"/>
    <w:rsid w:val="00790244"/>
    <w:rsid w:val="00795371"/>
    <w:rsid w:val="007B4544"/>
    <w:rsid w:val="007B655C"/>
    <w:rsid w:val="007B74C2"/>
    <w:rsid w:val="007D37C1"/>
    <w:rsid w:val="007D500E"/>
    <w:rsid w:val="007E18AB"/>
    <w:rsid w:val="007F1F48"/>
    <w:rsid w:val="008049DF"/>
    <w:rsid w:val="00814BD5"/>
    <w:rsid w:val="00830D3F"/>
    <w:rsid w:val="00840AB6"/>
    <w:rsid w:val="0084186E"/>
    <w:rsid w:val="00846186"/>
    <w:rsid w:val="00851B2C"/>
    <w:rsid w:val="008529F2"/>
    <w:rsid w:val="0085447D"/>
    <w:rsid w:val="0085764D"/>
    <w:rsid w:val="008626C0"/>
    <w:rsid w:val="00870279"/>
    <w:rsid w:val="00870307"/>
    <w:rsid w:val="00877B27"/>
    <w:rsid w:val="008827CC"/>
    <w:rsid w:val="0088337B"/>
    <w:rsid w:val="008856ED"/>
    <w:rsid w:val="0089532C"/>
    <w:rsid w:val="008A09EF"/>
    <w:rsid w:val="008A3AF7"/>
    <w:rsid w:val="008A6E66"/>
    <w:rsid w:val="008C06F1"/>
    <w:rsid w:val="008C3872"/>
    <w:rsid w:val="008D08B9"/>
    <w:rsid w:val="008D2D67"/>
    <w:rsid w:val="008D46FE"/>
    <w:rsid w:val="008D48C9"/>
    <w:rsid w:val="008E7F81"/>
    <w:rsid w:val="009266B2"/>
    <w:rsid w:val="009405A2"/>
    <w:rsid w:val="009409B5"/>
    <w:rsid w:val="00946755"/>
    <w:rsid w:val="00957BC5"/>
    <w:rsid w:val="0096148D"/>
    <w:rsid w:val="009671FA"/>
    <w:rsid w:val="00973E2B"/>
    <w:rsid w:val="00980347"/>
    <w:rsid w:val="00981E4B"/>
    <w:rsid w:val="009845AA"/>
    <w:rsid w:val="00991FF9"/>
    <w:rsid w:val="009A5195"/>
    <w:rsid w:val="009D51D4"/>
    <w:rsid w:val="009D52B5"/>
    <w:rsid w:val="009D5784"/>
    <w:rsid w:val="009D6300"/>
    <w:rsid w:val="009E1278"/>
    <w:rsid w:val="009E37A3"/>
    <w:rsid w:val="009E77A6"/>
    <w:rsid w:val="009F6EA6"/>
    <w:rsid w:val="00A01643"/>
    <w:rsid w:val="00A1041C"/>
    <w:rsid w:val="00A121F6"/>
    <w:rsid w:val="00A209A5"/>
    <w:rsid w:val="00A30642"/>
    <w:rsid w:val="00A319BE"/>
    <w:rsid w:val="00A405BD"/>
    <w:rsid w:val="00A42498"/>
    <w:rsid w:val="00A45360"/>
    <w:rsid w:val="00A4599C"/>
    <w:rsid w:val="00A50D50"/>
    <w:rsid w:val="00A57ABC"/>
    <w:rsid w:val="00A604C8"/>
    <w:rsid w:val="00A66446"/>
    <w:rsid w:val="00A673B5"/>
    <w:rsid w:val="00A72456"/>
    <w:rsid w:val="00A8150F"/>
    <w:rsid w:val="00AC3B3F"/>
    <w:rsid w:val="00AC59C6"/>
    <w:rsid w:val="00AD732E"/>
    <w:rsid w:val="00AF1EB1"/>
    <w:rsid w:val="00AF2ABB"/>
    <w:rsid w:val="00AF6BD5"/>
    <w:rsid w:val="00B0298B"/>
    <w:rsid w:val="00B16643"/>
    <w:rsid w:val="00B33F51"/>
    <w:rsid w:val="00B4727A"/>
    <w:rsid w:val="00B72ABF"/>
    <w:rsid w:val="00B9341B"/>
    <w:rsid w:val="00BB0169"/>
    <w:rsid w:val="00BB216C"/>
    <w:rsid w:val="00BB2DFE"/>
    <w:rsid w:val="00BB3C5B"/>
    <w:rsid w:val="00BB71FB"/>
    <w:rsid w:val="00BC4ACA"/>
    <w:rsid w:val="00BC7815"/>
    <w:rsid w:val="00BE5B8A"/>
    <w:rsid w:val="00BF39E5"/>
    <w:rsid w:val="00C04BE9"/>
    <w:rsid w:val="00C06D4D"/>
    <w:rsid w:val="00C06F60"/>
    <w:rsid w:val="00C06F6D"/>
    <w:rsid w:val="00C2110F"/>
    <w:rsid w:val="00C21650"/>
    <w:rsid w:val="00C21E5A"/>
    <w:rsid w:val="00C24204"/>
    <w:rsid w:val="00C277DC"/>
    <w:rsid w:val="00C33417"/>
    <w:rsid w:val="00C3382F"/>
    <w:rsid w:val="00C35014"/>
    <w:rsid w:val="00C42163"/>
    <w:rsid w:val="00C51C47"/>
    <w:rsid w:val="00C62CCC"/>
    <w:rsid w:val="00C73DBD"/>
    <w:rsid w:val="00C766CB"/>
    <w:rsid w:val="00C82966"/>
    <w:rsid w:val="00C90F08"/>
    <w:rsid w:val="00C966AF"/>
    <w:rsid w:val="00C97351"/>
    <w:rsid w:val="00CA2A01"/>
    <w:rsid w:val="00CB1757"/>
    <w:rsid w:val="00CB616A"/>
    <w:rsid w:val="00CD1D79"/>
    <w:rsid w:val="00D07E27"/>
    <w:rsid w:val="00D1391F"/>
    <w:rsid w:val="00D13B6D"/>
    <w:rsid w:val="00D141CC"/>
    <w:rsid w:val="00D32069"/>
    <w:rsid w:val="00D345A9"/>
    <w:rsid w:val="00D42FAA"/>
    <w:rsid w:val="00D56E95"/>
    <w:rsid w:val="00D6039D"/>
    <w:rsid w:val="00D660D6"/>
    <w:rsid w:val="00D66DAD"/>
    <w:rsid w:val="00D769C4"/>
    <w:rsid w:val="00D772A7"/>
    <w:rsid w:val="00D84026"/>
    <w:rsid w:val="00D86976"/>
    <w:rsid w:val="00DA26A3"/>
    <w:rsid w:val="00DA4840"/>
    <w:rsid w:val="00DB0128"/>
    <w:rsid w:val="00DB5ACF"/>
    <w:rsid w:val="00DD2D9E"/>
    <w:rsid w:val="00DD3511"/>
    <w:rsid w:val="00DE14D6"/>
    <w:rsid w:val="00DE1624"/>
    <w:rsid w:val="00DF1B38"/>
    <w:rsid w:val="00E204F5"/>
    <w:rsid w:val="00E20BF7"/>
    <w:rsid w:val="00E22997"/>
    <w:rsid w:val="00E33670"/>
    <w:rsid w:val="00E41F47"/>
    <w:rsid w:val="00E44217"/>
    <w:rsid w:val="00E44BA1"/>
    <w:rsid w:val="00E477B8"/>
    <w:rsid w:val="00E645B2"/>
    <w:rsid w:val="00E82FA0"/>
    <w:rsid w:val="00E90CB4"/>
    <w:rsid w:val="00E93235"/>
    <w:rsid w:val="00E96850"/>
    <w:rsid w:val="00E97F1D"/>
    <w:rsid w:val="00EA5CBD"/>
    <w:rsid w:val="00EB767D"/>
    <w:rsid w:val="00ED2687"/>
    <w:rsid w:val="00EE1068"/>
    <w:rsid w:val="00EE16DB"/>
    <w:rsid w:val="00EE1CD8"/>
    <w:rsid w:val="00EF183E"/>
    <w:rsid w:val="00EF4DE8"/>
    <w:rsid w:val="00F05C5D"/>
    <w:rsid w:val="00F10449"/>
    <w:rsid w:val="00F10CE4"/>
    <w:rsid w:val="00F20A1A"/>
    <w:rsid w:val="00F20C0D"/>
    <w:rsid w:val="00F62D02"/>
    <w:rsid w:val="00F634CF"/>
    <w:rsid w:val="00F66988"/>
    <w:rsid w:val="00F7298D"/>
    <w:rsid w:val="00F8627B"/>
    <w:rsid w:val="00F8645F"/>
    <w:rsid w:val="00FB65C4"/>
    <w:rsid w:val="00FB7315"/>
    <w:rsid w:val="00FC0099"/>
    <w:rsid w:val="00FC13DD"/>
    <w:rsid w:val="00FC24DD"/>
    <w:rsid w:val="00FC5C67"/>
    <w:rsid w:val="00FD17C2"/>
    <w:rsid w:val="00FD5C27"/>
    <w:rsid w:val="00FE077C"/>
    <w:rsid w:val="00FF2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3AB2"/>
  <w15:chartTrackingRefBased/>
  <w15:docId w15:val="{F1417421-36FB-4B1C-B718-2E10627C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0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347"/>
    <w:rPr>
      <w:sz w:val="20"/>
      <w:szCs w:val="20"/>
    </w:rPr>
  </w:style>
  <w:style w:type="character" w:styleId="FootnoteReference">
    <w:name w:val="footnote reference"/>
    <w:basedOn w:val="DefaultParagraphFont"/>
    <w:uiPriority w:val="99"/>
    <w:semiHidden/>
    <w:unhideWhenUsed/>
    <w:rsid w:val="00980347"/>
    <w:rPr>
      <w:vertAlign w:val="superscript"/>
    </w:rPr>
  </w:style>
  <w:style w:type="paragraph" w:styleId="Header">
    <w:name w:val="header"/>
    <w:basedOn w:val="Normal"/>
    <w:link w:val="HeaderChar"/>
    <w:uiPriority w:val="99"/>
    <w:unhideWhenUsed/>
    <w:rsid w:val="00581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0E5"/>
  </w:style>
  <w:style w:type="paragraph" w:styleId="Footer">
    <w:name w:val="footer"/>
    <w:basedOn w:val="Normal"/>
    <w:link w:val="FooterChar"/>
    <w:uiPriority w:val="99"/>
    <w:unhideWhenUsed/>
    <w:rsid w:val="00581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0E5"/>
  </w:style>
  <w:style w:type="paragraph" w:styleId="ListParagraph">
    <w:name w:val="List Paragraph"/>
    <w:basedOn w:val="Normal"/>
    <w:uiPriority w:val="34"/>
    <w:qFormat/>
    <w:rsid w:val="009F6EA6"/>
    <w:pPr>
      <w:ind w:left="720"/>
      <w:contextualSpacing/>
    </w:pPr>
  </w:style>
  <w:style w:type="paragraph" w:styleId="Revision">
    <w:name w:val="Revision"/>
    <w:hidden/>
    <w:uiPriority w:val="99"/>
    <w:semiHidden/>
    <w:rsid w:val="00583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1569">
      <w:bodyDiv w:val="1"/>
      <w:marLeft w:val="0"/>
      <w:marRight w:val="0"/>
      <w:marTop w:val="0"/>
      <w:marBottom w:val="0"/>
      <w:divBdr>
        <w:top w:val="none" w:sz="0" w:space="0" w:color="auto"/>
        <w:left w:val="none" w:sz="0" w:space="0" w:color="auto"/>
        <w:bottom w:val="none" w:sz="0" w:space="0" w:color="auto"/>
        <w:right w:val="none" w:sz="0" w:space="0" w:color="auto"/>
      </w:divBdr>
      <w:divsChild>
        <w:div w:id="363602046">
          <w:blockQuote w:val="1"/>
          <w:marLeft w:val="0"/>
          <w:marRight w:val="0"/>
          <w:marTop w:val="0"/>
          <w:marBottom w:val="0"/>
          <w:divBdr>
            <w:top w:val="none" w:sz="0" w:space="0" w:color="auto"/>
            <w:left w:val="none" w:sz="0" w:space="0" w:color="auto"/>
            <w:bottom w:val="none" w:sz="0" w:space="0" w:color="auto"/>
            <w:right w:val="none" w:sz="0" w:space="0" w:color="auto"/>
          </w:divBdr>
          <w:divsChild>
            <w:div w:id="1222011575">
              <w:marLeft w:val="0"/>
              <w:marRight w:val="0"/>
              <w:marTop w:val="0"/>
              <w:marBottom w:val="0"/>
              <w:divBdr>
                <w:top w:val="none" w:sz="0" w:space="0" w:color="auto"/>
                <w:left w:val="none" w:sz="0" w:space="0" w:color="auto"/>
                <w:bottom w:val="none" w:sz="0" w:space="0" w:color="auto"/>
                <w:right w:val="none" w:sz="0" w:space="0" w:color="auto"/>
              </w:divBdr>
              <w:divsChild>
                <w:div w:id="395669193">
                  <w:blockQuote w:val="1"/>
                  <w:marLeft w:val="0"/>
                  <w:marRight w:val="0"/>
                  <w:marTop w:val="0"/>
                  <w:marBottom w:val="0"/>
                  <w:divBdr>
                    <w:top w:val="none" w:sz="0" w:space="0" w:color="auto"/>
                    <w:left w:val="none" w:sz="0" w:space="0" w:color="auto"/>
                    <w:bottom w:val="none" w:sz="0" w:space="0" w:color="auto"/>
                    <w:right w:val="none" w:sz="0" w:space="0" w:color="auto"/>
                  </w:divBdr>
                  <w:divsChild>
                    <w:div w:id="396367264">
                      <w:marLeft w:val="0"/>
                      <w:marRight w:val="0"/>
                      <w:marTop w:val="0"/>
                      <w:marBottom w:val="0"/>
                      <w:divBdr>
                        <w:top w:val="none" w:sz="0" w:space="0" w:color="auto"/>
                        <w:left w:val="none" w:sz="0" w:space="0" w:color="auto"/>
                        <w:bottom w:val="none" w:sz="0" w:space="0" w:color="auto"/>
                        <w:right w:val="none" w:sz="0" w:space="0" w:color="auto"/>
                      </w:divBdr>
                    </w:div>
                    <w:div w:id="900023985">
                      <w:marLeft w:val="0"/>
                      <w:marRight w:val="0"/>
                      <w:marTop w:val="0"/>
                      <w:marBottom w:val="0"/>
                      <w:divBdr>
                        <w:top w:val="none" w:sz="0" w:space="0" w:color="auto"/>
                        <w:left w:val="none" w:sz="0" w:space="0" w:color="auto"/>
                        <w:bottom w:val="none" w:sz="0" w:space="0" w:color="auto"/>
                        <w:right w:val="none" w:sz="0" w:space="0" w:color="auto"/>
                      </w:divBdr>
                    </w:div>
                    <w:div w:id="599996759">
                      <w:marLeft w:val="0"/>
                      <w:marRight w:val="0"/>
                      <w:marTop w:val="0"/>
                      <w:marBottom w:val="0"/>
                      <w:divBdr>
                        <w:top w:val="none" w:sz="0" w:space="0" w:color="auto"/>
                        <w:left w:val="none" w:sz="0" w:space="0" w:color="auto"/>
                        <w:bottom w:val="none" w:sz="0" w:space="0" w:color="auto"/>
                        <w:right w:val="none" w:sz="0" w:space="0" w:color="auto"/>
                      </w:divBdr>
                    </w:div>
                    <w:div w:id="1711687838">
                      <w:marLeft w:val="0"/>
                      <w:marRight w:val="0"/>
                      <w:marTop w:val="0"/>
                      <w:marBottom w:val="0"/>
                      <w:divBdr>
                        <w:top w:val="none" w:sz="0" w:space="0" w:color="auto"/>
                        <w:left w:val="none" w:sz="0" w:space="0" w:color="auto"/>
                        <w:bottom w:val="none" w:sz="0" w:space="0" w:color="auto"/>
                        <w:right w:val="none" w:sz="0" w:space="0" w:color="auto"/>
                      </w:divBdr>
                    </w:div>
                    <w:div w:id="2147041545">
                      <w:marLeft w:val="0"/>
                      <w:marRight w:val="0"/>
                      <w:marTop w:val="0"/>
                      <w:marBottom w:val="0"/>
                      <w:divBdr>
                        <w:top w:val="none" w:sz="0" w:space="0" w:color="auto"/>
                        <w:left w:val="none" w:sz="0" w:space="0" w:color="auto"/>
                        <w:bottom w:val="none" w:sz="0" w:space="0" w:color="auto"/>
                        <w:right w:val="none" w:sz="0" w:space="0" w:color="auto"/>
                      </w:divBdr>
                    </w:div>
                    <w:div w:id="199979593">
                      <w:marLeft w:val="0"/>
                      <w:marRight w:val="0"/>
                      <w:marTop w:val="0"/>
                      <w:marBottom w:val="0"/>
                      <w:divBdr>
                        <w:top w:val="none" w:sz="0" w:space="0" w:color="auto"/>
                        <w:left w:val="none" w:sz="0" w:space="0" w:color="auto"/>
                        <w:bottom w:val="none" w:sz="0" w:space="0" w:color="auto"/>
                        <w:right w:val="none" w:sz="0" w:space="0" w:color="auto"/>
                      </w:divBdr>
                    </w:div>
                    <w:div w:id="105471365">
                      <w:marLeft w:val="0"/>
                      <w:marRight w:val="0"/>
                      <w:marTop w:val="0"/>
                      <w:marBottom w:val="0"/>
                      <w:divBdr>
                        <w:top w:val="none" w:sz="0" w:space="0" w:color="auto"/>
                        <w:left w:val="none" w:sz="0" w:space="0" w:color="auto"/>
                        <w:bottom w:val="none" w:sz="0" w:space="0" w:color="auto"/>
                        <w:right w:val="none" w:sz="0" w:space="0" w:color="auto"/>
                      </w:divBdr>
                    </w:div>
                    <w:div w:id="1679037428">
                      <w:marLeft w:val="0"/>
                      <w:marRight w:val="0"/>
                      <w:marTop w:val="0"/>
                      <w:marBottom w:val="0"/>
                      <w:divBdr>
                        <w:top w:val="none" w:sz="0" w:space="0" w:color="auto"/>
                        <w:left w:val="none" w:sz="0" w:space="0" w:color="auto"/>
                        <w:bottom w:val="none" w:sz="0" w:space="0" w:color="auto"/>
                        <w:right w:val="none" w:sz="0" w:space="0" w:color="auto"/>
                      </w:divBdr>
                    </w:div>
                    <w:div w:id="2063206627">
                      <w:marLeft w:val="0"/>
                      <w:marRight w:val="0"/>
                      <w:marTop w:val="0"/>
                      <w:marBottom w:val="0"/>
                      <w:divBdr>
                        <w:top w:val="none" w:sz="0" w:space="0" w:color="auto"/>
                        <w:left w:val="none" w:sz="0" w:space="0" w:color="auto"/>
                        <w:bottom w:val="none" w:sz="0" w:space="0" w:color="auto"/>
                        <w:right w:val="none" w:sz="0" w:space="0" w:color="auto"/>
                      </w:divBdr>
                    </w:div>
                    <w:div w:id="1848861797">
                      <w:marLeft w:val="0"/>
                      <w:marRight w:val="0"/>
                      <w:marTop w:val="0"/>
                      <w:marBottom w:val="0"/>
                      <w:divBdr>
                        <w:top w:val="none" w:sz="0" w:space="0" w:color="auto"/>
                        <w:left w:val="none" w:sz="0" w:space="0" w:color="auto"/>
                        <w:bottom w:val="none" w:sz="0" w:space="0" w:color="auto"/>
                        <w:right w:val="none" w:sz="0" w:space="0" w:color="auto"/>
                      </w:divBdr>
                    </w:div>
                    <w:div w:id="414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5904">
      <w:bodyDiv w:val="1"/>
      <w:marLeft w:val="0"/>
      <w:marRight w:val="0"/>
      <w:marTop w:val="0"/>
      <w:marBottom w:val="0"/>
      <w:divBdr>
        <w:top w:val="none" w:sz="0" w:space="0" w:color="auto"/>
        <w:left w:val="none" w:sz="0" w:space="0" w:color="auto"/>
        <w:bottom w:val="none" w:sz="0" w:space="0" w:color="auto"/>
        <w:right w:val="none" w:sz="0" w:space="0" w:color="auto"/>
      </w:divBdr>
      <w:divsChild>
        <w:div w:id="137111979">
          <w:blockQuote w:val="1"/>
          <w:marLeft w:val="0"/>
          <w:marRight w:val="0"/>
          <w:marTop w:val="0"/>
          <w:marBottom w:val="0"/>
          <w:divBdr>
            <w:top w:val="none" w:sz="0" w:space="0" w:color="auto"/>
            <w:left w:val="none" w:sz="0" w:space="0" w:color="auto"/>
            <w:bottom w:val="none" w:sz="0" w:space="0" w:color="auto"/>
            <w:right w:val="none" w:sz="0" w:space="0" w:color="auto"/>
          </w:divBdr>
          <w:divsChild>
            <w:div w:id="102767972">
              <w:marLeft w:val="0"/>
              <w:marRight w:val="0"/>
              <w:marTop w:val="0"/>
              <w:marBottom w:val="0"/>
              <w:divBdr>
                <w:top w:val="none" w:sz="0" w:space="0" w:color="auto"/>
                <w:left w:val="none" w:sz="0" w:space="0" w:color="auto"/>
                <w:bottom w:val="none" w:sz="0" w:space="0" w:color="auto"/>
                <w:right w:val="none" w:sz="0" w:space="0" w:color="auto"/>
              </w:divBdr>
              <w:divsChild>
                <w:div w:id="1810244574">
                  <w:blockQuote w:val="1"/>
                  <w:marLeft w:val="0"/>
                  <w:marRight w:val="0"/>
                  <w:marTop w:val="0"/>
                  <w:marBottom w:val="0"/>
                  <w:divBdr>
                    <w:top w:val="none" w:sz="0" w:space="0" w:color="auto"/>
                    <w:left w:val="none" w:sz="0" w:space="0" w:color="auto"/>
                    <w:bottom w:val="none" w:sz="0" w:space="0" w:color="auto"/>
                    <w:right w:val="none" w:sz="0" w:space="0" w:color="auto"/>
                  </w:divBdr>
                  <w:divsChild>
                    <w:div w:id="14535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469">
      <w:bodyDiv w:val="1"/>
      <w:marLeft w:val="0"/>
      <w:marRight w:val="0"/>
      <w:marTop w:val="0"/>
      <w:marBottom w:val="0"/>
      <w:divBdr>
        <w:top w:val="none" w:sz="0" w:space="0" w:color="auto"/>
        <w:left w:val="none" w:sz="0" w:space="0" w:color="auto"/>
        <w:bottom w:val="none" w:sz="0" w:space="0" w:color="auto"/>
        <w:right w:val="none" w:sz="0" w:space="0" w:color="auto"/>
      </w:divBdr>
      <w:divsChild>
        <w:div w:id="2018075916">
          <w:blockQuote w:val="1"/>
          <w:marLeft w:val="0"/>
          <w:marRight w:val="0"/>
          <w:marTop w:val="0"/>
          <w:marBottom w:val="0"/>
          <w:divBdr>
            <w:top w:val="none" w:sz="0" w:space="0" w:color="auto"/>
            <w:left w:val="none" w:sz="0" w:space="0" w:color="auto"/>
            <w:bottom w:val="none" w:sz="0" w:space="0" w:color="auto"/>
            <w:right w:val="none" w:sz="0" w:space="0" w:color="auto"/>
          </w:divBdr>
          <w:divsChild>
            <w:div w:id="1243758162">
              <w:marLeft w:val="0"/>
              <w:marRight w:val="0"/>
              <w:marTop w:val="0"/>
              <w:marBottom w:val="0"/>
              <w:divBdr>
                <w:top w:val="none" w:sz="0" w:space="0" w:color="auto"/>
                <w:left w:val="none" w:sz="0" w:space="0" w:color="auto"/>
                <w:bottom w:val="none" w:sz="0" w:space="0" w:color="auto"/>
                <w:right w:val="none" w:sz="0" w:space="0" w:color="auto"/>
              </w:divBdr>
              <w:divsChild>
                <w:div w:id="2070379120">
                  <w:blockQuote w:val="1"/>
                  <w:marLeft w:val="0"/>
                  <w:marRight w:val="0"/>
                  <w:marTop w:val="0"/>
                  <w:marBottom w:val="0"/>
                  <w:divBdr>
                    <w:top w:val="none" w:sz="0" w:space="0" w:color="auto"/>
                    <w:left w:val="none" w:sz="0" w:space="0" w:color="auto"/>
                    <w:bottom w:val="none" w:sz="0" w:space="0" w:color="auto"/>
                    <w:right w:val="none" w:sz="0" w:space="0" w:color="auto"/>
                  </w:divBdr>
                  <w:divsChild>
                    <w:div w:id="1543325873">
                      <w:marLeft w:val="0"/>
                      <w:marRight w:val="0"/>
                      <w:marTop w:val="0"/>
                      <w:marBottom w:val="0"/>
                      <w:divBdr>
                        <w:top w:val="none" w:sz="0" w:space="0" w:color="auto"/>
                        <w:left w:val="none" w:sz="0" w:space="0" w:color="auto"/>
                        <w:bottom w:val="none" w:sz="0" w:space="0" w:color="auto"/>
                        <w:right w:val="none" w:sz="0" w:space="0" w:color="auto"/>
                      </w:divBdr>
                    </w:div>
                    <w:div w:id="1474830486">
                      <w:marLeft w:val="0"/>
                      <w:marRight w:val="0"/>
                      <w:marTop w:val="0"/>
                      <w:marBottom w:val="0"/>
                      <w:divBdr>
                        <w:top w:val="none" w:sz="0" w:space="0" w:color="auto"/>
                        <w:left w:val="none" w:sz="0" w:space="0" w:color="auto"/>
                        <w:bottom w:val="none" w:sz="0" w:space="0" w:color="auto"/>
                        <w:right w:val="none" w:sz="0" w:space="0" w:color="auto"/>
                      </w:divBdr>
                    </w:div>
                    <w:div w:id="710568649">
                      <w:marLeft w:val="0"/>
                      <w:marRight w:val="0"/>
                      <w:marTop w:val="0"/>
                      <w:marBottom w:val="0"/>
                      <w:divBdr>
                        <w:top w:val="none" w:sz="0" w:space="0" w:color="auto"/>
                        <w:left w:val="none" w:sz="0" w:space="0" w:color="auto"/>
                        <w:bottom w:val="none" w:sz="0" w:space="0" w:color="auto"/>
                        <w:right w:val="none" w:sz="0" w:space="0" w:color="auto"/>
                      </w:divBdr>
                    </w:div>
                    <w:div w:id="1295983506">
                      <w:marLeft w:val="0"/>
                      <w:marRight w:val="0"/>
                      <w:marTop w:val="0"/>
                      <w:marBottom w:val="0"/>
                      <w:divBdr>
                        <w:top w:val="none" w:sz="0" w:space="0" w:color="auto"/>
                        <w:left w:val="none" w:sz="0" w:space="0" w:color="auto"/>
                        <w:bottom w:val="none" w:sz="0" w:space="0" w:color="auto"/>
                        <w:right w:val="none" w:sz="0" w:space="0" w:color="auto"/>
                      </w:divBdr>
                    </w:div>
                    <w:div w:id="476341527">
                      <w:marLeft w:val="0"/>
                      <w:marRight w:val="0"/>
                      <w:marTop w:val="0"/>
                      <w:marBottom w:val="0"/>
                      <w:divBdr>
                        <w:top w:val="none" w:sz="0" w:space="0" w:color="auto"/>
                        <w:left w:val="none" w:sz="0" w:space="0" w:color="auto"/>
                        <w:bottom w:val="none" w:sz="0" w:space="0" w:color="auto"/>
                        <w:right w:val="none" w:sz="0" w:space="0" w:color="auto"/>
                      </w:divBdr>
                    </w:div>
                    <w:div w:id="1034110634">
                      <w:marLeft w:val="0"/>
                      <w:marRight w:val="0"/>
                      <w:marTop w:val="0"/>
                      <w:marBottom w:val="0"/>
                      <w:divBdr>
                        <w:top w:val="none" w:sz="0" w:space="0" w:color="auto"/>
                        <w:left w:val="none" w:sz="0" w:space="0" w:color="auto"/>
                        <w:bottom w:val="none" w:sz="0" w:space="0" w:color="auto"/>
                        <w:right w:val="none" w:sz="0" w:space="0" w:color="auto"/>
                      </w:divBdr>
                    </w:div>
                    <w:div w:id="398598695">
                      <w:marLeft w:val="0"/>
                      <w:marRight w:val="0"/>
                      <w:marTop w:val="0"/>
                      <w:marBottom w:val="0"/>
                      <w:divBdr>
                        <w:top w:val="none" w:sz="0" w:space="0" w:color="auto"/>
                        <w:left w:val="none" w:sz="0" w:space="0" w:color="auto"/>
                        <w:bottom w:val="none" w:sz="0" w:space="0" w:color="auto"/>
                        <w:right w:val="none" w:sz="0" w:space="0" w:color="auto"/>
                      </w:divBdr>
                    </w:div>
                    <w:div w:id="1020156884">
                      <w:marLeft w:val="0"/>
                      <w:marRight w:val="0"/>
                      <w:marTop w:val="0"/>
                      <w:marBottom w:val="0"/>
                      <w:divBdr>
                        <w:top w:val="none" w:sz="0" w:space="0" w:color="auto"/>
                        <w:left w:val="none" w:sz="0" w:space="0" w:color="auto"/>
                        <w:bottom w:val="none" w:sz="0" w:space="0" w:color="auto"/>
                        <w:right w:val="none" w:sz="0" w:space="0" w:color="auto"/>
                      </w:divBdr>
                    </w:div>
                    <w:div w:id="123273319">
                      <w:marLeft w:val="0"/>
                      <w:marRight w:val="0"/>
                      <w:marTop w:val="0"/>
                      <w:marBottom w:val="0"/>
                      <w:divBdr>
                        <w:top w:val="none" w:sz="0" w:space="0" w:color="auto"/>
                        <w:left w:val="none" w:sz="0" w:space="0" w:color="auto"/>
                        <w:bottom w:val="none" w:sz="0" w:space="0" w:color="auto"/>
                        <w:right w:val="none" w:sz="0" w:space="0" w:color="auto"/>
                      </w:divBdr>
                    </w:div>
                    <w:div w:id="27723466">
                      <w:marLeft w:val="0"/>
                      <w:marRight w:val="0"/>
                      <w:marTop w:val="0"/>
                      <w:marBottom w:val="0"/>
                      <w:divBdr>
                        <w:top w:val="none" w:sz="0" w:space="0" w:color="auto"/>
                        <w:left w:val="none" w:sz="0" w:space="0" w:color="auto"/>
                        <w:bottom w:val="none" w:sz="0" w:space="0" w:color="auto"/>
                        <w:right w:val="none" w:sz="0" w:space="0" w:color="auto"/>
                      </w:divBdr>
                    </w:div>
                    <w:div w:id="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3707">
      <w:bodyDiv w:val="1"/>
      <w:marLeft w:val="0"/>
      <w:marRight w:val="0"/>
      <w:marTop w:val="0"/>
      <w:marBottom w:val="0"/>
      <w:divBdr>
        <w:top w:val="none" w:sz="0" w:space="0" w:color="auto"/>
        <w:left w:val="none" w:sz="0" w:space="0" w:color="auto"/>
        <w:bottom w:val="none" w:sz="0" w:space="0" w:color="auto"/>
        <w:right w:val="none" w:sz="0" w:space="0" w:color="auto"/>
      </w:divBdr>
    </w:div>
    <w:div w:id="516622824">
      <w:bodyDiv w:val="1"/>
      <w:marLeft w:val="0"/>
      <w:marRight w:val="0"/>
      <w:marTop w:val="0"/>
      <w:marBottom w:val="0"/>
      <w:divBdr>
        <w:top w:val="none" w:sz="0" w:space="0" w:color="auto"/>
        <w:left w:val="none" w:sz="0" w:space="0" w:color="auto"/>
        <w:bottom w:val="none" w:sz="0" w:space="0" w:color="auto"/>
        <w:right w:val="none" w:sz="0" w:space="0" w:color="auto"/>
      </w:divBdr>
      <w:divsChild>
        <w:div w:id="2018998149">
          <w:marLeft w:val="0"/>
          <w:marRight w:val="0"/>
          <w:marTop w:val="0"/>
          <w:marBottom w:val="0"/>
          <w:divBdr>
            <w:top w:val="none" w:sz="0" w:space="0" w:color="auto"/>
            <w:left w:val="none" w:sz="0" w:space="0" w:color="auto"/>
            <w:bottom w:val="none" w:sz="0" w:space="0" w:color="auto"/>
            <w:right w:val="none" w:sz="0" w:space="0" w:color="auto"/>
          </w:divBdr>
        </w:div>
        <w:div w:id="1582838046">
          <w:marLeft w:val="0"/>
          <w:marRight w:val="0"/>
          <w:marTop w:val="0"/>
          <w:marBottom w:val="0"/>
          <w:divBdr>
            <w:top w:val="none" w:sz="0" w:space="0" w:color="auto"/>
            <w:left w:val="none" w:sz="0" w:space="0" w:color="auto"/>
            <w:bottom w:val="none" w:sz="0" w:space="0" w:color="auto"/>
            <w:right w:val="none" w:sz="0" w:space="0" w:color="auto"/>
          </w:divBdr>
        </w:div>
        <w:div w:id="1476491720">
          <w:marLeft w:val="0"/>
          <w:marRight w:val="0"/>
          <w:marTop w:val="0"/>
          <w:marBottom w:val="0"/>
          <w:divBdr>
            <w:top w:val="none" w:sz="0" w:space="0" w:color="auto"/>
            <w:left w:val="none" w:sz="0" w:space="0" w:color="auto"/>
            <w:bottom w:val="none" w:sz="0" w:space="0" w:color="auto"/>
            <w:right w:val="none" w:sz="0" w:space="0" w:color="auto"/>
          </w:divBdr>
        </w:div>
        <w:div w:id="306975106">
          <w:marLeft w:val="0"/>
          <w:marRight w:val="0"/>
          <w:marTop w:val="0"/>
          <w:marBottom w:val="0"/>
          <w:divBdr>
            <w:top w:val="none" w:sz="0" w:space="0" w:color="auto"/>
            <w:left w:val="none" w:sz="0" w:space="0" w:color="auto"/>
            <w:bottom w:val="none" w:sz="0" w:space="0" w:color="auto"/>
            <w:right w:val="none" w:sz="0" w:space="0" w:color="auto"/>
          </w:divBdr>
        </w:div>
        <w:div w:id="821041067">
          <w:marLeft w:val="0"/>
          <w:marRight w:val="0"/>
          <w:marTop w:val="0"/>
          <w:marBottom w:val="0"/>
          <w:divBdr>
            <w:top w:val="none" w:sz="0" w:space="0" w:color="auto"/>
            <w:left w:val="none" w:sz="0" w:space="0" w:color="auto"/>
            <w:bottom w:val="none" w:sz="0" w:space="0" w:color="auto"/>
            <w:right w:val="none" w:sz="0" w:space="0" w:color="auto"/>
          </w:divBdr>
        </w:div>
        <w:div w:id="2082942499">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469737596">
          <w:marLeft w:val="0"/>
          <w:marRight w:val="0"/>
          <w:marTop w:val="0"/>
          <w:marBottom w:val="0"/>
          <w:divBdr>
            <w:top w:val="none" w:sz="0" w:space="0" w:color="auto"/>
            <w:left w:val="none" w:sz="0" w:space="0" w:color="auto"/>
            <w:bottom w:val="none" w:sz="0" w:space="0" w:color="auto"/>
            <w:right w:val="none" w:sz="0" w:space="0" w:color="auto"/>
          </w:divBdr>
        </w:div>
        <w:div w:id="1195078781">
          <w:marLeft w:val="0"/>
          <w:marRight w:val="0"/>
          <w:marTop w:val="0"/>
          <w:marBottom w:val="0"/>
          <w:divBdr>
            <w:top w:val="none" w:sz="0" w:space="0" w:color="auto"/>
            <w:left w:val="none" w:sz="0" w:space="0" w:color="auto"/>
            <w:bottom w:val="none" w:sz="0" w:space="0" w:color="auto"/>
            <w:right w:val="none" w:sz="0" w:space="0" w:color="auto"/>
          </w:divBdr>
        </w:div>
      </w:divsChild>
    </w:div>
    <w:div w:id="671252407">
      <w:bodyDiv w:val="1"/>
      <w:marLeft w:val="0"/>
      <w:marRight w:val="0"/>
      <w:marTop w:val="0"/>
      <w:marBottom w:val="0"/>
      <w:divBdr>
        <w:top w:val="none" w:sz="0" w:space="0" w:color="auto"/>
        <w:left w:val="none" w:sz="0" w:space="0" w:color="auto"/>
        <w:bottom w:val="none" w:sz="0" w:space="0" w:color="auto"/>
        <w:right w:val="none" w:sz="0" w:space="0" w:color="auto"/>
      </w:divBdr>
      <w:divsChild>
        <w:div w:id="684746322">
          <w:marLeft w:val="0"/>
          <w:marRight w:val="0"/>
          <w:marTop w:val="0"/>
          <w:marBottom w:val="0"/>
          <w:divBdr>
            <w:top w:val="none" w:sz="0" w:space="0" w:color="auto"/>
            <w:left w:val="none" w:sz="0" w:space="0" w:color="auto"/>
            <w:bottom w:val="none" w:sz="0" w:space="0" w:color="auto"/>
            <w:right w:val="none" w:sz="0" w:space="0" w:color="auto"/>
          </w:divBdr>
        </w:div>
        <w:div w:id="127359399">
          <w:marLeft w:val="0"/>
          <w:marRight w:val="0"/>
          <w:marTop w:val="0"/>
          <w:marBottom w:val="0"/>
          <w:divBdr>
            <w:top w:val="none" w:sz="0" w:space="0" w:color="auto"/>
            <w:left w:val="none" w:sz="0" w:space="0" w:color="auto"/>
            <w:bottom w:val="none" w:sz="0" w:space="0" w:color="auto"/>
            <w:right w:val="none" w:sz="0" w:space="0" w:color="auto"/>
          </w:divBdr>
        </w:div>
        <w:div w:id="25955771">
          <w:marLeft w:val="0"/>
          <w:marRight w:val="0"/>
          <w:marTop w:val="0"/>
          <w:marBottom w:val="0"/>
          <w:divBdr>
            <w:top w:val="none" w:sz="0" w:space="0" w:color="auto"/>
            <w:left w:val="none" w:sz="0" w:space="0" w:color="auto"/>
            <w:bottom w:val="none" w:sz="0" w:space="0" w:color="auto"/>
            <w:right w:val="none" w:sz="0" w:space="0" w:color="auto"/>
          </w:divBdr>
        </w:div>
        <w:div w:id="1314793193">
          <w:marLeft w:val="0"/>
          <w:marRight w:val="0"/>
          <w:marTop w:val="0"/>
          <w:marBottom w:val="0"/>
          <w:divBdr>
            <w:top w:val="none" w:sz="0" w:space="0" w:color="auto"/>
            <w:left w:val="none" w:sz="0" w:space="0" w:color="auto"/>
            <w:bottom w:val="none" w:sz="0" w:space="0" w:color="auto"/>
            <w:right w:val="none" w:sz="0" w:space="0" w:color="auto"/>
          </w:divBdr>
        </w:div>
        <w:div w:id="1301955234">
          <w:marLeft w:val="0"/>
          <w:marRight w:val="0"/>
          <w:marTop w:val="0"/>
          <w:marBottom w:val="0"/>
          <w:divBdr>
            <w:top w:val="none" w:sz="0" w:space="0" w:color="auto"/>
            <w:left w:val="none" w:sz="0" w:space="0" w:color="auto"/>
            <w:bottom w:val="none" w:sz="0" w:space="0" w:color="auto"/>
            <w:right w:val="none" w:sz="0" w:space="0" w:color="auto"/>
          </w:divBdr>
        </w:div>
        <w:div w:id="1440222536">
          <w:marLeft w:val="0"/>
          <w:marRight w:val="0"/>
          <w:marTop w:val="0"/>
          <w:marBottom w:val="0"/>
          <w:divBdr>
            <w:top w:val="none" w:sz="0" w:space="0" w:color="auto"/>
            <w:left w:val="none" w:sz="0" w:space="0" w:color="auto"/>
            <w:bottom w:val="none" w:sz="0" w:space="0" w:color="auto"/>
            <w:right w:val="none" w:sz="0" w:space="0" w:color="auto"/>
          </w:divBdr>
        </w:div>
        <w:div w:id="489255723">
          <w:marLeft w:val="0"/>
          <w:marRight w:val="0"/>
          <w:marTop w:val="0"/>
          <w:marBottom w:val="0"/>
          <w:divBdr>
            <w:top w:val="none" w:sz="0" w:space="0" w:color="auto"/>
            <w:left w:val="none" w:sz="0" w:space="0" w:color="auto"/>
            <w:bottom w:val="none" w:sz="0" w:space="0" w:color="auto"/>
            <w:right w:val="none" w:sz="0" w:space="0" w:color="auto"/>
          </w:divBdr>
        </w:div>
        <w:div w:id="1825201566">
          <w:marLeft w:val="0"/>
          <w:marRight w:val="0"/>
          <w:marTop w:val="0"/>
          <w:marBottom w:val="0"/>
          <w:divBdr>
            <w:top w:val="none" w:sz="0" w:space="0" w:color="auto"/>
            <w:left w:val="none" w:sz="0" w:space="0" w:color="auto"/>
            <w:bottom w:val="none" w:sz="0" w:space="0" w:color="auto"/>
            <w:right w:val="none" w:sz="0" w:space="0" w:color="auto"/>
          </w:divBdr>
        </w:div>
        <w:div w:id="714814963">
          <w:marLeft w:val="0"/>
          <w:marRight w:val="0"/>
          <w:marTop w:val="0"/>
          <w:marBottom w:val="0"/>
          <w:divBdr>
            <w:top w:val="none" w:sz="0" w:space="0" w:color="auto"/>
            <w:left w:val="none" w:sz="0" w:space="0" w:color="auto"/>
            <w:bottom w:val="none" w:sz="0" w:space="0" w:color="auto"/>
            <w:right w:val="none" w:sz="0" w:space="0" w:color="auto"/>
          </w:divBdr>
        </w:div>
      </w:divsChild>
    </w:div>
    <w:div w:id="734859253">
      <w:bodyDiv w:val="1"/>
      <w:marLeft w:val="0"/>
      <w:marRight w:val="0"/>
      <w:marTop w:val="0"/>
      <w:marBottom w:val="0"/>
      <w:divBdr>
        <w:top w:val="none" w:sz="0" w:space="0" w:color="auto"/>
        <w:left w:val="none" w:sz="0" w:space="0" w:color="auto"/>
        <w:bottom w:val="none" w:sz="0" w:space="0" w:color="auto"/>
        <w:right w:val="none" w:sz="0" w:space="0" w:color="auto"/>
      </w:divBdr>
      <w:divsChild>
        <w:div w:id="1154028680">
          <w:marLeft w:val="0"/>
          <w:marRight w:val="0"/>
          <w:marTop w:val="0"/>
          <w:marBottom w:val="0"/>
          <w:divBdr>
            <w:top w:val="none" w:sz="0" w:space="0" w:color="auto"/>
            <w:left w:val="none" w:sz="0" w:space="0" w:color="auto"/>
            <w:bottom w:val="none" w:sz="0" w:space="0" w:color="auto"/>
            <w:right w:val="none" w:sz="0" w:space="0" w:color="auto"/>
          </w:divBdr>
          <w:divsChild>
            <w:div w:id="1459028439">
              <w:blockQuote w:val="1"/>
              <w:marLeft w:val="0"/>
              <w:marRight w:val="0"/>
              <w:marTop w:val="0"/>
              <w:marBottom w:val="0"/>
              <w:divBdr>
                <w:top w:val="none" w:sz="0" w:space="0" w:color="auto"/>
                <w:left w:val="none" w:sz="0" w:space="0" w:color="auto"/>
                <w:bottom w:val="none" w:sz="0" w:space="0" w:color="auto"/>
                <w:right w:val="none" w:sz="0" w:space="0" w:color="auto"/>
              </w:divBdr>
              <w:divsChild>
                <w:div w:id="2071270754">
                  <w:marLeft w:val="0"/>
                  <w:marRight w:val="0"/>
                  <w:marTop w:val="0"/>
                  <w:marBottom w:val="0"/>
                  <w:divBdr>
                    <w:top w:val="none" w:sz="0" w:space="0" w:color="auto"/>
                    <w:left w:val="none" w:sz="0" w:space="0" w:color="auto"/>
                    <w:bottom w:val="none" w:sz="0" w:space="0" w:color="auto"/>
                    <w:right w:val="none" w:sz="0" w:space="0" w:color="auto"/>
                  </w:divBdr>
                  <w:divsChild>
                    <w:div w:id="150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8112">
              <w:marLeft w:val="0"/>
              <w:marRight w:val="0"/>
              <w:marTop w:val="0"/>
              <w:marBottom w:val="0"/>
              <w:divBdr>
                <w:top w:val="none" w:sz="0" w:space="0" w:color="auto"/>
                <w:left w:val="none" w:sz="0" w:space="0" w:color="auto"/>
                <w:bottom w:val="none" w:sz="0" w:space="0" w:color="auto"/>
                <w:right w:val="none" w:sz="0" w:space="0" w:color="auto"/>
              </w:divBdr>
            </w:div>
            <w:div w:id="923223192">
              <w:marLeft w:val="0"/>
              <w:marRight w:val="0"/>
              <w:marTop w:val="0"/>
              <w:marBottom w:val="0"/>
              <w:divBdr>
                <w:top w:val="none" w:sz="0" w:space="0" w:color="auto"/>
                <w:left w:val="none" w:sz="0" w:space="0" w:color="auto"/>
                <w:bottom w:val="none" w:sz="0" w:space="0" w:color="auto"/>
                <w:right w:val="none" w:sz="0" w:space="0" w:color="auto"/>
              </w:divBdr>
            </w:div>
            <w:div w:id="679741173">
              <w:marLeft w:val="0"/>
              <w:marRight w:val="0"/>
              <w:marTop w:val="0"/>
              <w:marBottom w:val="0"/>
              <w:divBdr>
                <w:top w:val="none" w:sz="0" w:space="0" w:color="auto"/>
                <w:left w:val="none" w:sz="0" w:space="0" w:color="auto"/>
                <w:bottom w:val="none" w:sz="0" w:space="0" w:color="auto"/>
                <w:right w:val="none" w:sz="0" w:space="0" w:color="auto"/>
              </w:divBdr>
            </w:div>
            <w:div w:id="2055734204">
              <w:marLeft w:val="0"/>
              <w:marRight w:val="0"/>
              <w:marTop w:val="0"/>
              <w:marBottom w:val="0"/>
              <w:divBdr>
                <w:top w:val="none" w:sz="0" w:space="0" w:color="auto"/>
                <w:left w:val="none" w:sz="0" w:space="0" w:color="auto"/>
                <w:bottom w:val="none" w:sz="0" w:space="0" w:color="auto"/>
                <w:right w:val="none" w:sz="0" w:space="0" w:color="auto"/>
              </w:divBdr>
            </w:div>
            <w:div w:id="1034767619">
              <w:marLeft w:val="0"/>
              <w:marRight w:val="0"/>
              <w:marTop w:val="0"/>
              <w:marBottom w:val="0"/>
              <w:divBdr>
                <w:top w:val="none" w:sz="0" w:space="0" w:color="auto"/>
                <w:left w:val="none" w:sz="0" w:space="0" w:color="auto"/>
                <w:bottom w:val="none" w:sz="0" w:space="0" w:color="auto"/>
                <w:right w:val="none" w:sz="0" w:space="0" w:color="auto"/>
              </w:divBdr>
            </w:div>
            <w:div w:id="488441498">
              <w:marLeft w:val="0"/>
              <w:marRight w:val="0"/>
              <w:marTop w:val="0"/>
              <w:marBottom w:val="0"/>
              <w:divBdr>
                <w:top w:val="none" w:sz="0" w:space="0" w:color="auto"/>
                <w:left w:val="none" w:sz="0" w:space="0" w:color="auto"/>
                <w:bottom w:val="none" w:sz="0" w:space="0" w:color="auto"/>
                <w:right w:val="none" w:sz="0" w:space="0" w:color="auto"/>
              </w:divBdr>
            </w:div>
            <w:div w:id="1038045945">
              <w:marLeft w:val="0"/>
              <w:marRight w:val="0"/>
              <w:marTop w:val="0"/>
              <w:marBottom w:val="0"/>
              <w:divBdr>
                <w:top w:val="none" w:sz="0" w:space="0" w:color="auto"/>
                <w:left w:val="none" w:sz="0" w:space="0" w:color="auto"/>
                <w:bottom w:val="none" w:sz="0" w:space="0" w:color="auto"/>
                <w:right w:val="none" w:sz="0" w:space="0" w:color="auto"/>
              </w:divBdr>
            </w:div>
            <w:div w:id="1044333221">
              <w:marLeft w:val="0"/>
              <w:marRight w:val="0"/>
              <w:marTop w:val="0"/>
              <w:marBottom w:val="0"/>
              <w:divBdr>
                <w:top w:val="none" w:sz="0" w:space="0" w:color="auto"/>
                <w:left w:val="none" w:sz="0" w:space="0" w:color="auto"/>
                <w:bottom w:val="none" w:sz="0" w:space="0" w:color="auto"/>
                <w:right w:val="none" w:sz="0" w:space="0" w:color="auto"/>
              </w:divBdr>
            </w:div>
            <w:div w:id="10807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9166">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917207293">
      <w:bodyDiv w:val="1"/>
      <w:marLeft w:val="0"/>
      <w:marRight w:val="0"/>
      <w:marTop w:val="0"/>
      <w:marBottom w:val="0"/>
      <w:divBdr>
        <w:top w:val="none" w:sz="0" w:space="0" w:color="auto"/>
        <w:left w:val="none" w:sz="0" w:space="0" w:color="auto"/>
        <w:bottom w:val="none" w:sz="0" w:space="0" w:color="auto"/>
        <w:right w:val="none" w:sz="0" w:space="0" w:color="auto"/>
      </w:divBdr>
      <w:divsChild>
        <w:div w:id="700207001">
          <w:blockQuote w:val="1"/>
          <w:marLeft w:val="0"/>
          <w:marRight w:val="0"/>
          <w:marTop w:val="0"/>
          <w:marBottom w:val="0"/>
          <w:divBdr>
            <w:top w:val="none" w:sz="0" w:space="0" w:color="auto"/>
            <w:left w:val="none" w:sz="0" w:space="0" w:color="auto"/>
            <w:bottom w:val="none" w:sz="0" w:space="0" w:color="auto"/>
            <w:right w:val="none" w:sz="0" w:space="0" w:color="auto"/>
          </w:divBdr>
          <w:divsChild>
            <w:div w:id="2035299916">
              <w:marLeft w:val="0"/>
              <w:marRight w:val="0"/>
              <w:marTop w:val="0"/>
              <w:marBottom w:val="0"/>
              <w:divBdr>
                <w:top w:val="none" w:sz="0" w:space="0" w:color="auto"/>
                <w:left w:val="none" w:sz="0" w:space="0" w:color="auto"/>
                <w:bottom w:val="none" w:sz="0" w:space="0" w:color="auto"/>
                <w:right w:val="none" w:sz="0" w:space="0" w:color="auto"/>
              </w:divBdr>
              <w:divsChild>
                <w:div w:id="27145486">
                  <w:blockQuote w:val="1"/>
                  <w:marLeft w:val="0"/>
                  <w:marRight w:val="0"/>
                  <w:marTop w:val="0"/>
                  <w:marBottom w:val="0"/>
                  <w:divBdr>
                    <w:top w:val="none" w:sz="0" w:space="0" w:color="auto"/>
                    <w:left w:val="none" w:sz="0" w:space="0" w:color="auto"/>
                    <w:bottom w:val="none" w:sz="0" w:space="0" w:color="auto"/>
                    <w:right w:val="none" w:sz="0" w:space="0" w:color="auto"/>
                  </w:divBdr>
                  <w:divsChild>
                    <w:div w:id="1520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8544">
      <w:bodyDiv w:val="1"/>
      <w:marLeft w:val="0"/>
      <w:marRight w:val="0"/>
      <w:marTop w:val="0"/>
      <w:marBottom w:val="0"/>
      <w:divBdr>
        <w:top w:val="none" w:sz="0" w:space="0" w:color="auto"/>
        <w:left w:val="none" w:sz="0" w:space="0" w:color="auto"/>
        <w:bottom w:val="none" w:sz="0" w:space="0" w:color="auto"/>
        <w:right w:val="none" w:sz="0" w:space="0" w:color="auto"/>
      </w:divBdr>
    </w:div>
    <w:div w:id="1400250771">
      <w:bodyDiv w:val="1"/>
      <w:marLeft w:val="0"/>
      <w:marRight w:val="0"/>
      <w:marTop w:val="0"/>
      <w:marBottom w:val="0"/>
      <w:divBdr>
        <w:top w:val="none" w:sz="0" w:space="0" w:color="auto"/>
        <w:left w:val="none" w:sz="0" w:space="0" w:color="auto"/>
        <w:bottom w:val="none" w:sz="0" w:space="0" w:color="auto"/>
        <w:right w:val="none" w:sz="0" w:space="0" w:color="auto"/>
      </w:divBdr>
      <w:divsChild>
        <w:div w:id="678695886">
          <w:marLeft w:val="0"/>
          <w:marRight w:val="0"/>
          <w:marTop w:val="0"/>
          <w:marBottom w:val="0"/>
          <w:divBdr>
            <w:top w:val="none" w:sz="0" w:space="0" w:color="auto"/>
            <w:left w:val="none" w:sz="0" w:space="0" w:color="auto"/>
            <w:bottom w:val="none" w:sz="0" w:space="0" w:color="auto"/>
            <w:right w:val="none" w:sz="0" w:space="0" w:color="auto"/>
          </w:divBdr>
          <w:divsChild>
            <w:div w:id="911543922">
              <w:blockQuote w:val="1"/>
              <w:marLeft w:val="0"/>
              <w:marRight w:val="0"/>
              <w:marTop w:val="0"/>
              <w:marBottom w:val="0"/>
              <w:divBdr>
                <w:top w:val="none" w:sz="0" w:space="0" w:color="auto"/>
                <w:left w:val="none" w:sz="0" w:space="0" w:color="auto"/>
                <w:bottom w:val="none" w:sz="0" w:space="0" w:color="auto"/>
                <w:right w:val="none" w:sz="0" w:space="0" w:color="auto"/>
              </w:divBdr>
              <w:divsChild>
                <w:div w:id="610010697">
                  <w:marLeft w:val="0"/>
                  <w:marRight w:val="0"/>
                  <w:marTop w:val="0"/>
                  <w:marBottom w:val="0"/>
                  <w:divBdr>
                    <w:top w:val="none" w:sz="0" w:space="0" w:color="auto"/>
                    <w:left w:val="none" w:sz="0" w:space="0" w:color="auto"/>
                    <w:bottom w:val="none" w:sz="0" w:space="0" w:color="auto"/>
                    <w:right w:val="none" w:sz="0" w:space="0" w:color="auto"/>
                  </w:divBdr>
                  <w:divsChild>
                    <w:div w:id="949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7230">
              <w:marLeft w:val="0"/>
              <w:marRight w:val="0"/>
              <w:marTop w:val="0"/>
              <w:marBottom w:val="0"/>
              <w:divBdr>
                <w:top w:val="none" w:sz="0" w:space="0" w:color="auto"/>
                <w:left w:val="none" w:sz="0" w:space="0" w:color="auto"/>
                <w:bottom w:val="none" w:sz="0" w:space="0" w:color="auto"/>
                <w:right w:val="none" w:sz="0" w:space="0" w:color="auto"/>
              </w:divBdr>
            </w:div>
            <w:div w:id="222176617">
              <w:marLeft w:val="0"/>
              <w:marRight w:val="0"/>
              <w:marTop w:val="0"/>
              <w:marBottom w:val="0"/>
              <w:divBdr>
                <w:top w:val="none" w:sz="0" w:space="0" w:color="auto"/>
                <w:left w:val="none" w:sz="0" w:space="0" w:color="auto"/>
                <w:bottom w:val="none" w:sz="0" w:space="0" w:color="auto"/>
                <w:right w:val="none" w:sz="0" w:space="0" w:color="auto"/>
              </w:divBdr>
            </w:div>
            <w:div w:id="1361511771">
              <w:marLeft w:val="0"/>
              <w:marRight w:val="0"/>
              <w:marTop w:val="0"/>
              <w:marBottom w:val="0"/>
              <w:divBdr>
                <w:top w:val="none" w:sz="0" w:space="0" w:color="auto"/>
                <w:left w:val="none" w:sz="0" w:space="0" w:color="auto"/>
                <w:bottom w:val="none" w:sz="0" w:space="0" w:color="auto"/>
                <w:right w:val="none" w:sz="0" w:space="0" w:color="auto"/>
              </w:divBdr>
            </w:div>
            <w:div w:id="1828085520">
              <w:marLeft w:val="0"/>
              <w:marRight w:val="0"/>
              <w:marTop w:val="0"/>
              <w:marBottom w:val="0"/>
              <w:divBdr>
                <w:top w:val="none" w:sz="0" w:space="0" w:color="auto"/>
                <w:left w:val="none" w:sz="0" w:space="0" w:color="auto"/>
                <w:bottom w:val="none" w:sz="0" w:space="0" w:color="auto"/>
                <w:right w:val="none" w:sz="0" w:space="0" w:color="auto"/>
              </w:divBdr>
            </w:div>
            <w:div w:id="45689348">
              <w:marLeft w:val="0"/>
              <w:marRight w:val="0"/>
              <w:marTop w:val="0"/>
              <w:marBottom w:val="0"/>
              <w:divBdr>
                <w:top w:val="none" w:sz="0" w:space="0" w:color="auto"/>
                <w:left w:val="none" w:sz="0" w:space="0" w:color="auto"/>
                <w:bottom w:val="none" w:sz="0" w:space="0" w:color="auto"/>
                <w:right w:val="none" w:sz="0" w:space="0" w:color="auto"/>
              </w:divBdr>
            </w:div>
            <w:div w:id="1733695782">
              <w:marLeft w:val="0"/>
              <w:marRight w:val="0"/>
              <w:marTop w:val="0"/>
              <w:marBottom w:val="0"/>
              <w:divBdr>
                <w:top w:val="none" w:sz="0" w:space="0" w:color="auto"/>
                <w:left w:val="none" w:sz="0" w:space="0" w:color="auto"/>
                <w:bottom w:val="none" w:sz="0" w:space="0" w:color="auto"/>
                <w:right w:val="none" w:sz="0" w:space="0" w:color="auto"/>
              </w:divBdr>
            </w:div>
            <w:div w:id="1377511083">
              <w:marLeft w:val="0"/>
              <w:marRight w:val="0"/>
              <w:marTop w:val="0"/>
              <w:marBottom w:val="0"/>
              <w:divBdr>
                <w:top w:val="none" w:sz="0" w:space="0" w:color="auto"/>
                <w:left w:val="none" w:sz="0" w:space="0" w:color="auto"/>
                <w:bottom w:val="none" w:sz="0" w:space="0" w:color="auto"/>
                <w:right w:val="none" w:sz="0" w:space="0" w:color="auto"/>
              </w:divBdr>
            </w:div>
            <w:div w:id="334112750">
              <w:marLeft w:val="0"/>
              <w:marRight w:val="0"/>
              <w:marTop w:val="0"/>
              <w:marBottom w:val="0"/>
              <w:divBdr>
                <w:top w:val="none" w:sz="0" w:space="0" w:color="auto"/>
                <w:left w:val="none" w:sz="0" w:space="0" w:color="auto"/>
                <w:bottom w:val="none" w:sz="0" w:space="0" w:color="auto"/>
                <w:right w:val="none" w:sz="0" w:space="0" w:color="auto"/>
              </w:divBdr>
            </w:div>
            <w:div w:id="17664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0266">
      <w:bodyDiv w:val="1"/>
      <w:marLeft w:val="0"/>
      <w:marRight w:val="0"/>
      <w:marTop w:val="0"/>
      <w:marBottom w:val="0"/>
      <w:divBdr>
        <w:top w:val="none" w:sz="0" w:space="0" w:color="auto"/>
        <w:left w:val="none" w:sz="0" w:space="0" w:color="auto"/>
        <w:bottom w:val="none" w:sz="0" w:space="0" w:color="auto"/>
        <w:right w:val="none" w:sz="0" w:space="0" w:color="auto"/>
      </w:divBdr>
      <w:divsChild>
        <w:div w:id="130833457">
          <w:blockQuote w:val="1"/>
          <w:marLeft w:val="0"/>
          <w:marRight w:val="0"/>
          <w:marTop w:val="0"/>
          <w:marBottom w:val="0"/>
          <w:divBdr>
            <w:top w:val="none" w:sz="0" w:space="0" w:color="auto"/>
            <w:left w:val="none" w:sz="0" w:space="0" w:color="auto"/>
            <w:bottom w:val="none" w:sz="0" w:space="0" w:color="auto"/>
            <w:right w:val="none" w:sz="0" w:space="0" w:color="auto"/>
          </w:divBdr>
          <w:divsChild>
            <w:div w:id="845940306">
              <w:marLeft w:val="0"/>
              <w:marRight w:val="0"/>
              <w:marTop w:val="0"/>
              <w:marBottom w:val="0"/>
              <w:divBdr>
                <w:top w:val="none" w:sz="0" w:space="0" w:color="auto"/>
                <w:left w:val="none" w:sz="0" w:space="0" w:color="auto"/>
                <w:bottom w:val="none" w:sz="0" w:space="0" w:color="auto"/>
                <w:right w:val="none" w:sz="0" w:space="0" w:color="auto"/>
              </w:divBdr>
              <w:divsChild>
                <w:div w:id="1642342521">
                  <w:marLeft w:val="0"/>
                  <w:marRight w:val="0"/>
                  <w:marTop w:val="0"/>
                  <w:marBottom w:val="0"/>
                  <w:divBdr>
                    <w:top w:val="none" w:sz="0" w:space="0" w:color="auto"/>
                    <w:left w:val="none" w:sz="0" w:space="0" w:color="auto"/>
                    <w:bottom w:val="none" w:sz="0" w:space="0" w:color="auto"/>
                    <w:right w:val="none" w:sz="0" w:space="0" w:color="auto"/>
                  </w:divBdr>
                  <w:divsChild>
                    <w:div w:id="323629981">
                      <w:marLeft w:val="0"/>
                      <w:marRight w:val="0"/>
                      <w:marTop w:val="0"/>
                      <w:marBottom w:val="0"/>
                      <w:divBdr>
                        <w:top w:val="none" w:sz="0" w:space="0" w:color="auto"/>
                        <w:left w:val="none" w:sz="0" w:space="0" w:color="auto"/>
                        <w:bottom w:val="none" w:sz="0" w:space="0" w:color="auto"/>
                        <w:right w:val="none" w:sz="0" w:space="0" w:color="auto"/>
                      </w:divBdr>
                    </w:div>
                    <w:div w:id="454762204">
                      <w:marLeft w:val="0"/>
                      <w:marRight w:val="0"/>
                      <w:marTop w:val="0"/>
                      <w:marBottom w:val="0"/>
                      <w:divBdr>
                        <w:top w:val="none" w:sz="0" w:space="0" w:color="auto"/>
                        <w:left w:val="none" w:sz="0" w:space="0" w:color="auto"/>
                        <w:bottom w:val="none" w:sz="0" w:space="0" w:color="auto"/>
                        <w:right w:val="none" w:sz="0" w:space="0" w:color="auto"/>
                      </w:divBdr>
                    </w:div>
                    <w:div w:id="1775634028">
                      <w:marLeft w:val="0"/>
                      <w:marRight w:val="0"/>
                      <w:marTop w:val="0"/>
                      <w:marBottom w:val="0"/>
                      <w:divBdr>
                        <w:top w:val="none" w:sz="0" w:space="0" w:color="auto"/>
                        <w:left w:val="none" w:sz="0" w:space="0" w:color="auto"/>
                        <w:bottom w:val="none" w:sz="0" w:space="0" w:color="auto"/>
                        <w:right w:val="none" w:sz="0" w:space="0" w:color="auto"/>
                      </w:divBdr>
                    </w:div>
                    <w:div w:id="1842237747">
                      <w:marLeft w:val="0"/>
                      <w:marRight w:val="0"/>
                      <w:marTop w:val="0"/>
                      <w:marBottom w:val="0"/>
                      <w:divBdr>
                        <w:top w:val="none" w:sz="0" w:space="0" w:color="auto"/>
                        <w:left w:val="none" w:sz="0" w:space="0" w:color="auto"/>
                        <w:bottom w:val="none" w:sz="0" w:space="0" w:color="auto"/>
                        <w:right w:val="none" w:sz="0" w:space="0" w:color="auto"/>
                      </w:divBdr>
                    </w:div>
                    <w:div w:id="525753940">
                      <w:marLeft w:val="0"/>
                      <w:marRight w:val="0"/>
                      <w:marTop w:val="0"/>
                      <w:marBottom w:val="0"/>
                      <w:divBdr>
                        <w:top w:val="none" w:sz="0" w:space="0" w:color="auto"/>
                        <w:left w:val="none" w:sz="0" w:space="0" w:color="auto"/>
                        <w:bottom w:val="none" w:sz="0" w:space="0" w:color="auto"/>
                        <w:right w:val="none" w:sz="0" w:space="0" w:color="auto"/>
                      </w:divBdr>
                    </w:div>
                    <w:div w:id="1424455636">
                      <w:marLeft w:val="0"/>
                      <w:marRight w:val="0"/>
                      <w:marTop w:val="0"/>
                      <w:marBottom w:val="0"/>
                      <w:divBdr>
                        <w:top w:val="none" w:sz="0" w:space="0" w:color="auto"/>
                        <w:left w:val="none" w:sz="0" w:space="0" w:color="auto"/>
                        <w:bottom w:val="none" w:sz="0" w:space="0" w:color="auto"/>
                        <w:right w:val="none" w:sz="0" w:space="0" w:color="auto"/>
                      </w:divBdr>
                    </w:div>
                    <w:div w:id="675153024">
                      <w:marLeft w:val="0"/>
                      <w:marRight w:val="0"/>
                      <w:marTop w:val="0"/>
                      <w:marBottom w:val="0"/>
                      <w:divBdr>
                        <w:top w:val="none" w:sz="0" w:space="0" w:color="auto"/>
                        <w:left w:val="none" w:sz="0" w:space="0" w:color="auto"/>
                        <w:bottom w:val="none" w:sz="0" w:space="0" w:color="auto"/>
                        <w:right w:val="none" w:sz="0" w:space="0" w:color="auto"/>
                      </w:divBdr>
                    </w:div>
                    <w:div w:id="903637682">
                      <w:marLeft w:val="0"/>
                      <w:marRight w:val="0"/>
                      <w:marTop w:val="0"/>
                      <w:marBottom w:val="0"/>
                      <w:divBdr>
                        <w:top w:val="none" w:sz="0" w:space="0" w:color="auto"/>
                        <w:left w:val="none" w:sz="0" w:space="0" w:color="auto"/>
                        <w:bottom w:val="none" w:sz="0" w:space="0" w:color="auto"/>
                        <w:right w:val="none" w:sz="0" w:space="0" w:color="auto"/>
                      </w:divBdr>
                    </w:div>
                    <w:div w:id="1365598347">
                      <w:marLeft w:val="0"/>
                      <w:marRight w:val="0"/>
                      <w:marTop w:val="0"/>
                      <w:marBottom w:val="0"/>
                      <w:divBdr>
                        <w:top w:val="none" w:sz="0" w:space="0" w:color="auto"/>
                        <w:left w:val="none" w:sz="0" w:space="0" w:color="auto"/>
                        <w:bottom w:val="none" w:sz="0" w:space="0" w:color="auto"/>
                        <w:right w:val="none" w:sz="0" w:space="0" w:color="auto"/>
                      </w:divBdr>
                    </w:div>
                    <w:div w:id="1180464311">
                      <w:marLeft w:val="0"/>
                      <w:marRight w:val="0"/>
                      <w:marTop w:val="0"/>
                      <w:marBottom w:val="0"/>
                      <w:divBdr>
                        <w:top w:val="none" w:sz="0" w:space="0" w:color="auto"/>
                        <w:left w:val="none" w:sz="0" w:space="0" w:color="auto"/>
                        <w:bottom w:val="none" w:sz="0" w:space="0" w:color="auto"/>
                        <w:right w:val="none" w:sz="0" w:space="0" w:color="auto"/>
                      </w:divBdr>
                    </w:div>
                    <w:div w:id="883638478">
                      <w:marLeft w:val="0"/>
                      <w:marRight w:val="0"/>
                      <w:marTop w:val="0"/>
                      <w:marBottom w:val="0"/>
                      <w:divBdr>
                        <w:top w:val="none" w:sz="0" w:space="0" w:color="auto"/>
                        <w:left w:val="none" w:sz="0" w:space="0" w:color="auto"/>
                        <w:bottom w:val="none" w:sz="0" w:space="0" w:color="auto"/>
                        <w:right w:val="none" w:sz="0" w:space="0" w:color="auto"/>
                      </w:divBdr>
                    </w:div>
                    <w:div w:id="12103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sChild>
        <w:div w:id="523326192">
          <w:blockQuote w:val="1"/>
          <w:marLeft w:val="0"/>
          <w:marRight w:val="0"/>
          <w:marTop w:val="0"/>
          <w:marBottom w:val="0"/>
          <w:divBdr>
            <w:top w:val="none" w:sz="0" w:space="0" w:color="auto"/>
            <w:left w:val="none" w:sz="0" w:space="0" w:color="auto"/>
            <w:bottom w:val="none" w:sz="0" w:space="0" w:color="auto"/>
            <w:right w:val="none" w:sz="0" w:space="0" w:color="auto"/>
          </w:divBdr>
          <w:divsChild>
            <w:div w:id="1834367444">
              <w:marLeft w:val="0"/>
              <w:marRight w:val="0"/>
              <w:marTop w:val="0"/>
              <w:marBottom w:val="0"/>
              <w:divBdr>
                <w:top w:val="none" w:sz="0" w:space="0" w:color="auto"/>
                <w:left w:val="none" w:sz="0" w:space="0" w:color="auto"/>
                <w:bottom w:val="none" w:sz="0" w:space="0" w:color="auto"/>
                <w:right w:val="none" w:sz="0" w:space="0" w:color="auto"/>
              </w:divBdr>
              <w:divsChild>
                <w:div w:id="1336152705">
                  <w:marLeft w:val="0"/>
                  <w:marRight w:val="0"/>
                  <w:marTop w:val="0"/>
                  <w:marBottom w:val="0"/>
                  <w:divBdr>
                    <w:top w:val="none" w:sz="0" w:space="0" w:color="auto"/>
                    <w:left w:val="none" w:sz="0" w:space="0" w:color="auto"/>
                    <w:bottom w:val="none" w:sz="0" w:space="0" w:color="auto"/>
                    <w:right w:val="none" w:sz="0" w:space="0" w:color="auto"/>
                  </w:divBdr>
                  <w:divsChild>
                    <w:div w:id="1409769160">
                      <w:marLeft w:val="0"/>
                      <w:marRight w:val="0"/>
                      <w:marTop w:val="0"/>
                      <w:marBottom w:val="0"/>
                      <w:divBdr>
                        <w:top w:val="none" w:sz="0" w:space="0" w:color="auto"/>
                        <w:left w:val="none" w:sz="0" w:space="0" w:color="auto"/>
                        <w:bottom w:val="none" w:sz="0" w:space="0" w:color="auto"/>
                        <w:right w:val="none" w:sz="0" w:space="0" w:color="auto"/>
                      </w:divBdr>
                    </w:div>
                    <w:div w:id="1275674404">
                      <w:marLeft w:val="0"/>
                      <w:marRight w:val="0"/>
                      <w:marTop w:val="0"/>
                      <w:marBottom w:val="0"/>
                      <w:divBdr>
                        <w:top w:val="none" w:sz="0" w:space="0" w:color="auto"/>
                        <w:left w:val="none" w:sz="0" w:space="0" w:color="auto"/>
                        <w:bottom w:val="none" w:sz="0" w:space="0" w:color="auto"/>
                        <w:right w:val="none" w:sz="0" w:space="0" w:color="auto"/>
                      </w:divBdr>
                    </w:div>
                    <w:div w:id="1750807812">
                      <w:marLeft w:val="0"/>
                      <w:marRight w:val="0"/>
                      <w:marTop w:val="0"/>
                      <w:marBottom w:val="0"/>
                      <w:divBdr>
                        <w:top w:val="none" w:sz="0" w:space="0" w:color="auto"/>
                        <w:left w:val="none" w:sz="0" w:space="0" w:color="auto"/>
                        <w:bottom w:val="none" w:sz="0" w:space="0" w:color="auto"/>
                        <w:right w:val="none" w:sz="0" w:space="0" w:color="auto"/>
                      </w:divBdr>
                    </w:div>
                    <w:div w:id="1888180101">
                      <w:marLeft w:val="0"/>
                      <w:marRight w:val="0"/>
                      <w:marTop w:val="0"/>
                      <w:marBottom w:val="0"/>
                      <w:divBdr>
                        <w:top w:val="none" w:sz="0" w:space="0" w:color="auto"/>
                        <w:left w:val="none" w:sz="0" w:space="0" w:color="auto"/>
                        <w:bottom w:val="none" w:sz="0" w:space="0" w:color="auto"/>
                        <w:right w:val="none" w:sz="0" w:space="0" w:color="auto"/>
                      </w:divBdr>
                    </w:div>
                    <w:div w:id="1001812669">
                      <w:marLeft w:val="0"/>
                      <w:marRight w:val="0"/>
                      <w:marTop w:val="0"/>
                      <w:marBottom w:val="0"/>
                      <w:divBdr>
                        <w:top w:val="none" w:sz="0" w:space="0" w:color="auto"/>
                        <w:left w:val="none" w:sz="0" w:space="0" w:color="auto"/>
                        <w:bottom w:val="none" w:sz="0" w:space="0" w:color="auto"/>
                        <w:right w:val="none" w:sz="0" w:space="0" w:color="auto"/>
                      </w:divBdr>
                    </w:div>
                    <w:div w:id="1799373613">
                      <w:marLeft w:val="0"/>
                      <w:marRight w:val="0"/>
                      <w:marTop w:val="0"/>
                      <w:marBottom w:val="0"/>
                      <w:divBdr>
                        <w:top w:val="none" w:sz="0" w:space="0" w:color="auto"/>
                        <w:left w:val="none" w:sz="0" w:space="0" w:color="auto"/>
                        <w:bottom w:val="none" w:sz="0" w:space="0" w:color="auto"/>
                        <w:right w:val="none" w:sz="0" w:space="0" w:color="auto"/>
                      </w:divBdr>
                    </w:div>
                    <w:div w:id="612905614">
                      <w:marLeft w:val="0"/>
                      <w:marRight w:val="0"/>
                      <w:marTop w:val="0"/>
                      <w:marBottom w:val="0"/>
                      <w:divBdr>
                        <w:top w:val="none" w:sz="0" w:space="0" w:color="auto"/>
                        <w:left w:val="none" w:sz="0" w:space="0" w:color="auto"/>
                        <w:bottom w:val="none" w:sz="0" w:space="0" w:color="auto"/>
                        <w:right w:val="none" w:sz="0" w:space="0" w:color="auto"/>
                      </w:divBdr>
                    </w:div>
                    <w:div w:id="1974947278">
                      <w:marLeft w:val="0"/>
                      <w:marRight w:val="0"/>
                      <w:marTop w:val="0"/>
                      <w:marBottom w:val="0"/>
                      <w:divBdr>
                        <w:top w:val="none" w:sz="0" w:space="0" w:color="auto"/>
                        <w:left w:val="none" w:sz="0" w:space="0" w:color="auto"/>
                        <w:bottom w:val="none" w:sz="0" w:space="0" w:color="auto"/>
                        <w:right w:val="none" w:sz="0" w:space="0" w:color="auto"/>
                      </w:divBdr>
                    </w:div>
                    <w:div w:id="2015379444">
                      <w:marLeft w:val="0"/>
                      <w:marRight w:val="0"/>
                      <w:marTop w:val="0"/>
                      <w:marBottom w:val="0"/>
                      <w:divBdr>
                        <w:top w:val="none" w:sz="0" w:space="0" w:color="auto"/>
                        <w:left w:val="none" w:sz="0" w:space="0" w:color="auto"/>
                        <w:bottom w:val="none" w:sz="0" w:space="0" w:color="auto"/>
                        <w:right w:val="none" w:sz="0" w:space="0" w:color="auto"/>
                      </w:divBdr>
                    </w:div>
                    <w:div w:id="321279881">
                      <w:marLeft w:val="0"/>
                      <w:marRight w:val="0"/>
                      <w:marTop w:val="0"/>
                      <w:marBottom w:val="0"/>
                      <w:divBdr>
                        <w:top w:val="none" w:sz="0" w:space="0" w:color="auto"/>
                        <w:left w:val="none" w:sz="0" w:space="0" w:color="auto"/>
                        <w:bottom w:val="none" w:sz="0" w:space="0" w:color="auto"/>
                        <w:right w:val="none" w:sz="0" w:space="0" w:color="auto"/>
                      </w:divBdr>
                    </w:div>
                    <w:div w:id="1131676641">
                      <w:marLeft w:val="0"/>
                      <w:marRight w:val="0"/>
                      <w:marTop w:val="0"/>
                      <w:marBottom w:val="0"/>
                      <w:divBdr>
                        <w:top w:val="none" w:sz="0" w:space="0" w:color="auto"/>
                        <w:left w:val="none" w:sz="0" w:space="0" w:color="auto"/>
                        <w:bottom w:val="none" w:sz="0" w:space="0" w:color="auto"/>
                        <w:right w:val="none" w:sz="0" w:space="0" w:color="auto"/>
                      </w:divBdr>
                    </w:div>
                    <w:div w:id="16667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796">
      <w:bodyDiv w:val="1"/>
      <w:marLeft w:val="0"/>
      <w:marRight w:val="0"/>
      <w:marTop w:val="0"/>
      <w:marBottom w:val="0"/>
      <w:divBdr>
        <w:top w:val="none" w:sz="0" w:space="0" w:color="auto"/>
        <w:left w:val="none" w:sz="0" w:space="0" w:color="auto"/>
        <w:bottom w:val="none" w:sz="0" w:space="0" w:color="auto"/>
        <w:right w:val="none" w:sz="0" w:space="0" w:color="auto"/>
      </w:divBdr>
      <w:divsChild>
        <w:div w:id="1511875267">
          <w:blockQuote w:val="1"/>
          <w:marLeft w:val="0"/>
          <w:marRight w:val="0"/>
          <w:marTop w:val="0"/>
          <w:marBottom w:val="0"/>
          <w:divBdr>
            <w:top w:val="none" w:sz="0" w:space="0" w:color="auto"/>
            <w:left w:val="none" w:sz="0" w:space="0" w:color="auto"/>
            <w:bottom w:val="none" w:sz="0" w:space="0" w:color="auto"/>
            <w:right w:val="none" w:sz="0" w:space="0" w:color="auto"/>
          </w:divBdr>
          <w:divsChild>
            <w:div w:id="1413312589">
              <w:marLeft w:val="0"/>
              <w:marRight w:val="0"/>
              <w:marTop w:val="0"/>
              <w:marBottom w:val="0"/>
              <w:divBdr>
                <w:top w:val="none" w:sz="0" w:space="0" w:color="auto"/>
                <w:left w:val="none" w:sz="0" w:space="0" w:color="auto"/>
                <w:bottom w:val="none" w:sz="0" w:space="0" w:color="auto"/>
                <w:right w:val="none" w:sz="0" w:space="0" w:color="auto"/>
              </w:divBdr>
              <w:divsChild>
                <w:div w:id="623582999">
                  <w:blockQuote w:val="1"/>
                  <w:marLeft w:val="0"/>
                  <w:marRight w:val="0"/>
                  <w:marTop w:val="0"/>
                  <w:marBottom w:val="0"/>
                  <w:divBdr>
                    <w:top w:val="none" w:sz="0" w:space="0" w:color="auto"/>
                    <w:left w:val="none" w:sz="0" w:space="0" w:color="auto"/>
                    <w:bottom w:val="none" w:sz="0" w:space="0" w:color="auto"/>
                    <w:right w:val="none" w:sz="0" w:space="0" w:color="auto"/>
                  </w:divBdr>
                  <w:divsChild>
                    <w:div w:id="1055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4553">
      <w:bodyDiv w:val="1"/>
      <w:marLeft w:val="0"/>
      <w:marRight w:val="0"/>
      <w:marTop w:val="0"/>
      <w:marBottom w:val="0"/>
      <w:divBdr>
        <w:top w:val="none" w:sz="0" w:space="0" w:color="auto"/>
        <w:left w:val="none" w:sz="0" w:space="0" w:color="auto"/>
        <w:bottom w:val="none" w:sz="0" w:space="0" w:color="auto"/>
        <w:right w:val="none" w:sz="0" w:space="0" w:color="auto"/>
      </w:divBdr>
      <w:divsChild>
        <w:div w:id="421950956">
          <w:blockQuote w:val="1"/>
          <w:marLeft w:val="0"/>
          <w:marRight w:val="0"/>
          <w:marTop w:val="0"/>
          <w:marBottom w:val="0"/>
          <w:divBdr>
            <w:top w:val="none" w:sz="0" w:space="0" w:color="auto"/>
            <w:left w:val="none" w:sz="0" w:space="0" w:color="auto"/>
            <w:bottom w:val="none" w:sz="0" w:space="0" w:color="auto"/>
            <w:right w:val="none" w:sz="0" w:space="0" w:color="auto"/>
          </w:divBdr>
          <w:divsChild>
            <w:div w:id="1399206996">
              <w:marLeft w:val="0"/>
              <w:marRight w:val="0"/>
              <w:marTop w:val="0"/>
              <w:marBottom w:val="0"/>
              <w:divBdr>
                <w:top w:val="none" w:sz="0" w:space="0" w:color="auto"/>
                <w:left w:val="none" w:sz="0" w:space="0" w:color="auto"/>
                <w:bottom w:val="none" w:sz="0" w:space="0" w:color="auto"/>
                <w:right w:val="none" w:sz="0" w:space="0" w:color="auto"/>
              </w:divBdr>
              <w:divsChild>
                <w:div w:id="1732926526">
                  <w:blockQuote w:val="1"/>
                  <w:marLeft w:val="0"/>
                  <w:marRight w:val="0"/>
                  <w:marTop w:val="0"/>
                  <w:marBottom w:val="0"/>
                  <w:divBdr>
                    <w:top w:val="none" w:sz="0" w:space="0" w:color="auto"/>
                    <w:left w:val="none" w:sz="0" w:space="0" w:color="auto"/>
                    <w:bottom w:val="none" w:sz="0" w:space="0" w:color="auto"/>
                    <w:right w:val="none" w:sz="0" w:space="0" w:color="auto"/>
                  </w:divBdr>
                  <w:divsChild>
                    <w:div w:id="1685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95697355-A70E-40A0-98F6-8033B2AB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A4B29-1675-4111-A787-DB466CEDFE11}">
  <ds:schemaRefs>
    <ds:schemaRef ds:uri="http://schemas.microsoft.com/sharepoint/v3/contenttype/forms"/>
  </ds:schemaRefs>
</ds:datastoreItem>
</file>

<file path=customXml/itemProps3.xml><?xml version="1.0" encoding="utf-8"?>
<ds:datastoreItem xmlns:ds="http://schemas.openxmlformats.org/officeDocument/2006/customXml" ds:itemID="{7D83DA27-83D8-44A5-85DE-D45D4D70AA6C}">
  <ds:schemaRefs>
    <ds:schemaRef ds:uri="http://schemas.openxmlformats.org/officeDocument/2006/bibliography"/>
  </ds:schemaRefs>
</ds:datastoreItem>
</file>

<file path=customXml/itemProps4.xml><?xml version="1.0" encoding="utf-8"?>
<ds:datastoreItem xmlns:ds="http://schemas.openxmlformats.org/officeDocument/2006/customXml" ds:itemID="{4553573F-19BA-4819-BAA2-14209658EAD9}">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3911</Words>
  <Characters>22295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Holmes (Member)</dc:creator>
  <cp:keywords/>
  <dc:description/>
  <cp:lastModifiedBy>INTHAVISAY Caroline</cp:lastModifiedBy>
  <cp:revision>17</cp:revision>
  <cp:lastPrinted>2024-10-31T10:04:00Z</cp:lastPrinted>
  <dcterms:created xsi:type="dcterms:W3CDTF">2024-10-31T13:17:00Z</dcterms:created>
  <dcterms:modified xsi:type="dcterms:W3CDTF">2024-10-31T13:40:00Z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