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D8D1" w14:textId="77777777" w:rsidR="001D5B8F" w:rsidRDefault="001D5B8F">
      <w:pPr>
        <w:rPr>
          <w:rFonts w:ascii="Gellix" w:hAnsi="Gellix"/>
          <w:b/>
        </w:rPr>
      </w:pPr>
    </w:p>
    <w:p w14:paraId="5B808EBE" w14:textId="5B745F82" w:rsidR="00E23FBF" w:rsidRPr="00E23FBF" w:rsidRDefault="00E23FBF">
      <w:pPr>
        <w:rPr>
          <w:rFonts w:ascii="Gellix" w:hAnsi="Gellix"/>
          <w:b/>
        </w:rPr>
      </w:pPr>
      <w:r w:rsidRPr="00E23FBF">
        <w:rPr>
          <w:rFonts w:ascii="Gellix" w:hAnsi="Gellix"/>
          <w:b/>
        </w:rPr>
        <w:t>ICC Global Banking Commission</w:t>
      </w:r>
    </w:p>
    <w:p w14:paraId="4E1F5816" w14:textId="77777777" w:rsidR="00E23FBF" w:rsidRDefault="00E23FBF">
      <w:pPr>
        <w:rPr>
          <w:rFonts w:ascii="Gellix" w:hAnsi="Gellix"/>
          <w:b/>
          <w:u w:val="single"/>
        </w:rPr>
      </w:pPr>
    </w:p>
    <w:p w14:paraId="10813C2A" w14:textId="77777777" w:rsidR="00E23FBF" w:rsidRDefault="00E23FBF">
      <w:pPr>
        <w:rPr>
          <w:rFonts w:ascii="Gellix" w:hAnsi="Gellix"/>
          <w:b/>
          <w:u w:val="single"/>
        </w:rPr>
      </w:pPr>
    </w:p>
    <w:p w14:paraId="66873475" w14:textId="3046DC07" w:rsidR="00E23FBF" w:rsidRPr="001D5B8F" w:rsidRDefault="00384AF0" w:rsidP="00384AF0">
      <w:pPr>
        <w:jc w:val="center"/>
        <w:rPr>
          <w:rFonts w:ascii="Gellix" w:hAnsi="Gellix"/>
          <w:b/>
        </w:rPr>
      </w:pPr>
      <w:r w:rsidRPr="001D5B8F">
        <w:rPr>
          <w:rFonts w:ascii="Gellix" w:hAnsi="Gellix"/>
          <w:b/>
        </w:rPr>
        <w:t>Technical advisor</w:t>
      </w:r>
      <w:r w:rsidR="001D5B8F" w:rsidRPr="001D5B8F">
        <w:rPr>
          <w:rFonts w:ascii="Gellix" w:hAnsi="Gellix"/>
          <w:b/>
        </w:rPr>
        <w:t>s team</w:t>
      </w:r>
    </w:p>
    <w:p w14:paraId="23F2C9E4" w14:textId="6DF0E8C9" w:rsidR="007D7409" w:rsidRPr="00E23FBF" w:rsidRDefault="002B1C53" w:rsidP="00E23FBF">
      <w:pPr>
        <w:jc w:val="center"/>
        <w:rPr>
          <w:rFonts w:ascii="Gellix" w:hAnsi="Gellix"/>
          <w:b/>
        </w:rPr>
      </w:pPr>
      <w:r w:rsidRPr="00E23FBF">
        <w:rPr>
          <w:rFonts w:ascii="Gellix" w:hAnsi="Gellix"/>
          <w:b/>
        </w:rPr>
        <w:t>ISBP 821 – Education Project</w:t>
      </w:r>
    </w:p>
    <w:p w14:paraId="358EF089" w14:textId="77777777" w:rsidR="00405BD8" w:rsidRPr="00B0058E" w:rsidRDefault="00405BD8">
      <w:pPr>
        <w:rPr>
          <w:rFonts w:ascii="Gellix" w:hAnsi="Gellix"/>
        </w:rPr>
      </w:pPr>
    </w:p>
    <w:p w14:paraId="618A9CD0" w14:textId="20D8A8F3" w:rsidR="002B1C53" w:rsidRPr="00B0058E" w:rsidRDefault="002B1C53">
      <w:pPr>
        <w:rPr>
          <w:rFonts w:ascii="Gellix" w:hAnsi="Gellix"/>
          <w:b/>
          <w:u w:val="single"/>
        </w:rPr>
      </w:pPr>
      <w:r w:rsidRPr="00B0058E">
        <w:rPr>
          <w:rFonts w:ascii="Gellix" w:hAnsi="Gellix"/>
          <w:b/>
          <w:u w:val="single"/>
        </w:rPr>
        <w:t>ISSUE</w:t>
      </w:r>
    </w:p>
    <w:p w14:paraId="599C9991" w14:textId="343F0FE8" w:rsidR="00BD51C1" w:rsidRPr="00B0058E" w:rsidRDefault="002B1C53" w:rsidP="002B1C53">
      <w:pPr>
        <w:rPr>
          <w:rFonts w:ascii="Gellix" w:hAnsi="Gellix"/>
        </w:rPr>
      </w:pPr>
      <w:r w:rsidRPr="00B0058E">
        <w:rPr>
          <w:rFonts w:ascii="Gellix" w:hAnsi="Gellix"/>
        </w:rPr>
        <w:t xml:space="preserve">It is acknowledged that </w:t>
      </w:r>
      <w:r w:rsidR="001A6090" w:rsidRPr="00B0058E">
        <w:rPr>
          <w:rFonts w:ascii="Gellix" w:hAnsi="Gellix"/>
        </w:rPr>
        <w:t>there is</w:t>
      </w:r>
      <w:r w:rsidRPr="00B0058E">
        <w:rPr>
          <w:rFonts w:ascii="Gellix" w:hAnsi="Gellix"/>
        </w:rPr>
        <w:t xml:space="preserve"> </w:t>
      </w:r>
      <w:r w:rsidR="003F66A2" w:rsidRPr="00B0058E">
        <w:rPr>
          <w:rFonts w:ascii="Gellix" w:hAnsi="Gellix"/>
        </w:rPr>
        <w:t>definite</w:t>
      </w:r>
      <w:r w:rsidRPr="00B0058E">
        <w:rPr>
          <w:rFonts w:ascii="Gellix" w:hAnsi="Gellix"/>
        </w:rPr>
        <w:t xml:space="preserve"> </w:t>
      </w:r>
      <w:r w:rsidR="003F66A2" w:rsidRPr="00B0058E">
        <w:rPr>
          <w:rFonts w:ascii="Gellix" w:hAnsi="Gellix"/>
        </w:rPr>
        <w:t>demand</w:t>
      </w:r>
      <w:r w:rsidRPr="00B0058E">
        <w:rPr>
          <w:rFonts w:ascii="Gellix" w:hAnsi="Gellix"/>
        </w:rPr>
        <w:t xml:space="preserve"> for the ISBP publication to be </w:t>
      </w:r>
      <w:r w:rsidR="003F66A2" w:rsidRPr="00B0058E">
        <w:rPr>
          <w:rFonts w:ascii="Gellix" w:hAnsi="Gellix"/>
        </w:rPr>
        <w:t xml:space="preserve">made </w:t>
      </w:r>
      <w:r w:rsidR="001A6090" w:rsidRPr="00B0058E">
        <w:rPr>
          <w:rFonts w:ascii="Gellix" w:hAnsi="Gellix"/>
        </w:rPr>
        <w:t xml:space="preserve">more </w:t>
      </w:r>
      <w:r w:rsidRPr="00B0058E">
        <w:rPr>
          <w:rFonts w:ascii="Gellix" w:hAnsi="Gellix"/>
        </w:rPr>
        <w:t>easily accessible</w:t>
      </w:r>
      <w:r w:rsidR="003F66A2" w:rsidRPr="00B0058E">
        <w:rPr>
          <w:rFonts w:ascii="Gellix" w:hAnsi="Gellix"/>
        </w:rPr>
        <w:t xml:space="preserve"> to the market</w:t>
      </w:r>
      <w:r w:rsidR="00453E48" w:rsidRPr="00B0058E">
        <w:rPr>
          <w:rFonts w:ascii="Gellix" w:hAnsi="Gellix"/>
        </w:rPr>
        <w:t>; w</w:t>
      </w:r>
      <w:r w:rsidRPr="00B0058E">
        <w:rPr>
          <w:rFonts w:ascii="Gellix" w:hAnsi="Gellix"/>
        </w:rPr>
        <w:t xml:space="preserve">hilst most </w:t>
      </w:r>
      <w:r w:rsidR="001A6090" w:rsidRPr="00B0058E">
        <w:rPr>
          <w:rFonts w:ascii="Gellix" w:hAnsi="Gellix"/>
        </w:rPr>
        <w:t>documentary credit</w:t>
      </w:r>
      <w:r w:rsidRPr="00B0058E">
        <w:rPr>
          <w:rFonts w:ascii="Gellix" w:hAnsi="Gellix"/>
        </w:rPr>
        <w:t xml:space="preserve"> practitioners </w:t>
      </w:r>
      <w:r w:rsidR="003F66A2" w:rsidRPr="00B0058E">
        <w:rPr>
          <w:rFonts w:ascii="Gellix" w:hAnsi="Gellix"/>
        </w:rPr>
        <w:t>have access to</w:t>
      </w:r>
      <w:r w:rsidRPr="00B0058E">
        <w:rPr>
          <w:rFonts w:ascii="Gellix" w:hAnsi="Gellix"/>
        </w:rPr>
        <w:t xml:space="preserve"> UCP, this is </w:t>
      </w:r>
      <w:r w:rsidR="00453E48" w:rsidRPr="00B0058E">
        <w:rPr>
          <w:rFonts w:ascii="Gellix" w:hAnsi="Gellix"/>
        </w:rPr>
        <w:t xml:space="preserve">often </w:t>
      </w:r>
      <w:r w:rsidRPr="00B0058E">
        <w:rPr>
          <w:rFonts w:ascii="Gellix" w:hAnsi="Gellix"/>
        </w:rPr>
        <w:t xml:space="preserve">not the case for ISBP. </w:t>
      </w:r>
      <w:r w:rsidR="00453E48" w:rsidRPr="00B0058E">
        <w:rPr>
          <w:rFonts w:ascii="Gellix" w:hAnsi="Gellix"/>
          <w:bCs/>
        </w:rPr>
        <w:t>One key approach is to focus</w:t>
      </w:r>
      <w:r w:rsidRPr="00B0058E">
        <w:rPr>
          <w:rFonts w:ascii="Gellix" w:hAnsi="Gellix"/>
          <w:bCs/>
        </w:rPr>
        <w:t xml:space="preserve"> on </w:t>
      </w:r>
      <w:r w:rsidR="003F66A2" w:rsidRPr="00B0058E">
        <w:rPr>
          <w:rFonts w:ascii="Gellix" w:hAnsi="Gellix"/>
          <w:bCs/>
        </w:rPr>
        <w:t>reasonable</w:t>
      </w:r>
      <w:r w:rsidRPr="00B0058E">
        <w:rPr>
          <w:rFonts w:ascii="Gellix" w:hAnsi="Gellix"/>
          <w:bCs/>
        </w:rPr>
        <w:t xml:space="preserve"> pricin</w:t>
      </w:r>
      <w:r w:rsidR="000D0828" w:rsidRPr="00B0058E">
        <w:rPr>
          <w:rFonts w:ascii="Gellix" w:hAnsi="Gellix"/>
          <w:bCs/>
        </w:rPr>
        <w:t>g</w:t>
      </w:r>
      <w:r w:rsidR="003F66A2" w:rsidRPr="00B0058E">
        <w:rPr>
          <w:rFonts w:ascii="Gellix" w:hAnsi="Gellix"/>
          <w:bCs/>
        </w:rPr>
        <w:t xml:space="preserve"> and effective circulation</w:t>
      </w:r>
      <w:r w:rsidR="000D0828" w:rsidRPr="00B0058E">
        <w:rPr>
          <w:rFonts w:ascii="Gellix" w:hAnsi="Gellix"/>
          <w:bCs/>
          <w:iCs/>
        </w:rPr>
        <w:t>.</w:t>
      </w:r>
      <w:r w:rsidR="00BD3E74" w:rsidRPr="00B0058E">
        <w:rPr>
          <w:rFonts w:ascii="Gellix" w:hAnsi="Gellix"/>
          <w:bCs/>
          <w:iCs/>
        </w:rPr>
        <w:t xml:space="preserve"> </w:t>
      </w:r>
    </w:p>
    <w:p w14:paraId="0B269BAA" w14:textId="77777777" w:rsidR="000D0828" w:rsidRPr="00B0058E" w:rsidRDefault="000D0828" w:rsidP="002B1C53">
      <w:pPr>
        <w:rPr>
          <w:rFonts w:ascii="Gellix" w:hAnsi="Gellix"/>
        </w:rPr>
      </w:pPr>
    </w:p>
    <w:p w14:paraId="73DBAAFD" w14:textId="35C1A0DA" w:rsidR="00920144" w:rsidRPr="00B0058E" w:rsidRDefault="00BD51C1" w:rsidP="00522275">
      <w:pPr>
        <w:rPr>
          <w:rFonts w:ascii="Gellix" w:hAnsi="Gellix"/>
          <w:bCs/>
        </w:rPr>
      </w:pPr>
      <w:r w:rsidRPr="00B0058E">
        <w:rPr>
          <w:rFonts w:ascii="Gellix" w:hAnsi="Gellix"/>
          <w:bCs/>
        </w:rPr>
        <w:t xml:space="preserve">As stated in </w:t>
      </w:r>
      <w:hyperlink r:id="rId11" w:history="1">
        <w:r w:rsidRPr="00EE09FC">
          <w:rPr>
            <w:rStyle w:val="Hyperlink"/>
            <w:rFonts w:ascii="Gellix" w:hAnsi="Gellix"/>
            <w:bCs/>
          </w:rPr>
          <w:t>“</w:t>
        </w:r>
        <w:r w:rsidRPr="00EE09FC">
          <w:rPr>
            <w:rStyle w:val="Hyperlink"/>
            <w:rFonts w:ascii="Gellix" w:hAnsi="Gellix"/>
            <w:bCs/>
            <w:i/>
          </w:rPr>
          <w:t>Technical Advisory Briefing No. 3 Subject: Reducing discrepancy rates under Documentary Credits</w:t>
        </w:r>
        <w:r w:rsidRPr="00EE09FC">
          <w:rPr>
            <w:rStyle w:val="Hyperlink"/>
            <w:rFonts w:ascii="Gellix" w:hAnsi="Gellix"/>
            <w:bCs/>
          </w:rPr>
          <w:t>”</w:t>
        </w:r>
      </w:hyperlink>
      <w:r w:rsidRPr="00B0058E">
        <w:rPr>
          <w:rFonts w:ascii="Gellix" w:hAnsi="Gellix"/>
          <w:bCs/>
        </w:rPr>
        <w:t>, it is apparent that significant attention should be paid to the distributio</w:t>
      </w:r>
      <w:r w:rsidR="00920144" w:rsidRPr="00B0058E">
        <w:rPr>
          <w:rFonts w:ascii="Gellix" w:hAnsi="Gellix"/>
          <w:bCs/>
        </w:rPr>
        <w:t>n</w:t>
      </w:r>
      <w:r w:rsidRPr="00B0058E">
        <w:rPr>
          <w:rFonts w:ascii="Gellix" w:hAnsi="Gellix"/>
          <w:bCs/>
        </w:rPr>
        <w:t xml:space="preserve"> </w:t>
      </w:r>
      <w:r w:rsidR="00920144" w:rsidRPr="00B0058E">
        <w:rPr>
          <w:rFonts w:ascii="Gellix" w:hAnsi="Gellix"/>
          <w:bCs/>
        </w:rPr>
        <w:t xml:space="preserve">of, </w:t>
      </w:r>
      <w:r w:rsidRPr="00B0058E">
        <w:rPr>
          <w:rFonts w:ascii="Gellix" w:hAnsi="Gellix"/>
          <w:bCs/>
        </w:rPr>
        <w:t>and guidance in</w:t>
      </w:r>
      <w:r w:rsidR="00920144" w:rsidRPr="00B0058E">
        <w:rPr>
          <w:rFonts w:ascii="Gellix" w:hAnsi="Gellix"/>
          <w:bCs/>
        </w:rPr>
        <w:t>,</w:t>
      </w:r>
      <w:r w:rsidRPr="00B0058E">
        <w:rPr>
          <w:rFonts w:ascii="Gellix" w:hAnsi="Gellix"/>
          <w:bCs/>
        </w:rPr>
        <w:t xml:space="preserve"> the content </w:t>
      </w:r>
      <w:r w:rsidR="00920144" w:rsidRPr="00B0058E">
        <w:rPr>
          <w:rFonts w:ascii="Gellix" w:hAnsi="Gellix"/>
          <w:bCs/>
        </w:rPr>
        <w:t>of</w:t>
      </w:r>
      <w:r w:rsidRPr="00B0058E">
        <w:rPr>
          <w:rFonts w:ascii="Gellix" w:hAnsi="Gellix"/>
          <w:bCs/>
        </w:rPr>
        <w:t xml:space="preserve"> ISBP. The question of online access, digital availability, pricing, regular updates in line with Opinions, etc., must also be addressed. Furthermore, virtual and in-person </w:t>
      </w:r>
      <w:r w:rsidR="00EE45A4" w:rsidRPr="00B0058E">
        <w:rPr>
          <w:rFonts w:ascii="Gellix" w:hAnsi="Gellix"/>
          <w:bCs/>
        </w:rPr>
        <w:t xml:space="preserve">learning events </w:t>
      </w:r>
      <w:r w:rsidRPr="00B0058E">
        <w:rPr>
          <w:rFonts w:ascii="Gellix" w:hAnsi="Gellix"/>
          <w:bCs/>
        </w:rPr>
        <w:t>are considered to be of paramount importance</w:t>
      </w:r>
      <w:r w:rsidR="002B1C53" w:rsidRPr="00B0058E">
        <w:rPr>
          <w:rFonts w:ascii="Gellix" w:hAnsi="Gellix"/>
          <w:bCs/>
        </w:rPr>
        <w:t>.</w:t>
      </w:r>
      <w:r w:rsidRPr="00B0058E">
        <w:rPr>
          <w:rFonts w:ascii="Gellix" w:hAnsi="Gellix"/>
        </w:rPr>
        <w:t xml:space="preserve"> </w:t>
      </w:r>
      <w:r w:rsidRPr="00B0058E">
        <w:rPr>
          <w:rFonts w:ascii="Gellix" w:hAnsi="Gellix"/>
          <w:bCs/>
        </w:rPr>
        <w:t>ISBP is a practical supplement to UCP 600</w:t>
      </w:r>
      <w:r w:rsidR="00BE525C" w:rsidRPr="00B0058E">
        <w:rPr>
          <w:rFonts w:ascii="Gellix" w:hAnsi="Gellix"/>
          <w:bCs/>
        </w:rPr>
        <w:t xml:space="preserve">, and a holistic approach to training </w:t>
      </w:r>
      <w:r w:rsidR="00920144" w:rsidRPr="00B0058E">
        <w:rPr>
          <w:rFonts w:ascii="Gellix" w:hAnsi="Gellix"/>
          <w:bCs/>
        </w:rPr>
        <w:t>should</w:t>
      </w:r>
      <w:r w:rsidR="00BE525C" w:rsidRPr="00B0058E">
        <w:rPr>
          <w:rFonts w:ascii="Gellix" w:hAnsi="Gellix"/>
          <w:bCs/>
        </w:rPr>
        <w:t xml:space="preserve"> be adopted. </w:t>
      </w:r>
      <w:r w:rsidR="00522275" w:rsidRPr="00B0058E">
        <w:rPr>
          <w:rFonts w:ascii="Gellix" w:hAnsi="Gellix"/>
          <w:bCs/>
        </w:rPr>
        <w:t xml:space="preserve">Given that ISBP is structured around the examination of documents, an activity primarily conducted within banks, the main focus is on banking institutions. </w:t>
      </w:r>
    </w:p>
    <w:p w14:paraId="02D9C238" w14:textId="77777777" w:rsidR="00920144" w:rsidRPr="00B0058E" w:rsidRDefault="00920144" w:rsidP="00522275">
      <w:pPr>
        <w:rPr>
          <w:rFonts w:ascii="Gellix" w:hAnsi="Gellix"/>
          <w:bCs/>
        </w:rPr>
      </w:pPr>
    </w:p>
    <w:p w14:paraId="32D21696" w14:textId="66E4850E" w:rsidR="00522275" w:rsidRPr="00B0058E" w:rsidRDefault="00522275" w:rsidP="00522275">
      <w:pPr>
        <w:rPr>
          <w:rFonts w:ascii="Gellix" w:hAnsi="Gellix"/>
          <w:bCs/>
        </w:rPr>
      </w:pPr>
      <w:r w:rsidRPr="00B0058E">
        <w:rPr>
          <w:rFonts w:ascii="Gellix" w:hAnsi="Gellix"/>
          <w:bCs/>
        </w:rPr>
        <w:t>However, it</w:t>
      </w:r>
      <w:r w:rsidR="00920144" w:rsidRPr="00B0058E">
        <w:rPr>
          <w:rFonts w:ascii="Gellix" w:hAnsi="Gellix"/>
          <w:bCs/>
        </w:rPr>
        <w:t xml:space="preserve"> is</w:t>
      </w:r>
      <w:r w:rsidRPr="00B0058E">
        <w:rPr>
          <w:rFonts w:ascii="Gellix" w:hAnsi="Gellix"/>
          <w:bCs/>
        </w:rPr>
        <w:t xml:space="preserve"> important to also acknowledge the valuable role </w:t>
      </w:r>
      <w:r w:rsidR="00D05C1A" w:rsidRPr="00B0058E">
        <w:rPr>
          <w:rFonts w:ascii="Gellix" w:hAnsi="Gellix"/>
          <w:bCs/>
        </w:rPr>
        <w:t xml:space="preserve">that </w:t>
      </w:r>
      <w:r w:rsidRPr="00B0058E">
        <w:rPr>
          <w:rFonts w:ascii="Gellix" w:hAnsi="Gellix"/>
          <w:bCs/>
        </w:rPr>
        <w:t xml:space="preserve">ISBP </w:t>
      </w:r>
      <w:r w:rsidR="00D05C1A" w:rsidRPr="00B0058E">
        <w:rPr>
          <w:rFonts w:ascii="Gellix" w:hAnsi="Gellix"/>
          <w:bCs/>
        </w:rPr>
        <w:t>provides</w:t>
      </w:r>
      <w:r w:rsidRPr="00B0058E">
        <w:rPr>
          <w:rFonts w:ascii="Gellix" w:hAnsi="Gellix"/>
          <w:bCs/>
        </w:rPr>
        <w:t xml:space="preserve"> for </w:t>
      </w:r>
      <w:r w:rsidR="00D05C1A" w:rsidRPr="00B0058E">
        <w:rPr>
          <w:rFonts w:ascii="Gellix" w:hAnsi="Gellix"/>
          <w:bCs/>
        </w:rPr>
        <w:t>other parties, thereby helping to significantly reduce the rate of discrepancies on first presentation:  </w:t>
      </w:r>
    </w:p>
    <w:p w14:paraId="6B689542" w14:textId="67D145DF" w:rsidR="00D05C1A" w:rsidRPr="00B0058E" w:rsidRDefault="00D05C1A" w:rsidP="00B0058E">
      <w:pPr>
        <w:pStyle w:val="ListParagraph"/>
        <w:rPr>
          <w:rFonts w:ascii="Gellix" w:hAnsi="Gellix"/>
          <w:bCs/>
        </w:rPr>
      </w:pPr>
      <w:r w:rsidRPr="00B0058E">
        <w:rPr>
          <w:rFonts w:ascii="Gellix" w:hAnsi="Gellix"/>
          <w:bCs/>
        </w:rPr>
        <w:t xml:space="preserve">applicants, e.g., by consulting ISBP text to ensure that the correct and appropriate wording is inserted into their LC application forms to avoid any issues of ambiguity; </w:t>
      </w:r>
    </w:p>
    <w:p w14:paraId="0E889C52" w14:textId="31E55F84" w:rsidR="00D05C1A" w:rsidRPr="00B0058E" w:rsidRDefault="00D05C1A" w:rsidP="00B0058E">
      <w:pPr>
        <w:pStyle w:val="ListParagraph"/>
        <w:rPr>
          <w:rFonts w:ascii="Gellix" w:hAnsi="Gellix"/>
          <w:bCs/>
        </w:rPr>
      </w:pPr>
      <w:r w:rsidRPr="00B0058E">
        <w:rPr>
          <w:rFonts w:ascii="Gellix" w:hAnsi="Gellix"/>
          <w:bCs/>
        </w:rPr>
        <w:t xml:space="preserve">beneficiaries, e.g., in understanding the type of data that must, may, or need not, be incorporated into the documents they create or have others create </w:t>
      </w:r>
      <w:r w:rsidR="00920144" w:rsidRPr="00B0058E">
        <w:rPr>
          <w:rFonts w:ascii="Gellix" w:hAnsi="Gellix"/>
          <w:bCs/>
        </w:rPr>
        <w:t xml:space="preserve">on their behalf </w:t>
      </w:r>
      <w:r w:rsidRPr="00B0058E">
        <w:rPr>
          <w:rFonts w:ascii="Gellix" w:hAnsi="Gellix"/>
          <w:bCs/>
        </w:rPr>
        <w:t xml:space="preserve">for a presentation under a credit; </w:t>
      </w:r>
    </w:p>
    <w:p w14:paraId="40389C26" w14:textId="2EA2C569" w:rsidR="00D05C1A" w:rsidRPr="00B0058E" w:rsidRDefault="00D05C1A" w:rsidP="00B0058E">
      <w:pPr>
        <w:pStyle w:val="ListParagraph"/>
        <w:rPr>
          <w:rFonts w:ascii="Gellix" w:hAnsi="Gellix"/>
          <w:bCs/>
        </w:rPr>
      </w:pPr>
      <w:r w:rsidRPr="00B0058E">
        <w:rPr>
          <w:rFonts w:ascii="Gellix" w:hAnsi="Gellix"/>
          <w:bCs/>
        </w:rPr>
        <w:t>logistics and insurance companies, e.g., in the creation of transport and insurance documents under a credit and the benefit they can derive from the content of ISBP to aid that process. </w:t>
      </w:r>
    </w:p>
    <w:p w14:paraId="56CB3492" w14:textId="77777777" w:rsidR="00D05C1A" w:rsidRPr="00B0058E" w:rsidRDefault="00D05C1A" w:rsidP="00D05C1A">
      <w:pPr>
        <w:rPr>
          <w:rFonts w:ascii="Gellix" w:hAnsi="Gellix"/>
          <w:bCs/>
        </w:rPr>
      </w:pPr>
    </w:p>
    <w:p w14:paraId="5D646182" w14:textId="3B783315" w:rsidR="00D05C1A" w:rsidRPr="00B0058E" w:rsidRDefault="00D05C1A" w:rsidP="00D05C1A">
      <w:pPr>
        <w:rPr>
          <w:rFonts w:ascii="Gellix" w:hAnsi="Gellix"/>
          <w:bCs/>
        </w:rPr>
      </w:pPr>
      <w:r w:rsidRPr="00B0058E">
        <w:rPr>
          <w:rFonts w:ascii="Gellix" w:hAnsi="Gellix"/>
          <w:bCs/>
        </w:rPr>
        <w:t xml:space="preserve">It is anticipated that the main benefit for </w:t>
      </w:r>
      <w:r w:rsidR="00920144" w:rsidRPr="00B0058E">
        <w:rPr>
          <w:rFonts w:ascii="Gellix" w:hAnsi="Gellix"/>
          <w:bCs/>
        </w:rPr>
        <w:t>the above</w:t>
      </w:r>
      <w:r w:rsidRPr="00B0058E">
        <w:rPr>
          <w:rFonts w:ascii="Gellix" w:hAnsi="Gellix"/>
          <w:bCs/>
        </w:rPr>
        <w:t xml:space="preserve"> parties will naturally flow from enhanced performance by the banks. Ultimately, the documentary credit market demands consistency in the examination of documents and in the training of </w:t>
      </w:r>
      <w:r w:rsidRPr="00B0058E">
        <w:rPr>
          <w:rFonts w:ascii="Gellix" w:hAnsi="Gellix"/>
          <w:bCs/>
        </w:rPr>
        <w:lastRenderedPageBreak/>
        <w:t>practitioners. </w:t>
      </w:r>
      <w:r w:rsidR="00EE45A4" w:rsidRPr="00B0058E">
        <w:rPr>
          <w:rFonts w:ascii="Gellix" w:hAnsi="Gellix"/>
          <w:bCs/>
        </w:rPr>
        <w:t xml:space="preserve">Such </w:t>
      </w:r>
      <w:r w:rsidR="00920144" w:rsidRPr="00B0058E">
        <w:rPr>
          <w:rFonts w:ascii="Gellix" w:hAnsi="Gellix"/>
          <w:bCs/>
        </w:rPr>
        <w:t>methodology</w:t>
      </w:r>
      <w:r w:rsidR="00EE45A4" w:rsidRPr="00B0058E">
        <w:rPr>
          <w:rFonts w:ascii="Gellix" w:hAnsi="Gellix"/>
          <w:bCs/>
        </w:rPr>
        <w:t xml:space="preserve"> will improve processing and save costs for all involved. </w:t>
      </w:r>
    </w:p>
    <w:p w14:paraId="369C6B9D" w14:textId="77777777" w:rsidR="00BD51C1" w:rsidRPr="00B0058E" w:rsidRDefault="00BD51C1" w:rsidP="002B1C53">
      <w:pPr>
        <w:rPr>
          <w:rFonts w:ascii="Gellix" w:hAnsi="Gellix"/>
          <w:bCs/>
        </w:rPr>
      </w:pPr>
    </w:p>
    <w:p w14:paraId="5C1F67D9" w14:textId="131A3B3A" w:rsidR="001A6090" w:rsidRPr="00B0058E" w:rsidRDefault="001A6090" w:rsidP="002B1C53">
      <w:pPr>
        <w:rPr>
          <w:rFonts w:ascii="Gellix" w:hAnsi="Gellix"/>
          <w:b/>
          <w:bCs/>
          <w:u w:val="single"/>
        </w:rPr>
      </w:pPr>
      <w:r w:rsidRPr="00B0058E">
        <w:rPr>
          <w:rFonts w:ascii="Gellix" w:hAnsi="Gellix"/>
          <w:b/>
          <w:bCs/>
          <w:u w:val="single"/>
        </w:rPr>
        <w:t>MANDATE</w:t>
      </w:r>
    </w:p>
    <w:p w14:paraId="7FE8B55E" w14:textId="1620590C" w:rsidR="001A6090" w:rsidRPr="00B0058E" w:rsidRDefault="001A6090" w:rsidP="002B1C53">
      <w:pPr>
        <w:rPr>
          <w:rFonts w:ascii="Gellix" w:hAnsi="Gellix"/>
          <w:bCs/>
        </w:rPr>
      </w:pPr>
      <w:r w:rsidRPr="00B0058E">
        <w:rPr>
          <w:rFonts w:ascii="Gellix" w:hAnsi="Gellix"/>
          <w:bCs/>
        </w:rPr>
        <w:t xml:space="preserve">This is not an issue </w:t>
      </w:r>
      <w:r w:rsidR="00BD51C1" w:rsidRPr="00B0058E">
        <w:rPr>
          <w:rFonts w:ascii="Gellix" w:hAnsi="Gellix"/>
          <w:bCs/>
        </w:rPr>
        <w:t>that can be</w:t>
      </w:r>
      <w:r w:rsidRPr="00B0058E">
        <w:rPr>
          <w:rFonts w:ascii="Gellix" w:hAnsi="Gellix"/>
          <w:bCs/>
        </w:rPr>
        <w:t xml:space="preserve"> addressed by the proposed ISBP 821 revision. As agreed by the ICC Banking Commission Steer</w:t>
      </w:r>
      <w:r w:rsidR="006C5E4C">
        <w:rPr>
          <w:rFonts w:ascii="Gellix" w:hAnsi="Gellix"/>
          <w:bCs/>
        </w:rPr>
        <w:t>ing group</w:t>
      </w:r>
      <w:r w:rsidRPr="00B0058E">
        <w:rPr>
          <w:rFonts w:ascii="Gellix" w:hAnsi="Gellix"/>
          <w:bCs/>
        </w:rPr>
        <w:t xml:space="preserve">, a separate project has </w:t>
      </w:r>
      <w:r w:rsidR="00BD51C1" w:rsidRPr="00B0058E">
        <w:rPr>
          <w:rFonts w:ascii="Gellix" w:hAnsi="Gellix"/>
          <w:bCs/>
        </w:rPr>
        <w:t xml:space="preserve">now </w:t>
      </w:r>
      <w:r w:rsidRPr="00B0058E">
        <w:rPr>
          <w:rFonts w:ascii="Gellix" w:hAnsi="Gellix"/>
          <w:bCs/>
        </w:rPr>
        <w:t xml:space="preserve">been established to examine these issues. </w:t>
      </w:r>
    </w:p>
    <w:p w14:paraId="16F0818E" w14:textId="77777777" w:rsidR="000D0828" w:rsidRPr="00B0058E" w:rsidRDefault="000D0828" w:rsidP="002B1C53">
      <w:pPr>
        <w:rPr>
          <w:rFonts w:ascii="Gellix" w:hAnsi="Gellix"/>
          <w:bCs/>
          <w:iCs/>
        </w:rPr>
      </w:pPr>
    </w:p>
    <w:p w14:paraId="24BC3C21" w14:textId="77777777" w:rsidR="001A6090" w:rsidRPr="00B0058E" w:rsidRDefault="001A6090" w:rsidP="00B0058E">
      <w:pPr>
        <w:rPr>
          <w:rFonts w:ascii="Gellix" w:hAnsi="Gellix"/>
        </w:rPr>
      </w:pPr>
      <w:r w:rsidRPr="00B0058E">
        <w:rPr>
          <w:rFonts w:ascii="Gellix" w:hAnsi="Gellix"/>
        </w:rPr>
        <w:t>Chair: Dave Meynell</w:t>
      </w:r>
    </w:p>
    <w:p w14:paraId="645B96C7" w14:textId="77777777" w:rsidR="001A6090" w:rsidRPr="00B0058E" w:rsidRDefault="001A6090" w:rsidP="00B0058E">
      <w:pPr>
        <w:rPr>
          <w:rFonts w:ascii="Gellix" w:hAnsi="Gellix"/>
        </w:rPr>
      </w:pPr>
      <w:r w:rsidRPr="00B0058E">
        <w:rPr>
          <w:rFonts w:ascii="Gellix" w:hAnsi="Gellix"/>
        </w:rPr>
        <w:t>Vice-Chair: Pavel Andrle</w:t>
      </w:r>
    </w:p>
    <w:p w14:paraId="28B43380" w14:textId="77777777" w:rsidR="001A6090" w:rsidRPr="00B0058E" w:rsidRDefault="001A6090" w:rsidP="00B0058E">
      <w:pPr>
        <w:rPr>
          <w:rFonts w:ascii="Gellix" w:hAnsi="Gellix"/>
        </w:rPr>
      </w:pPr>
      <w:r w:rsidRPr="00B0058E">
        <w:rPr>
          <w:rFonts w:ascii="Gellix" w:hAnsi="Gellix"/>
        </w:rPr>
        <w:t>Working Group: TA Briefing Team</w:t>
      </w:r>
    </w:p>
    <w:p w14:paraId="24287BDC" w14:textId="77777777" w:rsidR="001A6090" w:rsidRPr="00B0058E" w:rsidRDefault="001A6090" w:rsidP="00B0058E">
      <w:pPr>
        <w:rPr>
          <w:rFonts w:ascii="Gellix" w:hAnsi="Gellix"/>
        </w:rPr>
      </w:pPr>
      <w:r w:rsidRPr="00B0058E">
        <w:rPr>
          <w:rFonts w:ascii="Gellix" w:hAnsi="Gellix"/>
        </w:rPr>
        <w:t>“Sounding Board”: ICC National Committees</w:t>
      </w:r>
    </w:p>
    <w:p w14:paraId="5FE97965" w14:textId="4A018570" w:rsidR="00BB1EEE" w:rsidRPr="00B0058E" w:rsidRDefault="001A6090" w:rsidP="00B0058E">
      <w:pPr>
        <w:rPr>
          <w:rFonts w:ascii="Gellix" w:hAnsi="Gellix"/>
        </w:rPr>
      </w:pPr>
      <w:r w:rsidRPr="00B0058E">
        <w:rPr>
          <w:rFonts w:ascii="Gellix" w:hAnsi="Gellix"/>
        </w:rPr>
        <w:t>ICC Liaison: Tomasch Kubiak</w:t>
      </w:r>
    </w:p>
    <w:p w14:paraId="132A141C" w14:textId="0D4C8858" w:rsidR="00BB1EEE" w:rsidRPr="00B0058E" w:rsidRDefault="00BB1EEE" w:rsidP="001A6090">
      <w:pPr>
        <w:rPr>
          <w:rFonts w:ascii="Gellix" w:hAnsi="Gellix"/>
          <w:bCs/>
        </w:rPr>
      </w:pPr>
    </w:p>
    <w:p w14:paraId="29157104" w14:textId="77777777" w:rsidR="00920144" w:rsidRPr="00B0058E" w:rsidRDefault="00920144" w:rsidP="001A6090">
      <w:pPr>
        <w:rPr>
          <w:rFonts w:ascii="Gellix" w:hAnsi="Gellix"/>
          <w:bCs/>
        </w:rPr>
      </w:pPr>
    </w:p>
    <w:p w14:paraId="08D11D66" w14:textId="03BB6D18" w:rsidR="00405BD8" w:rsidRPr="00B0058E" w:rsidRDefault="00405BD8" w:rsidP="00B0058E">
      <w:pPr>
        <w:pStyle w:val="ListParagraph"/>
        <w:rPr>
          <w:rFonts w:ascii="Gellix" w:hAnsi="Gellix"/>
          <w:b/>
          <w:bCs/>
          <w:u w:val="single"/>
        </w:rPr>
      </w:pPr>
      <w:r w:rsidRPr="00B0058E">
        <w:rPr>
          <w:rFonts w:ascii="Gellix" w:hAnsi="Gellix"/>
          <w:b/>
          <w:bCs/>
          <w:u w:val="single"/>
        </w:rPr>
        <w:t>EXISTING DOCUMENTARY CREDIT GUIDANCE</w:t>
      </w:r>
    </w:p>
    <w:p w14:paraId="63795486" w14:textId="73837989" w:rsidR="00B26B2F" w:rsidRPr="00B0058E" w:rsidRDefault="00405BD8" w:rsidP="002B1C53">
      <w:pPr>
        <w:rPr>
          <w:rFonts w:ascii="Gellix" w:hAnsi="Gellix"/>
          <w:bCs/>
        </w:rPr>
      </w:pPr>
      <w:r w:rsidRPr="00B0058E">
        <w:rPr>
          <w:rFonts w:ascii="Gellix" w:hAnsi="Gellix"/>
          <w:bCs/>
        </w:rPr>
        <w:t xml:space="preserve">Need to ensure that practitioners are </w:t>
      </w:r>
      <w:r w:rsidR="007D39A5" w:rsidRPr="00B0058E">
        <w:rPr>
          <w:rFonts w:ascii="Gellix" w:hAnsi="Gellix"/>
          <w:bCs/>
        </w:rPr>
        <w:t xml:space="preserve">fully </w:t>
      </w:r>
      <w:r w:rsidRPr="00B0058E">
        <w:rPr>
          <w:rFonts w:ascii="Gellix" w:hAnsi="Gellix"/>
          <w:bCs/>
        </w:rPr>
        <w:t>aware of current support material, including:</w:t>
      </w:r>
    </w:p>
    <w:p w14:paraId="3BB54E81" w14:textId="4B9C6EC6" w:rsidR="00405BD8" w:rsidRPr="00B0058E" w:rsidRDefault="00405BD8" w:rsidP="00B0058E">
      <w:pPr>
        <w:pStyle w:val="ListParagraph"/>
        <w:rPr>
          <w:rFonts w:ascii="Gellix" w:hAnsi="Gellix"/>
          <w:bCs/>
        </w:rPr>
      </w:pPr>
      <w:r w:rsidRPr="00B0058E">
        <w:rPr>
          <w:rFonts w:ascii="Gellix" w:hAnsi="Gellix"/>
          <w:bCs/>
        </w:rPr>
        <w:t>Banking Commission “</w:t>
      </w:r>
      <w:r w:rsidRPr="00B0058E">
        <w:rPr>
          <w:rFonts w:ascii="Gellix" w:hAnsi="Gellix"/>
          <w:bCs/>
          <w:i/>
        </w:rPr>
        <w:t>Guidance Notes for Documentary Credit Formats</w:t>
      </w:r>
      <w:r w:rsidRPr="00B0058E">
        <w:rPr>
          <w:rFonts w:ascii="Gellix" w:hAnsi="Gellix"/>
          <w:bCs/>
        </w:rPr>
        <w:t>”</w:t>
      </w:r>
      <w:r w:rsidR="00537695">
        <w:rPr>
          <w:rStyle w:val="FootnoteReference"/>
          <w:rFonts w:ascii="Gellix" w:hAnsi="Gellix"/>
          <w:bCs/>
        </w:rPr>
        <w:footnoteReference w:id="2"/>
      </w:r>
      <w:r w:rsidRPr="00B0058E">
        <w:rPr>
          <w:rFonts w:ascii="Gellix" w:hAnsi="Gellix"/>
          <w:bCs/>
        </w:rPr>
        <w:t xml:space="preserve"> </w:t>
      </w:r>
      <w:r w:rsidR="007D39A5" w:rsidRPr="00B0058E">
        <w:rPr>
          <w:rFonts w:ascii="Gellix" w:hAnsi="Gellix"/>
          <w:bCs/>
        </w:rPr>
        <w:t>with</w:t>
      </w:r>
      <w:r w:rsidRPr="00B0058E">
        <w:rPr>
          <w:rFonts w:ascii="Gellix" w:hAnsi="Gellix"/>
          <w:bCs/>
        </w:rPr>
        <w:t xml:space="preserve"> guidance in respect of the optimal approach required in order to achieve a straightforward, uncomplicated, documentary credit format</w:t>
      </w:r>
      <w:r w:rsidR="007D39A5" w:rsidRPr="00B0058E">
        <w:rPr>
          <w:rFonts w:ascii="Gellix" w:hAnsi="Gellix"/>
          <w:bCs/>
        </w:rPr>
        <w:t>.</w:t>
      </w:r>
    </w:p>
    <w:p w14:paraId="28A2D5D3" w14:textId="39A2286A" w:rsidR="00405BD8" w:rsidRPr="00B0058E" w:rsidRDefault="00405BD8" w:rsidP="00B0058E">
      <w:pPr>
        <w:pStyle w:val="ListParagraph"/>
        <w:rPr>
          <w:rFonts w:ascii="Gellix" w:hAnsi="Gellix"/>
          <w:bCs/>
        </w:rPr>
      </w:pPr>
      <w:r w:rsidRPr="00B0058E">
        <w:rPr>
          <w:rFonts w:ascii="Gellix" w:hAnsi="Gellix"/>
          <w:bCs/>
        </w:rPr>
        <w:t xml:space="preserve">Technical Advisory Briefing Papers </w:t>
      </w:r>
      <w:r w:rsidR="00BD3E74" w:rsidRPr="00B0058E">
        <w:rPr>
          <w:rFonts w:ascii="Gellix" w:hAnsi="Gellix"/>
          <w:bCs/>
        </w:rPr>
        <w:t xml:space="preserve">that </w:t>
      </w:r>
      <w:r w:rsidRPr="00B0058E">
        <w:rPr>
          <w:rFonts w:ascii="Gellix" w:hAnsi="Gellix"/>
          <w:bCs/>
        </w:rPr>
        <w:t>have been issued on key issues</w:t>
      </w:r>
      <w:r w:rsidR="007D39A5" w:rsidRPr="00B0058E">
        <w:rPr>
          <w:rFonts w:ascii="Gellix" w:hAnsi="Gellix"/>
          <w:bCs/>
        </w:rPr>
        <w:t>.</w:t>
      </w:r>
    </w:p>
    <w:p w14:paraId="56D888C1" w14:textId="1CF540E7" w:rsidR="00405BD8" w:rsidRPr="00B0058E" w:rsidRDefault="00405BD8" w:rsidP="00B0058E">
      <w:pPr>
        <w:pStyle w:val="ListParagraph"/>
        <w:rPr>
          <w:rFonts w:ascii="Gellix" w:hAnsi="Gellix"/>
          <w:bCs/>
        </w:rPr>
      </w:pPr>
      <w:r w:rsidRPr="00B0058E">
        <w:rPr>
          <w:rFonts w:ascii="Gellix" w:hAnsi="Gellix"/>
          <w:bCs/>
        </w:rPr>
        <w:t xml:space="preserve">Numerous ICC Academy Guidance Papers for documentary credits </w:t>
      </w:r>
      <w:r w:rsidR="00BD3E74" w:rsidRPr="00B0058E">
        <w:rPr>
          <w:rFonts w:ascii="Gellix" w:hAnsi="Gellix"/>
          <w:bCs/>
        </w:rPr>
        <w:t xml:space="preserve">which </w:t>
      </w:r>
      <w:r w:rsidRPr="00B0058E">
        <w:rPr>
          <w:rFonts w:ascii="Gellix" w:hAnsi="Gellix"/>
          <w:bCs/>
        </w:rPr>
        <w:t>are available for download free of charge</w:t>
      </w:r>
      <w:r w:rsidR="007D39A5" w:rsidRPr="00B0058E">
        <w:rPr>
          <w:rFonts w:ascii="Gellix" w:hAnsi="Gellix"/>
          <w:bCs/>
        </w:rPr>
        <w:t>.</w:t>
      </w:r>
    </w:p>
    <w:p w14:paraId="1C62D40F" w14:textId="77777777" w:rsidR="00BD3E74" w:rsidRPr="00B0058E" w:rsidRDefault="00BD3E74" w:rsidP="00405BD8">
      <w:pPr>
        <w:rPr>
          <w:rFonts w:ascii="Gellix" w:hAnsi="Gellix"/>
          <w:bCs/>
        </w:rPr>
      </w:pPr>
    </w:p>
    <w:p w14:paraId="029DF650" w14:textId="498EC6D3" w:rsidR="00BD3E74" w:rsidRPr="00B0058E" w:rsidRDefault="001674B3" w:rsidP="00405BD8">
      <w:pPr>
        <w:rPr>
          <w:rFonts w:ascii="Gellix" w:hAnsi="Gellix"/>
          <w:bCs/>
        </w:rPr>
      </w:pPr>
      <w:r w:rsidRPr="00B0058E">
        <w:rPr>
          <w:rFonts w:ascii="Gellix" w:hAnsi="Gellix"/>
          <w:bCs/>
        </w:rPr>
        <w:t>Additionally, f</w:t>
      </w:r>
      <w:r w:rsidR="00BD3E74" w:rsidRPr="00B0058E">
        <w:rPr>
          <w:rFonts w:ascii="Gellix" w:hAnsi="Gellix"/>
          <w:bCs/>
        </w:rPr>
        <w:t>or those with access to the ICC Digital Library:</w:t>
      </w:r>
    </w:p>
    <w:p w14:paraId="79F5CDAE" w14:textId="329A76CB" w:rsidR="00BD3E74" w:rsidRPr="00B0058E" w:rsidRDefault="002F7B96" w:rsidP="00B0058E">
      <w:pPr>
        <w:pStyle w:val="ListParagraph"/>
        <w:rPr>
          <w:rFonts w:ascii="Gellix" w:hAnsi="Gellix"/>
          <w:bCs/>
          <w:lang w:val="fr-FR"/>
        </w:rPr>
      </w:pPr>
      <w:hyperlink r:id="rId12" w:history="1">
        <w:r w:rsidR="00BD3E74" w:rsidRPr="002F7B96">
          <w:rPr>
            <w:rStyle w:val="Hyperlink"/>
            <w:rFonts w:ascii="Gellix" w:hAnsi="Gellix"/>
            <w:bCs/>
            <w:lang w:val="fr-FR"/>
          </w:rPr>
          <w:t>ICC Opinions</w:t>
        </w:r>
      </w:hyperlink>
    </w:p>
    <w:p w14:paraId="65E07555" w14:textId="26E028B1" w:rsidR="00BD3E74" w:rsidRPr="00B0058E" w:rsidRDefault="00AA38AF" w:rsidP="00B0058E">
      <w:pPr>
        <w:pStyle w:val="ListParagraph"/>
        <w:rPr>
          <w:rFonts w:ascii="Gellix" w:hAnsi="Gellix"/>
          <w:bCs/>
          <w:lang w:val="fr-FR"/>
        </w:rPr>
      </w:pPr>
      <w:hyperlink r:id="rId13" w:history="1">
        <w:r w:rsidR="00BD3E74" w:rsidRPr="00AA38AF">
          <w:rPr>
            <w:rStyle w:val="Hyperlink"/>
            <w:rFonts w:ascii="Gellix" w:hAnsi="Gellix"/>
            <w:bCs/>
            <w:lang w:val="fr-FR"/>
          </w:rPr>
          <w:t>Guidance Papers</w:t>
        </w:r>
      </w:hyperlink>
    </w:p>
    <w:p w14:paraId="6F023816" w14:textId="71EBE24D" w:rsidR="00BD3E74" w:rsidRPr="00B0058E" w:rsidRDefault="00EE60CD" w:rsidP="00B0058E">
      <w:pPr>
        <w:pStyle w:val="ListParagraph"/>
        <w:rPr>
          <w:rFonts w:ascii="Gellix" w:hAnsi="Gellix"/>
          <w:bCs/>
          <w:lang w:val="fr-FR"/>
        </w:rPr>
      </w:pPr>
      <w:hyperlink r:id="rId14" w:history="1">
        <w:r w:rsidR="00BD3E74" w:rsidRPr="00EE60CD">
          <w:rPr>
            <w:rStyle w:val="Hyperlink"/>
            <w:rFonts w:ascii="Gellix" w:hAnsi="Gellix"/>
            <w:bCs/>
            <w:lang w:val="fr-FR"/>
          </w:rPr>
          <w:t>Digital Commercialisation Briefings</w:t>
        </w:r>
      </w:hyperlink>
    </w:p>
    <w:p w14:paraId="7941FA24" w14:textId="554D422E" w:rsidR="00BD3E74" w:rsidRPr="00B0058E" w:rsidRDefault="00EE60CD" w:rsidP="00B0058E">
      <w:pPr>
        <w:pStyle w:val="ListParagraph"/>
        <w:rPr>
          <w:rFonts w:ascii="Gellix" w:hAnsi="Gellix"/>
          <w:bCs/>
        </w:rPr>
      </w:pPr>
      <w:hyperlink r:id="rId15" w:history="1">
        <w:r w:rsidR="00BD3E74" w:rsidRPr="00EE60CD">
          <w:rPr>
            <w:rStyle w:val="Hyperlink"/>
            <w:rFonts w:ascii="Gellix" w:hAnsi="Gellix"/>
            <w:bCs/>
          </w:rPr>
          <w:t>DOCDEX Decisions</w:t>
        </w:r>
      </w:hyperlink>
    </w:p>
    <w:p w14:paraId="392A89C9" w14:textId="77777777" w:rsidR="00EE60CD" w:rsidRDefault="00EE60CD">
      <w:pPr>
        <w:rPr>
          <w:rFonts w:ascii="Gellix" w:hAnsi="Gellix"/>
          <w:bCs/>
        </w:rPr>
      </w:pPr>
    </w:p>
    <w:p w14:paraId="1952189A" w14:textId="310916A9" w:rsidR="00405BD8" w:rsidRPr="00B0058E" w:rsidRDefault="00FC2E20" w:rsidP="00405BD8">
      <w:pPr>
        <w:rPr>
          <w:rFonts w:ascii="Gellix" w:hAnsi="Gellix"/>
          <w:b/>
          <w:bCs/>
        </w:rPr>
      </w:pPr>
      <w:r w:rsidRPr="00B0058E">
        <w:rPr>
          <w:rFonts w:ascii="Gellix" w:hAnsi="Gellix"/>
          <w:b/>
          <w:bCs/>
        </w:rPr>
        <w:t xml:space="preserve">RECOMMENDED </w:t>
      </w:r>
      <w:r w:rsidR="00405BD8" w:rsidRPr="00B0058E">
        <w:rPr>
          <w:rFonts w:ascii="Gellix" w:hAnsi="Gellix"/>
          <w:b/>
          <w:bCs/>
        </w:rPr>
        <w:t xml:space="preserve">ACTION POINT: </w:t>
      </w:r>
      <w:r w:rsidR="00406C78" w:rsidRPr="00B0058E">
        <w:rPr>
          <w:rFonts w:ascii="Gellix" w:hAnsi="Gellix"/>
          <w:b/>
          <w:bCs/>
        </w:rPr>
        <w:t xml:space="preserve">Banking Commission to </w:t>
      </w:r>
      <w:r w:rsidR="00405BD8" w:rsidRPr="00B0058E">
        <w:rPr>
          <w:rFonts w:ascii="Gellix" w:hAnsi="Gellix"/>
          <w:b/>
          <w:bCs/>
        </w:rPr>
        <w:t xml:space="preserve">initiate a </w:t>
      </w:r>
      <w:r w:rsidR="0029446D" w:rsidRPr="00B0058E">
        <w:rPr>
          <w:rFonts w:ascii="Gellix" w:hAnsi="Gellix"/>
          <w:b/>
          <w:bCs/>
        </w:rPr>
        <w:t>global</w:t>
      </w:r>
      <w:r w:rsidR="00405BD8" w:rsidRPr="00B0058E">
        <w:rPr>
          <w:rFonts w:ascii="Gellix" w:hAnsi="Gellix"/>
          <w:b/>
          <w:bCs/>
        </w:rPr>
        <w:t xml:space="preserve"> PR campaign in order to </w:t>
      </w:r>
      <w:r w:rsidR="00BD3E74" w:rsidRPr="00B0058E">
        <w:rPr>
          <w:rFonts w:ascii="Gellix" w:hAnsi="Gellix"/>
          <w:b/>
          <w:bCs/>
        </w:rPr>
        <w:t xml:space="preserve">increase </w:t>
      </w:r>
      <w:r w:rsidR="00405BD8" w:rsidRPr="00B0058E">
        <w:rPr>
          <w:rFonts w:ascii="Gellix" w:hAnsi="Gellix"/>
          <w:b/>
          <w:bCs/>
        </w:rPr>
        <w:t>visibility and public knowledge</w:t>
      </w:r>
      <w:r w:rsidR="00BD3E74" w:rsidRPr="00B0058E">
        <w:rPr>
          <w:rFonts w:ascii="Gellix" w:hAnsi="Gellix"/>
          <w:b/>
          <w:bCs/>
        </w:rPr>
        <w:t>.</w:t>
      </w:r>
    </w:p>
    <w:p w14:paraId="27DA0109" w14:textId="2B25DDEC" w:rsidR="0029446D" w:rsidRPr="00B0058E" w:rsidRDefault="0029446D" w:rsidP="002B1C53">
      <w:pPr>
        <w:rPr>
          <w:rFonts w:ascii="Gellix" w:hAnsi="Gellix"/>
          <w:bCs/>
        </w:rPr>
      </w:pPr>
    </w:p>
    <w:p w14:paraId="66BF7F5F" w14:textId="77777777" w:rsidR="00920144" w:rsidRDefault="00920144" w:rsidP="002B1C53">
      <w:pPr>
        <w:rPr>
          <w:rFonts w:ascii="Gellix" w:hAnsi="Gellix"/>
          <w:bCs/>
        </w:rPr>
      </w:pPr>
    </w:p>
    <w:p w14:paraId="12B30B56" w14:textId="77777777" w:rsidR="00451767" w:rsidRDefault="00451767" w:rsidP="002B1C53">
      <w:pPr>
        <w:rPr>
          <w:rFonts w:ascii="Gellix" w:hAnsi="Gellix"/>
          <w:bCs/>
        </w:rPr>
      </w:pPr>
    </w:p>
    <w:p w14:paraId="1A8376B1" w14:textId="77777777" w:rsidR="006E1CF5" w:rsidRPr="00B0058E" w:rsidRDefault="006E1CF5" w:rsidP="002B1C53">
      <w:pPr>
        <w:rPr>
          <w:rFonts w:ascii="Gellix" w:hAnsi="Gellix"/>
          <w:bCs/>
        </w:rPr>
      </w:pPr>
    </w:p>
    <w:p w14:paraId="019D2E6F" w14:textId="7A6479EE" w:rsidR="0029446D" w:rsidRPr="00B0058E" w:rsidRDefault="0033223C" w:rsidP="00B0058E">
      <w:pPr>
        <w:pStyle w:val="ListParagraph"/>
        <w:rPr>
          <w:rFonts w:ascii="Gellix" w:hAnsi="Gellix"/>
          <w:b/>
          <w:bCs/>
          <w:u w:val="single"/>
        </w:rPr>
      </w:pPr>
      <w:r w:rsidRPr="00B0058E">
        <w:rPr>
          <w:rFonts w:ascii="Gellix" w:hAnsi="Gellix"/>
          <w:b/>
          <w:bCs/>
          <w:u w:val="single"/>
        </w:rPr>
        <w:lastRenderedPageBreak/>
        <w:t>AFFORDABILITY AND ACCESS</w:t>
      </w:r>
    </w:p>
    <w:p w14:paraId="1641C046" w14:textId="26EC6DD4" w:rsidR="00F36AC0" w:rsidRPr="00B0058E" w:rsidRDefault="0033223C" w:rsidP="002B1C53">
      <w:pPr>
        <w:rPr>
          <w:rFonts w:ascii="Gellix" w:hAnsi="Gellix"/>
        </w:rPr>
      </w:pPr>
      <w:r w:rsidRPr="00B0058E">
        <w:rPr>
          <w:rFonts w:ascii="Gellix" w:hAnsi="Gellix"/>
          <w:bCs/>
        </w:rPr>
        <w:t xml:space="preserve">There exists a strong need to consider cost-effective </w:t>
      </w:r>
      <w:r w:rsidRPr="00B0058E">
        <w:rPr>
          <w:rFonts w:ascii="Gellix" w:hAnsi="Gellix"/>
        </w:rPr>
        <w:t xml:space="preserve">distribution methods in order to </w:t>
      </w:r>
      <w:r w:rsidR="00406C78" w:rsidRPr="00B0058E">
        <w:rPr>
          <w:rFonts w:ascii="Gellix" w:hAnsi="Gellix"/>
        </w:rPr>
        <w:t>ensure</w:t>
      </w:r>
      <w:r w:rsidRPr="00B0058E">
        <w:rPr>
          <w:rFonts w:ascii="Gellix" w:hAnsi="Gellix"/>
        </w:rPr>
        <w:t xml:space="preserve"> ISBP materials </w:t>
      </w:r>
      <w:r w:rsidR="00406C78" w:rsidRPr="00B0058E">
        <w:rPr>
          <w:rFonts w:ascii="Gellix" w:hAnsi="Gellix"/>
        </w:rPr>
        <w:t xml:space="preserve">are </w:t>
      </w:r>
      <w:r w:rsidRPr="00B0058E">
        <w:rPr>
          <w:rFonts w:ascii="Gellix" w:hAnsi="Gellix"/>
        </w:rPr>
        <w:t xml:space="preserve">more affordable for users in many markets. This is a crucial issue and may involve subsidising costs, offering discounts, or exploring alternative distribution channels. </w:t>
      </w:r>
      <w:r w:rsidR="00F36AC0" w:rsidRPr="00B0058E">
        <w:rPr>
          <w:rFonts w:ascii="Gellix" w:hAnsi="Gellix"/>
        </w:rPr>
        <w:t xml:space="preserve">It has also been highlighted that courier charges incurred in postage can be very high. </w:t>
      </w:r>
    </w:p>
    <w:p w14:paraId="2846E404" w14:textId="77777777" w:rsidR="00F36AC0" w:rsidRPr="00B0058E" w:rsidRDefault="00F36AC0" w:rsidP="002B1C53">
      <w:pPr>
        <w:rPr>
          <w:rFonts w:ascii="Gellix" w:hAnsi="Gellix"/>
        </w:rPr>
      </w:pPr>
    </w:p>
    <w:p w14:paraId="56503DFA" w14:textId="3230DBC7" w:rsidR="0033223C" w:rsidRPr="00B0058E" w:rsidRDefault="0033223C" w:rsidP="002B1C53">
      <w:pPr>
        <w:rPr>
          <w:rFonts w:ascii="Gellix" w:hAnsi="Gellix"/>
        </w:rPr>
      </w:pPr>
      <w:r w:rsidRPr="00B0058E">
        <w:rPr>
          <w:rFonts w:ascii="Gellix" w:hAnsi="Gellix"/>
        </w:rPr>
        <w:t xml:space="preserve">One possibility is to offer </w:t>
      </w:r>
      <w:r w:rsidR="00920144" w:rsidRPr="00B0058E">
        <w:rPr>
          <w:rFonts w:ascii="Gellix" w:hAnsi="Gellix"/>
        </w:rPr>
        <w:t>both</w:t>
      </w:r>
      <w:r w:rsidRPr="00B0058E">
        <w:rPr>
          <w:rFonts w:ascii="Gellix" w:hAnsi="Gellix"/>
        </w:rPr>
        <w:t xml:space="preserve"> UCP and ISBP publications at a single combined reduced price rather than individual pricing for each publication. </w:t>
      </w:r>
      <w:r w:rsidR="00406C78" w:rsidRPr="00B0058E">
        <w:rPr>
          <w:rFonts w:ascii="Gellix" w:hAnsi="Gellix"/>
        </w:rPr>
        <w:t>A</w:t>
      </w:r>
      <w:r w:rsidR="003F66A2" w:rsidRPr="00B0058E">
        <w:rPr>
          <w:rFonts w:ascii="Gellix" w:hAnsi="Gellix"/>
        </w:rPr>
        <w:t xml:space="preserve"> further consideration could be a price differential for ICC members and non-members.</w:t>
      </w:r>
      <w:r w:rsidR="00393F57" w:rsidRPr="00B0058E">
        <w:rPr>
          <w:rFonts w:ascii="Gellix" w:hAnsi="Gellix"/>
        </w:rPr>
        <w:t xml:space="preserve"> Nevertheless, it must be kept in mind that, to an extent, certain National Committees rely on publications </w:t>
      </w:r>
      <w:r w:rsidR="00BA6AE1" w:rsidRPr="00B0058E">
        <w:rPr>
          <w:rFonts w:ascii="Gellix" w:hAnsi="Gellix"/>
        </w:rPr>
        <w:t>as a revenue stream</w:t>
      </w:r>
      <w:r w:rsidR="00393F57" w:rsidRPr="00B0058E">
        <w:rPr>
          <w:rFonts w:ascii="Gellix" w:hAnsi="Gellix"/>
        </w:rPr>
        <w:t xml:space="preserve">. </w:t>
      </w:r>
    </w:p>
    <w:p w14:paraId="40CBFC89" w14:textId="6CA3E045" w:rsidR="0033223C" w:rsidRPr="00B0058E" w:rsidRDefault="0033223C" w:rsidP="002B1C53">
      <w:pPr>
        <w:rPr>
          <w:rFonts w:ascii="Gellix" w:hAnsi="Gellix"/>
          <w:bCs/>
        </w:rPr>
      </w:pPr>
    </w:p>
    <w:p w14:paraId="4153A3DC" w14:textId="4939F5CE" w:rsidR="00F04ECD" w:rsidRPr="00B0058E" w:rsidRDefault="0033223C" w:rsidP="002B1C53">
      <w:pPr>
        <w:rPr>
          <w:rFonts w:ascii="Gellix" w:hAnsi="Gellix"/>
          <w:bCs/>
        </w:rPr>
      </w:pPr>
      <w:r w:rsidRPr="00B0058E">
        <w:rPr>
          <w:rFonts w:ascii="Gellix" w:hAnsi="Gellix"/>
          <w:bCs/>
        </w:rPr>
        <w:t xml:space="preserve">Simple, lower-priced, online access needs to be </w:t>
      </w:r>
      <w:r w:rsidR="00920144" w:rsidRPr="00B0058E">
        <w:rPr>
          <w:rFonts w:ascii="Gellix" w:hAnsi="Gellix"/>
          <w:bCs/>
        </w:rPr>
        <w:t>tackled</w:t>
      </w:r>
      <w:r w:rsidRPr="00B0058E">
        <w:rPr>
          <w:rFonts w:ascii="Gellix" w:hAnsi="Gellix"/>
          <w:bCs/>
        </w:rPr>
        <w:t xml:space="preserve"> thereby avoiding the costly requirement for publishing in a paper format. Options could include an online platform, ICC website, or access digitally through cloud storage.</w:t>
      </w:r>
      <w:r w:rsidR="00393F57" w:rsidRPr="00B0058E">
        <w:rPr>
          <w:rFonts w:ascii="Gellix" w:hAnsi="Gellix"/>
          <w:bCs/>
        </w:rPr>
        <w:t xml:space="preserve"> </w:t>
      </w:r>
      <w:r w:rsidR="00920144" w:rsidRPr="00B0058E">
        <w:rPr>
          <w:rFonts w:ascii="Gellix" w:hAnsi="Gellix"/>
          <w:bCs/>
        </w:rPr>
        <w:t>A</w:t>
      </w:r>
      <w:r w:rsidR="00393F57" w:rsidRPr="00B0058E">
        <w:rPr>
          <w:rFonts w:ascii="Gellix" w:hAnsi="Gellix"/>
          <w:bCs/>
        </w:rPr>
        <w:t xml:space="preserve"> key issue in this respect is to ensure that National Committees still have access to information concerning the identity of those downloading, thereby allowing follow-up for further dialogue. </w:t>
      </w:r>
      <w:r w:rsidR="00F04ECD" w:rsidRPr="00B0058E">
        <w:rPr>
          <w:rFonts w:ascii="Gellix" w:hAnsi="Gellix"/>
          <w:bCs/>
        </w:rPr>
        <w:t>It also needs to be taken into consideration that a number of practitioners are currently experiencing access problems with electronic versions, and this must be rectified when reviewing distribution methods.</w:t>
      </w:r>
    </w:p>
    <w:p w14:paraId="53A53805" w14:textId="3A39B342" w:rsidR="0033223C" w:rsidRPr="00B0058E" w:rsidRDefault="0033223C" w:rsidP="002B1C53">
      <w:pPr>
        <w:rPr>
          <w:rFonts w:ascii="Gellix" w:hAnsi="Gellix"/>
          <w:bCs/>
        </w:rPr>
      </w:pPr>
    </w:p>
    <w:p w14:paraId="65DFA25D" w14:textId="55BB91C7" w:rsidR="0033223C" w:rsidRPr="00B0058E" w:rsidRDefault="00D66C5B" w:rsidP="002B1C53">
      <w:pPr>
        <w:rPr>
          <w:rFonts w:ascii="Gellix" w:hAnsi="Gellix"/>
          <w:bCs/>
        </w:rPr>
      </w:pPr>
      <w:r w:rsidRPr="00B0058E">
        <w:rPr>
          <w:rFonts w:ascii="Gellix" w:hAnsi="Gellix"/>
          <w:bCs/>
        </w:rPr>
        <w:t xml:space="preserve">There is also a </w:t>
      </w:r>
      <w:r w:rsidR="007D39A5" w:rsidRPr="00B0058E">
        <w:rPr>
          <w:rFonts w:ascii="Gellix" w:hAnsi="Gellix"/>
          <w:bCs/>
        </w:rPr>
        <w:t>necessity</w:t>
      </w:r>
      <w:r w:rsidRPr="00B0058E">
        <w:rPr>
          <w:rFonts w:ascii="Gellix" w:hAnsi="Gellix"/>
          <w:bCs/>
        </w:rPr>
        <w:t xml:space="preserve"> to recognise the prevalence of mobile devices. </w:t>
      </w:r>
      <w:r w:rsidR="00393F57" w:rsidRPr="00B0058E">
        <w:rPr>
          <w:rFonts w:ascii="Gellix" w:hAnsi="Gellix"/>
          <w:bCs/>
        </w:rPr>
        <w:t xml:space="preserve">Consideration to be given to </w:t>
      </w:r>
      <w:r w:rsidRPr="00B0058E">
        <w:rPr>
          <w:rFonts w:ascii="Gellix" w:hAnsi="Gellix"/>
          <w:bCs/>
        </w:rPr>
        <w:t xml:space="preserve">ISBP materials </w:t>
      </w:r>
      <w:r w:rsidR="00393F57" w:rsidRPr="00B0058E">
        <w:rPr>
          <w:rFonts w:ascii="Gellix" w:hAnsi="Gellix"/>
          <w:bCs/>
        </w:rPr>
        <w:t>being</w:t>
      </w:r>
      <w:r w:rsidRPr="00B0058E">
        <w:rPr>
          <w:rFonts w:ascii="Gellix" w:hAnsi="Gellix"/>
          <w:bCs/>
        </w:rPr>
        <w:t xml:space="preserve"> accessible through mobile-friendly platforms or apps to reach a broader audience.</w:t>
      </w:r>
      <w:r w:rsidR="00393F57" w:rsidRPr="00B0058E">
        <w:rPr>
          <w:rFonts w:ascii="Gellix" w:hAnsi="Gellix"/>
          <w:bCs/>
        </w:rPr>
        <w:t xml:space="preserve"> Obviously, access via such methods needs to be </w:t>
      </w:r>
      <w:r w:rsidR="007D39A5" w:rsidRPr="00B0058E">
        <w:rPr>
          <w:rFonts w:ascii="Gellix" w:hAnsi="Gellix"/>
          <w:bCs/>
        </w:rPr>
        <w:t>focussed</w:t>
      </w:r>
      <w:r w:rsidR="00393F57" w:rsidRPr="00B0058E">
        <w:rPr>
          <w:rFonts w:ascii="Gellix" w:hAnsi="Gellix"/>
          <w:bCs/>
        </w:rPr>
        <w:t>, in order to take account of firewalls,</w:t>
      </w:r>
      <w:r w:rsidR="00A86B22" w:rsidRPr="00B0058E">
        <w:rPr>
          <w:rFonts w:ascii="Gellix" w:hAnsi="Gellix"/>
          <w:bCs/>
        </w:rPr>
        <w:t xml:space="preserve"> cybersecurity, budget,</w:t>
      </w:r>
      <w:r w:rsidR="00393F57" w:rsidRPr="00B0058E">
        <w:rPr>
          <w:rFonts w:ascii="Gellix" w:hAnsi="Gellix"/>
          <w:bCs/>
        </w:rPr>
        <w:t xml:space="preserve"> etc. </w:t>
      </w:r>
    </w:p>
    <w:p w14:paraId="5874B185" w14:textId="0FCB0DBE" w:rsidR="00D66C5B" w:rsidRPr="00B0058E" w:rsidRDefault="00D66C5B" w:rsidP="002B1C53">
      <w:pPr>
        <w:rPr>
          <w:rFonts w:ascii="Gellix" w:hAnsi="Gellix"/>
          <w:bCs/>
        </w:rPr>
      </w:pPr>
    </w:p>
    <w:p w14:paraId="7BDADE01" w14:textId="5811A236" w:rsidR="00D66C5B" w:rsidRPr="00B0058E" w:rsidRDefault="0012747A" w:rsidP="002B1C53">
      <w:pPr>
        <w:rPr>
          <w:rFonts w:ascii="Gellix" w:hAnsi="Gellix"/>
          <w:bCs/>
        </w:rPr>
      </w:pPr>
      <w:r w:rsidRPr="00B0058E">
        <w:rPr>
          <w:rFonts w:ascii="Gellix" w:hAnsi="Gellix"/>
          <w:b/>
          <w:bCs/>
        </w:rPr>
        <w:t xml:space="preserve">RECOMMENDED </w:t>
      </w:r>
      <w:r w:rsidR="00180332" w:rsidRPr="00B0058E">
        <w:rPr>
          <w:rFonts w:ascii="Gellix" w:hAnsi="Gellix"/>
          <w:b/>
          <w:bCs/>
        </w:rPr>
        <w:t xml:space="preserve">ACTION POINT: </w:t>
      </w:r>
      <w:r w:rsidR="00406C78" w:rsidRPr="00B0058E">
        <w:rPr>
          <w:rFonts w:ascii="Gellix" w:hAnsi="Gellix"/>
          <w:b/>
          <w:bCs/>
        </w:rPr>
        <w:t xml:space="preserve">Banking Commission to draft a proposed approach with the focus of establishing a dialogue </w:t>
      </w:r>
      <w:r w:rsidR="00711E4C" w:rsidRPr="00B0058E">
        <w:rPr>
          <w:rFonts w:ascii="Gellix" w:hAnsi="Gellix"/>
          <w:b/>
          <w:bCs/>
        </w:rPr>
        <w:t xml:space="preserve">with ICC Publishing. </w:t>
      </w:r>
    </w:p>
    <w:p w14:paraId="66950D98" w14:textId="4F97C297" w:rsidR="007334B5" w:rsidRPr="00B0058E" w:rsidRDefault="007334B5" w:rsidP="002B1C53">
      <w:pPr>
        <w:rPr>
          <w:rFonts w:ascii="Gellix" w:hAnsi="Gellix"/>
          <w:bCs/>
        </w:rPr>
      </w:pPr>
    </w:p>
    <w:p w14:paraId="0C110422" w14:textId="406D1BF9" w:rsidR="006E1CF5" w:rsidRDefault="006E1CF5">
      <w:pPr>
        <w:rPr>
          <w:rFonts w:ascii="Gellix" w:hAnsi="Gellix"/>
          <w:bCs/>
        </w:rPr>
      </w:pPr>
      <w:r>
        <w:rPr>
          <w:rFonts w:ascii="Gellix" w:hAnsi="Gellix"/>
          <w:bCs/>
        </w:rPr>
        <w:br w:type="page"/>
      </w:r>
    </w:p>
    <w:p w14:paraId="34D6F7B9" w14:textId="77777777" w:rsidR="00920144" w:rsidRPr="00B0058E" w:rsidRDefault="00920144" w:rsidP="002B1C53">
      <w:pPr>
        <w:rPr>
          <w:rFonts w:ascii="Gellix" w:hAnsi="Gellix"/>
          <w:bCs/>
        </w:rPr>
      </w:pPr>
    </w:p>
    <w:p w14:paraId="29ED0F41" w14:textId="1DF37CD7" w:rsidR="00711E4C" w:rsidRPr="00B0058E" w:rsidRDefault="002612A6" w:rsidP="00B0058E">
      <w:pPr>
        <w:pStyle w:val="ListParagraph"/>
        <w:rPr>
          <w:rFonts w:ascii="Gellix" w:hAnsi="Gellix"/>
          <w:b/>
          <w:bCs/>
          <w:u w:val="single"/>
        </w:rPr>
      </w:pPr>
      <w:r w:rsidRPr="00B0058E">
        <w:rPr>
          <w:rFonts w:ascii="Gellix" w:hAnsi="Gellix"/>
          <w:b/>
          <w:bCs/>
          <w:u w:val="single"/>
        </w:rPr>
        <w:t>TRAINING PROGRAMS</w:t>
      </w:r>
    </w:p>
    <w:p w14:paraId="2F9A328F" w14:textId="18A4039D" w:rsidR="00FA4F66" w:rsidRPr="00B0058E" w:rsidRDefault="00E829AE" w:rsidP="002B1C53">
      <w:pPr>
        <w:rPr>
          <w:rFonts w:ascii="Gellix" w:hAnsi="Gellix"/>
          <w:bCs/>
        </w:rPr>
      </w:pPr>
      <w:r w:rsidRPr="00B0058E">
        <w:rPr>
          <w:rFonts w:ascii="Gellix" w:hAnsi="Gellix"/>
        </w:rPr>
        <w:t xml:space="preserve">Initiate training programs </w:t>
      </w:r>
      <w:r w:rsidR="00FA2115" w:rsidRPr="00B0058E">
        <w:rPr>
          <w:rFonts w:ascii="Gellix" w:hAnsi="Gellix"/>
        </w:rPr>
        <w:t>and</w:t>
      </w:r>
      <w:r w:rsidRPr="00B0058E">
        <w:rPr>
          <w:rFonts w:ascii="Gellix" w:hAnsi="Gellix"/>
        </w:rPr>
        <w:t xml:space="preserve"> workshops, both virtual and in-person, </w:t>
      </w:r>
      <w:r w:rsidR="00FA2115" w:rsidRPr="00B0058E">
        <w:rPr>
          <w:rFonts w:ascii="Gellix" w:hAnsi="Gellix"/>
          <w:bCs/>
        </w:rPr>
        <w:t xml:space="preserve">by ICC National Committees and individual members of the ICC Banking Commission. This will help </w:t>
      </w:r>
      <w:r w:rsidR="00FA2115" w:rsidRPr="00B0058E">
        <w:rPr>
          <w:rFonts w:ascii="Gellix" w:hAnsi="Gellix"/>
        </w:rPr>
        <w:t xml:space="preserve">in educating banks </w:t>
      </w:r>
      <w:r w:rsidR="00FA4F66" w:rsidRPr="00B0058E">
        <w:rPr>
          <w:rFonts w:ascii="Gellix" w:hAnsi="Gellix"/>
        </w:rPr>
        <w:t>in respect of</w:t>
      </w:r>
      <w:r w:rsidR="00FA2115" w:rsidRPr="00B0058E">
        <w:rPr>
          <w:rFonts w:ascii="Gellix" w:hAnsi="Gellix"/>
        </w:rPr>
        <w:t xml:space="preserve"> the significance of adhering to ISBP and should be approached commercially with a fee-based approach</w:t>
      </w:r>
      <w:r w:rsidR="00D637FF" w:rsidRPr="00B0058E">
        <w:rPr>
          <w:rFonts w:ascii="Gellix" w:hAnsi="Gellix"/>
        </w:rPr>
        <w:t>.</w:t>
      </w:r>
      <w:r w:rsidR="00D637FF" w:rsidRPr="00B0058E">
        <w:rPr>
          <w:rFonts w:ascii="Gellix" w:hAnsi="Gellix"/>
          <w:bCs/>
        </w:rPr>
        <w:t xml:space="preserve"> </w:t>
      </w:r>
      <w:r w:rsidR="00FA4F66" w:rsidRPr="00B0058E">
        <w:rPr>
          <w:rFonts w:ascii="Gellix" w:hAnsi="Gellix"/>
        </w:rPr>
        <w:t>It is essential to initiate a consistent global methodology.</w:t>
      </w:r>
      <w:r w:rsidR="00F44A21" w:rsidRPr="00B0058E">
        <w:rPr>
          <w:rFonts w:ascii="Gellix" w:hAnsi="Gellix"/>
        </w:rPr>
        <w:t xml:space="preserve"> It should also be considered that not all National Committees have the requisite internal knowledge – training sessions could also be extended in this direction. </w:t>
      </w:r>
    </w:p>
    <w:p w14:paraId="0FBCFFBC" w14:textId="77777777" w:rsidR="00FA4F66" w:rsidRPr="00B0058E" w:rsidRDefault="00FA4F66" w:rsidP="002B1C53">
      <w:pPr>
        <w:rPr>
          <w:rFonts w:ascii="Gellix" w:hAnsi="Gellix"/>
        </w:rPr>
      </w:pPr>
    </w:p>
    <w:p w14:paraId="39EBA41B" w14:textId="499261C1" w:rsidR="002612A6" w:rsidRPr="00B0058E" w:rsidRDefault="00FA4F66" w:rsidP="002B1C53">
      <w:pPr>
        <w:rPr>
          <w:rFonts w:ascii="Gellix" w:hAnsi="Gellix"/>
          <w:bCs/>
        </w:rPr>
      </w:pPr>
      <w:r w:rsidRPr="00B0058E">
        <w:rPr>
          <w:rFonts w:ascii="Gellix" w:hAnsi="Gellix"/>
        </w:rPr>
        <w:t>This process</w:t>
      </w:r>
      <w:r w:rsidR="00FA2115" w:rsidRPr="00B0058E">
        <w:rPr>
          <w:rFonts w:ascii="Gellix" w:hAnsi="Gellix"/>
        </w:rPr>
        <w:t xml:space="preserve"> can </w:t>
      </w:r>
      <w:r w:rsidR="00D637FF" w:rsidRPr="00B0058E">
        <w:rPr>
          <w:rFonts w:ascii="Gellix" w:hAnsi="Gellix"/>
        </w:rPr>
        <w:t xml:space="preserve">also </w:t>
      </w:r>
      <w:r w:rsidR="00FA2115" w:rsidRPr="00B0058E">
        <w:rPr>
          <w:rFonts w:ascii="Gellix" w:hAnsi="Gellix"/>
        </w:rPr>
        <w:t xml:space="preserve">be enhanced by working </w:t>
      </w:r>
      <w:r w:rsidR="00E829AE" w:rsidRPr="00B0058E">
        <w:rPr>
          <w:rFonts w:ascii="Gellix" w:hAnsi="Gellix"/>
        </w:rPr>
        <w:t xml:space="preserve">in collaboration with local business associations, chambers of commerce, or industry groups. </w:t>
      </w:r>
    </w:p>
    <w:p w14:paraId="7F1D00C4" w14:textId="19E23CC9" w:rsidR="00E829AE" w:rsidRPr="00B0058E" w:rsidRDefault="00E829AE" w:rsidP="002B1C53">
      <w:pPr>
        <w:rPr>
          <w:rFonts w:ascii="Gellix" w:hAnsi="Gellix"/>
          <w:bCs/>
        </w:rPr>
      </w:pPr>
    </w:p>
    <w:p w14:paraId="1742A850" w14:textId="5CB8C565" w:rsidR="00E829AE" w:rsidRPr="00B0058E" w:rsidRDefault="00E829AE" w:rsidP="002B1C53">
      <w:pPr>
        <w:rPr>
          <w:rFonts w:ascii="Gellix" w:hAnsi="Gellix"/>
        </w:rPr>
      </w:pPr>
      <w:r w:rsidRPr="00B0058E">
        <w:rPr>
          <w:rFonts w:ascii="Gellix" w:hAnsi="Gellix"/>
        </w:rPr>
        <w:t>Develop</w:t>
      </w:r>
      <w:r w:rsidR="00D637FF" w:rsidRPr="00B0058E">
        <w:rPr>
          <w:rFonts w:ascii="Gellix" w:hAnsi="Gellix"/>
        </w:rPr>
        <w:t xml:space="preserve"> customised</w:t>
      </w:r>
      <w:r w:rsidRPr="00B0058E">
        <w:rPr>
          <w:rFonts w:ascii="Gellix" w:hAnsi="Gellix"/>
        </w:rPr>
        <w:t xml:space="preserve"> training materials that address the specific needs and challenges faced by businesses in </w:t>
      </w:r>
      <w:r w:rsidR="00D637FF" w:rsidRPr="00B0058E">
        <w:rPr>
          <w:rFonts w:ascii="Gellix" w:hAnsi="Gellix"/>
        </w:rPr>
        <w:t>key</w:t>
      </w:r>
      <w:r w:rsidRPr="00B0058E">
        <w:rPr>
          <w:rFonts w:ascii="Gellix" w:hAnsi="Gellix"/>
        </w:rPr>
        <w:t xml:space="preserve"> markets. Tailor the content to resonate with local practices and contexts and work with local experts thereby enhancing visibility and acceptance in the local market</w:t>
      </w:r>
      <w:r w:rsidR="00D637FF" w:rsidRPr="00B0058E">
        <w:rPr>
          <w:rFonts w:ascii="Gellix" w:hAnsi="Gellix"/>
        </w:rPr>
        <w:t>.</w:t>
      </w:r>
      <w:r w:rsidR="00FA4F66" w:rsidRPr="00B0058E">
        <w:rPr>
          <w:rFonts w:ascii="Gellix" w:hAnsi="Gellix"/>
        </w:rPr>
        <w:t xml:space="preserve"> </w:t>
      </w:r>
      <w:r w:rsidR="005C5C22" w:rsidRPr="00B0058E">
        <w:rPr>
          <w:rFonts w:ascii="Gellix" w:hAnsi="Gellix"/>
        </w:rPr>
        <w:t xml:space="preserve">Ensure a set of </w:t>
      </w:r>
      <w:r w:rsidR="00920144" w:rsidRPr="00B0058E">
        <w:rPr>
          <w:rFonts w:ascii="Gellix" w:hAnsi="Gellix"/>
        </w:rPr>
        <w:t>template</w:t>
      </w:r>
      <w:r w:rsidR="005C5C22" w:rsidRPr="00B0058E">
        <w:rPr>
          <w:rFonts w:ascii="Gellix" w:hAnsi="Gellix"/>
        </w:rPr>
        <w:t xml:space="preserve"> presentations / handouts that trainers can utilise. The idea of ISBP is to create standardisation: allowing trainers to express differing views and explanations can undo all the hard work put into a publication such as ISBP.</w:t>
      </w:r>
    </w:p>
    <w:p w14:paraId="2754038A" w14:textId="7F86CF84" w:rsidR="00DC38BD" w:rsidRPr="00B0058E" w:rsidRDefault="00DC38BD" w:rsidP="002B1C53">
      <w:pPr>
        <w:rPr>
          <w:rFonts w:ascii="Gellix" w:hAnsi="Gellix"/>
          <w:bCs/>
        </w:rPr>
      </w:pPr>
    </w:p>
    <w:p w14:paraId="71D403D8" w14:textId="5534940D" w:rsidR="00DC38BD" w:rsidRPr="00B0058E" w:rsidRDefault="00DC38BD" w:rsidP="002B1C53">
      <w:pPr>
        <w:rPr>
          <w:rFonts w:ascii="Gellix" w:hAnsi="Gellix"/>
        </w:rPr>
      </w:pPr>
      <w:r w:rsidRPr="00B0058E">
        <w:rPr>
          <w:rFonts w:ascii="Gellix" w:hAnsi="Gellix"/>
          <w:iCs/>
        </w:rPr>
        <w:t>Collaboration with local institutions</w:t>
      </w:r>
      <w:r w:rsidR="00D947A2" w:rsidRPr="00B0058E">
        <w:rPr>
          <w:rFonts w:ascii="Gellix" w:hAnsi="Gellix"/>
          <w:iCs/>
        </w:rPr>
        <w:t>: p</w:t>
      </w:r>
      <w:r w:rsidRPr="00B0058E">
        <w:rPr>
          <w:rFonts w:ascii="Gellix" w:hAnsi="Gellix"/>
        </w:rPr>
        <w:t xml:space="preserve">artner with </w:t>
      </w:r>
      <w:r w:rsidR="00860A03" w:rsidRPr="00B0058E">
        <w:rPr>
          <w:rFonts w:ascii="Gellix" w:hAnsi="Gellix"/>
        </w:rPr>
        <w:t>regional</w:t>
      </w:r>
      <w:r w:rsidRPr="00B0058E">
        <w:rPr>
          <w:rFonts w:ascii="Gellix" w:hAnsi="Gellix"/>
        </w:rPr>
        <w:t xml:space="preserve"> </w:t>
      </w:r>
      <w:r w:rsidR="00860A03" w:rsidRPr="00B0058E">
        <w:rPr>
          <w:rFonts w:ascii="Gellix" w:hAnsi="Gellix"/>
        </w:rPr>
        <w:t>banks</w:t>
      </w:r>
      <w:r w:rsidRPr="00B0058E">
        <w:rPr>
          <w:rFonts w:ascii="Gellix" w:hAnsi="Gellix"/>
        </w:rPr>
        <w:t xml:space="preserve"> or regulatory bodies to promote and distribute ISBP. Can include joint training sessions, workshops, </w:t>
      </w:r>
      <w:r w:rsidR="00860A03" w:rsidRPr="00B0058E">
        <w:rPr>
          <w:rFonts w:ascii="Gellix" w:hAnsi="Gellix"/>
        </w:rPr>
        <w:t>and</w:t>
      </w:r>
      <w:r w:rsidRPr="00B0058E">
        <w:rPr>
          <w:rFonts w:ascii="Gellix" w:hAnsi="Gellix"/>
        </w:rPr>
        <w:t xml:space="preserve"> awareness campaigns to educate users about the importance of ISBP in international trade</w:t>
      </w:r>
      <w:r w:rsidR="00D947A2" w:rsidRPr="00B0058E">
        <w:rPr>
          <w:rFonts w:ascii="Gellix" w:hAnsi="Gellix"/>
        </w:rPr>
        <w:t>.</w:t>
      </w:r>
    </w:p>
    <w:p w14:paraId="688ABEAB" w14:textId="2DC19551" w:rsidR="00921762" w:rsidRPr="00B0058E" w:rsidRDefault="00921762" w:rsidP="002B1C53">
      <w:pPr>
        <w:rPr>
          <w:rFonts w:ascii="Gellix" w:hAnsi="Gellix"/>
          <w:bCs/>
        </w:rPr>
      </w:pPr>
    </w:p>
    <w:p w14:paraId="768A0D2E" w14:textId="292885DD" w:rsidR="00921762" w:rsidRPr="00B0058E" w:rsidRDefault="00921762" w:rsidP="002B1C53">
      <w:pPr>
        <w:rPr>
          <w:rFonts w:ascii="Gellix" w:hAnsi="Gellix"/>
          <w:bCs/>
        </w:rPr>
      </w:pPr>
      <w:r w:rsidRPr="00B0058E">
        <w:rPr>
          <w:rFonts w:ascii="Gellix" w:hAnsi="Gellix"/>
          <w:bCs/>
          <w:iCs/>
        </w:rPr>
        <w:t>There is also potential for the ICC Academy to be involved.</w:t>
      </w:r>
    </w:p>
    <w:p w14:paraId="090D4149" w14:textId="5C8E33E2" w:rsidR="002612A6" w:rsidRPr="00B0058E" w:rsidRDefault="002612A6" w:rsidP="002B1C53">
      <w:pPr>
        <w:rPr>
          <w:rFonts w:ascii="Gellix" w:hAnsi="Gellix"/>
          <w:bCs/>
        </w:rPr>
      </w:pPr>
    </w:p>
    <w:p w14:paraId="56693EF1" w14:textId="5DC01543" w:rsidR="002612A6" w:rsidRPr="00B0058E" w:rsidRDefault="0012747A" w:rsidP="002B1C53">
      <w:pPr>
        <w:rPr>
          <w:rFonts w:ascii="Gellix" w:hAnsi="Gellix"/>
          <w:bCs/>
        </w:rPr>
      </w:pPr>
      <w:r w:rsidRPr="00B0058E">
        <w:rPr>
          <w:rFonts w:ascii="Gellix" w:hAnsi="Gellix"/>
          <w:b/>
          <w:bCs/>
        </w:rPr>
        <w:t xml:space="preserve">RECOMMENDED </w:t>
      </w:r>
      <w:r w:rsidR="002612A6" w:rsidRPr="00B0058E">
        <w:rPr>
          <w:rFonts w:ascii="Gellix" w:hAnsi="Gellix"/>
          <w:b/>
          <w:bCs/>
        </w:rPr>
        <w:t xml:space="preserve">ACTION POINT: </w:t>
      </w:r>
      <w:r w:rsidR="00920144" w:rsidRPr="00B0058E">
        <w:rPr>
          <w:rFonts w:ascii="Gellix" w:hAnsi="Gellix"/>
          <w:b/>
          <w:bCs/>
        </w:rPr>
        <w:t>Develop</w:t>
      </w:r>
      <w:r w:rsidR="00E829AE" w:rsidRPr="00B0058E">
        <w:rPr>
          <w:rFonts w:ascii="Gellix" w:hAnsi="Gellix"/>
          <w:b/>
          <w:bCs/>
        </w:rPr>
        <w:t xml:space="preserve"> as an outcome of the </w:t>
      </w:r>
      <w:r w:rsidR="00334AB6" w:rsidRPr="00B0058E">
        <w:rPr>
          <w:rFonts w:ascii="Gellix" w:hAnsi="Gellix"/>
          <w:b/>
          <w:bCs/>
        </w:rPr>
        <w:t xml:space="preserve">proposed </w:t>
      </w:r>
      <w:r w:rsidR="00E829AE" w:rsidRPr="00B0058E">
        <w:rPr>
          <w:rFonts w:ascii="Gellix" w:hAnsi="Gellix"/>
          <w:b/>
          <w:bCs/>
        </w:rPr>
        <w:t xml:space="preserve">ISBP revision. </w:t>
      </w:r>
      <w:r w:rsidR="00FA2115" w:rsidRPr="00B0058E">
        <w:rPr>
          <w:rFonts w:ascii="Gellix" w:hAnsi="Gellix"/>
          <w:b/>
          <w:bCs/>
        </w:rPr>
        <w:t xml:space="preserve">Consistency in content and approach is essential. </w:t>
      </w:r>
    </w:p>
    <w:p w14:paraId="44BD76EE" w14:textId="03D847B3" w:rsidR="00405BD8" w:rsidRPr="00B0058E" w:rsidRDefault="00405BD8" w:rsidP="002B1C53">
      <w:pPr>
        <w:rPr>
          <w:rFonts w:ascii="Gellix" w:hAnsi="Gellix"/>
          <w:bCs/>
        </w:rPr>
      </w:pPr>
    </w:p>
    <w:p w14:paraId="1B434C1C" w14:textId="31F94913" w:rsidR="00ED2DCC" w:rsidRDefault="00ED2DCC">
      <w:pPr>
        <w:rPr>
          <w:rFonts w:ascii="Gellix" w:hAnsi="Gellix"/>
          <w:bCs/>
        </w:rPr>
      </w:pPr>
      <w:r>
        <w:rPr>
          <w:rFonts w:ascii="Gellix" w:hAnsi="Gellix"/>
          <w:bCs/>
        </w:rPr>
        <w:br w:type="page"/>
      </w:r>
    </w:p>
    <w:p w14:paraId="43751B58" w14:textId="77777777" w:rsidR="00920144" w:rsidRPr="00B0058E" w:rsidRDefault="00920144" w:rsidP="002B1C53">
      <w:pPr>
        <w:rPr>
          <w:rFonts w:ascii="Gellix" w:hAnsi="Gellix"/>
          <w:bCs/>
        </w:rPr>
      </w:pPr>
    </w:p>
    <w:p w14:paraId="259E3513" w14:textId="20DB28FF" w:rsidR="00C40E62" w:rsidRPr="00B0058E" w:rsidRDefault="00C40E62" w:rsidP="00B0058E">
      <w:pPr>
        <w:pStyle w:val="ListParagraph"/>
        <w:rPr>
          <w:rFonts w:ascii="Gellix" w:hAnsi="Gellix"/>
          <w:b/>
          <w:bCs/>
          <w:u w:val="single"/>
        </w:rPr>
      </w:pPr>
      <w:r w:rsidRPr="00B0058E">
        <w:rPr>
          <w:rFonts w:ascii="Gellix" w:hAnsi="Gellix"/>
          <w:b/>
          <w:bCs/>
          <w:u w:val="single"/>
        </w:rPr>
        <w:t>ISBP CONTENT</w:t>
      </w:r>
    </w:p>
    <w:p w14:paraId="062B9532" w14:textId="74DB889B" w:rsidR="00C40E62" w:rsidRPr="00B0058E" w:rsidRDefault="0012747A" w:rsidP="0012747A">
      <w:pPr>
        <w:rPr>
          <w:rFonts w:ascii="Gellix" w:hAnsi="Gellix"/>
          <w:bCs/>
        </w:rPr>
      </w:pPr>
      <w:r w:rsidRPr="00B0058E">
        <w:rPr>
          <w:rFonts w:ascii="Gellix" w:hAnsi="Gellix"/>
          <w:bCs/>
        </w:rPr>
        <w:t>Incorporate Case Studies and examples either in ISBP or as a potential separate publication: practical case studies and examples to illustrate the application of ISBP principles. Provide real-world scenarios that can help users understand the nuances of document examination – this would provide enormous benefit in understanding the issues covered by the various sections of ISBP.</w:t>
      </w:r>
      <w:r w:rsidR="00773131" w:rsidRPr="00B0058E">
        <w:rPr>
          <w:rFonts w:ascii="Gellix" w:hAnsi="Gellix"/>
          <w:bCs/>
        </w:rPr>
        <w:t xml:space="preserve"> Potentially, these could be included within training materials. </w:t>
      </w:r>
    </w:p>
    <w:p w14:paraId="2514A762" w14:textId="246624DC" w:rsidR="003A5BEE" w:rsidRPr="00B0058E" w:rsidRDefault="003A5BEE" w:rsidP="0012747A">
      <w:pPr>
        <w:rPr>
          <w:rFonts w:ascii="Gellix" w:hAnsi="Gellix"/>
          <w:bCs/>
        </w:rPr>
      </w:pPr>
    </w:p>
    <w:p w14:paraId="7DA0BF9E" w14:textId="2E86BEAC" w:rsidR="003A5BEE" w:rsidRPr="00B0058E" w:rsidRDefault="003A5BEE" w:rsidP="0012747A">
      <w:pPr>
        <w:rPr>
          <w:rFonts w:ascii="Gellix" w:hAnsi="Gellix"/>
          <w:bCs/>
        </w:rPr>
      </w:pPr>
      <w:r w:rsidRPr="00B0058E">
        <w:rPr>
          <w:rFonts w:ascii="Gellix" w:hAnsi="Gellix"/>
          <w:bCs/>
        </w:rPr>
        <w:t xml:space="preserve">Among further deliberations could be a searchable index, both paper and digital formats, in order to facilitate ease of use. </w:t>
      </w:r>
    </w:p>
    <w:p w14:paraId="11444041" w14:textId="1F06D5C1" w:rsidR="00405BD8" w:rsidRPr="00B0058E" w:rsidRDefault="00405BD8" w:rsidP="002B1C53">
      <w:pPr>
        <w:rPr>
          <w:rFonts w:ascii="Gellix" w:hAnsi="Gellix"/>
          <w:bCs/>
        </w:rPr>
      </w:pPr>
    </w:p>
    <w:p w14:paraId="64430469" w14:textId="3D9E9B55" w:rsidR="0012747A" w:rsidRPr="00B0058E" w:rsidRDefault="0012747A" w:rsidP="002B1C53">
      <w:pPr>
        <w:rPr>
          <w:rFonts w:ascii="Gellix" w:hAnsi="Gellix"/>
          <w:bCs/>
        </w:rPr>
      </w:pPr>
      <w:r w:rsidRPr="00B0058E">
        <w:rPr>
          <w:rFonts w:ascii="Gellix" w:hAnsi="Gellix"/>
        </w:rPr>
        <w:t>Consider more user-friendly format, perhaps with flowcharts or visual aids to enhance comprehension.</w:t>
      </w:r>
      <w:r w:rsidRPr="00B0058E">
        <w:rPr>
          <w:rFonts w:ascii="Gellix" w:hAnsi="Gellix"/>
          <w:bCs/>
        </w:rPr>
        <w:t xml:space="preserve"> Ensure that the language used is accessible to a wide audience, including those with varying levels of experience in trade finance.</w:t>
      </w:r>
      <w:r w:rsidR="00F61788" w:rsidRPr="00B0058E">
        <w:rPr>
          <w:rFonts w:ascii="Gellix" w:hAnsi="Gellix"/>
          <w:bCs/>
        </w:rPr>
        <w:t xml:space="preserve"> In this </w:t>
      </w:r>
      <w:r w:rsidR="00DE46C6" w:rsidRPr="00B0058E">
        <w:rPr>
          <w:rFonts w:ascii="Gellix" w:hAnsi="Gellix"/>
          <w:bCs/>
        </w:rPr>
        <w:t xml:space="preserve">respect, liaison with ICC partner Coastline Solutions is to be considered. </w:t>
      </w:r>
    </w:p>
    <w:p w14:paraId="5E9C9A7E" w14:textId="38DFC2E5" w:rsidR="00956917" w:rsidRPr="00B0058E" w:rsidRDefault="00956917" w:rsidP="002B1C53">
      <w:pPr>
        <w:rPr>
          <w:rFonts w:ascii="Gellix" w:hAnsi="Gellix"/>
          <w:bCs/>
        </w:rPr>
      </w:pPr>
    </w:p>
    <w:p w14:paraId="58831244" w14:textId="725F6879" w:rsidR="00956917" w:rsidRPr="00B0058E" w:rsidRDefault="00956917" w:rsidP="00956917">
      <w:pPr>
        <w:rPr>
          <w:rFonts w:ascii="Gellix" w:hAnsi="Gellix"/>
          <w:bCs/>
        </w:rPr>
      </w:pPr>
      <w:r w:rsidRPr="00B0058E">
        <w:rPr>
          <w:rFonts w:ascii="Gellix" w:hAnsi="Gellix"/>
          <w:bCs/>
        </w:rPr>
        <w:t xml:space="preserve">On a separate supporting issue, it </w:t>
      </w:r>
      <w:r w:rsidR="007D39A5" w:rsidRPr="00B0058E">
        <w:rPr>
          <w:rFonts w:ascii="Gellix" w:hAnsi="Gellix"/>
          <w:bCs/>
        </w:rPr>
        <w:t>might</w:t>
      </w:r>
      <w:r w:rsidRPr="00B0058E">
        <w:rPr>
          <w:rFonts w:ascii="Gellix" w:hAnsi="Gellix"/>
          <w:bCs/>
        </w:rPr>
        <w:t xml:space="preserve"> be optimal to have an on-line facility in place, whereby new Opinion references ca</w:t>
      </w:r>
      <w:r w:rsidR="00C9115E" w:rsidRPr="00B0058E">
        <w:rPr>
          <w:rFonts w:ascii="Gellix" w:hAnsi="Gellix"/>
          <w:bCs/>
        </w:rPr>
        <w:t>n</w:t>
      </w:r>
      <w:r w:rsidRPr="00B0058E">
        <w:rPr>
          <w:rFonts w:ascii="Gellix" w:hAnsi="Gellix"/>
          <w:bCs/>
        </w:rPr>
        <w:t xml:space="preserve"> be </w:t>
      </w:r>
      <w:r w:rsidR="007D39A5" w:rsidRPr="00B0058E">
        <w:rPr>
          <w:rFonts w:ascii="Gellix" w:hAnsi="Gellix"/>
          <w:bCs/>
        </w:rPr>
        <w:t>referred to</w:t>
      </w:r>
      <w:r w:rsidRPr="00B0058E">
        <w:rPr>
          <w:rFonts w:ascii="Gellix" w:hAnsi="Gellix"/>
          <w:bCs/>
        </w:rPr>
        <w:t xml:space="preserve"> and when they are approved. </w:t>
      </w:r>
    </w:p>
    <w:p w14:paraId="6767A512" w14:textId="0E3495F5" w:rsidR="00C40E62" w:rsidRPr="00B0058E" w:rsidRDefault="00C40E62" w:rsidP="002B1C53">
      <w:pPr>
        <w:rPr>
          <w:rFonts w:ascii="Gellix" w:hAnsi="Gellix"/>
          <w:bCs/>
        </w:rPr>
      </w:pPr>
    </w:p>
    <w:p w14:paraId="1269997F" w14:textId="7A969F33" w:rsidR="00C40E62" w:rsidRPr="00B0058E" w:rsidRDefault="0012747A" w:rsidP="002B1C53">
      <w:pPr>
        <w:rPr>
          <w:rFonts w:ascii="Gellix" w:hAnsi="Gellix"/>
          <w:bCs/>
        </w:rPr>
      </w:pPr>
      <w:r w:rsidRPr="00B0058E">
        <w:rPr>
          <w:rFonts w:ascii="Gellix" w:hAnsi="Gellix"/>
          <w:b/>
          <w:bCs/>
        </w:rPr>
        <w:t xml:space="preserve">RECOMMENDED </w:t>
      </w:r>
      <w:r w:rsidR="00C40E62" w:rsidRPr="00B0058E">
        <w:rPr>
          <w:rFonts w:ascii="Gellix" w:hAnsi="Gellix"/>
          <w:b/>
          <w:bCs/>
        </w:rPr>
        <w:t xml:space="preserve">ACTION POINT: </w:t>
      </w:r>
      <w:r w:rsidRPr="00B0058E">
        <w:rPr>
          <w:rFonts w:ascii="Gellix" w:hAnsi="Gellix"/>
          <w:b/>
          <w:bCs/>
        </w:rPr>
        <w:t xml:space="preserve">To be addressed during the ISBP revision process. </w:t>
      </w:r>
    </w:p>
    <w:p w14:paraId="7B7BF247" w14:textId="7FCB9CD8" w:rsidR="00FC2E20" w:rsidRPr="00B0058E" w:rsidRDefault="00FC2E20" w:rsidP="002B1C53">
      <w:pPr>
        <w:rPr>
          <w:rFonts w:ascii="Gellix" w:hAnsi="Gellix"/>
          <w:bCs/>
        </w:rPr>
      </w:pPr>
    </w:p>
    <w:p w14:paraId="2C25FFAB" w14:textId="77777777" w:rsidR="00ED2DCC" w:rsidRPr="00B0058E" w:rsidRDefault="00ED2DCC" w:rsidP="002B1C53">
      <w:pPr>
        <w:rPr>
          <w:rFonts w:ascii="Gellix" w:hAnsi="Gellix"/>
          <w:bCs/>
        </w:rPr>
      </w:pPr>
    </w:p>
    <w:p w14:paraId="7A85CF7B" w14:textId="5503C396" w:rsidR="00FC2E20" w:rsidRPr="00B0058E" w:rsidRDefault="00FC2E20" w:rsidP="00B0058E">
      <w:pPr>
        <w:pStyle w:val="ListParagraph"/>
        <w:rPr>
          <w:rFonts w:ascii="Gellix" w:hAnsi="Gellix"/>
          <w:b/>
          <w:bCs/>
          <w:u w:val="single"/>
        </w:rPr>
      </w:pPr>
      <w:r w:rsidRPr="00B0058E">
        <w:rPr>
          <w:rFonts w:ascii="Gellix" w:hAnsi="Gellix"/>
          <w:b/>
          <w:bCs/>
          <w:u w:val="single"/>
        </w:rPr>
        <w:t>POST-REVISION</w:t>
      </w:r>
    </w:p>
    <w:p w14:paraId="318F882F" w14:textId="2409C71A" w:rsidR="0012747A" w:rsidRPr="00B0058E" w:rsidRDefault="00FC2E20" w:rsidP="002B1C53">
      <w:pPr>
        <w:rPr>
          <w:rFonts w:ascii="Gellix" w:hAnsi="Gellix"/>
        </w:rPr>
      </w:pPr>
      <w:r w:rsidRPr="00B0058E">
        <w:rPr>
          <w:rFonts w:ascii="Gellix" w:hAnsi="Gellix"/>
        </w:rPr>
        <w:t xml:space="preserve">Run targeted awareness campaigns through various media conduits, including social media, to reach a diverse audience and highlight the benefits of implementing ISBP practices. </w:t>
      </w:r>
    </w:p>
    <w:p w14:paraId="2F355C0F" w14:textId="77777777" w:rsidR="00FC2E20" w:rsidRPr="00B0058E" w:rsidRDefault="00FC2E20" w:rsidP="002B1C53">
      <w:pPr>
        <w:rPr>
          <w:rFonts w:ascii="Gellix" w:hAnsi="Gellix"/>
        </w:rPr>
      </w:pPr>
    </w:p>
    <w:p w14:paraId="1F9962CE" w14:textId="6ED764C7" w:rsidR="00FC2E20" w:rsidRPr="00B0058E" w:rsidRDefault="00773131" w:rsidP="002B1C53">
      <w:pPr>
        <w:rPr>
          <w:rFonts w:ascii="Gellix" w:hAnsi="Gellix"/>
        </w:rPr>
      </w:pPr>
      <w:r w:rsidRPr="00B0058E">
        <w:rPr>
          <w:rFonts w:ascii="Gellix" w:hAnsi="Gellix"/>
        </w:rPr>
        <w:t>Whilst a more long-term objective, consider e</w:t>
      </w:r>
      <w:r w:rsidR="00FC2E20" w:rsidRPr="00B0058E">
        <w:rPr>
          <w:rFonts w:ascii="Gellix" w:hAnsi="Gellix"/>
        </w:rPr>
        <w:t>ngag</w:t>
      </w:r>
      <w:r w:rsidRPr="00B0058E">
        <w:rPr>
          <w:rFonts w:ascii="Gellix" w:hAnsi="Gellix"/>
        </w:rPr>
        <w:t>ing</w:t>
      </w:r>
      <w:r w:rsidR="00FC2E20" w:rsidRPr="00B0058E">
        <w:rPr>
          <w:rFonts w:ascii="Gellix" w:hAnsi="Gellix"/>
        </w:rPr>
        <w:t xml:space="preserve"> with </w:t>
      </w:r>
      <w:r w:rsidR="000E0751" w:rsidRPr="00B0058E">
        <w:rPr>
          <w:rFonts w:ascii="Gellix" w:hAnsi="Gellix"/>
        </w:rPr>
        <w:t>G</w:t>
      </w:r>
      <w:r w:rsidR="00FC2E20" w:rsidRPr="00B0058E">
        <w:rPr>
          <w:rFonts w:ascii="Gellix" w:hAnsi="Gellix"/>
        </w:rPr>
        <w:t xml:space="preserve">overnmental bodies and Central Banks to </w:t>
      </w:r>
      <w:r w:rsidRPr="00B0058E">
        <w:rPr>
          <w:rFonts w:ascii="Gellix" w:hAnsi="Gellix"/>
        </w:rPr>
        <w:t>assimilate</w:t>
      </w:r>
      <w:r w:rsidR="00FC2E20" w:rsidRPr="00B0058E">
        <w:rPr>
          <w:rFonts w:ascii="Gellix" w:hAnsi="Gellix"/>
        </w:rPr>
        <w:t xml:space="preserve"> ISBP</w:t>
      </w:r>
      <w:r w:rsidRPr="00B0058E">
        <w:rPr>
          <w:rFonts w:ascii="Gellix" w:hAnsi="Gellix"/>
        </w:rPr>
        <w:t xml:space="preserve"> reference and/or content</w:t>
      </w:r>
      <w:r w:rsidR="00FC2E20" w:rsidRPr="00B0058E">
        <w:rPr>
          <w:rFonts w:ascii="Gellix" w:hAnsi="Gellix"/>
        </w:rPr>
        <w:t xml:space="preserve"> into relevant regulations or guidelines. This could enhance the official recognition and adoption of ISBP within the country's trade practices – “top-down” approach by implementing best practices.</w:t>
      </w:r>
    </w:p>
    <w:p w14:paraId="3E393BA6" w14:textId="34B2216D" w:rsidR="00C14709" w:rsidRPr="00B0058E" w:rsidRDefault="00C14709" w:rsidP="002B1C53">
      <w:pPr>
        <w:rPr>
          <w:rFonts w:ascii="Gellix" w:hAnsi="Gellix"/>
          <w:bCs/>
        </w:rPr>
      </w:pPr>
    </w:p>
    <w:p w14:paraId="30B92F6F" w14:textId="08743150" w:rsidR="00C14709" w:rsidRPr="00B0058E" w:rsidRDefault="00C14709" w:rsidP="002B1C53">
      <w:pPr>
        <w:rPr>
          <w:rFonts w:ascii="Gellix" w:hAnsi="Gellix"/>
        </w:rPr>
      </w:pPr>
      <w:r w:rsidRPr="00B0058E">
        <w:rPr>
          <w:rFonts w:ascii="Gellix" w:hAnsi="Gellix"/>
        </w:rPr>
        <w:t>Foster a sense of community engagement by establishing forums or discussion groups. Users can share experiences, ask questions, and learn from each other regarding the application of ISBP – LinkedIn?</w:t>
      </w:r>
    </w:p>
    <w:p w14:paraId="6C947931" w14:textId="16FA304F" w:rsidR="0009343B" w:rsidRPr="00B0058E" w:rsidRDefault="0009343B" w:rsidP="002B1C53">
      <w:pPr>
        <w:rPr>
          <w:rFonts w:ascii="Gellix" w:hAnsi="Gellix"/>
          <w:bCs/>
        </w:rPr>
      </w:pPr>
    </w:p>
    <w:p w14:paraId="171C0292" w14:textId="31CABC58" w:rsidR="0009343B" w:rsidRPr="00B0058E" w:rsidRDefault="0009343B" w:rsidP="002B1C53">
      <w:pPr>
        <w:rPr>
          <w:rFonts w:ascii="Gellix" w:hAnsi="Gellix"/>
        </w:rPr>
      </w:pPr>
      <w:r w:rsidRPr="00B0058E">
        <w:rPr>
          <w:rFonts w:ascii="Gellix" w:hAnsi="Gellix"/>
        </w:rPr>
        <w:t>Translate ISBP materials into local languages thereby facilating better understanding and adoption of the practices by a broader audience.</w:t>
      </w:r>
    </w:p>
    <w:p w14:paraId="49A8550F" w14:textId="59D3F92A" w:rsidR="0009343B" w:rsidRPr="00B0058E" w:rsidRDefault="0009343B" w:rsidP="002B1C53">
      <w:pPr>
        <w:rPr>
          <w:rFonts w:ascii="Gellix" w:hAnsi="Gellix"/>
          <w:bCs/>
        </w:rPr>
      </w:pPr>
    </w:p>
    <w:p w14:paraId="340A9C7F" w14:textId="16FBC00F" w:rsidR="0009343B" w:rsidRPr="00B0058E" w:rsidRDefault="0009343B" w:rsidP="002B1C53">
      <w:pPr>
        <w:rPr>
          <w:rFonts w:ascii="Gellix" w:hAnsi="Gellix"/>
          <w:bCs/>
        </w:rPr>
      </w:pPr>
      <w:r w:rsidRPr="00B0058E">
        <w:rPr>
          <w:rFonts w:ascii="Gellix" w:hAnsi="Gellix"/>
          <w:bCs/>
        </w:rPr>
        <w:t>Establish a periodic review and revision process to keep ISBP aligned with ICC Opinions and changes in international trade practices</w:t>
      </w:r>
      <w:r w:rsidR="00571A66" w:rsidRPr="00B0058E">
        <w:rPr>
          <w:rFonts w:ascii="Gellix" w:hAnsi="Gellix"/>
          <w:bCs/>
        </w:rPr>
        <w:t xml:space="preserve"> and ensure that ISBP is regularly updated to address evolving challenges and opportunities - three-yearly as a guide, but primarily on an “as-required” basis.</w:t>
      </w:r>
    </w:p>
    <w:p w14:paraId="1E7492D0" w14:textId="7930ED75" w:rsidR="00FC2E20" w:rsidRPr="00B0058E" w:rsidRDefault="00FC2E20" w:rsidP="002B1C53">
      <w:pPr>
        <w:rPr>
          <w:rFonts w:ascii="Gellix" w:hAnsi="Gellix"/>
          <w:bCs/>
        </w:rPr>
      </w:pPr>
    </w:p>
    <w:p w14:paraId="65128EAC" w14:textId="188AB583" w:rsidR="00FC2E20" w:rsidRPr="00B0058E" w:rsidRDefault="00FC2E20" w:rsidP="002B1C53">
      <w:pPr>
        <w:rPr>
          <w:rFonts w:ascii="Gellix" w:hAnsi="Gellix"/>
          <w:bCs/>
        </w:rPr>
      </w:pPr>
      <w:r w:rsidRPr="00B0058E">
        <w:rPr>
          <w:rFonts w:ascii="Gellix" w:hAnsi="Gellix"/>
          <w:b/>
          <w:bCs/>
        </w:rPr>
        <w:t xml:space="preserve">RECOMMENDED ACTION POINT: </w:t>
      </w:r>
      <w:r w:rsidR="00C14709" w:rsidRPr="00B0058E">
        <w:rPr>
          <w:rFonts w:ascii="Gellix" w:hAnsi="Gellix"/>
          <w:b/>
          <w:bCs/>
        </w:rPr>
        <w:t>To be discussed.</w:t>
      </w:r>
    </w:p>
    <w:p w14:paraId="2BFAFD1F" w14:textId="77777777" w:rsidR="00C40E62" w:rsidRPr="00B0058E" w:rsidRDefault="00C40E62" w:rsidP="002B1C53">
      <w:pPr>
        <w:rPr>
          <w:rFonts w:ascii="Gellix" w:hAnsi="Gellix"/>
          <w:bCs/>
        </w:rPr>
      </w:pPr>
    </w:p>
    <w:p w14:paraId="1F8C759F" w14:textId="77777777" w:rsidR="005F5335" w:rsidRPr="00B0058E" w:rsidRDefault="005F5335" w:rsidP="002B1C53">
      <w:pPr>
        <w:rPr>
          <w:rFonts w:ascii="Gellix" w:hAnsi="Gellix"/>
          <w:bCs/>
        </w:rPr>
      </w:pPr>
    </w:p>
    <w:p w14:paraId="59A60EE8" w14:textId="7F5C5468" w:rsidR="001A6090" w:rsidRPr="00B0058E" w:rsidRDefault="001A6090" w:rsidP="002B1C53">
      <w:pPr>
        <w:rPr>
          <w:rFonts w:ascii="Gellix" w:hAnsi="Gellix"/>
        </w:rPr>
      </w:pPr>
    </w:p>
    <w:p w14:paraId="141F18DD" w14:textId="08098C2A" w:rsidR="000B3E6E" w:rsidRPr="00B0058E" w:rsidRDefault="000B3E6E" w:rsidP="002B1C53">
      <w:pPr>
        <w:rPr>
          <w:rFonts w:ascii="Gellix" w:hAnsi="Gellix"/>
        </w:rPr>
      </w:pPr>
    </w:p>
    <w:p w14:paraId="7B0D14FB" w14:textId="77777777" w:rsidR="001A6090" w:rsidRPr="00B0058E" w:rsidRDefault="001A6090" w:rsidP="002B1C53">
      <w:pPr>
        <w:rPr>
          <w:rFonts w:ascii="Gellix" w:hAnsi="Gellix"/>
        </w:rPr>
      </w:pPr>
    </w:p>
    <w:sectPr w:rsidR="001A6090" w:rsidRPr="00B0058E" w:rsidSect="001D5B8F">
      <w:headerReference w:type="default" r:id="rId16"/>
      <w:headerReference w:type="first" r:id="rId1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754F6" w14:textId="77777777" w:rsidR="00B0058E" w:rsidRDefault="00B0058E" w:rsidP="00B0058E">
      <w:r>
        <w:separator/>
      </w:r>
    </w:p>
  </w:endnote>
  <w:endnote w:type="continuationSeparator" w:id="0">
    <w:p w14:paraId="3C1D3C46" w14:textId="77777777" w:rsidR="00B0058E" w:rsidRDefault="00B0058E" w:rsidP="00B0058E">
      <w:r>
        <w:continuationSeparator/>
      </w:r>
    </w:p>
  </w:endnote>
  <w:endnote w:type="continuationNotice" w:id="1">
    <w:p w14:paraId="10C16A8A" w14:textId="77777777" w:rsidR="00D1136E" w:rsidRDefault="00D11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llix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D1251" w14:textId="77777777" w:rsidR="00B0058E" w:rsidRDefault="00B0058E" w:rsidP="00B0058E">
      <w:r>
        <w:separator/>
      </w:r>
    </w:p>
  </w:footnote>
  <w:footnote w:type="continuationSeparator" w:id="0">
    <w:p w14:paraId="5D67BE93" w14:textId="77777777" w:rsidR="00B0058E" w:rsidRDefault="00B0058E" w:rsidP="00B0058E">
      <w:r>
        <w:continuationSeparator/>
      </w:r>
    </w:p>
  </w:footnote>
  <w:footnote w:type="continuationNotice" w:id="1">
    <w:p w14:paraId="56846013" w14:textId="77777777" w:rsidR="00D1136E" w:rsidRDefault="00D1136E"/>
  </w:footnote>
  <w:footnote w:id="2">
    <w:p w14:paraId="4B527939" w14:textId="65A1C2A8" w:rsidR="00537695" w:rsidRPr="00537695" w:rsidRDefault="00537695" w:rsidP="005376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37695">
          <w:rPr>
            <w:rStyle w:val="Hyperlink"/>
          </w:rPr>
          <w:t>Set of Guidance Papers on Recommended Principles and Usages around UCP 600 - ICC - International Chamber of Commerce (iccwbo.org)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745C9" w14:textId="4F97FC74" w:rsidR="00061421" w:rsidRDefault="00061421" w:rsidP="00061421">
    <w:pPr>
      <w:pStyle w:val="Header"/>
      <w:jc w:val="right"/>
    </w:pPr>
  </w:p>
  <w:p w14:paraId="696A0F6C" w14:textId="77777777" w:rsidR="00061421" w:rsidRDefault="00061421" w:rsidP="00061421">
    <w:pPr>
      <w:pStyle w:val="Header"/>
      <w:jc w:val="right"/>
    </w:pPr>
  </w:p>
  <w:p w14:paraId="0AF0C109" w14:textId="77777777" w:rsidR="00061421" w:rsidRDefault="00061421" w:rsidP="00061421">
    <w:pPr>
      <w:pStyle w:val="Header"/>
      <w:jc w:val="right"/>
    </w:pPr>
  </w:p>
  <w:p w14:paraId="0053DE22" w14:textId="77777777" w:rsidR="00061421" w:rsidRDefault="00061421" w:rsidP="0006142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01A3C" w14:textId="18DD1A4C" w:rsidR="001D5B8F" w:rsidRDefault="001D5B8F" w:rsidP="001D5B8F">
    <w:pPr>
      <w:pStyle w:val="Header"/>
      <w:tabs>
        <w:tab w:val="left" w:pos="435"/>
        <w:tab w:val="right" w:pos="90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6A435" wp14:editId="321673D9">
              <wp:simplePos x="0" y="0"/>
              <wp:positionH relativeFrom="column">
                <wp:posOffset>-52705</wp:posOffset>
              </wp:positionH>
              <wp:positionV relativeFrom="paragraph">
                <wp:posOffset>15875</wp:posOffset>
              </wp:positionV>
              <wp:extent cx="2835798" cy="75247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5798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542B5B" w14:textId="77777777" w:rsidR="001D5B8F" w:rsidRPr="00194509" w:rsidRDefault="001D5B8F" w:rsidP="001D5B8F">
                          <w:pPr>
                            <w:pStyle w:val="Paragraphestandard"/>
                            <w:suppressAutoHyphens/>
                            <w:spacing w:after="57"/>
                            <w:rPr>
                              <w:rFonts w:ascii="Gellix" w:hAnsi="Gellix" w:cs="Gellix"/>
                              <w:sz w:val="17"/>
                              <w:szCs w:val="17"/>
                              <w:lang w:val="fr-FR"/>
                            </w:rPr>
                          </w:pPr>
                          <w:r w:rsidRPr="00194509">
                            <w:rPr>
                              <w:rFonts w:ascii="Gellix" w:hAnsi="Gellix" w:cs="Gellix"/>
                              <w:sz w:val="17"/>
                              <w:szCs w:val="17"/>
                              <w:lang w:val="fr-FR"/>
                            </w:rPr>
                            <w:t>International Chamber of Commerce</w:t>
                          </w:r>
                          <w:r w:rsidRPr="00194509">
                            <w:rPr>
                              <w:rFonts w:ascii="Gellix" w:hAnsi="Gellix" w:cs="Gellix"/>
                              <w:sz w:val="17"/>
                              <w:szCs w:val="17"/>
                              <w:lang w:val="fr-FR"/>
                            </w:rPr>
                            <w:br/>
                            <w:t>33-43 avenue du Président Wilson, 75116 Paris, France</w:t>
                          </w:r>
                        </w:p>
                        <w:p w14:paraId="24101AB3" w14:textId="77777777" w:rsidR="001D5B8F" w:rsidRPr="00B42B36" w:rsidRDefault="001D5B8F" w:rsidP="001D5B8F">
                          <w:pPr>
                            <w:spacing w:line="276" w:lineRule="auto"/>
                            <w:rPr>
                              <w:color w:val="006DA9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cs="Gellix"/>
                              <w:sz w:val="17"/>
                              <w:szCs w:val="17"/>
                            </w:rPr>
                            <w:t>+33 (0) 1 49 53 28 28</w:t>
                          </w:r>
                          <w:r>
                            <w:rPr>
                              <w:rFonts w:cs="Gellix"/>
                              <w:b/>
                              <w:b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B42B36">
                            <w:rPr>
                              <w:rFonts w:cs="Gellix"/>
                              <w:color w:val="006DA9"/>
                              <w:sz w:val="17"/>
                              <w:szCs w:val="17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|</w:t>
                          </w:r>
                          <w:r w:rsidRPr="00B42B36">
                            <w:rPr>
                              <w:rFonts w:cs="Gellix"/>
                              <w:b/>
                              <w:bCs/>
                              <w:color w:val="006DA9"/>
                              <w:sz w:val="17"/>
                              <w:szCs w:val="17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iccwbo.org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6A43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-4.15pt;margin-top:1.25pt;width:223.3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" filled="f" stroked="f" strokeweight=".5pt">
              <v:textbox>
                <w:txbxContent>
                  <w:p w14:paraId="5C542B5B" w14:textId="77777777" w:rsidR="001D5B8F" w:rsidRPr="00194509" w:rsidRDefault="001D5B8F" w:rsidP="001D5B8F">
                    <w:pPr>
                      <w:pStyle w:val="Paragraphestandard"/>
                      <w:suppressAutoHyphens/>
                      <w:spacing w:after="57"/>
                      <w:rPr>
                        <w:rFonts w:ascii="Gellix" w:hAnsi="Gellix" w:cs="Gellix"/>
                        <w:sz w:val="17"/>
                        <w:szCs w:val="17"/>
                        <w:lang w:val="fr-FR"/>
                      </w:rPr>
                    </w:pPr>
                    <w:r w:rsidRPr="00194509">
                      <w:rPr>
                        <w:rFonts w:ascii="Gellix" w:hAnsi="Gellix" w:cs="Gellix"/>
                        <w:sz w:val="17"/>
                        <w:szCs w:val="17"/>
                        <w:lang w:val="fr-FR"/>
                      </w:rPr>
                      <w:t>International Chamber of Commerce</w:t>
                    </w:r>
                    <w:r w:rsidRPr="00194509">
                      <w:rPr>
                        <w:rFonts w:ascii="Gellix" w:hAnsi="Gellix" w:cs="Gellix"/>
                        <w:sz w:val="17"/>
                        <w:szCs w:val="17"/>
                        <w:lang w:val="fr-FR"/>
                      </w:rPr>
                      <w:br/>
                      <w:t>33-43 avenue du Président Wilson, 75116 Paris, France</w:t>
                    </w:r>
                  </w:p>
                  <w:p w14:paraId="24101AB3" w14:textId="77777777" w:rsidR="001D5B8F" w:rsidRPr="00B42B36" w:rsidRDefault="001D5B8F" w:rsidP="001D5B8F">
                    <w:pPr>
                      <w:spacing w:line="276" w:lineRule="auto"/>
                      <w:rPr>
                        <w:color w:val="006DA9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cs="Gellix"/>
                        <w:sz w:val="17"/>
                        <w:szCs w:val="17"/>
                      </w:rPr>
                      <w:t>+33 (0) 1 49 53 28 28</w:t>
                    </w:r>
                    <w:r>
                      <w:rPr>
                        <w:rFonts w:cs="Gellix"/>
                        <w:b/>
                        <w:bCs/>
                        <w:sz w:val="17"/>
                        <w:szCs w:val="17"/>
                      </w:rPr>
                      <w:t xml:space="preserve"> </w:t>
                    </w:r>
                    <w:r w:rsidRPr="00B42B36">
                      <w:rPr>
                        <w:rFonts w:cs="Gellix"/>
                        <w:color w:val="006DA9"/>
                        <w:sz w:val="17"/>
                        <w:szCs w:val="17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|</w:t>
                    </w:r>
                    <w:r w:rsidRPr="00B42B36">
                      <w:rPr>
                        <w:rFonts w:cs="Gellix"/>
                        <w:b/>
                        <w:bCs/>
                        <w:color w:val="006DA9"/>
                        <w:sz w:val="17"/>
                        <w:szCs w:val="17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iccwbo.org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rPr>
        <w:noProof/>
      </w:rPr>
      <w:drawing>
        <wp:inline distT="0" distB="0" distL="0" distR="0" wp14:anchorId="4955B7E9" wp14:editId="787D3AE9">
          <wp:extent cx="1275120" cy="792000"/>
          <wp:effectExtent l="0" t="0" r="0" b="0"/>
          <wp:docPr id="8" name="Image 8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A blue and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12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33D48"/>
    <w:multiLevelType w:val="hybridMultilevel"/>
    <w:tmpl w:val="6EBC804A"/>
    <w:lvl w:ilvl="0" w:tplc="389AB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EC4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88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6D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08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6A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A6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2A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8C35F5"/>
    <w:multiLevelType w:val="hybridMultilevel"/>
    <w:tmpl w:val="8B6E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86FF3"/>
    <w:multiLevelType w:val="hybridMultilevel"/>
    <w:tmpl w:val="21C6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47D05"/>
    <w:multiLevelType w:val="hybridMultilevel"/>
    <w:tmpl w:val="AA9A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039A4"/>
    <w:multiLevelType w:val="hybridMultilevel"/>
    <w:tmpl w:val="01DC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13A3A"/>
    <w:multiLevelType w:val="hybridMultilevel"/>
    <w:tmpl w:val="9926B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1661A"/>
    <w:multiLevelType w:val="hybridMultilevel"/>
    <w:tmpl w:val="7418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284173">
    <w:abstractNumId w:val="0"/>
  </w:num>
  <w:num w:numId="2" w16cid:durableId="281806831">
    <w:abstractNumId w:val="5"/>
  </w:num>
  <w:num w:numId="3" w16cid:durableId="975061469">
    <w:abstractNumId w:val="2"/>
  </w:num>
  <w:num w:numId="4" w16cid:durableId="863976506">
    <w:abstractNumId w:val="6"/>
  </w:num>
  <w:num w:numId="5" w16cid:durableId="99691634">
    <w:abstractNumId w:val="1"/>
  </w:num>
  <w:num w:numId="6" w16cid:durableId="82647982">
    <w:abstractNumId w:val="3"/>
  </w:num>
  <w:num w:numId="7" w16cid:durableId="920019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53"/>
    <w:rsid w:val="00061421"/>
    <w:rsid w:val="00080E4C"/>
    <w:rsid w:val="000821BD"/>
    <w:rsid w:val="00084A84"/>
    <w:rsid w:val="0009343B"/>
    <w:rsid w:val="000B3E6E"/>
    <w:rsid w:val="000D0828"/>
    <w:rsid w:val="000E0751"/>
    <w:rsid w:val="00106B30"/>
    <w:rsid w:val="0012747A"/>
    <w:rsid w:val="001674B3"/>
    <w:rsid w:val="00175CA6"/>
    <w:rsid w:val="00180332"/>
    <w:rsid w:val="001A6090"/>
    <w:rsid w:val="001D168F"/>
    <w:rsid w:val="001D3BB0"/>
    <w:rsid w:val="001D5B8F"/>
    <w:rsid w:val="001E3B30"/>
    <w:rsid w:val="00214072"/>
    <w:rsid w:val="002143E4"/>
    <w:rsid w:val="00253ACF"/>
    <w:rsid w:val="002612A6"/>
    <w:rsid w:val="0029446D"/>
    <w:rsid w:val="002B1C53"/>
    <w:rsid w:val="002B4801"/>
    <w:rsid w:val="002D696F"/>
    <w:rsid w:val="002D7F73"/>
    <w:rsid w:val="002F7B96"/>
    <w:rsid w:val="0030056E"/>
    <w:rsid w:val="0033223C"/>
    <w:rsid w:val="00334AB6"/>
    <w:rsid w:val="00384AF0"/>
    <w:rsid w:val="00393F57"/>
    <w:rsid w:val="003A5BEE"/>
    <w:rsid w:val="003C0532"/>
    <w:rsid w:val="003C7467"/>
    <w:rsid w:val="003E05E6"/>
    <w:rsid w:val="003F66A2"/>
    <w:rsid w:val="00405BD8"/>
    <w:rsid w:val="00406C78"/>
    <w:rsid w:val="00433696"/>
    <w:rsid w:val="00434CEF"/>
    <w:rsid w:val="00435BE2"/>
    <w:rsid w:val="00451767"/>
    <w:rsid w:val="00453E48"/>
    <w:rsid w:val="0046559A"/>
    <w:rsid w:val="004812F1"/>
    <w:rsid w:val="004B7786"/>
    <w:rsid w:val="004F3275"/>
    <w:rsid w:val="00522275"/>
    <w:rsid w:val="00537695"/>
    <w:rsid w:val="00571A66"/>
    <w:rsid w:val="005874B0"/>
    <w:rsid w:val="005C5C22"/>
    <w:rsid w:val="005F5335"/>
    <w:rsid w:val="00632A62"/>
    <w:rsid w:val="00664515"/>
    <w:rsid w:val="0068100D"/>
    <w:rsid w:val="006968C0"/>
    <w:rsid w:val="006C5E4C"/>
    <w:rsid w:val="006E1920"/>
    <w:rsid w:val="006E1CF5"/>
    <w:rsid w:val="00711E4C"/>
    <w:rsid w:val="007334B5"/>
    <w:rsid w:val="00772F98"/>
    <w:rsid w:val="00773131"/>
    <w:rsid w:val="007D2003"/>
    <w:rsid w:val="007D39A5"/>
    <w:rsid w:val="007D7409"/>
    <w:rsid w:val="0084007C"/>
    <w:rsid w:val="00860A03"/>
    <w:rsid w:val="00870399"/>
    <w:rsid w:val="0088286F"/>
    <w:rsid w:val="00894DC2"/>
    <w:rsid w:val="008B1D94"/>
    <w:rsid w:val="008D4AB1"/>
    <w:rsid w:val="008E612D"/>
    <w:rsid w:val="00916CDE"/>
    <w:rsid w:val="00920144"/>
    <w:rsid w:val="00921762"/>
    <w:rsid w:val="00956917"/>
    <w:rsid w:val="00973232"/>
    <w:rsid w:val="00997C45"/>
    <w:rsid w:val="009B0170"/>
    <w:rsid w:val="009E63C9"/>
    <w:rsid w:val="00A81D6A"/>
    <w:rsid w:val="00A86B22"/>
    <w:rsid w:val="00AA38AF"/>
    <w:rsid w:val="00AB07F7"/>
    <w:rsid w:val="00AE212E"/>
    <w:rsid w:val="00B0058E"/>
    <w:rsid w:val="00B17B4A"/>
    <w:rsid w:val="00B26B2F"/>
    <w:rsid w:val="00B3778C"/>
    <w:rsid w:val="00B44CF5"/>
    <w:rsid w:val="00BA6AE1"/>
    <w:rsid w:val="00BB1EEE"/>
    <w:rsid w:val="00BC3539"/>
    <w:rsid w:val="00BD3E74"/>
    <w:rsid w:val="00BD51C1"/>
    <w:rsid w:val="00BE525C"/>
    <w:rsid w:val="00BF1562"/>
    <w:rsid w:val="00C14709"/>
    <w:rsid w:val="00C2591F"/>
    <w:rsid w:val="00C40E62"/>
    <w:rsid w:val="00C42D40"/>
    <w:rsid w:val="00C43192"/>
    <w:rsid w:val="00C9115E"/>
    <w:rsid w:val="00CA0275"/>
    <w:rsid w:val="00CE2051"/>
    <w:rsid w:val="00D03C4B"/>
    <w:rsid w:val="00D05C1A"/>
    <w:rsid w:val="00D1136E"/>
    <w:rsid w:val="00D154E6"/>
    <w:rsid w:val="00D61ADC"/>
    <w:rsid w:val="00D637FF"/>
    <w:rsid w:val="00D66C5B"/>
    <w:rsid w:val="00D947A2"/>
    <w:rsid w:val="00DB4D74"/>
    <w:rsid w:val="00DC38BD"/>
    <w:rsid w:val="00DD3C70"/>
    <w:rsid w:val="00DE46C6"/>
    <w:rsid w:val="00E1307E"/>
    <w:rsid w:val="00E23FBF"/>
    <w:rsid w:val="00E34F37"/>
    <w:rsid w:val="00E45B3F"/>
    <w:rsid w:val="00E66BCA"/>
    <w:rsid w:val="00E829AE"/>
    <w:rsid w:val="00ED2DCC"/>
    <w:rsid w:val="00EE09FC"/>
    <w:rsid w:val="00EE45A4"/>
    <w:rsid w:val="00EE60CD"/>
    <w:rsid w:val="00F04ECD"/>
    <w:rsid w:val="00F36AC0"/>
    <w:rsid w:val="00F44A21"/>
    <w:rsid w:val="00F61788"/>
    <w:rsid w:val="00F84DAD"/>
    <w:rsid w:val="00FA2115"/>
    <w:rsid w:val="00FA4F66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FA5D2"/>
  <w15:chartTrackingRefBased/>
  <w15:docId w15:val="{6785B3AA-67BE-5E45-8229-E60CFF96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E6E"/>
    <w:pPr>
      <w:ind w:left="720"/>
      <w:contextualSpacing/>
    </w:pPr>
  </w:style>
  <w:style w:type="table" w:styleId="TableGrid">
    <w:name w:val="Table Grid"/>
    <w:basedOn w:val="TableNormal"/>
    <w:uiPriority w:val="39"/>
    <w:rsid w:val="008D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7F73"/>
  </w:style>
  <w:style w:type="character" w:styleId="CommentReference">
    <w:name w:val="annotation reference"/>
    <w:basedOn w:val="DefaultParagraphFont"/>
    <w:uiPriority w:val="99"/>
    <w:semiHidden/>
    <w:unhideWhenUsed/>
    <w:rsid w:val="002D7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7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7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F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2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3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5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58E"/>
  </w:style>
  <w:style w:type="paragraph" w:styleId="Footer">
    <w:name w:val="footer"/>
    <w:basedOn w:val="Normal"/>
    <w:link w:val="FooterChar"/>
    <w:uiPriority w:val="99"/>
    <w:unhideWhenUsed/>
    <w:rsid w:val="00B005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58E"/>
  </w:style>
  <w:style w:type="paragraph" w:customStyle="1" w:styleId="Paragraphestandard">
    <w:name w:val="[Paragraphe standard]"/>
    <w:basedOn w:val="Normal"/>
    <w:uiPriority w:val="99"/>
    <w:rsid w:val="00E23F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EE0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09F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76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76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76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472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09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72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65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5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iccwbo.org/tfb.htm?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iccwbo.org/tfb/tfb-iccopinion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rary.iccwbo.org/content/tfb/BRIEFINGS/20220627_TA_Briefing_No3_reducing_discrepancy_rate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iccwbo.org/tfb/tfb-docdex.ht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iccwbo.org/tfb/tfb-commercialisation-briefings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ccwbo.org/news-publications/policies-reports/set-of-guidance-papers-on-recommended-principles-and-usages-around-ucp-60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f7fcc-4ac6-4448-a404-5e4417a2ee04">
      <Terms xmlns="http://schemas.microsoft.com/office/infopath/2007/PartnerControls"/>
    </lcf76f155ced4ddcb4097134ff3c332f>
    <TaxCatchAll xmlns="598f140b-4145-4024-8bcc-6d7083f15a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18AE115A3A9419A412E1B8FF46FE3" ma:contentTypeVersion="18" ma:contentTypeDescription="Create a new document." ma:contentTypeScope="" ma:versionID="eedb10cc814107a3eb45c8aa65d9cb27">
  <xsd:schema xmlns:xsd="http://www.w3.org/2001/XMLSchema" xmlns:xs="http://www.w3.org/2001/XMLSchema" xmlns:p="http://schemas.microsoft.com/office/2006/metadata/properties" xmlns:ns2="fecf7fcc-4ac6-4448-a404-5e4417a2ee04" xmlns:ns3="465ae127-5d1e-48f1-8bba-a4710e9de403" xmlns:ns4="598f140b-4145-4024-8bcc-6d7083f15a24" targetNamespace="http://schemas.microsoft.com/office/2006/metadata/properties" ma:root="true" ma:fieldsID="aec84c812e92ab3f283b7caedb389f8c" ns2:_="" ns3:_="" ns4:_="">
    <xsd:import namespace="fecf7fcc-4ac6-4448-a404-5e4417a2ee04"/>
    <xsd:import namespace="465ae127-5d1e-48f1-8bba-a4710e9de403"/>
    <xsd:import namespace="598f140b-4145-4024-8bcc-6d7083f15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7fcc-4ac6-4448-a404-5e4417a2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4d393a-c683-4ae6-92a3-16801d27c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e127-5d1e-48f1-8bba-a4710e9d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0b-4145-4024-8bcc-6d7083f15a2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1108c5b-dc04-4112-92d3-dfe3254644ac}" ma:internalName="TaxCatchAll" ma:showField="CatchAllData" ma:web="465ae127-5d1e-48f1-8bba-a4710e9de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66C2-6C99-4E83-A0F4-214A8A6B5957}">
  <ds:schemaRefs>
    <ds:schemaRef ds:uri="http://schemas.microsoft.com/office/2006/metadata/properties"/>
    <ds:schemaRef ds:uri="http://schemas.microsoft.com/office/infopath/2007/PartnerControls"/>
    <ds:schemaRef ds:uri="fecf7fcc-4ac6-4448-a404-5e4417a2ee04"/>
    <ds:schemaRef ds:uri="598f140b-4145-4024-8bcc-6d7083f15a24"/>
  </ds:schemaRefs>
</ds:datastoreItem>
</file>

<file path=customXml/itemProps2.xml><?xml version="1.0" encoding="utf-8"?>
<ds:datastoreItem xmlns:ds="http://schemas.openxmlformats.org/officeDocument/2006/customXml" ds:itemID="{7CB3A7A7-9ACC-4D83-82DE-474803A34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D592F-1AF7-4AC4-ABEB-A277EB6A8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7fcc-4ac6-4448-a404-5e4417a2ee04"/>
    <ds:schemaRef ds:uri="465ae127-5d1e-48f1-8bba-a4710e9de403"/>
    <ds:schemaRef ds:uri="598f140b-4145-4024-8bcc-6d7083f15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44EB10-7A2E-473B-A775-FDC390F4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meynell</dc:creator>
  <cp:keywords/>
  <dc:description/>
  <cp:lastModifiedBy>KUBIAK Tomasch</cp:lastModifiedBy>
  <cp:revision>18</cp:revision>
  <cp:lastPrinted>2024-05-03T10:19:00Z</cp:lastPrinted>
  <dcterms:created xsi:type="dcterms:W3CDTF">2024-08-22T07:17:00Z</dcterms:created>
  <dcterms:modified xsi:type="dcterms:W3CDTF">2024-08-27T16:02:00Z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0x01010094818AE115A3A9419A412E1B8FF46FE3</vt:lpwstr>
  </property>
  <property fmtid="{D5CDD505-2E9C-101B-9397-08002B2CF9AE}" pid="3" name="MediaServiceImageTags">
    <vt:lpwstr/>
  </property>
</Properties>
</file>