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7EA53" w14:textId="77777777" w:rsidR="001826DE" w:rsidRPr="00B435C1" w:rsidRDefault="001826DE" w:rsidP="001826DE">
      <w:pPr>
        <w:spacing w:after="0" w:line="240" w:lineRule="auto"/>
        <w:rPr>
          <w:rFonts w:ascii="Gellix" w:hAnsi="Gellix"/>
          <w:spacing w:val="-4"/>
          <w:sz w:val="22"/>
          <w:szCs w:val="22"/>
          <w:lang w:val="en-GB"/>
        </w:rPr>
      </w:pPr>
    </w:p>
    <w:p w14:paraId="59F561B8" w14:textId="77777777" w:rsidR="001826DE" w:rsidRPr="00B435C1" w:rsidRDefault="001826DE" w:rsidP="001826DE">
      <w:pPr>
        <w:spacing w:after="0" w:line="240" w:lineRule="auto"/>
        <w:rPr>
          <w:rFonts w:ascii="Gellix" w:hAnsi="Gellix"/>
          <w:spacing w:val="-4"/>
          <w:sz w:val="22"/>
          <w:szCs w:val="22"/>
          <w:lang w:val="en-GB"/>
        </w:rPr>
      </w:pPr>
    </w:p>
    <w:p w14:paraId="24CDB199" w14:textId="0621D494" w:rsidR="001826DE" w:rsidRPr="00B435C1" w:rsidRDefault="001826DE" w:rsidP="001826DE">
      <w:pPr>
        <w:spacing w:after="0" w:line="240" w:lineRule="auto"/>
        <w:jc w:val="center"/>
        <w:rPr>
          <w:rFonts w:ascii="Gellix" w:eastAsia="Times New Roman" w:hAnsi="Gellix"/>
          <w:b/>
          <w:bCs/>
          <w:color w:val="007DFF"/>
          <w:sz w:val="22"/>
          <w:szCs w:val="22"/>
          <w:lang w:val="en-GB" w:eastAsia="en-US"/>
        </w:rPr>
      </w:pPr>
      <w:r>
        <w:rPr>
          <w:rFonts w:ascii="Gellix" w:hAnsi="Gellix"/>
          <w:b/>
          <w:bCs/>
          <w:color w:val="007DFF"/>
          <w:spacing w:val="-4"/>
          <w:sz w:val="22"/>
          <w:szCs w:val="22"/>
        </w:rPr>
        <w:t>EU Commission Public Consultation on the</w:t>
      </w:r>
      <w:r w:rsidRPr="001826DE">
        <w:rPr>
          <w:rFonts w:ascii="Gellix" w:hAnsi="Gellix"/>
          <w:b/>
          <w:bCs/>
          <w:color w:val="007DFF"/>
          <w:spacing w:val="-4"/>
          <w:sz w:val="22"/>
          <w:szCs w:val="22"/>
        </w:rPr>
        <w:t xml:space="preserve"> template and electronic formats for ‘country by country’ reports</w:t>
      </w:r>
    </w:p>
    <w:p w14:paraId="0223025E" w14:textId="77777777" w:rsidR="001826DE" w:rsidRPr="00B435C1" w:rsidRDefault="001826DE" w:rsidP="001826DE">
      <w:pPr>
        <w:pStyle w:val="ListParagraph"/>
        <w:spacing w:after="0" w:line="240" w:lineRule="auto"/>
        <w:contextualSpacing w:val="0"/>
        <w:rPr>
          <w:rFonts w:ascii="Gellix" w:eastAsia="Times New Roman" w:hAnsi="Gellix"/>
          <w:sz w:val="22"/>
          <w:szCs w:val="22"/>
          <w:lang w:val="en-GB" w:eastAsia="en-US"/>
        </w:rPr>
      </w:pPr>
    </w:p>
    <w:p w14:paraId="141E8414" w14:textId="77777777" w:rsidR="001826DE" w:rsidRPr="00B435C1" w:rsidRDefault="001826DE" w:rsidP="001826DE">
      <w:pPr>
        <w:spacing w:after="0" w:line="240" w:lineRule="auto"/>
        <w:rPr>
          <w:rFonts w:ascii="Gellix" w:hAnsi="Gellix"/>
          <w:sz w:val="22"/>
          <w:szCs w:val="22"/>
          <w:lang w:val="en-GB"/>
        </w:rPr>
      </w:pPr>
      <w:r w:rsidRPr="00B435C1">
        <w:rPr>
          <w:rFonts w:ascii="Gellix" w:hAnsi="Gellix"/>
          <w:sz w:val="22"/>
          <w:szCs w:val="22"/>
          <w:lang w:val="en-GB"/>
        </w:rPr>
        <w:t>ICC advocates for a consistent global tax system, founded on the premise that stability, certainty and consistency in global tax principles are essential for business and will foster cross-border trade and investment.</w:t>
      </w:r>
    </w:p>
    <w:p w14:paraId="71BDA205" w14:textId="77777777" w:rsidR="001826DE" w:rsidRDefault="001826DE" w:rsidP="001826DE">
      <w:pPr>
        <w:spacing w:after="0" w:line="240" w:lineRule="auto"/>
        <w:rPr>
          <w:rFonts w:ascii="Gellix" w:hAnsi="Gellix"/>
          <w:sz w:val="22"/>
          <w:szCs w:val="22"/>
          <w:lang w:val="en-GB"/>
        </w:rPr>
      </w:pPr>
    </w:p>
    <w:p w14:paraId="5193E9A8" w14:textId="685085A3" w:rsidR="000D6E4C" w:rsidRDefault="000D6E4C" w:rsidP="000D6E4C">
      <w:pPr>
        <w:spacing w:after="0" w:line="240" w:lineRule="auto"/>
        <w:rPr>
          <w:rFonts w:ascii="Gellix" w:hAnsi="Gellix"/>
          <w:sz w:val="22"/>
          <w:szCs w:val="22"/>
          <w:lang w:val="en-GB"/>
        </w:rPr>
      </w:pPr>
      <w:r w:rsidRPr="000D6E4C">
        <w:rPr>
          <w:rFonts w:ascii="Gellix" w:hAnsi="Gellix"/>
          <w:sz w:val="22"/>
          <w:szCs w:val="22"/>
          <w:lang w:val="en-GB"/>
        </w:rPr>
        <w:t xml:space="preserve">We welcome the </w:t>
      </w:r>
      <w:r>
        <w:rPr>
          <w:rFonts w:ascii="Gellix" w:hAnsi="Gellix"/>
          <w:sz w:val="22"/>
          <w:szCs w:val="22"/>
          <w:lang w:val="en-GB"/>
        </w:rPr>
        <w:t xml:space="preserve">opportunity </w:t>
      </w:r>
      <w:r w:rsidRPr="000D6E4C">
        <w:rPr>
          <w:rFonts w:ascii="Gellix" w:hAnsi="Gellix"/>
          <w:sz w:val="22"/>
          <w:szCs w:val="22"/>
          <w:lang w:val="en-GB"/>
        </w:rPr>
        <w:t xml:space="preserve">to comment </w:t>
      </w:r>
      <w:r w:rsidR="004A5535">
        <w:rPr>
          <w:rFonts w:ascii="Gellix" w:hAnsi="Gellix"/>
          <w:sz w:val="22"/>
          <w:szCs w:val="22"/>
          <w:lang w:val="en-GB"/>
        </w:rPr>
        <w:t>on the</w:t>
      </w:r>
      <w:r w:rsidR="004A5535" w:rsidRPr="004A5535">
        <w:rPr>
          <w:rFonts w:ascii="Gellix" w:hAnsi="Gellix"/>
          <w:sz w:val="22"/>
          <w:szCs w:val="22"/>
          <w:lang w:val="en-GB"/>
        </w:rPr>
        <w:t xml:space="preserve"> </w:t>
      </w:r>
      <w:r w:rsidR="004A5535" w:rsidRPr="000D6E4C">
        <w:rPr>
          <w:rFonts w:ascii="Gellix" w:hAnsi="Gellix"/>
          <w:sz w:val="22"/>
          <w:szCs w:val="22"/>
        </w:rPr>
        <w:t>EU proposal for public country-by-country (</w:t>
      </w:r>
      <w:proofErr w:type="spellStart"/>
      <w:r w:rsidR="004A5535" w:rsidRPr="000D6E4C">
        <w:rPr>
          <w:rFonts w:ascii="Gellix" w:hAnsi="Gellix"/>
          <w:sz w:val="22"/>
          <w:szCs w:val="22"/>
        </w:rPr>
        <w:t>CbC</w:t>
      </w:r>
      <w:proofErr w:type="spellEnd"/>
      <w:r w:rsidR="004A5535" w:rsidRPr="000D6E4C">
        <w:rPr>
          <w:rFonts w:ascii="Gellix" w:hAnsi="Gellix"/>
          <w:sz w:val="22"/>
          <w:szCs w:val="22"/>
        </w:rPr>
        <w:t xml:space="preserve">) reporting of tax-related information by multinational enterprises (MNEs). </w:t>
      </w:r>
    </w:p>
    <w:p w14:paraId="2A5842F1" w14:textId="77777777" w:rsidR="004A5535" w:rsidRPr="000D6E4C" w:rsidRDefault="004A5535" w:rsidP="004A5535">
      <w:pPr>
        <w:spacing w:after="0" w:line="240" w:lineRule="auto"/>
        <w:rPr>
          <w:rFonts w:ascii="Gellix" w:hAnsi="Gellix"/>
          <w:sz w:val="22"/>
          <w:szCs w:val="22"/>
        </w:rPr>
      </w:pPr>
    </w:p>
    <w:p w14:paraId="5A3295D3" w14:textId="77777777" w:rsidR="004A5535" w:rsidRPr="000D6E4C" w:rsidRDefault="004A5535" w:rsidP="004A5535">
      <w:pPr>
        <w:spacing w:after="0" w:line="240" w:lineRule="auto"/>
        <w:rPr>
          <w:rFonts w:ascii="Gellix" w:hAnsi="Gellix"/>
          <w:sz w:val="22"/>
          <w:szCs w:val="22"/>
        </w:rPr>
      </w:pPr>
      <w:r w:rsidRPr="000D6E4C">
        <w:rPr>
          <w:rFonts w:ascii="Gellix" w:hAnsi="Gellix"/>
          <w:sz w:val="22"/>
          <w:szCs w:val="22"/>
        </w:rPr>
        <w:t xml:space="preserve">From a business perspective, we acknowledge that this proposal represents a significant step in the EU's ongoing efforts to promote greater transparency in tax reporting. However, in the context of non-stop increasing tax-related obligations for MNEs, efficiency and administrative burden put on the business should also be weighed. </w:t>
      </w:r>
      <w:proofErr w:type="spellStart"/>
      <w:r w:rsidRPr="000D6E4C">
        <w:rPr>
          <w:rFonts w:ascii="Gellix" w:hAnsi="Gellix"/>
          <w:sz w:val="22"/>
          <w:szCs w:val="22"/>
        </w:rPr>
        <w:t>CbC</w:t>
      </w:r>
      <w:proofErr w:type="spellEnd"/>
      <w:r w:rsidRPr="000D6E4C">
        <w:rPr>
          <w:rFonts w:ascii="Gellix" w:hAnsi="Gellix"/>
          <w:sz w:val="22"/>
          <w:szCs w:val="22"/>
        </w:rPr>
        <w:t xml:space="preserve"> report filing to tax authorities is currently based on the OECD XML Schema, which allows secure automatic exchange of information among interested parties. In order not to duplicate efforts regarding data formatting, leveraging as much as possible on existing formats could alleviate business efforts without affecting the quality of data provided.</w:t>
      </w:r>
    </w:p>
    <w:p w14:paraId="61AAAAF3" w14:textId="77777777" w:rsidR="004A5535" w:rsidRPr="000D6E4C" w:rsidRDefault="004A5535" w:rsidP="004A5535">
      <w:pPr>
        <w:spacing w:after="0" w:line="240" w:lineRule="auto"/>
        <w:rPr>
          <w:rFonts w:ascii="Gellix" w:hAnsi="Gellix"/>
          <w:sz w:val="22"/>
          <w:szCs w:val="22"/>
        </w:rPr>
      </w:pPr>
    </w:p>
    <w:p w14:paraId="34D28C8D" w14:textId="6B6D0A4F" w:rsidR="004A5535" w:rsidRPr="000D6E4C" w:rsidRDefault="004A5535" w:rsidP="004A5535">
      <w:pPr>
        <w:spacing w:after="0" w:line="240" w:lineRule="auto"/>
        <w:rPr>
          <w:rFonts w:ascii="Gellix" w:hAnsi="Gellix"/>
          <w:sz w:val="22"/>
          <w:szCs w:val="22"/>
        </w:rPr>
      </w:pPr>
      <w:r w:rsidRPr="004A5535">
        <w:rPr>
          <w:rFonts w:ascii="Gellix" w:hAnsi="Gellix"/>
          <w:sz w:val="22"/>
          <w:szCs w:val="22"/>
          <w:lang w:val="en-GB"/>
        </w:rPr>
        <w:t xml:space="preserve">As ICC believe that </w:t>
      </w:r>
      <w:r w:rsidRPr="000D6E4C">
        <w:rPr>
          <w:rFonts w:ascii="Gellix" w:hAnsi="Gellix"/>
          <w:sz w:val="22"/>
          <w:szCs w:val="22"/>
          <w:lang w:val="en-GB"/>
        </w:rPr>
        <w:t>this template and consultation offers a valuable chance to clarify key issues, such as the handling of omitted information</w:t>
      </w:r>
      <w:r w:rsidRPr="004A5535">
        <w:rPr>
          <w:rFonts w:ascii="Gellix" w:hAnsi="Gellix"/>
          <w:sz w:val="22"/>
          <w:szCs w:val="22"/>
          <w:lang w:val="en-GB"/>
        </w:rPr>
        <w:t xml:space="preserve"> and </w:t>
      </w:r>
      <w:r w:rsidRPr="000D6E4C">
        <w:rPr>
          <w:rFonts w:ascii="Gellix" w:hAnsi="Gellix"/>
          <w:sz w:val="22"/>
          <w:szCs w:val="22"/>
          <w:lang w:val="en-GB"/>
        </w:rPr>
        <w:t>promote consistent application across all Member States</w:t>
      </w:r>
      <w:r w:rsidRPr="004A5535">
        <w:rPr>
          <w:rFonts w:ascii="Gellix" w:hAnsi="Gellix"/>
          <w:sz w:val="22"/>
          <w:szCs w:val="22"/>
          <w:lang w:val="en-GB"/>
        </w:rPr>
        <w:t>.</w:t>
      </w:r>
    </w:p>
    <w:p w14:paraId="136F27D8" w14:textId="77777777" w:rsidR="004A5535" w:rsidRPr="004A5535" w:rsidRDefault="004A5535" w:rsidP="000D6E4C">
      <w:pPr>
        <w:spacing w:after="0" w:line="240" w:lineRule="auto"/>
        <w:rPr>
          <w:rFonts w:ascii="Gellix" w:hAnsi="Gellix"/>
          <w:sz w:val="22"/>
          <w:szCs w:val="22"/>
        </w:rPr>
      </w:pPr>
    </w:p>
    <w:p w14:paraId="4DAB5FF7" w14:textId="157D3379" w:rsidR="000D6E4C" w:rsidRDefault="000D6E4C" w:rsidP="000D6E4C">
      <w:pPr>
        <w:spacing w:after="0" w:line="240" w:lineRule="auto"/>
        <w:rPr>
          <w:rFonts w:ascii="Gellix" w:hAnsi="Gellix"/>
          <w:sz w:val="22"/>
          <w:szCs w:val="22"/>
          <w:lang w:val="en-GB"/>
        </w:rPr>
      </w:pPr>
      <w:r>
        <w:rPr>
          <w:rFonts w:ascii="Gellix" w:hAnsi="Gellix"/>
          <w:sz w:val="22"/>
          <w:szCs w:val="22"/>
          <w:lang w:val="en-GB"/>
        </w:rPr>
        <w:t>In the context of this public consultation</w:t>
      </w:r>
      <w:r w:rsidR="004A5535">
        <w:rPr>
          <w:rFonts w:ascii="Gellix" w:hAnsi="Gellix"/>
          <w:sz w:val="22"/>
          <w:szCs w:val="22"/>
          <w:lang w:val="en-GB"/>
        </w:rPr>
        <w:t>,</w:t>
      </w:r>
      <w:r>
        <w:rPr>
          <w:rFonts w:ascii="Gellix" w:hAnsi="Gellix"/>
          <w:sz w:val="22"/>
          <w:szCs w:val="22"/>
          <w:lang w:val="en-GB"/>
        </w:rPr>
        <w:t xml:space="preserve"> we would like to share the following comments and raise some points of concerns on which ICC members would welcome further clarity. </w:t>
      </w:r>
    </w:p>
    <w:p w14:paraId="43955828" w14:textId="77777777" w:rsidR="000D6E4C" w:rsidRDefault="000D6E4C" w:rsidP="000D6E4C">
      <w:pPr>
        <w:spacing w:after="0" w:line="240" w:lineRule="auto"/>
        <w:rPr>
          <w:rFonts w:ascii="Gellix" w:hAnsi="Gellix"/>
          <w:b/>
          <w:bCs/>
          <w:sz w:val="22"/>
          <w:szCs w:val="22"/>
          <w:lang w:val="en-GB"/>
        </w:rPr>
      </w:pPr>
    </w:p>
    <w:p w14:paraId="5C131215" w14:textId="77777777" w:rsidR="000D6E4C" w:rsidRDefault="000D6E4C" w:rsidP="000D6E4C">
      <w:pPr>
        <w:spacing w:after="0" w:line="240" w:lineRule="auto"/>
        <w:rPr>
          <w:rFonts w:ascii="Gellix" w:hAnsi="Gellix"/>
          <w:sz w:val="22"/>
          <w:szCs w:val="22"/>
          <w:lang w:val="en-GB"/>
        </w:rPr>
      </w:pPr>
      <w:r w:rsidRPr="000D6E4C">
        <w:rPr>
          <w:rFonts w:ascii="Gellix" w:hAnsi="Gellix"/>
          <w:b/>
          <w:bCs/>
          <w:sz w:val="22"/>
          <w:szCs w:val="22"/>
          <w:lang w:val="en-GB"/>
        </w:rPr>
        <w:t>Omitted Information (Safeguard clause)</w:t>
      </w:r>
      <w:r w:rsidRPr="000D6E4C">
        <w:rPr>
          <w:rFonts w:ascii="Gellix" w:hAnsi="Gellix"/>
          <w:sz w:val="22"/>
          <w:szCs w:val="22"/>
          <w:lang w:val="en-GB"/>
        </w:rPr>
        <w:t xml:space="preserve"> </w:t>
      </w:r>
    </w:p>
    <w:p w14:paraId="083FD032" w14:textId="12BCBD02" w:rsidR="000D6E4C" w:rsidRPr="000D6E4C" w:rsidRDefault="000D6E4C" w:rsidP="000D6E4C">
      <w:pPr>
        <w:spacing w:after="0" w:line="240" w:lineRule="auto"/>
        <w:rPr>
          <w:rFonts w:ascii="Gellix" w:hAnsi="Gellix"/>
          <w:sz w:val="22"/>
          <w:szCs w:val="22"/>
          <w:lang w:val="en-GB"/>
        </w:rPr>
      </w:pPr>
      <w:r>
        <w:rPr>
          <w:rFonts w:ascii="Gellix" w:hAnsi="Gellix"/>
          <w:sz w:val="22"/>
          <w:szCs w:val="22"/>
          <w:lang w:val="en-GB"/>
        </w:rPr>
        <w:t>In relation to s</w:t>
      </w:r>
      <w:r w:rsidRPr="000D6E4C">
        <w:rPr>
          <w:rFonts w:ascii="Gellix" w:hAnsi="Gellix"/>
          <w:sz w:val="22"/>
          <w:szCs w:val="22"/>
          <w:lang w:val="en-GB"/>
        </w:rPr>
        <w:t>ection 4 of the draft common reporting template (Temporarily omitted information), a lack of guidance regarding valid reasons for information omission</w:t>
      </w:r>
      <w:r>
        <w:rPr>
          <w:rFonts w:ascii="Gellix" w:hAnsi="Gellix"/>
          <w:sz w:val="22"/>
          <w:szCs w:val="22"/>
          <w:lang w:val="en-GB"/>
        </w:rPr>
        <w:t xml:space="preserve"> continue to persist</w:t>
      </w:r>
      <w:r w:rsidRPr="000D6E4C">
        <w:rPr>
          <w:rFonts w:ascii="Gellix" w:hAnsi="Gellix"/>
          <w:sz w:val="22"/>
          <w:szCs w:val="22"/>
          <w:lang w:val="en-GB"/>
        </w:rPr>
        <w:t>. This</w:t>
      </w:r>
      <w:r>
        <w:rPr>
          <w:rFonts w:ascii="Gellix" w:hAnsi="Gellix"/>
          <w:sz w:val="22"/>
          <w:szCs w:val="22"/>
          <w:lang w:val="en-GB"/>
        </w:rPr>
        <w:t xml:space="preserve"> </w:t>
      </w:r>
      <w:r w:rsidRPr="000D6E4C">
        <w:rPr>
          <w:rFonts w:ascii="Gellix" w:hAnsi="Gellix"/>
          <w:sz w:val="22"/>
          <w:szCs w:val="22"/>
          <w:lang w:val="en-GB"/>
        </w:rPr>
        <w:t xml:space="preserve">particularly concerns the undefined term "seriously prejudicial" in the </w:t>
      </w:r>
      <w:proofErr w:type="spellStart"/>
      <w:r w:rsidRPr="000D6E4C">
        <w:rPr>
          <w:rFonts w:ascii="Gellix" w:hAnsi="Gellix"/>
          <w:sz w:val="22"/>
          <w:szCs w:val="22"/>
          <w:lang w:val="en-GB"/>
        </w:rPr>
        <w:t>CbCR</w:t>
      </w:r>
      <w:proofErr w:type="spellEnd"/>
      <w:r w:rsidRPr="000D6E4C">
        <w:rPr>
          <w:rFonts w:ascii="Gellix" w:hAnsi="Gellix"/>
          <w:sz w:val="22"/>
          <w:szCs w:val="22"/>
          <w:lang w:val="en-GB"/>
        </w:rPr>
        <w:t xml:space="preserve"> Directive.</w:t>
      </w:r>
    </w:p>
    <w:p w14:paraId="1322CF81" w14:textId="0903BDC3" w:rsidR="000D6E4C" w:rsidRPr="000D6E4C" w:rsidRDefault="000D6E4C" w:rsidP="000D6E4C">
      <w:pPr>
        <w:spacing w:after="0" w:line="240" w:lineRule="auto"/>
        <w:rPr>
          <w:rFonts w:ascii="Gellix" w:hAnsi="Gellix"/>
          <w:sz w:val="22"/>
          <w:szCs w:val="22"/>
          <w:lang w:val="en-GB"/>
        </w:rPr>
      </w:pPr>
      <w:r w:rsidRPr="000D6E4C">
        <w:rPr>
          <w:rFonts w:ascii="Gellix" w:hAnsi="Gellix"/>
          <w:sz w:val="22"/>
          <w:szCs w:val="22"/>
          <w:lang w:val="en-GB"/>
        </w:rPr>
        <w:t>Although the term is also present in Directive 2014/95/EU (for</w:t>
      </w:r>
      <w:r>
        <w:rPr>
          <w:rFonts w:ascii="Gellix" w:hAnsi="Gellix"/>
          <w:sz w:val="22"/>
          <w:szCs w:val="22"/>
          <w:lang w:val="en-GB"/>
        </w:rPr>
        <w:t xml:space="preserve"> financial </w:t>
      </w:r>
      <w:r w:rsidR="004F7D30">
        <w:rPr>
          <w:rFonts w:ascii="Gellix" w:hAnsi="Gellix"/>
          <w:sz w:val="22"/>
          <w:szCs w:val="22"/>
          <w:lang w:val="en-GB"/>
        </w:rPr>
        <w:t>institutions</w:t>
      </w:r>
      <w:r w:rsidRPr="000D6E4C">
        <w:rPr>
          <w:rFonts w:ascii="Gellix" w:hAnsi="Gellix"/>
          <w:sz w:val="22"/>
          <w:szCs w:val="22"/>
          <w:lang w:val="en-GB"/>
        </w:rPr>
        <w:t xml:space="preserve">), </w:t>
      </w:r>
      <w:r>
        <w:rPr>
          <w:rFonts w:ascii="Gellix" w:hAnsi="Gellix"/>
          <w:sz w:val="22"/>
          <w:szCs w:val="22"/>
          <w:lang w:val="en-GB"/>
        </w:rPr>
        <w:t>further clarification would be essential</w:t>
      </w:r>
      <w:r w:rsidRPr="000D6E4C">
        <w:rPr>
          <w:rFonts w:ascii="Gellix" w:hAnsi="Gellix"/>
          <w:sz w:val="22"/>
          <w:szCs w:val="22"/>
          <w:lang w:val="en-GB"/>
        </w:rPr>
        <w:t xml:space="preserve">. </w:t>
      </w:r>
      <w:r>
        <w:rPr>
          <w:rFonts w:ascii="Gellix" w:hAnsi="Gellix"/>
          <w:sz w:val="22"/>
          <w:szCs w:val="22"/>
          <w:lang w:val="en-GB"/>
        </w:rPr>
        <w:t>The</w:t>
      </w:r>
      <w:r w:rsidRPr="000D6E4C">
        <w:rPr>
          <w:rFonts w:ascii="Gellix" w:hAnsi="Gellix"/>
          <w:sz w:val="22"/>
          <w:szCs w:val="22"/>
          <w:lang w:val="en-GB"/>
        </w:rPr>
        <w:t xml:space="preserve"> European Parliament </w:t>
      </w:r>
      <w:r>
        <w:rPr>
          <w:rFonts w:ascii="Gellix" w:hAnsi="Gellix"/>
          <w:sz w:val="22"/>
          <w:szCs w:val="22"/>
          <w:lang w:val="en-GB"/>
        </w:rPr>
        <w:t xml:space="preserve">has previously </w:t>
      </w:r>
      <w:r w:rsidRPr="000D6E4C">
        <w:rPr>
          <w:rFonts w:ascii="Gellix" w:hAnsi="Gellix"/>
          <w:sz w:val="22"/>
          <w:szCs w:val="22"/>
          <w:lang w:val="en-GB"/>
        </w:rPr>
        <w:t xml:space="preserve">emphasized the need for the Commission to adopt guidelines through a delegated act, assisting Member States in defining cases where information disclosure could be considered seriously prejudicial. </w:t>
      </w:r>
      <w:r>
        <w:rPr>
          <w:rFonts w:ascii="Gellix" w:hAnsi="Gellix"/>
          <w:sz w:val="22"/>
          <w:szCs w:val="22"/>
          <w:lang w:val="en-GB"/>
        </w:rPr>
        <w:t>However, and u</w:t>
      </w:r>
      <w:r w:rsidRPr="000D6E4C">
        <w:rPr>
          <w:rFonts w:ascii="Gellix" w:hAnsi="Gellix"/>
          <w:sz w:val="22"/>
          <w:szCs w:val="22"/>
          <w:lang w:val="en-GB"/>
        </w:rPr>
        <w:t xml:space="preserve">nfortunately, no progress has been made on this, potentially </w:t>
      </w:r>
      <w:r w:rsidRPr="000D6E4C">
        <w:rPr>
          <w:rFonts w:ascii="Gellix" w:hAnsi="Gellix"/>
          <w:sz w:val="22"/>
          <w:szCs w:val="22"/>
          <w:lang w:val="en-GB"/>
        </w:rPr>
        <w:lastRenderedPageBreak/>
        <w:t xml:space="preserve">leading to inconsistencies in implementation across Member States, with some even </w:t>
      </w:r>
      <w:proofErr w:type="gramStart"/>
      <w:r w:rsidRPr="000D6E4C">
        <w:rPr>
          <w:rFonts w:ascii="Gellix" w:hAnsi="Gellix"/>
          <w:sz w:val="22"/>
          <w:szCs w:val="22"/>
          <w:lang w:val="en-GB"/>
        </w:rPr>
        <w:t>referring back</w:t>
      </w:r>
      <w:proofErr w:type="gramEnd"/>
      <w:r w:rsidRPr="000D6E4C">
        <w:rPr>
          <w:rFonts w:ascii="Gellix" w:hAnsi="Gellix"/>
          <w:sz w:val="22"/>
          <w:szCs w:val="22"/>
          <w:lang w:val="en-GB"/>
        </w:rPr>
        <w:t xml:space="preserve"> to the European Commission for guidance.</w:t>
      </w:r>
    </w:p>
    <w:p w14:paraId="397F4A53" w14:textId="77777777" w:rsidR="000D6E4C" w:rsidRPr="000D6E4C" w:rsidRDefault="000D6E4C" w:rsidP="000D6E4C">
      <w:pPr>
        <w:spacing w:after="0" w:line="240" w:lineRule="auto"/>
        <w:rPr>
          <w:rFonts w:ascii="Gellix" w:hAnsi="Gellix"/>
          <w:sz w:val="22"/>
          <w:szCs w:val="22"/>
          <w:lang w:val="en-GB"/>
        </w:rPr>
      </w:pPr>
    </w:p>
    <w:p w14:paraId="63533069" w14:textId="77777777" w:rsidR="000D6E4C" w:rsidRPr="000D6E4C" w:rsidRDefault="000D6E4C" w:rsidP="000D6E4C">
      <w:pPr>
        <w:spacing w:after="0" w:line="240" w:lineRule="auto"/>
        <w:rPr>
          <w:rFonts w:ascii="Gellix" w:hAnsi="Gellix"/>
          <w:sz w:val="22"/>
          <w:szCs w:val="22"/>
          <w:lang w:val="en-GB"/>
        </w:rPr>
      </w:pPr>
      <w:r w:rsidRPr="000D6E4C">
        <w:rPr>
          <w:rFonts w:ascii="Gellix" w:hAnsi="Gellix"/>
          <w:sz w:val="22"/>
          <w:szCs w:val="22"/>
          <w:lang w:val="en-GB"/>
        </w:rPr>
        <w:t>This lack of clarity could result in variations in applying the safeguard clause across EU member states, creating an information-related asymmetry that could undermine the Directive's effectiveness. Furthermore, the presented draft common reporting template, intended for adoption through an EC implementing act (Regulation), also appears to lack detail on the safeguard clause or the term "seriously prejudicial." This omission, especially considering the Regulation's direct applicability across the EU (unlike the Directive), further increases the potential for inconsistencies in implementation across Member States.</w:t>
      </w:r>
    </w:p>
    <w:p w14:paraId="09751952" w14:textId="77777777" w:rsidR="000D6E4C" w:rsidRPr="000D6E4C" w:rsidRDefault="000D6E4C" w:rsidP="000D6E4C">
      <w:pPr>
        <w:spacing w:after="0" w:line="240" w:lineRule="auto"/>
        <w:rPr>
          <w:rFonts w:ascii="Gellix" w:hAnsi="Gellix"/>
          <w:sz w:val="22"/>
          <w:szCs w:val="22"/>
          <w:lang w:val="en-GB"/>
        </w:rPr>
      </w:pPr>
    </w:p>
    <w:p w14:paraId="6C5904DA" w14:textId="4D69BC61" w:rsidR="000D6E4C" w:rsidRDefault="000D6E4C" w:rsidP="000D6E4C">
      <w:pPr>
        <w:spacing w:after="0" w:line="240" w:lineRule="auto"/>
        <w:rPr>
          <w:rFonts w:ascii="Gellix" w:hAnsi="Gellix"/>
          <w:sz w:val="22"/>
          <w:szCs w:val="22"/>
          <w:lang w:val="en-GB"/>
        </w:rPr>
      </w:pPr>
      <w:r w:rsidRPr="000D6E4C">
        <w:rPr>
          <w:rFonts w:ascii="Gellix" w:hAnsi="Gellix"/>
          <w:sz w:val="22"/>
          <w:szCs w:val="22"/>
          <w:lang w:val="en-GB"/>
        </w:rPr>
        <w:t xml:space="preserve">In conclusion, </w:t>
      </w:r>
      <w:r>
        <w:rPr>
          <w:rFonts w:ascii="Gellix" w:hAnsi="Gellix"/>
          <w:sz w:val="22"/>
          <w:szCs w:val="22"/>
          <w:lang w:val="en-GB"/>
        </w:rPr>
        <w:t xml:space="preserve">we encourage </w:t>
      </w:r>
      <w:r w:rsidRPr="000D6E4C">
        <w:rPr>
          <w:rFonts w:ascii="Gellix" w:hAnsi="Gellix"/>
          <w:sz w:val="22"/>
          <w:szCs w:val="22"/>
          <w:lang w:val="en-GB"/>
        </w:rPr>
        <w:t xml:space="preserve">the Commission </w:t>
      </w:r>
      <w:r>
        <w:rPr>
          <w:rFonts w:ascii="Gellix" w:hAnsi="Gellix"/>
          <w:sz w:val="22"/>
          <w:szCs w:val="22"/>
          <w:lang w:val="en-GB"/>
        </w:rPr>
        <w:t>to</w:t>
      </w:r>
      <w:r w:rsidRPr="000D6E4C">
        <w:rPr>
          <w:rFonts w:ascii="Gellix" w:hAnsi="Gellix"/>
          <w:sz w:val="22"/>
          <w:szCs w:val="22"/>
          <w:lang w:val="en-GB"/>
        </w:rPr>
        <w:t xml:space="preserve"> seize the opportunity presented by the Regulation to clarify the safeguard clause and minimize discrepancies between EU member states. Issuing guidelines to help Member States determine cases where information disclosure could be seriously prejudicial is crucial. A clear and consistent approach to the safeguard clause is essential to ensure the effective and equitable implementation of the public </w:t>
      </w:r>
      <w:proofErr w:type="spellStart"/>
      <w:r w:rsidRPr="000D6E4C">
        <w:rPr>
          <w:rFonts w:ascii="Gellix" w:hAnsi="Gellix"/>
          <w:sz w:val="22"/>
          <w:szCs w:val="22"/>
          <w:lang w:val="en-GB"/>
        </w:rPr>
        <w:t>CbCR</w:t>
      </w:r>
      <w:proofErr w:type="spellEnd"/>
      <w:r w:rsidRPr="000D6E4C">
        <w:rPr>
          <w:rFonts w:ascii="Gellix" w:hAnsi="Gellix"/>
          <w:sz w:val="22"/>
          <w:szCs w:val="22"/>
          <w:lang w:val="en-GB"/>
        </w:rPr>
        <w:t xml:space="preserve"> Directive across the EU.</w:t>
      </w:r>
    </w:p>
    <w:p w14:paraId="237C41CC" w14:textId="77777777" w:rsidR="000D6E4C" w:rsidRPr="000D6E4C" w:rsidRDefault="000D6E4C" w:rsidP="000D6E4C">
      <w:pPr>
        <w:spacing w:after="0" w:line="240" w:lineRule="auto"/>
        <w:rPr>
          <w:rFonts w:ascii="Gellix" w:hAnsi="Gellix"/>
          <w:sz w:val="22"/>
          <w:szCs w:val="22"/>
          <w:lang w:val="en-GB"/>
        </w:rPr>
      </w:pPr>
    </w:p>
    <w:p w14:paraId="2E1C0387" w14:textId="77777777" w:rsidR="000D6E4C" w:rsidRPr="000D6E4C" w:rsidRDefault="000D6E4C" w:rsidP="000D6E4C">
      <w:pPr>
        <w:spacing w:after="0" w:line="240" w:lineRule="auto"/>
        <w:rPr>
          <w:rFonts w:ascii="Gellix" w:hAnsi="Gellix"/>
          <w:sz w:val="22"/>
          <w:szCs w:val="22"/>
          <w:lang w:val="en-GB"/>
        </w:rPr>
      </w:pPr>
      <w:r w:rsidRPr="000D6E4C">
        <w:rPr>
          <w:rFonts w:ascii="Gellix" w:hAnsi="Gellix"/>
          <w:b/>
          <w:bCs/>
          <w:sz w:val="22"/>
          <w:szCs w:val="22"/>
          <w:lang w:val="en-GB"/>
        </w:rPr>
        <w:t>EEA States</w:t>
      </w:r>
      <w:r w:rsidRPr="000D6E4C">
        <w:rPr>
          <w:rFonts w:ascii="Gellix" w:hAnsi="Gellix"/>
          <w:sz w:val="22"/>
          <w:szCs w:val="22"/>
          <w:lang w:val="en-GB"/>
        </w:rPr>
        <w:t xml:space="preserve"> - It appears that in some cases separate Public </w:t>
      </w:r>
      <w:proofErr w:type="spellStart"/>
      <w:r w:rsidRPr="000D6E4C">
        <w:rPr>
          <w:rFonts w:ascii="Gellix" w:hAnsi="Gellix"/>
          <w:sz w:val="22"/>
          <w:szCs w:val="22"/>
          <w:lang w:val="en-GB"/>
        </w:rPr>
        <w:t>CbC</w:t>
      </w:r>
      <w:proofErr w:type="spellEnd"/>
      <w:r w:rsidRPr="000D6E4C">
        <w:rPr>
          <w:rFonts w:ascii="Gellix" w:hAnsi="Gellix"/>
          <w:sz w:val="22"/>
          <w:szCs w:val="22"/>
          <w:lang w:val="en-GB"/>
        </w:rPr>
        <w:t xml:space="preserve"> disclosure is required also for all EEA states (Iceland, Liechtenstein and Norway). It would be helpful if the template clarified where this would be the case, and that this </w:t>
      </w:r>
      <w:proofErr w:type="gramStart"/>
      <w:r w:rsidRPr="000D6E4C">
        <w:rPr>
          <w:rFonts w:ascii="Gellix" w:hAnsi="Gellix"/>
          <w:sz w:val="22"/>
          <w:szCs w:val="22"/>
          <w:lang w:val="en-GB"/>
        </w:rPr>
        <w:t>particular separate</w:t>
      </w:r>
      <w:proofErr w:type="gramEnd"/>
      <w:r w:rsidRPr="000D6E4C">
        <w:rPr>
          <w:rFonts w:ascii="Gellix" w:hAnsi="Gellix"/>
          <w:sz w:val="22"/>
          <w:szCs w:val="22"/>
          <w:lang w:val="en-GB"/>
        </w:rPr>
        <w:t xml:space="preserve"> disclosure requirement is limited to these particular non-member states.</w:t>
      </w:r>
    </w:p>
    <w:p w14:paraId="0148BC44" w14:textId="77777777" w:rsidR="000D6E4C" w:rsidRDefault="000D6E4C" w:rsidP="000D6E4C">
      <w:pPr>
        <w:spacing w:after="0" w:line="240" w:lineRule="auto"/>
        <w:rPr>
          <w:rFonts w:ascii="Gellix" w:hAnsi="Gellix"/>
          <w:b/>
          <w:bCs/>
          <w:sz w:val="22"/>
          <w:szCs w:val="22"/>
          <w:lang w:val="en-GB"/>
        </w:rPr>
      </w:pPr>
    </w:p>
    <w:p w14:paraId="6CD50898" w14:textId="26DC5F92" w:rsidR="004A5535" w:rsidRPr="000D6E4C" w:rsidRDefault="004F7D30" w:rsidP="004A5535">
      <w:pPr>
        <w:spacing w:after="0" w:line="240" w:lineRule="auto"/>
        <w:rPr>
          <w:rFonts w:ascii="Gellix" w:hAnsi="Gellix"/>
          <w:sz w:val="22"/>
          <w:szCs w:val="22"/>
        </w:rPr>
      </w:pPr>
      <w:r w:rsidRPr="004F7D30">
        <w:rPr>
          <w:rFonts w:ascii="Gellix" w:hAnsi="Gellix"/>
          <w:b/>
          <w:bCs/>
          <w:sz w:val="22"/>
          <w:szCs w:val="22"/>
          <w:lang w:val="en-GB"/>
        </w:rPr>
        <w:t xml:space="preserve">Consistent </w:t>
      </w:r>
      <w:r w:rsidR="000D6E4C" w:rsidRPr="000D6E4C">
        <w:rPr>
          <w:rFonts w:ascii="Gellix" w:hAnsi="Gellix"/>
          <w:b/>
          <w:bCs/>
          <w:sz w:val="22"/>
          <w:szCs w:val="22"/>
          <w:lang w:val="en-GB"/>
        </w:rPr>
        <w:t xml:space="preserve">2025 </w:t>
      </w:r>
      <w:r w:rsidRPr="004F7D30">
        <w:rPr>
          <w:rFonts w:ascii="Gellix" w:hAnsi="Gellix"/>
          <w:b/>
          <w:bCs/>
          <w:sz w:val="22"/>
          <w:szCs w:val="22"/>
          <w:lang w:val="en-GB"/>
        </w:rPr>
        <w:t>e</w:t>
      </w:r>
      <w:r w:rsidR="000D6E4C" w:rsidRPr="000D6E4C">
        <w:rPr>
          <w:rFonts w:ascii="Gellix" w:hAnsi="Gellix"/>
          <w:b/>
          <w:bCs/>
          <w:sz w:val="22"/>
          <w:szCs w:val="22"/>
          <w:lang w:val="en-GB"/>
        </w:rPr>
        <w:t>ntry into force</w:t>
      </w:r>
      <w:r w:rsidR="000D6E4C" w:rsidRPr="000D6E4C">
        <w:rPr>
          <w:rFonts w:ascii="Gellix" w:hAnsi="Gellix"/>
          <w:sz w:val="22"/>
          <w:szCs w:val="22"/>
          <w:lang w:val="en-GB"/>
        </w:rPr>
        <w:t xml:space="preserve"> </w:t>
      </w:r>
      <w:r w:rsidRPr="004F7D30">
        <w:rPr>
          <w:rFonts w:ascii="Gellix" w:hAnsi="Gellix"/>
          <w:b/>
          <w:bCs/>
          <w:sz w:val="22"/>
          <w:szCs w:val="22"/>
          <w:lang w:val="en-GB"/>
        </w:rPr>
        <w:t>across all EU member states</w:t>
      </w:r>
      <w:r w:rsidRPr="004F7D30">
        <w:rPr>
          <w:rFonts w:ascii="Gellix" w:hAnsi="Gellix"/>
          <w:sz w:val="22"/>
          <w:szCs w:val="22"/>
          <w:lang w:val="en-GB"/>
        </w:rPr>
        <w:t xml:space="preserve"> </w:t>
      </w:r>
      <w:proofErr w:type="gramStart"/>
      <w:r w:rsidRPr="004F7D30">
        <w:rPr>
          <w:rFonts w:ascii="Gellix" w:hAnsi="Gellix"/>
          <w:sz w:val="22"/>
          <w:szCs w:val="22"/>
          <w:lang w:val="en-GB"/>
        </w:rPr>
        <w:t>The</w:t>
      </w:r>
      <w:proofErr w:type="gramEnd"/>
      <w:r w:rsidRPr="004F7D30">
        <w:rPr>
          <w:rFonts w:ascii="Gellix" w:hAnsi="Gellix"/>
          <w:sz w:val="22"/>
          <w:szCs w:val="22"/>
          <w:lang w:val="en-GB"/>
        </w:rPr>
        <w:t xml:space="preserve"> implementation of the Common Reporting Standard is f</w:t>
      </w:r>
      <w:r w:rsidR="000D6E4C" w:rsidRPr="000D6E4C">
        <w:rPr>
          <w:rFonts w:ascii="Gellix" w:hAnsi="Gellix"/>
          <w:sz w:val="22"/>
          <w:szCs w:val="22"/>
          <w:lang w:val="en-GB"/>
        </w:rPr>
        <w:t xml:space="preserve">oreseen </w:t>
      </w:r>
      <w:r w:rsidRPr="004F7D30">
        <w:rPr>
          <w:rFonts w:ascii="Gellix" w:hAnsi="Gellix"/>
          <w:sz w:val="22"/>
          <w:szCs w:val="22"/>
          <w:lang w:val="en-GB"/>
        </w:rPr>
        <w:t xml:space="preserve">via EC Regulation </w:t>
      </w:r>
      <w:r w:rsidR="000D6E4C" w:rsidRPr="000D6E4C">
        <w:rPr>
          <w:rFonts w:ascii="Gellix" w:hAnsi="Gellix"/>
          <w:sz w:val="22"/>
          <w:szCs w:val="22"/>
          <w:lang w:val="en-GB"/>
        </w:rPr>
        <w:t>for 2025. This raises the question of how reporting should be handled in cases</w:t>
      </w:r>
      <w:r w:rsidRPr="004F7D30">
        <w:rPr>
          <w:rFonts w:ascii="Gellix" w:hAnsi="Gellix"/>
          <w:sz w:val="22"/>
          <w:szCs w:val="22"/>
          <w:lang w:val="en-GB"/>
        </w:rPr>
        <w:t xml:space="preserve"> of Member States (e.g.</w:t>
      </w:r>
      <w:r w:rsidR="000D6E4C" w:rsidRPr="000D6E4C">
        <w:rPr>
          <w:rFonts w:ascii="Gellix" w:hAnsi="Gellix"/>
          <w:sz w:val="22"/>
          <w:szCs w:val="22"/>
          <w:lang w:val="en-GB"/>
        </w:rPr>
        <w:t xml:space="preserve"> Romania</w:t>
      </w:r>
      <w:r w:rsidRPr="004F7D30">
        <w:rPr>
          <w:rFonts w:ascii="Gellix" w:hAnsi="Gellix"/>
          <w:sz w:val="22"/>
          <w:szCs w:val="22"/>
          <w:lang w:val="en-GB"/>
        </w:rPr>
        <w:t>)</w:t>
      </w:r>
      <w:r w:rsidR="000D6E4C" w:rsidRPr="000D6E4C">
        <w:rPr>
          <w:rFonts w:ascii="Gellix" w:hAnsi="Gellix"/>
          <w:sz w:val="22"/>
          <w:szCs w:val="22"/>
          <w:lang w:val="en-GB"/>
        </w:rPr>
        <w:t xml:space="preserve">, where data submission is required </w:t>
      </w:r>
      <w:proofErr w:type="gramStart"/>
      <w:r w:rsidR="000D6E4C" w:rsidRPr="000D6E4C">
        <w:rPr>
          <w:rFonts w:ascii="Gellix" w:hAnsi="Gellix"/>
          <w:sz w:val="22"/>
          <w:szCs w:val="22"/>
          <w:lang w:val="en-GB"/>
        </w:rPr>
        <w:t>sooner</w:t>
      </w:r>
      <w:proofErr w:type="gramEnd"/>
      <w:r w:rsidRPr="004F7D30">
        <w:rPr>
          <w:rFonts w:ascii="Gellix" w:hAnsi="Gellix"/>
          <w:sz w:val="22"/>
          <w:szCs w:val="22"/>
          <w:lang w:val="en-GB"/>
        </w:rPr>
        <w:t xml:space="preserve"> and which is creating additional confusion. Effective implementation dates should be the same across all EU Countries.</w:t>
      </w:r>
    </w:p>
    <w:p w14:paraId="523819F8" w14:textId="77777777" w:rsidR="000D6E4C" w:rsidRDefault="000D6E4C" w:rsidP="000D6E4C">
      <w:pPr>
        <w:spacing w:after="0" w:line="240" w:lineRule="auto"/>
        <w:rPr>
          <w:rFonts w:ascii="Gellix" w:hAnsi="Gellix"/>
          <w:b/>
          <w:bCs/>
          <w:sz w:val="22"/>
          <w:szCs w:val="22"/>
          <w:lang w:val="en-GB"/>
        </w:rPr>
      </w:pPr>
    </w:p>
    <w:p w14:paraId="275F32F3" w14:textId="77777777" w:rsidR="000D6E4C" w:rsidRDefault="000D6E4C" w:rsidP="000D6E4C">
      <w:pPr>
        <w:spacing w:after="0" w:line="240" w:lineRule="auto"/>
        <w:rPr>
          <w:rFonts w:ascii="Gellix" w:hAnsi="Gellix"/>
          <w:b/>
          <w:bCs/>
          <w:sz w:val="22"/>
          <w:szCs w:val="22"/>
          <w:lang w:val="en-GB"/>
        </w:rPr>
      </w:pPr>
      <w:r w:rsidRPr="000D6E4C">
        <w:rPr>
          <w:rFonts w:ascii="Gellix" w:hAnsi="Gellix"/>
          <w:b/>
          <w:bCs/>
          <w:sz w:val="22"/>
          <w:szCs w:val="22"/>
          <w:lang w:val="en-GB"/>
        </w:rPr>
        <w:t>Need for simplification and reducing compliance costs</w:t>
      </w:r>
    </w:p>
    <w:p w14:paraId="0C98287C" w14:textId="77777777" w:rsidR="000D6E4C" w:rsidRDefault="000D6E4C" w:rsidP="000D6E4C">
      <w:pPr>
        <w:spacing w:after="0" w:line="240" w:lineRule="auto"/>
        <w:rPr>
          <w:rFonts w:ascii="Gellix" w:hAnsi="Gellix"/>
          <w:sz w:val="22"/>
          <w:szCs w:val="22"/>
          <w:lang w:val="en-GB"/>
        </w:rPr>
      </w:pPr>
    </w:p>
    <w:p w14:paraId="6D7645BD" w14:textId="4CBCEF98" w:rsidR="004A5535" w:rsidRDefault="000D6E4C" w:rsidP="000D6E4C">
      <w:pPr>
        <w:spacing w:after="0" w:line="240" w:lineRule="auto"/>
        <w:rPr>
          <w:rFonts w:ascii="Gellix" w:hAnsi="Gellix"/>
          <w:sz w:val="22"/>
          <w:szCs w:val="22"/>
          <w:lang w:val="en-GB"/>
        </w:rPr>
      </w:pPr>
      <w:r>
        <w:rPr>
          <w:rFonts w:ascii="Gellix" w:hAnsi="Gellix"/>
          <w:sz w:val="22"/>
          <w:szCs w:val="22"/>
          <w:lang w:val="en-GB"/>
        </w:rPr>
        <w:t>We note that the current version of s</w:t>
      </w:r>
      <w:r w:rsidRPr="000D6E4C">
        <w:rPr>
          <w:rFonts w:ascii="Gellix" w:hAnsi="Gellix"/>
          <w:sz w:val="22"/>
          <w:szCs w:val="22"/>
          <w:lang w:val="en-GB"/>
        </w:rPr>
        <w:t xml:space="preserve">ection 2 of the template includes a final column “[Additional columns may be added as necessary]”.  </w:t>
      </w:r>
      <w:r>
        <w:rPr>
          <w:rFonts w:ascii="Gellix" w:hAnsi="Gellix"/>
          <w:sz w:val="22"/>
          <w:szCs w:val="22"/>
          <w:lang w:val="en-GB"/>
        </w:rPr>
        <w:t xml:space="preserve">ICC members believe this is </w:t>
      </w:r>
      <w:r w:rsidRPr="000D6E4C">
        <w:rPr>
          <w:rFonts w:ascii="Gellix" w:hAnsi="Gellix"/>
          <w:sz w:val="22"/>
          <w:szCs w:val="22"/>
          <w:lang w:val="en-GB"/>
        </w:rPr>
        <w:t>an unnecessary and undesirable feature and should be removed</w:t>
      </w:r>
      <w:r w:rsidR="004A5535">
        <w:rPr>
          <w:rFonts w:ascii="Gellix" w:hAnsi="Gellix"/>
          <w:sz w:val="22"/>
          <w:szCs w:val="22"/>
          <w:lang w:val="en-GB"/>
        </w:rPr>
        <w:t xml:space="preserve">. </w:t>
      </w:r>
    </w:p>
    <w:p w14:paraId="2940C766" w14:textId="0740726A" w:rsidR="004A5535" w:rsidRDefault="000D6E4C" w:rsidP="004A5535">
      <w:pPr>
        <w:spacing w:after="0" w:line="240" w:lineRule="auto"/>
        <w:rPr>
          <w:rFonts w:ascii="Gellix" w:hAnsi="Gellix"/>
          <w:sz w:val="22"/>
          <w:szCs w:val="22"/>
          <w:lang w:val="en-GB"/>
        </w:rPr>
      </w:pPr>
      <w:r w:rsidRPr="000D6E4C">
        <w:rPr>
          <w:rFonts w:ascii="Gellix" w:hAnsi="Gellix"/>
          <w:sz w:val="22"/>
          <w:szCs w:val="22"/>
          <w:lang w:val="en-GB"/>
        </w:rPr>
        <w:t xml:space="preserve">A second point of concerns </w:t>
      </w:r>
      <w:r w:rsidR="004A5535">
        <w:rPr>
          <w:rFonts w:ascii="Gellix" w:hAnsi="Gellix"/>
          <w:sz w:val="22"/>
          <w:szCs w:val="22"/>
          <w:lang w:val="en-GB"/>
        </w:rPr>
        <w:t xml:space="preserve">relates to </w:t>
      </w:r>
      <w:r w:rsidRPr="000D6E4C">
        <w:rPr>
          <w:rFonts w:ascii="Gellix" w:hAnsi="Gellix"/>
          <w:sz w:val="22"/>
          <w:szCs w:val="22"/>
          <w:lang w:val="en-GB"/>
        </w:rPr>
        <w:t xml:space="preserve">the extra compliance costs of filing the </w:t>
      </w:r>
      <w:proofErr w:type="spellStart"/>
      <w:r w:rsidRPr="000D6E4C">
        <w:rPr>
          <w:rFonts w:ascii="Gellix" w:hAnsi="Gellix"/>
          <w:sz w:val="22"/>
          <w:szCs w:val="22"/>
          <w:lang w:val="en-GB"/>
        </w:rPr>
        <w:t>CbCR</w:t>
      </w:r>
      <w:proofErr w:type="spellEnd"/>
      <w:r w:rsidRPr="000D6E4C">
        <w:rPr>
          <w:rFonts w:ascii="Gellix" w:hAnsi="Gellix"/>
          <w:sz w:val="22"/>
          <w:szCs w:val="22"/>
          <w:lang w:val="en-GB"/>
        </w:rPr>
        <w:t xml:space="preserve"> data in a new format, XBRL, when the same information is filed for OECD </w:t>
      </w:r>
      <w:proofErr w:type="spellStart"/>
      <w:r w:rsidRPr="000D6E4C">
        <w:rPr>
          <w:rFonts w:ascii="Gellix" w:hAnsi="Gellix"/>
          <w:sz w:val="22"/>
          <w:szCs w:val="22"/>
          <w:lang w:val="en-GB"/>
        </w:rPr>
        <w:t>CbCR</w:t>
      </w:r>
      <w:proofErr w:type="spellEnd"/>
      <w:r w:rsidRPr="000D6E4C">
        <w:rPr>
          <w:rFonts w:ascii="Gellix" w:hAnsi="Gellix"/>
          <w:sz w:val="22"/>
          <w:szCs w:val="22"/>
          <w:lang w:val="en-GB"/>
        </w:rPr>
        <w:t xml:space="preserve"> purposes in XML. </w:t>
      </w:r>
      <w:r w:rsidR="004A5535">
        <w:rPr>
          <w:rFonts w:ascii="Gellix" w:hAnsi="Gellix"/>
          <w:sz w:val="22"/>
          <w:szCs w:val="22"/>
          <w:lang w:val="en-GB"/>
        </w:rPr>
        <w:t>As ICC</w:t>
      </w:r>
      <w:r w:rsidR="004A5535">
        <w:rPr>
          <w:rFonts w:ascii="Gellix" w:hAnsi="Gellix"/>
          <w:sz w:val="22"/>
          <w:szCs w:val="22"/>
          <w:lang w:val="en-GB"/>
        </w:rPr>
        <w:t>,</w:t>
      </w:r>
      <w:r w:rsidR="004A5535">
        <w:rPr>
          <w:rFonts w:ascii="Gellix" w:hAnsi="Gellix"/>
          <w:sz w:val="22"/>
          <w:szCs w:val="22"/>
          <w:lang w:val="en-GB"/>
        </w:rPr>
        <w:t xml:space="preserve"> </w:t>
      </w:r>
      <w:r w:rsidR="004A5535" w:rsidRPr="004A5535">
        <w:rPr>
          <w:rFonts w:ascii="Gellix" w:hAnsi="Gellix"/>
          <w:sz w:val="22"/>
          <w:szCs w:val="22"/>
          <w:lang w:val="en-GB"/>
        </w:rPr>
        <w:t>w</w:t>
      </w:r>
      <w:proofErr w:type="spellStart"/>
      <w:r w:rsidR="004A5535" w:rsidRPr="004A5535">
        <w:rPr>
          <w:rFonts w:ascii="Gellix" w:hAnsi="Gellix"/>
          <w:sz w:val="22"/>
          <w:szCs w:val="22"/>
        </w:rPr>
        <w:t>e</w:t>
      </w:r>
      <w:proofErr w:type="spellEnd"/>
      <w:r w:rsidR="004A5535" w:rsidRPr="000D6E4C">
        <w:rPr>
          <w:rFonts w:ascii="Gellix" w:hAnsi="Gellix"/>
          <w:sz w:val="22"/>
          <w:szCs w:val="22"/>
        </w:rPr>
        <w:t xml:space="preserve"> fully support any actions taken towards standardization and facilitating comparability of tax-related data.</w:t>
      </w:r>
    </w:p>
    <w:p w14:paraId="01B5670F" w14:textId="4E71F7F7" w:rsidR="000D6E4C" w:rsidRDefault="004A5535" w:rsidP="000D6E4C">
      <w:pPr>
        <w:spacing w:after="0" w:line="240" w:lineRule="auto"/>
        <w:rPr>
          <w:rFonts w:ascii="Gellix" w:hAnsi="Gellix"/>
          <w:sz w:val="22"/>
          <w:szCs w:val="22"/>
          <w:lang w:val="en-GB"/>
        </w:rPr>
      </w:pPr>
      <w:r w:rsidRPr="004A5535">
        <w:rPr>
          <w:rFonts w:ascii="Gellix" w:hAnsi="Gellix"/>
          <w:sz w:val="22"/>
          <w:szCs w:val="22"/>
          <w:lang w:val="en-GB"/>
        </w:rPr>
        <w:lastRenderedPageBreak/>
        <w:t>From both a business and, arguably, a governmental perspective, this proliferation of formats is unnecessary. Aligning with the OECD format would reduce compliance costs.</w:t>
      </w:r>
    </w:p>
    <w:p w14:paraId="34252B34" w14:textId="77777777" w:rsidR="004A5535" w:rsidRPr="000D6E4C" w:rsidRDefault="004A5535" w:rsidP="000D6E4C">
      <w:pPr>
        <w:spacing w:after="0" w:line="240" w:lineRule="auto"/>
        <w:rPr>
          <w:rFonts w:ascii="Gellix" w:hAnsi="Gellix"/>
          <w:sz w:val="22"/>
          <w:szCs w:val="22"/>
          <w:lang w:val="en-GB"/>
        </w:rPr>
      </w:pPr>
    </w:p>
    <w:p w14:paraId="668F1C6B" w14:textId="77777777" w:rsidR="004A5535" w:rsidRPr="004A5535" w:rsidRDefault="004A5535" w:rsidP="000D6E4C">
      <w:pPr>
        <w:spacing w:after="0" w:line="240" w:lineRule="auto"/>
        <w:rPr>
          <w:rFonts w:ascii="Gellix" w:hAnsi="Gellix"/>
          <w:b/>
          <w:bCs/>
          <w:sz w:val="22"/>
          <w:szCs w:val="22"/>
        </w:rPr>
      </w:pPr>
      <w:r w:rsidRPr="004A5535">
        <w:rPr>
          <w:rFonts w:ascii="Gellix" w:hAnsi="Gellix"/>
          <w:b/>
          <w:bCs/>
          <w:sz w:val="22"/>
          <w:szCs w:val="22"/>
        </w:rPr>
        <w:t xml:space="preserve">Clarification on the “Additional Column” and possibility for voluntary commentary </w:t>
      </w:r>
    </w:p>
    <w:p w14:paraId="7A894D0F" w14:textId="77CBA2DF" w:rsidR="000D6E4C" w:rsidRDefault="000D6E4C" w:rsidP="000D6E4C">
      <w:pPr>
        <w:spacing w:after="0" w:line="240" w:lineRule="auto"/>
        <w:rPr>
          <w:rFonts w:ascii="Gellix" w:hAnsi="Gellix"/>
          <w:sz w:val="22"/>
          <w:szCs w:val="22"/>
        </w:rPr>
      </w:pPr>
      <w:r w:rsidRPr="000D6E4C">
        <w:rPr>
          <w:rFonts w:ascii="Gellix" w:hAnsi="Gellix"/>
          <w:sz w:val="22"/>
          <w:szCs w:val="22"/>
        </w:rPr>
        <w:t>Further clarification to the usage of the “additional column” would be desirable</w:t>
      </w:r>
      <w:r w:rsidR="004F7D30">
        <w:rPr>
          <w:rFonts w:ascii="Gellix" w:hAnsi="Gellix"/>
          <w:sz w:val="22"/>
          <w:szCs w:val="22"/>
        </w:rPr>
        <w:t xml:space="preserve">. Currently, it </w:t>
      </w:r>
      <w:r w:rsidRPr="000D6E4C">
        <w:rPr>
          <w:rFonts w:ascii="Gellix" w:hAnsi="Gellix"/>
          <w:sz w:val="22"/>
          <w:szCs w:val="22"/>
        </w:rPr>
        <w:t>is not clear what additional information member states could request there</w:t>
      </w:r>
      <w:r w:rsidR="004F7D30">
        <w:rPr>
          <w:rFonts w:ascii="Gellix" w:hAnsi="Gellix"/>
          <w:sz w:val="22"/>
          <w:szCs w:val="22"/>
        </w:rPr>
        <w:t xml:space="preserve"> and </w:t>
      </w:r>
      <w:r w:rsidRPr="000D6E4C">
        <w:rPr>
          <w:rFonts w:ascii="Gellix" w:hAnsi="Gellix"/>
          <w:sz w:val="22"/>
          <w:szCs w:val="22"/>
        </w:rPr>
        <w:t>harmonization of the information to be included would be ideal.</w:t>
      </w:r>
    </w:p>
    <w:p w14:paraId="4FAEDF57" w14:textId="1EC29D56" w:rsidR="004F7D30" w:rsidRPr="000D6E4C" w:rsidRDefault="004F7D30" w:rsidP="000D6E4C">
      <w:pPr>
        <w:spacing w:after="0" w:line="240" w:lineRule="auto"/>
        <w:rPr>
          <w:rFonts w:ascii="Gellix" w:hAnsi="Gellix"/>
          <w:sz w:val="22"/>
          <w:szCs w:val="22"/>
        </w:rPr>
      </w:pPr>
      <w:r>
        <w:rPr>
          <w:rFonts w:ascii="Gellix" w:hAnsi="Gellix"/>
          <w:sz w:val="22"/>
          <w:szCs w:val="22"/>
        </w:rPr>
        <w:t xml:space="preserve">It should also be clear that these additional columns should be optional for taxpayers and to be used at taxpayers’ discretion. </w:t>
      </w:r>
    </w:p>
    <w:p w14:paraId="6C5682FE" w14:textId="77777777" w:rsidR="004F7D30" w:rsidRDefault="004F7D30" w:rsidP="000D6E4C">
      <w:pPr>
        <w:spacing w:after="0" w:line="240" w:lineRule="auto"/>
        <w:rPr>
          <w:rFonts w:ascii="Gellix" w:hAnsi="Gellix"/>
          <w:sz w:val="22"/>
          <w:szCs w:val="22"/>
        </w:rPr>
      </w:pPr>
    </w:p>
    <w:p w14:paraId="005E2819" w14:textId="47BDA6E2" w:rsidR="000D6E4C" w:rsidRPr="000D6E4C" w:rsidRDefault="000D6E4C" w:rsidP="000D6E4C">
      <w:pPr>
        <w:spacing w:after="0" w:line="240" w:lineRule="auto"/>
        <w:rPr>
          <w:rFonts w:ascii="Gellix" w:hAnsi="Gellix"/>
          <w:sz w:val="22"/>
          <w:szCs w:val="22"/>
        </w:rPr>
      </w:pPr>
      <w:r w:rsidRPr="000D6E4C">
        <w:rPr>
          <w:rFonts w:ascii="Gellix" w:hAnsi="Gellix"/>
          <w:sz w:val="22"/>
          <w:szCs w:val="22"/>
        </w:rPr>
        <w:t xml:space="preserve">A further non-mandatory free text field to provide any voluntary commentary by the taxpayer would </w:t>
      </w:r>
      <w:r w:rsidR="004F7D30">
        <w:rPr>
          <w:rFonts w:ascii="Gellix" w:hAnsi="Gellix"/>
          <w:sz w:val="22"/>
          <w:szCs w:val="22"/>
        </w:rPr>
        <w:t xml:space="preserve">indeed </w:t>
      </w:r>
      <w:r w:rsidRPr="000D6E4C">
        <w:rPr>
          <w:rFonts w:ascii="Gellix" w:hAnsi="Gellix"/>
          <w:sz w:val="22"/>
          <w:szCs w:val="22"/>
        </w:rPr>
        <w:t>be helpful</w:t>
      </w:r>
      <w:r w:rsidR="004F7D30">
        <w:rPr>
          <w:rFonts w:ascii="Gellix" w:hAnsi="Gellix"/>
          <w:sz w:val="22"/>
          <w:szCs w:val="22"/>
        </w:rPr>
        <w:t xml:space="preserve"> to </w:t>
      </w:r>
      <w:r w:rsidRPr="000D6E4C">
        <w:rPr>
          <w:rFonts w:ascii="Gellix" w:hAnsi="Gellix"/>
          <w:sz w:val="22"/>
          <w:szCs w:val="22"/>
        </w:rPr>
        <w:t xml:space="preserve">allow for targeted explanations which may be </w:t>
      </w:r>
      <w:r w:rsidR="004F7D30">
        <w:rPr>
          <w:rFonts w:ascii="Gellix" w:hAnsi="Gellix"/>
          <w:sz w:val="22"/>
          <w:szCs w:val="22"/>
        </w:rPr>
        <w:t>necessary and useful</w:t>
      </w:r>
      <w:r w:rsidRPr="000D6E4C">
        <w:rPr>
          <w:rFonts w:ascii="Gellix" w:hAnsi="Gellix"/>
          <w:sz w:val="22"/>
          <w:szCs w:val="22"/>
        </w:rPr>
        <w:t xml:space="preserve"> to better understand the reported data.</w:t>
      </w:r>
      <w:r w:rsidR="004F7D30">
        <w:rPr>
          <w:rFonts w:ascii="Gellix" w:hAnsi="Gellix"/>
          <w:sz w:val="22"/>
          <w:szCs w:val="22"/>
        </w:rPr>
        <w:t xml:space="preserve"> However, this should be used at the discretion of the taxpayer.</w:t>
      </w:r>
    </w:p>
    <w:p w14:paraId="20AE2ACF" w14:textId="77777777" w:rsidR="004A5535" w:rsidRDefault="004A5535" w:rsidP="000D6E4C">
      <w:pPr>
        <w:spacing w:after="0" w:line="240" w:lineRule="auto"/>
        <w:rPr>
          <w:rFonts w:ascii="Gellix" w:hAnsi="Gellix"/>
          <w:sz w:val="22"/>
          <w:szCs w:val="22"/>
          <w:u w:val="single"/>
        </w:rPr>
      </w:pPr>
    </w:p>
    <w:p w14:paraId="0C9B63AA" w14:textId="77777777" w:rsidR="004F7D30" w:rsidRPr="004F7D30" w:rsidRDefault="004F7D30" w:rsidP="000D6E4C">
      <w:pPr>
        <w:spacing w:after="0" w:line="240" w:lineRule="auto"/>
        <w:rPr>
          <w:rFonts w:ascii="Gellix" w:hAnsi="Gellix"/>
          <w:b/>
          <w:bCs/>
          <w:sz w:val="22"/>
          <w:szCs w:val="22"/>
        </w:rPr>
      </w:pPr>
      <w:r w:rsidRPr="004F7D30">
        <w:rPr>
          <w:rFonts w:ascii="Gellix" w:hAnsi="Gellix"/>
          <w:b/>
          <w:bCs/>
          <w:sz w:val="22"/>
          <w:szCs w:val="22"/>
        </w:rPr>
        <w:t>Need for Consistent Implementation</w:t>
      </w:r>
    </w:p>
    <w:p w14:paraId="7D977437" w14:textId="30D8BCBE" w:rsidR="000D6E4C" w:rsidRPr="000D6E4C" w:rsidRDefault="004F7D30" w:rsidP="000D6E4C">
      <w:pPr>
        <w:spacing w:after="0" w:line="240" w:lineRule="auto"/>
        <w:rPr>
          <w:rFonts w:ascii="Gellix" w:hAnsi="Gellix"/>
          <w:sz w:val="22"/>
          <w:szCs w:val="22"/>
        </w:rPr>
      </w:pPr>
      <w:r w:rsidRPr="004F7D30">
        <w:rPr>
          <w:rFonts w:ascii="Gellix" w:hAnsi="Gellix"/>
          <w:sz w:val="22"/>
          <w:szCs w:val="22"/>
        </w:rPr>
        <w:t>T</w:t>
      </w:r>
      <w:r w:rsidR="000D6E4C" w:rsidRPr="000D6E4C">
        <w:rPr>
          <w:rFonts w:ascii="Gellix" w:hAnsi="Gellix"/>
          <w:sz w:val="22"/>
          <w:szCs w:val="22"/>
        </w:rPr>
        <w:t xml:space="preserve">he disparity resulting from a heterogeneous transposition of the directive into national law by the EU member </w:t>
      </w:r>
      <w:proofErr w:type="gramStart"/>
      <w:r w:rsidR="000D6E4C" w:rsidRPr="000D6E4C">
        <w:rPr>
          <w:rFonts w:ascii="Gellix" w:hAnsi="Gellix"/>
          <w:sz w:val="22"/>
          <w:szCs w:val="22"/>
        </w:rPr>
        <w:t>states</w:t>
      </w:r>
      <w:r w:rsidRPr="004F7D30">
        <w:rPr>
          <w:rFonts w:ascii="Gellix" w:hAnsi="Gellix"/>
          <w:sz w:val="22"/>
          <w:szCs w:val="22"/>
        </w:rPr>
        <w:t>,</w:t>
      </w:r>
      <w:proofErr w:type="gramEnd"/>
      <w:r w:rsidRPr="004F7D30">
        <w:rPr>
          <w:rFonts w:ascii="Gellix" w:hAnsi="Gellix"/>
          <w:sz w:val="22"/>
          <w:szCs w:val="22"/>
        </w:rPr>
        <w:t xml:space="preserve"> could lead to unnecessary compliance costs and could be overall detrimental to the achievement of the objectives of this directive. In this regard, we recommend: </w:t>
      </w:r>
    </w:p>
    <w:p w14:paraId="36525B11" w14:textId="77777777" w:rsidR="000D6E4C" w:rsidRPr="000D6E4C" w:rsidRDefault="000D6E4C" w:rsidP="000D6E4C">
      <w:pPr>
        <w:spacing w:after="0" w:line="240" w:lineRule="auto"/>
        <w:rPr>
          <w:rFonts w:ascii="Gellix" w:hAnsi="Gellix"/>
          <w:sz w:val="22"/>
          <w:szCs w:val="22"/>
        </w:rPr>
      </w:pPr>
      <w:r w:rsidRPr="000D6E4C">
        <w:rPr>
          <w:rFonts w:ascii="Gellix" w:hAnsi="Gellix"/>
          <w:sz w:val="22"/>
          <w:szCs w:val="22"/>
        </w:rPr>
        <w:t>·         Harmonized safeguard period to provide more clarity.</w:t>
      </w:r>
    </w:p>
    <w:p w14:paraId="107C6309" w14:textId="77777777" w:rsidR="000D6E4C" w:rsidRPr="000D6E4C" w:rsidRDefault="000D6E4C" w:rsidP="000D6E4C">
      <w:pPr>
        <w:spacing w:after="0" w:line="240" w:lineRule="auto"/>
        <w:rPr>
          <w:rFonts w:ascii="Gellix" w:hAnsi="Gellix"/>
          <w:sz w:val="22"/>
          <w:szCs w:val="22"/>
        </w:rPr>
      </w:pPr>
      <w:r w:rsidRPr="000D6E4C">
        <w:rPr>
          <w:rFonts w:ascii="Gellix" w:hAnsi="Gellix"/>
          <w:sz w:val="22"/>
          <w:szCs w:val="22"/>
        </w:rPr>
        <w:t>·         One single filing date applicable throughout all EU member states</w:t>
      </w:r>
    </w:p>
    <w:p w14:paraId="0EF00B2B" w14:textId="77777777" w:rsidR="000D6E4C" w:rsidRPr="000D6E4C" w:rsidRDefault="000D6E4C" w:rsidP="000D6E4C">
      <w:pPr>
        <w:spacing w:after="0" w:line="240" w:lineRule="auto"/>
        <w:rPr>
          <w:rFonts w:ascii="Gellix" w:hAnsi="Gellix"/>
          <w:sz w:val="22"/>
          <w:szCs w:val="22"/>
        </w:rPr>
      </w:pPr>
      <w:r w:rsidRPr="000D6E4C">
        <w:rPr>
          <w:rFonts w:ascii="Gellix" w:hAnsi="Gellix"/>
          <w:sz w:val="22"/>
          <w:szCs w:val="22"/>
        </w:rPr>
        <w:t>·         Full flexibility to taxpayers how to manage the publication requirements (company homepage vs. public registers etc.)</w:t>
      </w:r>
    </w:p>
    <w:p w14:paraId="29E91B42" w14:textId="77777777" w:rsidR="000D6E4C" w:rsidRPr="000D6E4C" w:rsidRDefault="000D6E4C" w:rsidP="000D6E4C">
      <w:pPr>
        <w:spacing w:after="0" w:line="240" w:lineRule="auto"/>
        <w:rPr>
          <w:rFonts w:ascii="Gellix" w:hAnsi="Gellix"/>
          <w:sz w:val="22"/>
          <w:szCs w:val="22"/>
        </w:rPr>
      </w:pPr>
      <w:r w:rsidRPr="000D6E4C">
        <w:rPr>
          <w:rFonts w:ascii="Gellix" w:hAnsi="Gellix"/>
          <w:sz w:val="22"/>
          <w:szCs w:val="22"/>
        </w:rPr>
        <w:t> </w:t>
      </w:r>
    </w:p>
    <w:p w14:paraId="1603D118" w14:textId="77777777" w:rsidR="000D6E4C" w:rsidRPr="000D6E4C" w:rsidRDefault="000D6E4C" w:rsidP="001826DE">
      <w:pPr>
        <w:spacing w:after="0" w:line="240" w:lineRule="auto"/>
        <w:rPr>
          <w:rFonts w:ascii="Gellix" w:hAnsi="Gellix"/>
          <w:sz w:val="22"/>
          <w:szCs w:val="22"/>
        </w:rPr>
      </w:pPr>
    </w:p>
    <w:p w14:paraId="0DDDBB3F" w14:textId="7ECC5386" w:rsidR="000D6E4C" w:rsidRPr="004F7D30" w:rsidRDefault="004F7D30" w:rsidP="001826DE">
      <w:pPr>
        <w:spacing w:after="0" w:line="240" w:lineRule="auto"/>
        <w:rPr>
          <w:rFonts w:ascii="Gellix" w:hAnsi="Gellix"/>
          <w:b/>
          <w:bCs/>
          <w:sz w:val="22"/>
          <w:szCs w:val="22"/>
          <w:lang w:val="en-GB"/>
        </w:rPr>
      </w:pPr>
      <w:r w:rsidRPr="004F7D30">
        <w:rPr>
          <w:rFonts w:ascii="Gellix" w:hAnsi="Gellix"/>
          <w:b/>
          <w:bCs/>
          <w:sz w:val="22"/>
          <w:szCs w:val="22"/>
          <w:lang w:val="en-GB"/>
        </w:rPr>
        <w:t>Clarifications on the list of “Taxonomy Items” to be used in Appendix III</w:t>
      </w:r>
    </w:p>
    <w:p w14:paraId="5D9468BD" w14:textId="77777777" w:rsidR="001826DE" w:rsidRPr="001826DE" w:rsidRDefault="001826DE" w:rsidP="001826DE">
      <w:pPr>
        <w:spacing w:after="0" w:line="240" w:lineRule="auto"/>
        <w:rPr>
          <w:rFonts w:ascii="Gellix" w:hAnsi="Gellix"/>
          <w:i/>
          <w:iCs/>
          <w:sz w:val="22"/>
          <w:szCs w:val="22"/>
        </w:rPr>
      </w:pPr>
      <w:r w:rsidRPr="001826DE">
        <w:rPr>
          <w:rFonts w:ascii="Gellix" w:hAnsi="Gellix"/>
          <w:i/>
          <w:iCs/>
          <w:sz w:val="22"/>
          <w:szCs w:val="22"/>
        </w:rPr>
        <w:t> </w:t>
      </w:r>
    </w:p>
    <w:p w14:paraId="2EF26EED" w14:textId="0E78FC68" w:rsidR="00E962BC" w:rsidRPr="001826DE" w:rsidRDefault="00E962BC" w:rsidP="00E962BC">
      <w:pPr>
        <w:spacing w:after="0" w:line="240" w:lineRule="auto"/>
        <w:rPr>
          <w:rFonts w:ascii="Gellix" w:hAnsi="Gellix"/>
          <w:sz w:val="22"/>
          <w:szCs w:val="22"/>
        </w:rPr>
      </w:pPr>
      <w:r w:rsidRPr="00E962BC">
        <w:rPr>
          <w:rFonts w:ascii="Gellix" w:hAnsi="Gellix"/>
          <w:sz w:val="22"/>
          <w:szCs w:val="22"/>
        </w:rPr>
        <w:t xml:space="preserve">In relation to the </w:t>
      </w:r>
      <w:r w:rsidR="009C5818" w:rsidRPr="00E962BC">
        <w:rPr>
          <w:rFonts w:ascii="Gellix" w:hAnsi="Gellix"/>
          <w:sz w:val="22"/>
          <w:szCs w:val="22"/>
        </w:rPr>
        <w:t>inclusion of th</w:t>
      </w:r>
      <w:r w:rsidRPr="00E962BC">
        <w:rPr>
          <w:rFonts w:ascii="Gellix" w:hAnsi="Gellix"/>
          <w:sz w:val="22"/>
          <w:szCs w:val="22"/>
        </w:rPr>
        <w:t>ese</w:t>
      </w:r>
      <w:r w:rsidR="009C5818" w:rsidRPr="00E962BC">
        <w:rPr>
          <w:rFonts w:ascii="Gellix" w:hAnsi="Gellix"/>
          <w:sz w:val="22"/>
          <w:szCs w:val="22"/>
        </w:rPr>
        <w:t xml:space="preserve"> items it should be</w:t>
      </w:r>
      <w:r w:rsidR="009C5818" w:rsidRPr="001826DE">
        <w:rPr>
          <w:rFonts w:ascii="Gellix" w:hAnsi="Gellix"/>
          <w:sz w:val="22"/>
          <w:szCs w:val="22"/>
        </w:rPr>
        <w:t xml:space="preserve"> clearly indicated that this is fully optional for taxpayers and only at taxpayers’ discretion and that additional information cannot be requested by MS in this reporting format.</w:t>
      </w:r>
      <w:r w:rsidRPr="00E962BC">
        <w:rPr>
          <w:rFonts w:ascii="Gellix" w:hAnsi="Gellix"/>
          <w:sz w:val="22"/>
          <w:szCs w:val="22"/>
          <w:lang w:val="en-GB"/>
        </w:rPr>
        <w:t xml:space="preserve"> </w:t>
      </w:r>
      <w:r w:rsidRPr="001826DE">
        <w:rPr>
          <w:rFonts w:ascii="Gellix" w:hAnsi="Gellix"/>
          <w:sz w:val="22"/>
          <w:szCs w:val="22"/>
          <w:lang w:val="en-GB"/>
        </w:rPr>
        <w:t xml:space="preserve">There is no room provided by the EU Directive for national law to request additional information in </w:t>
      </w:r>
      <w:r w:rsidRPr="00E962BC">
        <w:rPr>
          <w:rFonts w:ascii="Gellix" w:hAnsi="Gellix"/>
          <w:sz w:val="22"/>
          <w:szCs w:val="22"/>
          <w:lang w:val="en-GB"/>
        </w:rPr>
        <w:t xml:space="preserve">Public </w:t>
      </w:r>
      <w:proofErr w:type="spellStart"/>
      <w:r w:rsidRPr="001826DE">
        <w:rPr>
          <w:rFonts w:ascii="Gellix" w:hAnsi="Gellix"/>
          <w:sz w:val="22"/>
          <w:szCs w:val="22"/>
          <w:lang w:val="en-GB"/>
        </w:rPr>
        <w:t>CbCR</w:t>
      </w:r>
      <w:proofErr w:type="spellEnd"/>
      <w:r w:rsidRPr="001826DE">
        <w:rPr>
          <w:rFonts w:ascii="Gellix" w:hAnsi="Gellix"/>
          <w:sz w:val="22"/>
          <w:szCs w:val="22"/>
          <w:lang w:val="en-GB"/>
        </w:rPr>
        <w:t xml:space="preserve"> and the reporting template designed by the EU Commission should not </w:t>
      </w:r>
      <w:r w:rsidRPr="00E962BC">
        <w:rPr>
          <w:rFonts w:ascii="Gellix" w:hAnsi="Gellix"/>
          <w:sz w:val="22"/>
          <w:szCs w:val="22"/>
          <w:lang w:val="en-GB"/>
        </w:rPr>
        <w:t>be misaligned to the EU Directive.</w:t>
      </w:r>
      <w:r w:rsidRPr="001826DE">
        <w:rPr>
          <w:rFonts w:ascii="Gellix" w:hAnsi="Gellix"/>
          <w:sz w:val="22"/>
          <w:szCs w:val="22"/>
          <w:lang w:val="en-GB"/>
        </w:rPr>
        <w:t xml:space="preserve"> </w:t>
      </w:r>
    </w:p>
    <w:p w14:paraId="23466C65" w14:textId="20D31B79" w:rsidR="009C5818" w:rsidRPr="00E962BC" w:rsidRDefault="009C5818" w:rsidP="001826DE">
      <w:pPr>
        <w:spacing w:after="0" w:line="240" w:lineRule="auto"/>
        <w:rPr>
          <w:rFonts w:ascii="Gellix" w:hAnsi="Gellix"/>
          <w:sz w:val="22"/>
          <w:szCs w:val="22"/>
        </w:rPr>
      </w:pPr>
    </w:p>
    <w:p w14:paraId="6F3EE889" w14:textId="5277DDDF" w:rsidR="001826DE" w:rsidRPr="001826DE" w:rsidRDefault="001826DE" w:rsidP="00E962BC">
      <w:pPr>
        <w:spacing w:after="0" w:line="240" w:lineRule="auto"/>
        <w:rPr>
          <w:rFonts w:ascii="Gellix" w:hAnsi="Gellix"/>
          <w:sz w:val="22"/>
          <w:szCs w:val="22"/>
        </w:rPr>
      </w:pPr>
      <w:r w:rsidRPr="001826DE">
        <w:rPr>
          <w:rFonts w:ascii="Gellix" w:hAnsi="Gellix"/>
          <w:sz w:val="22"/>
          <w:szCs w:val="22"/>
        </w:rPr>
        <w:t>Consequently, i</w:t>
      </w:r>
      <w:r w:rsidRPr="001826DE">
        <w:rPr>
          <w:rFonts w:ascii="Gellix" w:hAnsi="Gellix"/>
          <w:sz w:val="22"/>
          <w:szCs w:val="22"/>
          <w:lang w:val="en-GB"/>
        </w:rPr>
        <w:t xml:space="preserve">n Table 2 (“List of taxonomy elements”), </w:t>
      </w:r>
      <w:r w:rsidR="00E962BC" w:rsidRPr="00E962BC">
        <w:rPr>
          <w:rFonts w:ascii="Gellix" w:hAnsi="Gellix"/>
          <w:sz w:val="22"/>
          <w:szCs w:val="22"/>
          <w:lang w:val="en-GB"/>
        </w:rPr>
        <w:t xml:space="preserve">we recommend </w:t>
      </w:r>
      <w:r w:rsidRPr="001826DE">
        <w:rPr>
          <w:rFonts w:ascii="Gellix" w:hAnsi="Gellix"/>
          <w:sz w:val="22"/>
          <w:szCs w:val="22"/>
          <w:lang w:val="en-GB"/>
        </w:rPr>
        <w:t xml:space="preserve">that lines 15 to 18 be </w:t>
      </w:r>
      <w:r w:rsidRPr="001826DE">
        <w:rPr>
          <w:rFonts w:ascii="Gellix" w:hAnsi="Gellix"/>
          <w:sz w:val="22"/>
          <w:szCs w:val="22"/>
          <w:u w:val="single"/>
          <w:lang w:val="en-GB"/>
        </w:rPr>
        <w:t>fully removed</w:t>
      </w:r>
      <w:r w:rsidRPr="001826DE">
        <w:rPr>
          <w:rFonts w:ascii="Gellix" w:hAnsi="Gellix"/>
          <w:sz w:val="22"/>
          <w:szCs w:val="22"/>
          <w:lang w:val="en-GB"/>
        </w:rPr>
        <w:t xml:space="preserve">: (“DisclosureOfAdditionalInformationMandatedByNationalLawExplanatory” with the label contents “Disclosure of additional information mandated by national law” and “Additional information (as per national requirement)”). </w:t>
      </w:r>
    </w:p>
    <w:p w14:paraId="0B7C076B" w14:textId="303548D9" w:rsidR="009C5818" w:rsidRPr="000D6E4C" w:rsidRDefault="009C5818" w:rsidP="009C5818">
      <w:pPr>
        <w:spacing w:after="0" w:line="240" w:lineRule="auto"/>
        <w:rPr>
          <w:rFonts w:ascii="Gellix" w:hAnsi="Gellix"/>
          <w:sz w:val="22"/>
          <w:szCs w:val="22"/>
        </w:rPr>
      </w:pPr>
      <w:r w:rsidRPr="000D6E4C">
        <w:rPr>
          <w:rFonts w:ascii="Gellix" w:hAnsi="Gellix"/>
          <w:sz w:val="22"/>
          <w:szCs w:val="22"/>
        </w:rPr>
        <w:lastRenderedPageBreak/>
        <w:t xml:space="preserve">We hope that our comments can be </w:t>
      </w:r>
      <w:proofErr w:type="gramStart"/>
      <w:r w:rsidRPr="000D6E4C">
        <w:rPr>
          <w:rFonts w:ascii="Gellix" w:hAnsi="Gellix"/>
          <w:sz w:val="22"/>
          <w:szCs w:val="22"/>
        </w:rPr>
        <w:t>taken into account</w:t>
      </w:r>
      <w:proofErr w:type="gramEnd"/>
      <w:r w:rsidRPr="000D6E4C">
        <w:rPr>
          <w:rFonts w:ascii="Gellix" w:hAnsi="Gellix"/>
          <w:sz w:val="22"/>
          <w:szCs w:val="22"/>
        </w:rPr>
        <w:t xml:space="preserve"> in the final decision on this proposal. We remain at your disposal for any further clarification or discussion.</w:t>
      </w:r>
    </w:p>
    <w:p w14:paraId="0413ED1C" w14:textId="77777777" w:rsidR="009C5818" w:rsidRPr="001826DE" w:rsidRDefault="009C5818" w:rsidP="001826DE">
      <w:pPr>
        <w:spacing w:after="0" w:line="240" w:lineRule="auto"/>
        <w:rPr>
          <w:rFonts w:ascii="Gellix" w:hAnsi="Gellix"/>
          <w:i/>
          <w:iCs/>
          <w:sz w:val="22"/>
          <w:szCs w:val="22"/>
        </w:rPr>
      </w:pPr>
    </w:p>
    <w:p w14:paraId="23AEAD03" w14:textId="77777777" w:rsidR="001826DE" w:rsidRPr="001826DE" w:rsidRDefault="001826DE" w:rsidP="001826DE">
      <w:pPr>
        <w:spacing w:after="0" w:line="240" w:lineRule="auto"/>
        <w:rPr>
          <w:rFonts w:ascii="Gellix" w:hAnsi="Gellix"/>
          <w:i/>
          <w:iCs/>
          <w:sz w:val="22"/>
          <w:szCs w:val="22"/>
        </w:rPr>
      </w:pPr>
      <w:r w:rsidRPr="001826DE">
        <w:rPr>
          <w:rFonts w:ascii="Gellix" w:hAnsi="Gellix"/>
          <w:i/>
          <w:iCs/>
          <w:sz w:val="22"/>
          <w:szCs w:val="22"/>
        </w:rPr>
        <w:t> </w:t>
      </w:r>
    </w:p>
    <w:p w14:paraId="499C35F9" w14:textId="77777777" w:rsidR="001826DE" w:rsidRPr="001826DE" w:rsidRDefault="001826DE" w:rsidP="001826DE">
      <w:pPr>
        <w:spacing w:after="0" w:line="240" w:lineRule="auto"/>
        <w:rPr>
          <w:rFonts w:ascii="Gellix" w:hAnsi="Gellix"/>
          <w:i/>
          <w:iCs/>
          <w:sz w:val="22"/>
          <w:szCs w:val="22"/>
        </w:rPr>
      </w:pPr>
      <w:r w:rsidRPr="001826DE">
        <w:rPr>
          <w:rFonts w:ascii="Gellix" w:hAnsi="Gellix"/>
          <w:i/>
          <w:iCs/>
          <w:sz w:val="22"/>
          <w:szCs w:val="22"/>
        </w:rPr>
        <w:t> </w:t>
      </w:r>
    </w:p>
    <w:p w14:paraId="3DDFAE01" w14:textId="01A2DD03" w:rsidR="001826DE" w:rsidRPr="000D6E4C" w:rsidRDefault="001826DE" w:rsidP="001826DE">
      <w:pPr>
        <w:spacing w:after="0" w:line="240" w:lineRule="auto"/>
        <w:rPr>
          <w:i/>
          <w:iCs/>
        </w:rPr>
      </w:pPr>
    </w:p>
    <w:sectPr w:rsidR="001826DE" w:rsidRPr="000D6E4C" w:rsidSect="001826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13E8D" w14:textId="77777777" w:rsidR="00E962BC" w:rsidRDefault="00E962BC" w:rsidP="00E962BC">
      <w:pPr>
        <w:spacing w:after="0" w:line="240" w:lineRule="auto"/>
      </w:pPr>
      <w:r>
        <w:separator/>
      </w:r>
    </w:p>
  </w:endnote>
  <w:endnote w:type="continuationSeparator" w:id="0">
    <w:p w14:paraId="3AC8A095" w14:textId="77777777" w:rsidR="00E962BC" w:rsidRDefault="00E962BC" w:rsidP="00E9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ellix">
    <w:panose1 w:val="00000000000000000000"/>
    <w:charset w:val="00"/>
    <w:family w:val="modern"/>
    <w:notTrueType/>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313F" w14:textId="77777777" w:rsidR="00E962BC" w:rsidRDefault="00E9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00B2" w14:textId="5E13B3E1" w:rsidR="00E962BC" w:rsidRPr="00E962BC" w:rsidRDefault="00E962BC" w:rsidP="00E962BC">
    <w:pPr>
      <w:pStyle w:val="Footer"/>
      <w:jc w:val="center"/>
      <w:rPr>
        <w:color w:val="747474" w:themeColor="background2" w:themeShade="80"/>
        <w:sz w:val="18"/>
        <w:szCs w:val="18"/>
        <w:lang w:val="fr-FR"/>
      </w:rPr>
    </w:pPr>
    <w:r w:rsidRPr="00E962BC">
      <w:rPr>
        <w:color w:val="747474" w:themeColor="background2" w:themeShade="80"/>
        <w:sz w:val="18"/>
        <w:szCs w:val="18"/>
        <w:lang w:val="fr-FR"/>
      </w:rPr>
      <w:t xml:space="preserve">ICC </w:t>
    </w:r>
    <w:proofErr w:type="spellStart"/>
    <w:r w:rsidRPr="00E962BC">
      <w:rPr>
        <w:color w:val="747474" w:themeColor="background2" w:themeShade="80"/>
        <w:sz w:val="18"/>
        <w:szCs w:val="18"/>
        <w:lang w:val="fr-FR"/>
      </w:rPr>
      <w:t>Response</w:t>
    </w:r>
    <w:proofErr w:type="spellEnd"/>
    <w:r w:rsidRPr="00E962BC">
      <w:rPr>
        <w:color w:val="747474" w:themeColor="background2" w:themeShade="80"/>
        <w:sz w:val="18"/>
        <w:szCs w:val="18"/>
        <w:lang w:val="fr-FR"/>
      </w:rPr>
      <w:t xml:space="preserve"> EU Public Consultation </w:t>
    </w:r>
    <w:proofErr w:type="spellStart"/>
    <w:r w:rsidRPr="00E962BC">
      <w:rPr>
        <w:color w:val="747474" w:themeColor="background2" w:themeShade="80"/>
        <w:sz w:val="18"/>
        <w:szCs w:val="18"/>
        <w:lang w:val="fr-FR"/>
      </w:rPr>
      <w:t>CbCR</w:t>
    </w:r>
    <w:proofErr w:type="spellEnd"/>
    <w:r w:rsidRPr="00E962BC">
      <w:rPr>
        <w:color w:val="747474" w:themeColor="background2" w:themeShade="80"/>
        <w:sz w:val="18"/>
        <w:szCs w:val="18"/>
        <w:lang w:val="fr-FR"/>
      </w:rPr>
      <w:t xml:space="preserve"> format &amp; Template –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DA4B" w14:textId="77777777" w:rsidR="00E962BC" w:rsidRDefault="00E9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7B718" w14:textId="77777777" w:rsidR="00E962BC" w:rsidRDefault="00E962BC" w:rsidP="00E962BC">
      <w:pPr>
        <w:spacing w:after="0" w:line="240" w:lineRule="auto"/>
      </w:pPr>
      <w:r>
        <w:separator/>
      </w:r>
    </w:p>
  </w:footnote>
  <w:footnote w:type="continuationSeparator" w:id="0">
    <w:p w14:paraId="01A884ED" w14:textId="77777777" w:rsidR="00E962BC" w:rsidRDefault="00E962BC" w:rsidP="00E96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A14E5" w14:textId="77777777" w:rsidR="00E962BC" w:rsidRDefault="00E9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630A" w14:textId="77777777" w:rsidR="00E962BC" w:rsidRDefault="00E962BC">
    <w:pPr>
      <w:pStyle w:val="Header"/>
    </w:pPr>
    <w:r>
      <w:t xml:space="preserve">                                                                                                                                                     </w:t>
    </w:r>
    <w:r>
      <w:rPr>
        <w:noProof/>
        <w:lang w:val="fr-FR" w:eastAsia="fr-FR"/>
      </w:rPr>
      <w:drawing>
        <wp:inline distT="0" distB="0" distL="0" distR="0" wp14:anchorId="38A4A965" wp14:editId="200348F5">
          <wp:extent cx="1217160" cy="756000"/>
          <wp:effectExtent l="0" t="0" r="2540" b="6350"/>
          <wp:docPr id="120734510"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A blue and black background&#10;&#10;Description automatically generated"/>
                  <pic:cNvPicPr/>
                </pic:nvPicPr>
                <pic:blipFill>
                  <a:blip r:embed="rId1"/>
                  <a:stretch>
                    <a:fillRect/>
                  </a:stretch>
                </pic:blipFill>
                <pic:spPr>
                  <a:xfrm>
                    <a:off x="0" y="0"/>
                    <a:ext cx="1217160" cy="75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6DD4" w14:textId="77777777" w:rsidR="00E962BC" w:rsidRDefault="00E96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43CAB"/>
    <w:multiLevelType w:val="hybridMultilevel"/>
    <w:tmpl w:val="42FC30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73246F3"/>
    <w:multiLevelType w:val="hybridMultilevel"/>
    <w:tmpl w:val="3CA028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7355750">
    <w:abstractNumId w:val="1"/>
    <w:lvlOverride w:ilvl="0"/>
    <w:lvlOverride w:ilvl="1"/>
    <w:lvlOverride w:ilvl="2"/>
    <w:lvlOverride w:ilvl="3"/>
    <w:lvlOverride w:ilvl="4"/>
    <w:lvlOverride w:ilvl="5"/>
    <w:lvlOverride w:ilvl="6"/>
    <w:lvlOverride w:ilvl="7"/>
    <w:lvlOverride w:ilvl="8"/>
  </w:num>
  <w:num w:numId="2" w16cid:durableId="10187042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DE"/>
    <w:rsid w:val="000D6E4C"/>
    <w:rsid w:val="001826DE"/>
    <w:rsid w:val="004A5535"/>
    <w:rsid w:val="004F7D30"/>
    <w:rsid w:val="006856EB"/>
    <w:rsid w:val="009C5818"/>
    <w:rsid w:val="00E9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9C69"/>
  <w15:chartTrackingRefBased/>
  <w15:docId w15:val="{E1BC8A34-76E9-4080-AFB8-3FF3A9F5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DE"/>
  </w:style>
  <w:style w:type="paragraph" w:styleId="Heading1">
    <w:name w:val="heading 1"/>
    <w:basedOn w:val="Normal"/>
    <w:next w:val="Normal"/>
    <w:link w:val="Heading1Char"/>
    <w:uiPriority w:val="9"/>
    <w:qFormat/>
    <w:rsid w:val="00182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6DE"/>
    <w:rPr>
      <w:rFonts w:eastAsiaTheme="majorEastAsia" w:cstheme="majorBidi"/>
      <w:color w:val="272727" w:themeColor="text1" w:themeTint="D8"/>
    </w:rPr>
  </w:style>
  <w:style w:type="paragraph" w:styleId="Title">
    <w:name w:val="Title"/>
    <w:basedOn w:val="Normal"/>
    <w:next w:val="Normal"/>
    <w:link w:val="TitleChar"/>
    <w:uiPriority w:val="10"/>
    <w:qFormat/>
    <w:rsid w:val="00182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6DE"/>
    <w:pPr>
      <w:spacing w:before="160"/>
      <w:jc w:val="center"/>
    </w:pPr>
    <w:rPr>
      <w:i/>
      <w:iCs/>
      <w:color w:val="404040" w:themeColor="text1" w:themeTint="BF"/>
    </w:rPr>
  </w:style>
  <w:style w:type="character" w:customStyle="1" w:styleId="QuoteChar">
    <w:name w:val="Quote Char"/>
    <w:basedOn w:val="DefaultParagraphFont"/>
    <w:link w:val="Quote"/>
    <w:uiPriority w:val="29"/>
    <w:rsid w:val="001826DE"/>
    <w:rPr>
      <w:i/>
      <w:iCs/>
      <w:color w:val="404040" w:themeColor="text1" w:themeTint="BF"/>
    </w:rPr>
  </w:style>
  <w:style w:type="paragraph" w:styleId="ListParagraph">
    <w:name w:val="List Paragraph"/>
    <w:basedOn w:val="Normal"/>
    <w:uiPriority w:val="34"/>
    <w:qFormat/>
    <w:rsid w:val="001826DE"/>
    <w:pPr>
      <w:ind w:left="720"/>
      <w:contextualSpacing/>
    </w:pPr>
  </w:style>
  <w:style w:type="character" w:styleId="IntenseEmphasis">
    <w:name w:val="Intense Emphasis"/>
    <w:basedOn w:val="DefaultParagraphFont"/>
    <w:uiPriority w:val="21"/>
    <w:qFormat/>
    <w:rsid w:val="001826DE"/>
    <w:rPr>
      <w:i/>
      <w:iCs/>
      <w:color w:val="0F4761" w:themeColor="accent1" w:themeShade="BF"/>
    </w:rPr>
  </w:style>
  <w:style w:type="paragraph" w:styleId="IntenseQuote">
    <w:name w:val="Intense Quote"/>
    <w:basedOn w:val="Normal"/>
    <w:next w:val="Normal"/>
    <w:link w:val="IntenseQuoteChar"/>
    <w:uiPriority w:val="30"/>
    <w:qFormat/>
    <w:rsid w:val="00182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6DE"/>
    <w:rPr>
      <w:i/>
      <w:iCs/>
      <w:color w:val="0F4761" w:themeColor="accent1" w:themeShade="BF"/>
    </w:rPr>
  </w:style>
  <w:style w:type="character" w:styleId="IntenseReference">
    <w:name w:val="Intense Reference"/>
    <w:basedOn w:val="DefaultParagraphFont"/>
    <w:uiPriority w:val="32"/>
    <w:qFormat/>
    <w:rsid w:val="001826DE"/>
    <w:rPr>
      <w:b/>
      <w:bCs/>
      <w:smallCaps/>
      <w:color w:val="0F4761" w:themeColor="accent1" w:themeShade="BF"/>
      <w:spacing w:val="5"/>
    </w:rPr>
  </w:style>
  <w:style w:type="paragraph" w:styleId="Header">
    <w:name w:val="header"/>
    <w:basedOn w:val="Normal"/>
    <w:link w:val="HeaderChar"/>
    <w:uiPriority w:val="99"/>
    <w:unhideWhenUsed/>
    <w:rsid w:val="00182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6DE"/>
  </w:style>
  <w:style w:type="paragraph" w:styleId="Footer">
    <w:name w:val="footer"/>
    <w:basedOn w:val="Normal"/>
    <w:link w:val="FooterChar"/>
    <w:uiPriority w:val="99"/>
    <w:unhideWhenUsed/>
    <w:rsid w:val="00E96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8730">
      <w:bodyDiv w:val="1"/>
      <w:marLeft w:val="0"/>
      <w:marRight w:val="0"/>
      <w:marTop w:val="0"/>
      <w:marBottom w:val="0"/>
      <w:divBdr>
        <w:top w:val="none" w:sz="0" w:space="0" w:color="auto"/>
        <w:left w:val="none" w:sz="0" w:space="0" w:color="auto"/>
        <w:bottom w:val="none" w:sz="0" w:space="0" w:color="auto"/>
        <w:right w:val="none" w:sz="0" w:space="0" w:color="auto"/>
      </w:divBdr>
    </w:div>
    <w:div w:id="263922284">
      <w:bodyDiv w:val="1"/>
      <w:marLeft w:val="0"/>
      <w:marRight w:val="0"/>
      <w:marTop w:val="0"/>
      <w:marBottom w:val="0"/>
      <w:divBdr>
        <w:top w:val="none" w:sz="0" w:space="0" w:color="auto"/>
        <w:left w:val="none" w:sz="0" w:space="0" w:color="auto"/>
        <w:bottom w:val="none" w:sz="0" w:space="0" w:color="auto"/>
        <w:right w:val="none" w:sz="0" w:space="0" w:color="auto"/>
      </w:divBdr>
    </w:div>
    <w:div w:id="269241180">
      <w:bodyDiv w:val="1"/>
      <w:marLeft w:val="0"/>
      <w:marRight w:val="0"/>
      <w:marTop w:val="0"/>
      <w:marBottom w:val="0"/>
      <w:divBdr>
        <w:top w:val="none" w:sz="0" w:space="0" w:color="auto"/>
        <w:left w:val="none" w:sz="0" w:space="0" w:color="auto"/>
        <w:bottom w:val="none" w:sz="0" w:space="0" w:color="auto"/>
        <w:right w:val="none" w:sz="0" w:space="0" w:color="auto"/>
      </w:divBdr>
    </w:div>
    <w:div w:id="646520784">
      <w:bodyDiv w:val="1"/>
      <w:marLeft w:val="0"/>
      <w:marRight w:val="0"/>
      <w:marTop w:val="0"/>
      <w:marBottom w:val="0"/>
      <w:divBdr>
        <w:top w:val="none" w:sz="0" w:space="0" w:color="auto"/>
        <w:left w:val="none" w:sz="0" w:space="0" w:color="auto"/>
        <w:bottom w:val="none" w:sz="0" w:space="0" w:color="auto"/>
        <w:right w:val="none" w:sz="0" w:space="0" w:color="auto"/>
      </w:divBdr>
    </w:div>
    <w:div w:id="676006954">
      <w:bodyDiv w:val="1"/>
      <w:marLeft w:val="0"/>
      <w:marRight w:val="0"/>
      <w:marTop w:val="0"/>
      <w:marBottom w:val="0"/>
      <w:divBdr>
        <w:top w:val="none" w:sz="0" w:space="0" w:color="auto"/>
        <w:left w:val="none" w:sz="0" w:space="0" w:color="auto"/>
        <w:bottom w:val="none" w:sz="0" w:space="0" w:color="auto"/>
        <w:right w:val="none" w:sz="0" w:space="0" w:color="auto"/>
      </w:divBdr>
    </w:div>
    <w:div w:id="784933638">
      <w:bodyDiv w:val="1"/>
      <w:marLeft w:val="0"/>
      <w:marRight w:val="0"/>
      <w:marTop w:val="0"/>
      <w:marBottom w:val="0"/>
      <w:divBdr>
        <w:top w:val="none" w:sz="0" w:space="0" w:color="auto"/>
        <w:left w:val="none" w:sz="0" w:space="0" w:color="auto"/>
        <w:bottom w:val="none" w:sz="0" w:space="0" w:color="auto"/>
        <w:right w:val="none" w:sz="0" w:space="0" w:color="auto"/>
      </w:divBdr>
    </w:div>
    <w:div w:id="820773025">
      <w:bodyDiv w:val="1"/>
      <w:marLeft w:val="0"/>
      <w:marRight w:val="0"/>
      <w:marTop w:val="0"/>
      <w:marBottom w:val="0"/>
      <w:divBdr>
        <w:top w:val="none" w:sz="0" w:space="0" w:color="auto"/>
        <w:left w:val="none" w:sz="0" w:space="0" w:color="auto"/>
        <w:bottom w:val="none" w:sz="0" w:space="0" w:color="auto"/>
        <w:right w:val="none" w:sz="0" w:space="0" w:color="auto"/>
      </w:divBdr>
    </w:div>
    <w:div w:id="827600113">
      <w:bodyDiv w:val="1"/>
      <w:marLeft w:val="0"/>
      <w:marRight w:val="0"/>
      <w:marTop w:val="0"/>
      <w:marBottom w:val="0"/>
      <w:divBdr>
        <w:top w:val="none" w:sz="0" w:space="0" w:color="auto"/>
        <w:left w:val="none" w:sz="0" w:space="0" w:color="auto"/>
        <w:bottom w:val="none" w:sz="0" w:space="0" w:color="auto"/>
        <w:right w:val="none" w:sz="0" w:space="0" w:color="auto"/>
      </w:divBdr>
    </w:div>
    <w:div w:id="1804469456">
      <w:bodyDiv w:val="1"/>
      <w:marLeft w:val="0"/>
      <w:marRight w:val="0"/>
      <w:marTop w:val="0"/>
      <w:marBottom w:val="0"/>
      <w:divBdr>
        <w:top w:val="none" w:sz="0" w:space="0" w:color="auto"/>
        <w:left w:val="none" w:sz="0" w:space="0" w:color="auto"/>
        <w:bottom w:val="none" w:sz="0" w:space="0" w:color="auto"/>
        <w:right w:val="none" w:sz="0" w:space="0" w:color="auto"/>
      </w:divBdr>
    </w:div>
    <w:div w:id="20463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1</cp:revision>
  <dcterms:created xsi:type="dcterms:W3CDTF">2024-08-30T14:19:00Z</dcterms:created>
  <dcterms:modified xsi:type="dcterms:W3CDTF">2024-08-30T15:51:00Z</dcterms:modified>
</cp:coreProperties>
</file>