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A2BD" w14:textId="4B42C8F2" w:rsidR="00C561E4" w:rsidRPr="004D059B" w:rsidRDefault="003628FB" w:rsidP="008975DF">
      <w:pPr>
        <w:pStyle w:val="SubTitle"/>
        <w:spacing w:after="0"/>
        <w:rPr>
          <w:b w:val="0"/>
          <w:bCs/>
          <w:color w:val="auto"/>
          <w:sz w:val="40"/>
          <w:szCs w:val="40"/>
          <w:lang w:val="en-GB"/>
        </w:rPr>
      </w:pPr>
      <w:bookmarkStart w:id="0" w:name="_Hlk128677204"/>
      <w:r w:rsidRPr="004D059B">
        <w:rPr>
          <w:b w:val="0"/>
          <w:bCs/>
          <w:color w:val="auto"/>
          <w:sz w:val="40"/>
          <w:szCs w:val="40"/>
          <w:lang w:val="en-GB"/>
        </w:rPr>
        <w:t xml:space="preserve">International Chamber of Commerce input </w:t>
      </w:r>
      <w:r w:rsidR="00924421" w:rsidRPr="004D059B">
        <w:rPr>
          <w:b w:val="0"/>
          <w:bCs/>
          <w:color w:val="auto"/>
          <w:sz w:val="40"/>
          <w:szCs w:val="40"/>
          <w:lang w:val="en-GB"/>
        </w:rPr>
        <w:t>to</w:t>
      </w:r>
      <w:r w:rsidRPr="004D059B">
        <w:rPr>
          <w:b w:val="0"/>
          <w:bCs/>
          <w:color w:val="auto"/>
          <w:sz w:val="40"/>
          <w:szCs w:val="40"/>
          <w:lang w:val="en-GB"/>
        </w:rPr>
        <w:t xml:space="preserve"> </w:t>
      </w:r>
      <w:bookmarkEnd w:id="0"/>
      <w:r w:rsidR="00992FB3" w:rsidRPr="004D059B">
        <w:rPr>
          <w:b w:val="0"/>
          <w:bCs/>
          <w:color w:val="auto"/>
          <w:sz w:val="40"/>
          <w:szCs w:val="40"/>
          <w:lang w:val="en-GB"/>
        </w:rPr>
        <w:t>the ITU CWG-Internet Consultation</w:t>
      </w:r>
      <w:r w:rsidR="00962A25" w:rsidRPr="004D059B">
        <w:rPr>
          <w:b w:val="0"/>
          <w:bCs/>
          <w:color w:val="auto"/>
          <w:sz w:val="40"/>
          <w:szCs w:val="40"/>
          <w:lang w:val="en-GB"/>
        </w:rPr>
        <w:t>: The developmental aspects to strengthen the Internet</w:t>
      </w:r>
    </w:p>
    <w:p w14:paraId="53616CAA" w14:textId="716CE2AF" w:rsidR="00135EB0" w:rsidRPr="00F8736F" w:rsidRDefault="00135EB0" w:rsidP="005D6787">
      <w:pPr>
        <w:pStyle w:val="SubTitle"/>
        <w:jc w:val="both"/>
        <w:rPr>
          <w:color w:val="FF0000"/>
          <w:sz w:val="32"/>
          <w:szCs w:val="32"/>
          <w:lang w:val="en-GB"/>
        </w:rPr>
      </w:pPr>
      <w:r w:rsidRPr="6D4C6E5A">
        <w:rPr>
          <w:color w:val="FF0000"/>
          <w:sz w:val="28"/>
          <w:szCs w:val="28"/>
          <w:lang w:val="en-GB"/>
        </w:rPr>
        <w:t xml:space="preserve">INTERNAL WORKING DOCUMENT </w:t>
      </w:r>
      <w:r w:rsidR="00F8736F" w:rsidRPr="6D4C6E5A">
        <w:rPr>
          <w:color w:val="FF0000"/>
          <w:sz w:val="28"/>
          <w:szCs w:val="28"/>
          <w:lang w:val="en-GB"/>
        </w:rPr>
        <w:t xml:space="preserve">– </w:t>
      </w:r>
      <w:r w:rsidR="00962A25" w:rsidRPr="6D4C6E5A">
        <w:rPr>
          <w:color w:val="FF0000"/>
          <w:sz w:val="28"/>
          <w:szCs w:val="28"/>
          <w:lang w:val="en-GB"/>
        </w:rPr>
        <w:t xml:space="preserve">PLEASE </w:t>
      </w:r>
      <w:r w:rsidR="00F8736F" w:rsidRPr="6D4C6E5A">
        <w:rPr>
          <w:color w:val="FF0000"/>
          <w:sz w:val="28"/>
          <w:szCs w:val="28"/>
          <w:lang w:val="en-GB"/>
        </w:rPr>
        <w:t>DO NOT CIRCULATE</w:t>
      </w:r>
    </w:p>
    <w:p w14:paraId="651B40CA" w14:textId="7EC7F3A8" w:rsidR="00DE1D2D" w:rsidRPr="00F372D9" w:rsidRDefault="6A394480" w:rsidP="00F372D9">
      <w:pPr>
        <w:pStyle w:val="Heading1"/>
        <w:rPr>
          <w:rFonts w:ascii="Gellix" w:eastAsiaTheme="minorHAnsi" w:hAnsi="Gellix" w:cstheme="minorBidi"/>
          <w:b/>
          <w:bCs/>
          <w:color w:val="007DFF"/>
          <w:sz w:val="20"/>
          <w:szCs w:val="20"/>
        </w:rPr>
      </w:pPr>
      <w:r w:rsidRPr="00F372D9">
        <w:rPr>
          <w:rFonts w:ascii="Gellix" w:eastAsiaTheme="minorHAnsi" w:hAnsi="Gellix" w:cstheme="minorBidi"/>
          <w:b/>
          <w:bCs/>
          <w:color w:val="007DFF"/>
          <w:sz w:val="20"/>
          <w:szCs w:val="20"/>
        </w:rPr>
        <w:t>SUMMARY</w:t>
      </w:r>
    </w:p>
    <w:p w14:paraId="794AD32D" w14:textId="627CB0FB" w:rsidR="00DE1D2D" w:rsidRPr="00FE4F44" w:rsidRDefault="6A394480" w:rsidP="6D4C6E5A">
      <w:pPr>
        <w:autoSpaceDE w:val="0"/>
        <w:autoSpaceDN w:val="0"/>
        <w:adjustRightInd w:val="0"/>
        <w:spacing w:after="120" w:line="276" w:lineRule="auto"/>
        <w:jc w:val="both"/>
        <w:rPr>
          <w:rFonts w:ascii="Gellix" w:hAnsi="Gellix"/>
          <w:i/>
          <w:iCs/>
          <w:color w:val="007DFF"/>
          <w:sz w:val="20"/>
          <w:szCs w:val="20"/>
        </w:rPr>
      </w:pPr>
      <w:r w:rsidRPr="00FE4F44">
        <w:rPr>
          <w:rFonts w:ascii="Gellix" w:hAnsi="Gellix"/>
          <w:i/>
          <w:iCs/>
          <w:color w:val="007DFF"/>
          <w:sz w:val="20"/>
          <w:szCs w:val="20"/>
        </w:rPr>
        <w:t>This will form part of the Compilation Document that will be used as the basis of the discussions during the Online Open Consultation meeting. Kindly note that this will also form a part of the report of the Open Consultation that is submitted to CWG-Internet</w:t>
      </w:r>
      <w:r w:rsidR="0028592C">
        <w:rPr>
          <w:rFonts w:ascii="Gellix" w:hAnsi="Gellix"/>
          <w:i/>
          <w:iCs/>
          <w:color w:val="007DFF"/>
          <w:sz w:val="20"/>
          <w:szCs w:val="20"/>
        </w:rPr>
        <w:t xml:space="preserve">. </w:t>
      </w:r>
      <w:r w:rsidRPr="00FE4F44">
        <w:rPr>
          <w:rFonts w:ascii="Gellix" w:hAnsi="Gellix"/>
          <w:i/>
          <w:iCs/>
          <w:color w:val="007DFF"/>
          <w:sz w:val="20"/>
          <w:szCs w:val="20"/>
        </w:rPr>
        <w:t>(1-3 paragraphs)</w:t>
      </w:r>
    </w:p>
    <w:p w14:paraId="6DE61B52" w14:textId="410A3106" w:rsidR="00F372D9" w:rsidRDefault="4F0C535C" w:rsidP="00583C1B">
      <w:pPr>
        <w:spacing w:after="120" w:line="276" w:lineRule="auto"/>
        <w:jc w:val="both"/>
        <w:rPr>
          <w:rFonts w:ascii="Gellix" w:hAnsi="Gellix"/>
          <w:sz w:val="20"/>
          <w:szCs w:val="20"/>
        </w:rPr>
      </w:pPr>
      <w:r w:rsidRPr="21B83E27">
        <w:rPr>
          <w:rFonts w:ascii="Gellix" w:hAnsi="Gellix"/>
          <w:sz w:val="20"/>
          <w:szCs w:val="20"/>
        </w:rPr>
        <w:t>The International Chamber of Commerce (ICC) believes in the power of</w:t>
      </w:r>
      <w:r w:rsidR="2042D650" w:rsidRPr="21B83E27">
        <w:rPr>
          <w:rFonts w:ascii="Gellix" w:hAnsi="Gellix"/>
          <w:sz w:val="20"/>
          <w:szCs w:val="20"/>
        </w:rPr>
        <w:t xml:space="preserve"> </w:t>
      </w:r>
      <w:r w:rsidR="73A85552" w:rsidRPr="21B83E27">
        <w:rPr>
          <w:rFonts w:ascii="Gellix" w:hAnsi="Gellix"/>
          <w:sz w:val="20"/>
          <w:szCs w:val="20"/>
        </w:rPr>
        <w:t xml:space="preserve">the Internet </w:t>
      </w:r>
      <w:r w:rsidR="03FAD70A" w:rsidRPr="21B83E27">
        <w:rPr>
          <w:rFonts w:ascii="Gellix" w:hAnsi="Gellix"/>
          <w:sz w:val="20"/>
          <w:szCs w:val="20"/>
        </w:rPr>
        <w:t>to create</w:t>
      </w:r>
      <w:r w:rsidR="0885A937" w:rsidRPr="21B83E27">
        <w:rPr>
          <w:rFonts w:ascii="Gellix" w:hAnsi="Gellix"/>
          <w:sz w:val="20"/>
          <w:szCs w:val="20"/>
        </w:rPr>
        <w:t xml:space="preserve"> positive,</w:t>
      </w:r>
      <w:r w:rsidR="03FAD70A" w:rsidRPr="21B83E27">
        <w:rPr>
          <w:rFonts w:ascii="Gellix" w:hAnsi="Gellix"/>
          <w:sz w:val="20"/>
          <w:szCs w:val="20"/>
        </w:rPr>
        <w:t xml:space="preserve"> lasting</w:t>
      </w:r>
      <w:r w:rsidR="37061D46" w:rsidRPr="21B83E27">
        <w:rPr>
          <w:rFonts w:ascii="Gellix" w:hAnsi="Gellix"/>
          <w:sz w:val="20"/>
          <w:szCs w:val="20"/>
        </w:rPr>
        <w:t xml:space="preserve"> and inclusive</w:t>
      </w:r>
      <w:r w:rsidR="03FAD70A" w:rsidRPr="21B83E27">
        <w:rPr>
          <w:rFonts w:ascii="Gellix" w:hAnsi="Gellix"/>
          <w:sz w:val="20"/>
          <w:szCs w:val="20"/>
        </w:rPr>
        <w:t xml:space="preserve"> </w:t>
      </w:r>
      <w:r w:rsidR="37061D46" w:rsidRPr="21B83E27">
        <w:rPr>
          <w:rFonts w:ascii="Gellix" w:hAnsi="Gellix"/>
          <w:sz w:val="20"/>
          <w:szCs w:val="20"/>
        </w:rPr>
        <w:t>socio-economic</w:t>
      </w:r>
      <w:r w:rsidR="03FAD70A" w:rsidRPr="21B83E27">
        <w:rPr>
          <w:rFonts w:ascii="Gellix" w:hAnsi="Gellix"/>
          <w:sz w:val="20"/>
          <w:szCs w:val="20"/>
        </w:rPr>
        <w:t xml:space="preserve"> impact</w:t>
      </w:r>
      <w:r w:rsidRPr="21B83E27">
        <w:rPr>
          <w:rFonts w:ascii="Gellix" w:hAnsi="Gellix"/>
          <w:sz w:val="20"/>
          <w:szCs w:val="20"/>
        </w:rPr>
        <w:t>.</w:t>
      </w:r>
      <w:r w:rsidR="7FEA95D3" w:rsidRPr="21B83E27">
        <w:rPr>
          <w:rFonts w:ascii="Gellix" w:hAnsi="Gellix"/>
          <w:sz w:val="20"/>
          <w:szCs w:val="20"/>
        </w:rPr>
        <w:t xml:space="preserve"> </w:t>
      </w:r>
      <w:r w:rsidR="66D2A6C5" w:rsidRPr="21B83E27">
        <w:rPr>
          <w:rFonts w:ascii="Gellix" w:hAnsi="Gellix"/>
          <w:sz w:val="20"/>
          <w:szCs w:val="20"/>
        </w:rPr>
        <w:t xml:space="preserve">This potential can only be fully realised if the fundamental nature of the Internet as an open, interconnected, and interoperable network of networks is maintained. </w:t>
      </w:r>
    </w:p>
    <w:p w14:paraId="5C630FA2" w14:textId="57CA1232" w:rsidR="00941A8F" w:rsidRPr="00941A8F" w:rsidRDefault="226CD2D9" w:rsidP="21B83E27">
      <w:pPr>
        <w:autoSpaceDE w:val="0"/>
        <w:autoSpaceDN w:val="0"/>
        <w:adjustRightInd w:val="0"/>
        <w:spacing w:after="120" w:line="276" w:lineRule="auto"/>
        <w:jc w:val="both"/>
        <w:rPr>
          <w:rFonts w:ascii="Gellix" w:hAnsi="Gellix"/>
          <w:sz w:val="20"/>
          <w:szCs w:val="20"/>
        </w:rPr>
      </w:pPr>
      <w:r w:rsidRPr="21B83E27">
        <w:rPr>
          <w:rFonts w:ascii="Gellix" w:hAnsi="Gellix"/>
          <w:sz w:val="20"/>
          <w:szCs w:val="20"/>
        </w:rPr>
        <w:t xml:space="preserve">Promoting international multistakeholder cooperation on Internet-related public policy issues is vital for unlocking the full potential of </w:t>
      </w:r>
      <w:r w:rsidR="4840CCF3" w:rsidRPr="21B83E27">
        <w:rPr>
          <w:rFonts w:ascii="Gellix" w:hAnsi="Gellix"/>
          <w:sz w:val="20"/>
          <w:szCs w:val="20"/>
        </w:rPr>
        <w:t xml:space="preserve">the Internet, </w:t>
      </w:r>
      <w:r w:rsidRPr="21B83E27">
        <w:rPr>
          <w:rFonts w:ascii="Gellix" w:hAnsi="Gellix"/>
          <w:sz w:val="20"/>
          <w:szCs w:val="20"/>
        </w:rPr>
        <w:t xml:space="preserve">ICTs and digital technologies. </w:t>
      </w:r>
      <w:r w:rsidR="606B69D7" w:rsidRPr="21B83E27">
        <w:rPr>
          <w:rFonts w:ascii="Gellix" w:hAnsi="Gellix"/>
          <w:sz w:val="20"/>
          <w:szCs w:val="20"/>
        </w:rPr>
        <w:t>To achieve this, a few considerations must be put in place.</w:t>
      </w:r>
      <w:r w:rsidR="3E22C128" w:rsidRPr="21B83E27">
        <w:rPr>
          <w:rFonts w:ascii="Gellix" w:hAnsi="Gellix"/>
          <w:sz w:val="20"/>
          <w:szCs w:val="20"/>
        </w:rPr>
        <w:t xml:space="preserve"> ICC encourages policy makers to:</w:t>
      </w:r>
    </w:p>
    <w:p w14:paraId="3E3E7007" w14:textId="38F43FC8" w:rsidR="00941A8F" w:rsidRPr="00941A8F" w:rsidRDefault="3E22C128" w:rsidP="21B83E27">
      <w:pPr>
        <w:pStyle w:val="ListParagraph"/>
        <w:numPr>
          <w:ilvl w:val="0"/>
          <w:numId w:val="1"/>
        </w:numPr>
        <w:autoSpaceDE w:val="0"/>
        <w:autoSpaceDN w:val="0"/>
        <w:adjustRightInd w:val="0"/>
        <w:spacing w:after="120" w:line="276" w:lineRule="auto"/>
        <w:jc w:val="both"/>
        <w:rPr>
          <w:rFonts w:ascii="Gellix" w:hAnsi="Gellix"/>
          <w:sz w:val="20"/>
          <w:szCs w:val="20"/>
          <w:lang w:val="en-US"/>
        </w:rPr>
      </w:pPr>
      <w:r w:rsidRPr="21B83E27">
        <w:rPr>
          <w:rFonts w:ascii="Gellix" w:hAnsi="Gellix"/>
          <w:sz w:val="20"/>
          <w:szCs w:val="20"/>
          <w:lang w:val="en-US"/>
        </w:rPr>
        <w:t>C</w:t>
      </w:r>
      <w:r w:rsidR="11BB4D2A" w:rsidRPr="21B83E27">
        <w:rPr>
          <w:rFonts w:ascii="Gellix" w:hAnsi="Gellix"/>
          <w:sz w:val="20"/>
          <w:szCs w:val="20"/>
          <w:lang w:val="en-US"/>
        </w:rPr>
        <w:t xml:space="preserve">reate </w:t>
      </w:r>
      <w:r w:rsidR="276E36E2" w:rsidRPr="21B83E27">
        <w:rPr>
          <w:rFonts w:ascii="Gellix" w:hAnsi="Gellix"/>
          <w:sz w:val="20"/>
          <w:szCs w:val="20"/>
          <w:lang w:val="en-US"/>
        </w:rPr>
        <w:t xml:space="preserve">policies that </w:t>
      </w:r>
      <w:r w:rsidR="226CD2D9" w:rsidRPr="21B83E27">
        <w:rPr>
          <w:rFonts w:ascii="Gellix" w:hAnsi="Gellix"/>
          <w:sz w:val="20"/>
          <w:szCs w:val="20"/>
          <w:lang w:val="en-US"/>
        </w:rPr>
        <w:t>facilitate investment across the digital value chain</w:t>
      </w:r>
    </w:p>
    <w:p w14:paraId="3281D016" w14:textId="2FEC6B43" w:rsidR="00941A8F" w:rsidRPr="00941A8F" w:rsidRDefault="05392E8C" w:rsidP="21B83E27">
      <w:pPr>
        <w:pStyle w:val="ListParagraph"/>
        <w:numPr>
          <w:ilvl w:val="0"/>
          <w:numId w:val="1"/>
        </w:numPr>
        <w:autoSpaceDE w:val="0"/>
        <w:autoSpaceDN w:val="0"/>
        <w:adjustRightInd w:val="0"/>
        <w:spacing w:after="120" w:line="276" w:lineRule="auto"/>
        <w:jc w:val="both"/>
        <w:rPr>
          <w:rFonts w:ascii="Gellix" w:hAnsi="Gellix"/>
          <w:sz w:val="20"/>
          <w:szCs w:val="20"/>
          <w:lang w:val="en-US"/>
        </w:rPr>
      </w:pPr>
      <w:r w:rsidRPr="21B83E27">
        <w:rPr>
          <w:rFonts w:ascii="Gellix" w:hAnsi="Gellix"/>
          <w:sz w:val="20"/>
          <w:szCs w:val="20"/>
          <w:lang w:val="en-US"/>
        </w:rPr>
        <w:t>I</w:t>
      </w:r>
      <w:r w:rsidR="226CD2D9" w:rsidRPr="21B83E27">
        <w:rPr>
          <w:rFonts w:ascii="Gellix" w:hAnsi="Gellix"/>
          <w:sz w:val="20"/>
          <w:szCs w:val="20"/>
          <w:lang w:val="en-US"/>
        </w:rPr>
        <w:t>mprove digital infrastructure</w:t>
      </w:r>
      <w:r w:rsidR="00632937">
        <w:rPr>
          <w:rFonts w:ascii="Gellix" w:hAnsi="Gellix"/>
          <w:sz w:val="20"/>
          <w:szCs w:val="20"/>
          <w:lang w:val="en-US"/>
        </w:rPr>
        <w:t xml:space="preserve"> and its use</w:t>
      </w:r>
    </w:p>
    <w:p w14:paraId="684EF04A" w14:textId="58D00DE6" w:rsidR="00941A8F" w:rsidRPr="00941A8F" w:rsidRDefault="63352163" w:rsidP="21B83E27">
      <w:pPr>
        <w:pStyle w:val="ListParagraph"/>
        <w:numPr>
          <w:ilvl w:val="0"/>
          <w:numId w:val="1"/>
        </w:numPr>
        <w:autoSpaceDE w:val="0"/>
        <w:autoSpaceDN w:val="0"/>
        <w:adjustRightInd w:val="0"/>
        <w:spacing w:after="120" w:line="276" w:lineRule="auto"/>
        <w:jc w:val="both"/>
        <w:rPr>
          <w:rFonts w:ascii="Gellix" w:hAnsi="Gellix"/>
          <w:sz w:val="20"/>
          <w:szCs w:val="20"/>
          <w:lang w:val="en-US"/>
        </w:rPr>
      </w:pPr>
      <w:r w:rsidRPr="21B83E27">
        <w:rPr>
          <w:rFonts w:ascii="Gellix" w:hAnsi="Gellix"/>
          <w:sz w:val="20"/>
          <w:szCs w:val="20"/>
          <w:lang w:val="en-US"/>
        </w:rPr>
        <w:t>F</w:t>
      </w:r>
      <w:r w:rsidR="226CD2D9" w:rsidRPr="21B83E27">
        <w:rPr>
          <w:rFonts w:ascii="Gellix" w:hAnsi="Gellix"/>
          <w:sz w:val="20"/>
          <w:szCs w:val="20"/>
          <w:lang w:val="en-US"/>
        </w:rPr>
        <w:t>oster trust in data and digital technologies</w:t>
      </w:r>
      <w:r w:rsidR="3FEE18E1" w:rsidRPr="21B83E27">
        <w:rPr>
          <w:rFonts w:ascii="Gellix" w:hAnsi="Gellix"/>
          <w:sz w:val="20"/>
          <w:szCs w:val="20"/>
          <w:lang w:val="en-US"/>
        </w:rPr>
        <w:t xml:space="preserve"> </w:t>
      </w:r>
    </w:p>
    <w:p w14:paraId="4A9E5AC5" w14:textId="40B21A6E" w:rsidR="00941A8F" w:rsidRPr="00941A8F" w:rsidRDefault="3FEE18E1" w:rsidP="21B83E27">
      <w:pPr>
        <w:pStyle w:val="ListParagraph"/>
        <w:numPr>
          <w:ilvl w:val="0"/>
          <w:numId w:val="1"/>
        </w:numPr>
        <w:autoSpaceDE w:val="0"/>
        <w:autoSpaceDN w:val="0"/>
        <w:adjustRightInd w:val="0"/>
        <w:spacing w:after="120" w:line="276" w:lineRule="auto"/>
        <w:jc w:val="both"/>
        <w:rPr>
          <w:rFonts w:ascii="Gellix" w:hAnsi="Gellix"/>
          <w:sz w:val="20"/>
          <w:szCs w:val="20"/>
          <w:lang w:val="en-US"/>
        </w:rPr>
      </w:pPr>
      <w:r w:rsidRPr="21B83E27">
        <w:rPr>
          <w:rFonts w:ascii="Gellix" w:hAnsi="Gellix"/>
          <w:sz w:val="20"/>
          <w:szCs w:val="20"/>
          <w:lang w:val="en-US"/>
        </w:rPr>
        <w:t>G</w:t>
      </w:r>
      <w:r w:rsidR="226CD2D9" w:rsidRPr="21B83E27">
        <w:rPr>
          <w:rFonts w:ascii="Gellix" w:hAnsi="Gellix"/>
          <w:sz w:val="20"/>
          <w:szCs w:val="20"/>
          <w:lang w:val="en-US"/>
        </w:rPr>
        <w:t>round policies in evidence and data</w:t>
      </w:r>
    </w:p>
    <w:p w14:paraId="2B883A25" w14:textId="0598900F" w:rsidR="00941A8F" w:rsidRDefault="4BECE43F" w:rsidP="21B83E27">
      <w:pPr>
        <w:pStyle w:val="ListParagraph"/>
        <w:numPr>
          <w:ilvl w:val="0"/>
          <w:numId w:val="1"/>
        </w:numPr>
        <w:autoSpaceDE w:val="0"/>
        <w:autoSpaceDN w:val="0"/>
        <w:adjustRightInd w:val="0"/>
        <w:spacing w:after="120" w:line="276" w:lineRule="auto"/>
        <w:jc w:val="both"/>
        <w:rPr>
          <w:rFonts w:ascii="Gellix" w:hAnsi="Gellix"/>
          <w:sz w:val="20"/>
          <w:szCs w:val="20"/>
          <w:lang w:val="en-US"/>
        </w:rPr>
      </w:pPr>
      <w:r w:rsidRPr="21B83E27">
        <w:rPr>
          <w:rFonts w:ascii="Gellix" w:hAnsi="Gellix"/>
          <w:sz w:val="20"/>
          <w:szCs w:val="20"/>
          <w:lang w:val="en-US"/>
        </w:rPr>
        <w:t>E</w:t>
      </w:r>
      <w:r w:rsidR="226CD2D9" w:rsidRPr="21B83E27">
        <w:rPr>
          <w:rFonts w:ascii="Gellix" w:hAnsi="Gellix"/>
          <w:sz w:val="20"/>
          <w:szCs w:val="20"/>
          <w:lang w:val="en-US"/>
        </w:rPr>
        <w:t>mbrace multistakeholder policymaking</w:t>
      </w:r>
    </w:p>
    <w:p w14:paraId="3C5D659B" w14:textId="4CDCE1A9" w:rsidR="00632937" w:rsidRPr="00941A8F" w:rsidRDefault="00632937" w:rsidP="21B83E27">
      <w:pPr>
        <w:pStyle w:val="ListParagraph"/>
        <w:numPr>
          <w:ilvl w:val="0"/>
          <w:numId w:val="1"/>
        </w:numPr>
        <w:autoSpaceDE w:val="0"/>
        <w:autoSpaceDN w:val="0"/>
        <w:adjustRightInd w:val="0"/>
        <w:spacing w:after="120" w:line="276" w:lineRule="auto"/>
        <w:jc w:val="both"/>
        <w:rPr>
          <w:rFonts w:ascii="Gellix" w:hAnsi="Gellix"/>
          <w:sz w:val="20"/>
          <w:szCs w:val="20"/>
          <w:lang w:val="en-US"/>
        </w:rPr>
      </w:pPr>
      <w:r>
        <w:rPr>
          <w:rFonts w:ascii="Gellix" w:hAnsi="Gellix"/>
          <w:sz w:val="20"/>
          <w:szCs w:val="20"/>
          <w:lang w:val="en-US"/>
        </w:rPr>
        <w:t>Foster international cooperation</w:t>
      </w:r>
    </w:p>
    <w:p w14:paraId="66A5484B" w14:textId="2CC9DEDE" w:rsidR="3867F69F" w:rsidRDefault="554644C2" w:rsidP="21B83E27">
      <w:pPr>
        <w:spacing w:after="120" w:line="276" w:lineRule="auto"/>
        <w:jc w:val="both"/>
        <w:rPr>
          <w:rFonts w:ascii="Gellix" w:hAnsi="Gellix"/>
          <w:sz w:val="20"/>
          <w:szCs w:val="20"/>
        </w:rPr>
      </w:pPr>
      <w:r w:rsidRPr="21B83E27">
        <w:rPr>
          <w:rFonts w:ascii="Gellix" w:hAnsi="Gellix"/>
          <w:sz w:val="20"/>
          <w:szCs w:val="20"/>
          <w:lang w:val="en-US"/>
        </w:rPr>
        <w:t>Ongoing processes</w:t>
      </w:r>
      <w:r w:rsidR="006608FB">
        <w:rPr>
          <w:rFonts w:ascii="Gellix" w:hAnsi="Gellix"/>
          <w:sz w:val="20"/>
          <w:szCs w:val="20"/>
          <w:lang w:val="en-US"/>
        </w:rPr>
        <w:t xml:space="preserve"> </w:t>
      </w:r>
      <w:r w:rsidR="00EC2EA9">
        <w:rPr>
          <w:rFonts w:ascii="Gellix" w:hAnsi="Gellix"/>
          <w:sz w:val="20"/>
          <w:szCs w:val="20"/>
          <w:lang w:val="en-US"/>
        </w:rPr>
        <w:t>discuss</w:t>
      </w:r>
      <w:r w:rsidR="006608FB">
        <w:rPr>
          <w:rFonts w:ascii="Gellix" w:hAnsi="Gellix"/>
          <w:sz w:val="20"/>
          <w:szCs w:val="20"/>
          <w:lang w:val="en-US"/>
        </w:rPr>
        <w:t>ing</w:t>
      </w:r>
      <w:r w:rsidR="00EC2EA9">
        <w:rPr>
          <w:rFonts w:ascii="Gellix" w:hAnsi="Gellix"/>
          <w:sz w:val="20"/>
          <w:szCs w:val="20"/>
          <w:lang w:val="en-US"/>
        </w:rPr>
        <w:t xml:space="preserve"> </w:t>
      </w:r>
      <w:r w:rsidR="006608FB">
        <w:rPr>
          <w:rFonts w:ascii="Gellix" w:hAnsi="Gellix"/>
          <w:sz w:val="20"/>
          <w:szCs w:val="20"/>
          <w:lang w:val="en-US"/>
        </w:rPr>
        <w:t xml:space="preserve">Internet related public policies should provide guidance on how </w:t>
      </w:r>
      <w:r w:rsidR="001B557A">
        <w:rPr>
          <w:rFonts w:ascii="Gellix" w:hAnsi="Gellix"/>
          <w:sz w:val="20"/>
          <w:szCs w:val="20"/>
          <w:lang w:val="en-US"/>
        </w:rPr>
        <w:t>to build such enabling environments and ensure meaningful multistakeholder input.</w:t>
      </w:r>
      <w:r w:rsidRPr="21B83E27">
        <w:rPr>
          <w:rFonts w:ascii="Gellix" w:hAnsi="Gellix"/>
          <w:sz w:val="20"/>
          <w:szCs w:val="20"/>
          <w:lang w:val="en-US"/>
        </w:rPr>
        <w:t xml:space="preserve"> </w:t>
      </w:r>
    </w:p>
    <w:p w14:paraId="45B40B99" w14:textId="654B43A1" w:rsidR="390F2D79" w:rsidRPr="00F372D9" w:rsidRDefault="390F2D79" w:rsidP="00F372D9">
      <w:pPr>
        <w:pStyle w:val="Heading1"/>
        <w:rPr>
          <w:rFonts w:ascii="Gellix" w:eastAsiaTheme="minorHAnsi" w:hAnsi="Gellix" w:cstheme="minorBidi"/>
          <w:b/>
          <w:bCs/>
          <w:color w:val="007DFF"/>
          <w:sz w:val="20"/>
          <w:szCs w:val="20"/>
        </w:rPr>
      </w:pPr>
      <w:r w:rsidRPr="00F372D9">
        <w:rPr>
          <w:rFonts w:ascii="Gellix" w:eastAsiaTheme="minorHAnsi" w:hAnsi="Gellix" w:cstheme="minorBidi"/>
          <w:b/>
          <w:bCs/>
          <w:color w:val="007DFF"/>
          <w:sz w:val="20"/>
          <w:szCs w:val="20"/>
        </w:rPr>
        <w:t>RESPONSES TO QUESTIONS</w:t>
      </w:r>
    </w:p>
    <w:p w14:paraId="21AEBF50" w14:textId="77777777" w:rsidR="390F2D79" w:rsidRDefault="390F2D79" w:rsidP="6D4C6E5A">
      <w:pPr>
        <w:pStyle w:val="ListParagraph"/>
        <w:numPr>
          <w:ilvl w:val="0"/>
          <w:numId w:val="30"/>
        </w:numPr>
        <w:spacing w:after="120" w:line="276" w:lineRule="auto"/>
        <w:jc w:val="both"/>
        <w:rPr>
          <w:rFonts w:ascii="Gellix" w:hAnsi="Gellix"/>
          <w:b/>
          <w:bCs/>
          <w:sz w:val="20"/>
          <w:szCs w:val="20"/>
          <w:lang w:val="en-GB"/>
        </w:rPr>
      </w:pPr>
      <w:r w:rsidRPr="6D4C6E5A">
        <w:rPr>
          <w:rFonts w:ascii="Gellix" w:hAnsi="Gellix"/>
          <w:b/>
          <w:bCs/>
          <w:sz w:val="20"/>
          <w:szCs w:val="20"/>
          <w:lang w:val="en-GB"/>
        </w:rPr>
        <w:t>How relevant multilateral and multi-stakeholder processes, including but not limited to UN-based processes such as Summit of the Future, WSIS+20 and the IGF, could address aspects related to Internet development? </w:t>
      </w:r>
    </w:p>
    <w:p w14:paraId="32D51422" w14:textId="2A7EE34F" w:rsidR="00C34F38" w:rsidRDefault="6438FD45" w:rsidP="00C34F38">
      <w:pPr>
        <w:spacing w:after="120" w:line="276" w:lineRule="auto"/>
        <w:jc w:val="both"/>
        <w:rPr>
          <w:rFonts w:ascii="Gellix" w:hAnsi="Gellix"/>
          <w:sz w:val="20"/>
          <w:szCs w:val="20"/>
        </w:rPr>
      </w:pPr>
      <w:r w:rsidRPr="21B83E27">
        <w:rPr>
          <w:rFonts w:ascii="Gellix" w:hAnsi="Gellix"/>
          <w:sz w:val="20"/>
          <w:szCs w:val="20"/>
        </w:rPr>
        <w:t xml:space="preserve">As the institutional representative of 45 million businesses in over 170 countries, </w:t>
      </w:r>
      <w:r w:rsidR="73A85552" w:rsidRPr="21B83E27">
        <w:rPr>
          <w:rFonts w:ascii="Gellix" w:hAnsi="Gellix"/>
          <w:sz w:val="20"/>
          <w:szCs w:val="20"/>
        </w:rPr>
        <w:t>ICC</w:t>
      </w:r>
      <w:r w:rsidRPr="21B83E27">
        <w:rPr>
          <w:rFonts w:ascii="Gellix" w:hAnsi="Gellix"/>
          <w:sz w:val="20"/>
          <w:szCs w:val="20"/>
        </w:rPr>
        <w:t xml:space="preserve"> considers Internet governance to be critical for the promotion of international trade, economic development, and innovation.</w:t>
      </w:r>
      <w:r w:rsidR="76815E54" w:rsidRPr="21B83E27">
        <w:rPr>
          <w:rFonts w:ascii="Gellix" w:hAnsi="Gellix"/>
          <w:sz w:val="20"/>
          <w:szCs w:val="20"/>
        </w:rPr>
        <w:t xml:space="preserve"> </w:t>
      </w:r>
      <w:r w:rsidR="7ABDDEC8" w:rsidRPr="21B83E27">
        <w:rPr>
          <w:rFonts w:ascii="Gellix" w:hAnsi="Gellix"/>
          <w:sz w:val="20"/>
          <w:szCs w:val="20"/>
        </w:rPr>
        <w:t xml:space="preserve">A whole, open, interoperable and interconnected Internet </w:t>
      </w:r>
      <w:r w:rsidR="41DC1533" w:rsidRPr="21B83E27">
        <w:rPr>
          <w:rFonts w:ascii="Gellix" w:hAnsi="Gellix"/>
          <w:sz w:val="20"/>
          <w:szCs w:val="20"/>
        </w:rPr>
        <w:t xml:space="preserve">is </w:t>
      </w:r>
      <w:r w:rsidR="260E53AA" w:rsidRPr="21B83E27">
        <w:rPr>
          <w:rFonts w:ascii="Gellix" w:hAnsi="Gellix"/>
          <w:sz w:val="20"/>
          <w:szCs w:val="20"/>
        </w:rPr>
        <w:lastRenderedPageBreak/>
        <w:t>crucial</w:t>
      </w:r>
      <w:r w:rsidR="41DC1533" w:rsidRPr="21B83E27">
        <w:rPr>
          <w:rFonts w:ascii="Gellix" w:hAnsi="Gellix"/>
          <w:sz w:val="20"/>
          <w:szCs w:val="20"/>
        </w:rPr>
        <w:t xml:space="preserve"> </w:t>
      </w:r>
      <w:r w:rsidR="4D37B9BB" w:rsidRPr="21B83E27">
        <w:rPr>
          <w:rFonts w:ascii="Gellix" w:hAnsi="Gellix"/>
          <w:sz w:val="20"/>
          <w:szCs w:val="20"/>
        </w:rPr>
        <w:t xml:space="preserve">for supporting </w:t>
      </w:r>
      <w:r w:rsidR="260E53AA" w:rsidRPr="21B83E27">
        <w:rPr>
          <w:rFonts w:ascii="Gellix" w:hAnsi="Gellix"/>
          <w:sz w:val="20"/>
          <w:szCs w:val="20"/>
        </w:rPr>
        <w:t>business operations worldwide, and a prerequisite to the</w:t>
      </w:r>
      <w:r w:rsidR="41DC1533" w:rsidRPr="21B83E27">
        <w:rPr>
          <w:rFonts w:ascii="Gellix" w:hAnsi="Gellix"/>
          <w:sz w:val="20"/>
          <w:szCs w:val="20"/>
        </w:rPr>
        <w:t xml:space="preserve"> effective functioning of public services</w:t>
      </w:r>
      <w:r w:rsidR="4D37B9BB" w:rsidRPr="21B83E27">
        <w:rPr>
          <w:rFonts w:ascii="Gellix" w:hAnsi="Gellix"/>
          <w:sz w:val="20"/>
          <w:szCs w:val="20"/>
        </w:rPr>
        <w:t xml:space="preserve">, including healthcare, and education. </w:t>
      </w:r>
    </w:p>
    <w:p w14:paraId="2A63A82F" w14:textId="0C0F4E23" w:rsidR="00C34F38" w:rsidRPr="00C34F38" w:rsidRDefault="00C34F38" w:rsidP="00C34F38">
      <w:pPr>
        <w:spacing w:after="120" w:line="276" w:lineRule="auto"/>
        <w:jc w:val="both"/>
        <w:rPr>
          <w:rFonts w:ascii="Gellix" w:hAnsi="Gellix"/>
          <w:sz w:val="20"/>
          <w:szCs w:val="20"/>
        </w:rPr>
      </w:pPr>
      <w:r w:rsidRPr="00C34F38">
        <w:rPr>
          <w:rFonts w:ascii="Gellix" w:hAnsi="Gellix"/>
          <w:sz w:val="20"/>
          <w:szCs w:val="20"/>
        </w:rPr>
        <w:t xml:space="preserve">When effectively </w:t>
      </w:r>
      <w:r>
        <w:rPr>
          <w:rFonts w:ascii="Gellix" w:hAnsi="Gellix"/>
          <w:sz w:val="20"/>
          <w:szCs w:val="20"/>
        </w:rPr>
        <w:t>harnessed</w:t>
      </w:r>
      <w:r w:rsidRPr="00C34F38">
        <w:rPr>
          <w:rFonts w:ascii="Gellix" w:hAnsi="Gellix"/>
          <w:sz w:val="20"/>
          <w:szCs w:val="20"/>
        </w:rPr>
        <w:t>, information and communication technologies (ICT) and digital technologies serve as powerful catalysts for innovation, competitiveness, sustainable and inclusive digital transformation, and as tools for social, cultural, and economic empowerment for all. This potential can only be fully reali</w:t>
      </w:r>
      <w:r w:rsidR="000F78EA">
        <w:rPr>
          <w:rFonts w:ascii="Gellix" w:hAnsi="Gellix"/>
          <w:sz w:val="20"/>
          <w:szCs w:val="20"/>
        </w:rPr>
        <w:t>s</w:t>
      </w:r>
      <w:r w:rsidRPr="00C34F38">
        <w:rPr>
          <w:rFonts w:ascii="Gellix" w:hAnsi="Gellix"/>
          <w:sz w:val="20"/>
          <w:szCs w:val="20"/>
        </w:rPr>
        <w:t xml:space="preserve">ed if the fundamental nature of the Internet as an open, interconnected, and interoperable network of networks is maintained. </w:t>
      </w:r>
    </w:p>
    <w:p w14:paraId="15BE34AF" w14:textId="0553C163" w:rsidR="0913E7CD" w:rsidRPr="00E908A7" w:rsidRDefault="268B9BEF" w:rsidP="3FD06C31">
      <w:pPr>
        <w:spacing w:after="120" w:line="276" w:lineRule="auto"/>
        <w:jc w:val="both"/>
        <w:rPr>
          <w:sz w:val="20"/>
          <w:szCs w:val="20"/>
        </w:rPr>
      </w:pPr>
      <w:r w:rsidRPr="3FD06C31">
        <w:rPr>
          <w:rFonts w:ascii="Gellix" w:hAnsi="Gellix"/>
          <w:sz w:val="20"/>
          <w:szCs w:val="20"/>
        </w:rPr>
        <w:t>The very nature of the global Internet</w:t>
      </w:r>
      <w:r w:rsidR="40950E1B" w:rsidRPr="3FD06C31">
        <w:rPr>
          <w:rFonts w:ascii="Gellix" w:hAnsi="Gellix"/>
          <w:sz w:val="20"/>
          <w:szCs w:val="20"/>
        </w:rPr>
        <w:t xml:space="preserve"> as </w:t>
      </w:r>
      <w:r w:rsidR="00EF4143" w:rsidRPr="3FD06C31">
        <w:rPr>
          <w:rFonts w:ascii="Gellix" w:hAnsi="Gellix"/>
          <w:sz w:val="20"/>
          <w:szCs w:val="20"/>
        </w:rPr>
        <w:t>an interoperable and interconnected</w:t>
      </w:r>
      <w:r w:rsidR="40950E1B" w:rsidRPr="3FD06C31">
        <w:rPr>
          <w:rFonts w:ascii="Gellix" w:hAnsi="Gellix"/>
          <w:sz w:val="20"/>
          <w:szCs w:val="20"/>
        </w:rPr>
        <w:t xml:space="preserve"> network</w:t>
      </w:r>
      <w:r w:rsidR="00EF4143" w:rsidRPr="3FD06C31">
        <w:rPr>
          <w:rFonts w:ascii="Gellix" w:hAnsi="Gellix"/>
          <w:sz w:val="20"/>
          <w:szCs w:val="20"/>
        </w:rPr>
        <w:t xml:space="preserve"> of networks</w:t>
      </w:r>
      <w:r w:rsidR="40950E1B" w:rsidRPr="3FD06C31">
        <w:rPr>
          <w:rFonts w:ascii="Gellix" w:hAnsi="Gellix"/>
          <w:sz w:val="20"/>
          <w:szCs w:val="20"/>
        </w:rPr>
        <w:t>,</w:t>
      </w:r>
      <w:r w:rsidRPr="3FD06C31">
        <w:rPr>
          <w:rFonts w:ascii="Gellix" w:hAnsi="Gellix"/>
          <w:sz w:val="20"/>
          <w:szCs w:val="20"/>
        </w:rPr>
        <w:t xml:space="preserve"> necessitates an effective multistakeholder governance model to be at its core.</w:t>
      </w:r>
      <w:r w:rsidR="00E908A7" w:rsidRPr="3FD06C31">
        <w:rPr>
          <w:rFonts w:ascii="Gellix" w:hAnsi="Gellix"/>
          <w:sz w:val="20"/>
          <w:szCs w:val="20"/>
        </w:rPr>
        <w:t xml:space="preserve"> This includes continued efforts by all stakeholders - individually and collectively - to address Internet-related issues and the promotion of greater cooperation among organisations. Such cooperation should be guided by the objectives of information sharing and awareness raising and where appropriate, coherence among work programmes.</w:t>
      </w:r>
    </w:p>
    <w:p w14:paraId="1423F121" w14:textId="5968EB36" w:rsidR="008350A4" w:rsidRPr="008350A4" w:rsidRDefault="4D5B9F5D" w:rsidP="3FD06C31">
      <w:pPr>
        <w:spacing w:after="120" w:line="276" w:lineRule="auto"/>
        <w:jc w:val="both"/>
        <w:rPr>
          <w:rFonts w:ascii="Gellix" w:hAnsi="Gellix"/>
          <w:sz w:val="20"/>
          <w:szCs w:val="20"/>
          <w:lang w:val="en-US"/>
        </w:rPr>
      </w:pPr>
      <w:r w:rsidRPr="21B83E27">
        <w:rPr>
          <w:rFonts w:ascii="Gellix" w:hAnsi="Gellix"/>
          <w:sz w:val="20"/>
          <w:szCs w:val="20"/>
        </w:rPr>
        <w:t xml:space="preserve">The </w:t>
      </w:r>
      <w:r w:rsidR="0D8160E5" w:rsidRPr="21B83E27">
        <w:rPr>
          <w:rFonts w:ascii="Gellix" w:hAnsi="Gellix"/>
          <w:sz w:val="20"/>
          <w:szCs w:val="20"/>
        </w:rPr>
        <w:t xml:space="preserve">outcomes of </w:t>
      </w:r>
      <w:r w:rsidRPr="21B83E27">
        <w:rPr>
          <w:rFonts w:ascii="Gellix" w:hAnsi="Gellix"/>
          <w:sz w:val="20"/>
          <w:szCs w:val="20"/>
        </w:rPr>
        <w:t xml:space="preserve">World Summit on the Information Society </w:t>
      </w:r>
      <w:r w:rsidR="0D8160E5" w:rsidRPr="21B83E27">
        <w:rPr>
          <w:rFonts w:ascii="Gellix" w:hAnsi="Gellix"/>
          <w:sz w:val="20"/>
          <w:szCs w:val="20"/>
        </w:rPr>
        <w:t>(</w:t>
      </w:r>
      <w:r w:rsidRPr="21B83E27">
        <w:rPr>
          <w:rFonts w:ascii="Gellix" w:hAnsi="Gellix"/>
          <w:sz w:val="20"/>
          <w:szCs w:val="20"/>
        </w:rPr>
        <w:t>WSIS</w:t>
      </w:r>
      <w:r w:rsidR="0D8160E5" w:rsidRPr="21B83E27">
        <w:rPr>
          <w:rFonts w:ascii="Gellix" w:hAnsi="Gellix"/>
          <w:sz w:val="20"/>
          <w:szCs w:val="20"/>
        </w:rPr>
        <w:t>), sealed by the</w:t>
      </w:r>
      <w:r w:rsidR="71F666A3" w:rsidRPr="21B83E27">
        <w:rPr>
          <w:rFonts w:ascii="Gellix" w:hAnsi="Gellix"/>
          <w:sz w:val="20"/>
          <w:szCs w:val="20"/>
        </w:rPr>
        <w:t xml:space="preserve"> </w:t>
      </w:r>
      <w:r w:rsidR="2A6AAAD9" w:rsidRPr="21B83E27">
        <w:rPr>
          <w:rFonts w:ascii="Gellix" w:hAnsi="Gellix"/>
          <w:sz w:val="20"/>
          <w:szCs w:val="20"/>
        </w:rPr>
        <w:t>Tunis Agenda</w:t>
      </w:r>
      <w:r w:rsidR="0D8160E5" w:rsidRPr="21B83E27">
        <w:rPr>
          <w:rFonts w:ascii="Gellix" w:hAnsi="Gellix"/>
          <w:sz w:val="20"/>
          <w:szCs w:val="20"/>
        </w:rPr>
        <w:t>, have</w:t>
      </w:r>
      <w:r w:rsidR="1C56DD36" w:rsidRPr="21B83E27">
        <w:rPr>
          <w:rFonts w:ascii="Gellix" w:hAnsi="Gellix"/>
          <w:sz w:val="20"/>
          <w:szCs w:val="20"/>
        </w:rPr>
        <w:t xml:space="preserve"> been, over the past two decades, guiding </w:t>
      </w:r>
      <w:r w:rsidR="63F6638A" w:rsidRPr="21B83E27">
        <w:rPr>
          <w:rFonts w:ascii="Gellix" w:hAnsi="Gellix"/>
          <w:sz w:val="20"/>
          <w:szCs w:val="20"/>
          <w:lang w:val="en-US"/>
        </w:rPr>
        <w:t xml:space="preserve">efforts </w:t>
      </w:r>
      <w:r w:rsidR="194CF207" w:rsidRPr="21B83E27">
        <w:rPr>
          <w:rFonts w:ascii="Gellix" w:hAnsi="Gellix"/>
          <w:sz w:val="20"/>
          <w:szCs w:val="20"/>
          <w:lang w:val="en-US"/>
        </w:rPr>
        <w:t>to create</w:t>
      </w:r>
      <w:r w:rsidR="63F6638A" w:rsidRPr="21B83E27">
        <w:rPr>
          <w:rFonts w:ascii="Gellix" w:hAnsi="Gellix"/>
          <w:sz w:val="20"/>
          <w:szCs w:val="20"/>
          <w:lang w:val="en-US"/>
        </w:rPr>
        <w:t xml:space="preserve"> and sustain an open and inclusive Information Society. In collaboration with governments, civil society, businesses, the technical </w:t>
      </w:r>
      <w:r w:rsidR="45FA8918" w:rsidRPr="21B83E27">
        <w:rPr>
          <w:rFonts w:ascii="Gellix" w:hAnsi="Gellix"/>
          <w:sz w:val="20"/>
          <w:szCs w:val="20"/>
          <w:lang w:val="en-US"/>
        </w:rPr>
        <w:t xml:space="preserve">and academic </w:t>
      </w:r>
      <w:r w:rsidR="2EB53119" w:rsidRPr="21B83E27">
        <w:rPr>
          <w:rFonts w:ascii="Gellix" w:hAnsi="Gellix"/>
          <w:sz w:val="20"/>
          <w:szCs w:val="20"/>
          <w:lang w:val="en-US"/>
        </w:rPr>
        <w:t>communities</w:t>
      </w:r>
      <w:r w:rsidR="63F6638A" w:rsidRPr="21B83E27">
        <w:rPr>
          <w:rFonts w:ascii="Gellix" w:hAnsi="Gellix"/>
          <w:sz w:val="20"/>
          <w:szCs w:val="20"/>
          <w:lang w:val="en-US"/>
        </w:rPr>
        <w:t xml:space="preserve"> and international organizations, the goal has been to unlock the full potential of ICTs, the Internet and digital technologies and ensure that no one is left behind. </w:t>
      </w:r>
    </w:p>
    <w:p w14:paraId="4B552017" w14:textId="716F0493" w:rsidR="00771BAA" w:rsidRPr="00771BAA" w:rsidRDefault="00771BAA" w:rsidP="00771BAA">
      <w:pPr>
        <w:spacing w:after="120" w:line="276" w:lineRule="auto"/>
        <w:jc w:val="both"/>
        <w:rPr>
          <w:rFonts w:ascii="Gellix" w:hAnsi="Gellix"/>
          <w:iCs/>
          <w:sz w:val="20"/>
          <w:szCs w:val="20"/>
          <w:lang w:val="en-US"/>
        </w:rPr>
      </w:pPr>
      <w:r w:rsidRPr="00771BAA">
        <w:rPr>
          <w:rFonts w:ascii="Gellix" w:hAnsi="Gellix"/>
          <w:iCs/>
          <w:sz w:val="20"/>
          <w:szCs w:val="20"/>
          <w:lang w:val="en-US"/>
        </w:rPr>
        <w:t xml:space="preserve">As </w:t>
      </w:r>
      <w:r>
        <w:rPr>
          <w:rFonts w:ascii="Gellix" w:hAnsi="Gellix"/>
          <w:iCs/>
          <w:sz w:val="20"/>
          <w:szCs w:val="20"/>
          <w:lang w:val="en-US"/>
        </w:rPr>
        <w:t xml:space="preserve">the Internet and its core </w:t>
      </w:r>
      <w:r w:rsidRPr="00771BAA">
        <w:rPr>
          <w:rFonts w:ascii="Gellix" w:hAnsi="Gellix"/>
          <w:iCs/>
          <w:sz w:val="20"/>
          <w:szCs w:val="20"/>
          <w:lang w:val="en-US"/>
        </w:rPr>
        <w:t>technologies continued to evolve, multistakeholder collaboration continued to bear fruit, fostering partnerships that enable populations to benefit from meaningful connectivity, including cutting-edge infrastructure, state-of-the-art digital services and capacity-building initiatives.</w:t>
      </w:r>
    </w:p>
    <w:p w14:paraId="2848971B" w14:textId="4A5D9EB3" w:rsidR="00D90054" w:rsidRPr="00C73927" w:rsidRDefault="00C73927" w:rsidP="6D4C6E5A">
      <w:pPr>
        <w:spacing w:after="120" w:line="276" w:lineRule="auto"/>
        <w:jc w:val="both"/>
        <w:rPr>
          <w:rFonts w:ascii="Gellix" w:hAnsi="Gellix"/>
          <w:sz w:val="20"/>
          <w:szCs w:val="20"/>
        </w:rPr>
      </w:pPr>
      <w:r w:rsidRPr="00C73927">
        <w:rPr>
          <w:rFonts w:ascii="Gellix" w:hAnsi="Gellix"/>
          <w:sz w:val="20"/>
          <w:szCs w:val="20"/>
        </w:rPr>
        <w:t>Despite this progress, recent developments continue to show that the multistakeholder model is not embraced or considered by all. As we approach the WSIS+20 review and look ahead to the next chapter, it is crucial to maintain and leverage the important lessons and decisions reached from the WSIS process.</w:t>
      </w:r>
    </w:p>
    <w:p w14:paraId="2910A325" w14:textId="143FED3D" w:rsidR="4D63DBFF" w:rsidRDefault="4D63DBFF" w:rsidP="6D4C6E5A">
      <w:pPr>
        <w:spacing w:after="120" w:line="276" w:lineRule="auto"/>
        <w:jc w:val="both"/>
        <w:rPr>
          <w:rFonts w:ascii="Gellix" w:hAnsi="Gellix"/>
          <w:sz w:val="20"/>
          <w:szCs w:val="20"/>
        </w:rPr>
      </w:pPr>
      <w:r w:rsidRPr="6D4C6E5A">
        <w:rPr>
          <w:rFonts w:ascii="Gellix" w:hAnsi="Gellix"/>
          <w:sz w:val="20"/>
          <w:szCs w:val="20"/>
        </w:rPr>
        <w:t xml:space="preserve">The </w:t>
      </w:r>
      <w:r w:rsidR="00D76404">
        <w:rPr>
          <w:rFonts w:ascii="Gellix" w:hAnsi="Gellix"/>
          <w:sz w:val="20"/>
          <w:szCs w:val="20"/>
        </w:rPr>
        <w:t>Internet Governance Forum (</w:t>
      </w:r>
      <w:r w:rsidRPr="6D4C6E5A">
        <w:rPr>
          <w:rFonts w:ascii="Gellix" w:hAnsi="Gellix"/>
          <w:sz w:val="20"/>
          <w:szCs w:val="20"/>
        </w:rPr>
        <w:t>IGF</w:t>
      </w:r>
      <w:r w:rsidR="00D76404">
        <w:rPr>
          <w:rFonts w:ascii="Gellix" w:hAnsi="Gellix"/>
          <w:sz w:val="20"/>
          <w:szCs w:val="20"/>
        </w:rPr>
        <w:t>)</w:t>
      </w:r>
      <w:r w:rsidRPr="6D4C6E5A">
        <w:rPr>
          <w:rFonts w:ascii="Gellix" w:hAnsi="Gellix"/>
          <w:sz w:val="20"/>
          <w:szCs w:val="20"/>
        </w:rPr>
        <w:t xml:space="preserve">, amongst the key outcomes of the WSIS, has been a pioneering example and an enabler </w:t>
      </w:r>
      <w:r w:rsidR="00143A22">
        <w:rPr>
          <w:rFonts w:ascii="Gellix" w:hAnsi="Gellix"/>
          <w:sz w:val="20"/>
          <w:szCs w:val="20"/>
        </w:rPr>
        <w:t xml:space="preserve">of </w:t>
      </w:r>
      <w:r w:rsidRPr="6D4C6E5A">
        <w:rPr>
          <w:rFonts w:ascii="Gellix" w:hAnsi="Gellix"/>
          <w:sz w:val="20"/>
          <w:szCs w:val="20"/>
        </w:rPr>
        <w:t>bottom-up discussions among all stakeholders, allowing them to share their knowledge and expertise, thus inspiring the co-creation of interoperable policy approaches, that reap the benefits that the Internet and, more broadly, digital environment have to offer.</w:t>
      </w:r>
    </w:p>
    <w:p w14:paraId="0773DB37" w14:textId="0D81919B" w:rsidR="00D76404" w:rsidRDefault="4D63DBFF" w:rsidP="3FD06C31">
      <w:pPr>
        <w:spacing w:after="120" w:line="276" w:lineRule="auto"/>
        <w:jc w:val="both"/>
        <w:rPr>
          <w:rFonts w:ascii="Gellix" w:hAnsi="Gellix"/>
          <w:sz w:val="20"/>
          <w:szCs w:val="20"/>
        </w:rPr>
      </w:pPr>
      <w:r w:rsidRPr="3FD06C31">
        <w:rPr>
          <w:rFonts w:ascii="Gellix" w:hAnsi="Gellix"/>
          <w:sz w:val="20"/>
          <w:szCs w:val="20"/>
        </w:rPr>
        <w:t xml:space="preserve">The unique convening role of the IGF is a central asset to be leveraged in addressing the challenges towards </w:t>
      </w:r>
      <w:r w:rsidR="000C5231" w:rsidRPr="3FD06C31">
        <w:rPr>
          <w:rFonts w:ascii="Gellix" w:hAnsi="Gellix"/>
          <w:sz w:val="20"/>
          <w:szCs w:val="20"/>
        </w:rPr>
        <w:t xml:space="preserve">Internet development, and </w:t>
      </w:r>
      <w:r w:rsidRPr="3FD06C31">
        <w:rPr>
          <w:rFonts w:ascii="Gellix" w:hAnsi="Gellix"/>
          <w:sz w:val="20"/>
          <w:szCs w:val="20"/>
        </w:rPr>
        <w:t xml:space="preserve">the implementation of the WSIS </w:t>
      </w:r>
      <w:r w:rsidR="75D85AFF" w:rsidRPr="3FD06C31">
        <w:rPr>
          <w:rFonts w:ascii="Gellix" w:hAnsi="Gellix"/>
          <w:sz w:val="20"/>
          <w:szCs w:val="20"/>
        </w:rPr>
        <w:t>vision</w:t>
      </w:r>
      <w:r w:rsidRPr="3FD06C31">
        <w:rPr>
          <w:rFonts w:ascii="Gellix" w:hAnsi="Gellix"/>
          <w:sz w:val="20"/>
          <w:szCs w:val="20"/>
        </w:rPr>
        <w:t xml:space="preserve"> going forward.</w:t>
      </w:r>
      <w:r w:rsidR="00C042BE" w:rsidRPr="3FD06C31">
        <w:rPr>
          <w:rFonts w:ascii="Gellix" w:hAnsi="Gellix"/>
          <w:sz w:val="20"/>
          <w:szCs w:val="20"/>
        </w:rPr>
        <w:t xml:space="preserve"> </w:t>
      </w:r>
    </w:p>
    <w:p w14:paraId="0BDB97A8" w14:textId="3EBBB0F7" w:rsidR="00C042BE" w:rsidRPr="00C042BE" w:rsidRDefault="00D76404" w:rsidP="00C042BE">
      <w:pPr>
        <w:spacing w:after="120" w:line="276" w:lineRule="auto"/>
        <w:jc w:val="both"/>
        <w:rPr>
          <w:rFonts w:ascii="Gellix" w:hAnsi="Gellix"/>
          <w:sz w:val="20"/>
          <w:szCs w:val="20"/>
        </w:rPr>
      </w:pPr>
      <w:r w:rsidRPr="3FD06C31">
        <w:rPr>
          <w:rFonts w:ascii="Gellix" w:hAnsi="Gellix"/>
          <w:sz w:val="20"/>
          <w:szCs w:val="20"/>
        </w:rPr>
        <w:t xml:space="preserve">In its nearly 20 years of operation, the IGF has not only advanced diverse and critical thinking but has also been successful at building community. The global IGF and its many national and regional initiatives (NRIs) have propagated cooperation and improved technical knowledge. They have brought together different stakeholders - nationally, regionally and globally - to share information and progress on their respective work, address policy matters in an open </w:t>
      </w:r>
      <w:r w:rsidRPr="3FD06C31">
        <w:rPr>
          <w:rFonts w:ascii="Gellix" w:hAnsi="Gellix"/>
          <w:sz w:val="20"/>
          <w:szCs w:val="20"/>
        </w:rPr>
        <w:lastRenderedPageBreak/>
        <w:t>setting among a wide range of organizations and stakeholders,</w:t>
      </w:r>
      <w:r w:rsidR="3A787892" w:rsidRPr="3FD06C31">
        <w:rPr>
          <w:rFonts w:ascii="Gellix" w:hAnsi="Gellix"/>
          <w:sz w:val="20"/>
          <w:szCs w:val="20"/>
        </w:rPr>
        <w:t xml:space="preserve"> </w:t>
      </w:r>
      <w:r w:rsidRPr="3FD06C31">
        <w:rPr>
          <w:rFonts w:ascii="Gellix" w:hAnsi="Gellix"/>
          <w:sz w:val="20"/>
          <w:szCs w:val="20"/>
        </w:rPr>
        <w:t xml:space="preserve">and produce intersessional output in the forms of best practice material and policy insights focused on a question or challenge. </w:t>
      </w:r>
      <w:r w:rsidR="00CB5453" w:rsidRPr="3FD06C31">
        <w:rPr>
          <w:rFonts w:ascii="Gellix" w:hAnsi="Gellix"/>
          <w:sz w:val="20"/>
          <w:szCs w:val="20"/>
        </w:rPr>
        <w:t xml:space="preserve">It </w:t>
      </w:r>
      <w:r w:rsidR="00C042BE" w:rsidRPr="3FD06C31">
        <w:rPr>
          <w:rFonts w:ascii="Gellix" w:hAnsi="Gellix"/>
          <w:sz w:val="20"/>
          <w:szCs w:val="20"/>
        </w:rPr>
        <w:t xml:space="preserve">is therefore </w:t>
      </w:r>
      <w:r w:rsidR="00CB5453" w:rsidRPr="3FD06C31">
        <w:rPr>
          <w:rFonts w:ascii="Gellix" w:hAnsi="Gellix"/>
          <w:sz w:val="20"/>
          <w:szCs w:val="20"/>
        </w:rPr>
        <w:t>crucial</w:t>
      </w:r>
      <w:r w:rsidR="00C042BE" w:rsidRPr="3FD06C31">
        <w:rPr>
          <w:rFonts w:ascii="Gellix" w:hAnsi="Gellix"/>
          <w:sz w:val="20"/>
          <w:szCs w:val="20"/>
        </w:rPr>
        <w:t xml:space="preserve"> to renew and strengthen the mandate of the IGF as a vehicle towards interoperable policy approaches in Internet and digital governance, that meet the diverse needs of everyone, everywhere.</w:t>
      </w:r>
    </w:p>
    <w:p w14:paraId="03C4443F" w14:textId="0D41E309" w:rsidR="004B79C8" w:rsidRDefault="009623FA" w:rsidP="001413A2">
      <w:pPr>
        <w:spacing w:after="120" w:line="276" w:lineRule="auto"/>
        <w:jc w:val="both"/>
        <w:rPr>
          <w:rFonts w:ascii="Gellix" w:hAnsi="Gellix"/>
          <w:sz w:val="20"/>
          <w:szCs w:val="20"/>
        </w:rPr>
      </w:pPr>
      <w:r>
        <w:rPr>
          <w:rFonts w:ascii="Gellix" w:hAnsi="Gellix"/>
          <w:sz w:val="20"/>
          <w:szCs w:val="20"/>
        </w:rPr>
        <w:t xml:space="preserve">The objectives outlined in the UN Secretary General’s Our Common Agenda report, pointing towards </w:t>
      </w:r>
      <w:r w:rsidR="00E91990">
        <w:rPr>
          <w:rFonts w:ascii="Gellix" w:hAnsi="Gellix"/>
          <w:sz w:val="20"/>
          <w:szCs w:val="20"/>
        </w:rPr>
        <w:t>the adoption of a Global Digital Compact</w:t>
      </w:r>
      <w:r w:rsidR="008A2E11">
        <w:rPr>
          <w:rFonts w:ascii="Gellix" w:hAnsi="Gellix"/>
          <w:sz w:val="20"/>
          <w:szCs w:val="20"/>
        </w:rPr>
        <w:t xml:space="preserve"> (GDC)</w:t>
      </w:r>
      <w:r w:rsidR="00E91990">
        <w:rPr>
          <w:rFonts w:ascii="Gellix" w:hAnsi="Gellix"/>
          <w:sz w:val="20"/>
          <w:szCs w:val="20"/>
        </w:rPr>
        <w:t xml:space="preserve"> at the Summit of the Future, a</w:t>
      </w:r>
      <w:r w:rsidR="00C60439">
        <w:rPr>
          <w:rFonts w:ascii="Gellix" w:hAnsi="Gellix"/>
          <w:sz w:val="20"/>
          <w:szCs w:val="20"/>
        </w:rPr>
        <w:t>lso necessitate a</w:t>
      </w:r>
      <w:r w:rsidR="009045C6">
        <w:rPr>
          <w:rFonts w:ascii="Gellix" w:hAnsi="Gellix"/>
          <w:sz w:val="20"/>
          <w:szCs w:val="20"/>
        </w:rPr>
        <w:t xml:space="preserve"> bottom-up </w:t>
      </w:r>
      <w:r w:rsidR="00C60439">
        <w:rPr>
          <w:rFonts w:ascii="Gellix" w:hAnsi="Gellix"/>
          <w:sz w:val="20"/>
          <w:szCs w:val="20"/>
        </w:rPr>
        <w:t>governance model fit to promote</w:t>
      </w:r>
      <w:r w:rsidR="001413A2" w:rsidRPr="001413A2">
        <w:rPr>
          <w:rFonts w:ascii="Gellix" w:hAnsi="Gellix"/>
          <w:sz w:val="20"/>
          <w:szCs w:val="20"/>
        </w:rPr>
        <w:t xml:space="preserve"> this culture of cooperation</w:t>
      </w:r>
      <w:r w:rsidR="001413A2">
        <w:rPr>
          <w:rFonts w:ascii="Gellix" w:hAnsi="Gellix"/>
          <w:sz w:val="20"/>
          <w:szCs w:val="20"/>
        </w:rPr>
        <w:t>.</w:t>
      </w:r>
      <w:r w:rsidR="004B79C8">
        <w:rPr>
          <w:rFonts w:ascii="Gellix" w:hAnsi="Gellix"/>
          <w:sz w:val="20"/>
          <w:szCs w:val="20"/>
        </w:rPr>
        <w:t xml:space="preserve"> </w:t>
      </w:r>
    </w:p>
    <w:p w14:paraId="7949D102" w14:textId="6B4ED3DD" w:rsidR="4D63DBFF" w:rsidRDefault="005B1D67" w:rsidP="001413A2">
      <w:pPr>
        <w:spacing w:after="120" w:line="276" w:lineRule="auto"/>
        <w:jc w:val="both"/>
        <w:rPr>
          <w:rFonts w:ascii="Gellix" w:hAnsi="Gellix"/>
          <w:sz w:val="20"/>
          <w:szCs w:val="20"/>
        </w:rPr>
      </w:pPr>
      <w:r>
        <w:rPr>
          <w:rFonts w:ascii="Gellix" w:hAnsi="Gellix"/>
          <w:sz w:val="20"/>
          <w:szCs w:val="20"/>
        </w:rPr>
        <w:t>In particular, t</w:t>
      </w:r>
      <w:r w:rsidR="00354589">
        <w:rPr>
          <w:rFonts w:ascii="Gellix" w:hAnsi="Gellix"/>
          <w:sz w:val="20"/>
          <w:szCs w:val="20"/>
        </w:rPr>
        <w:t>he GDC</w:t>
      </w:r>
      <w:r w:rsidR="00FF7E07">
        <w:rPr>
          <w:rFonts w:ascii="Gellix" w:hAnsi="Gellix"/>
          <w:sz w:val="20"/>
          <w:szCs w:val="20"/>
        </w:rPr>
        <w:t xml:space="preserve"> </w:t>
      </w:r>
      <w:r w:rsidR="001F1C1A">
        <w:rPr>
          <w:rFonts w:ascii="Gellix" w:hAnsi="Gellix"/>
          <w:sz w:val="20"/>
          <w:szCs w:val="20"/>
        </w:rPr>
        <w:t xml:space="preserve">recognises, and commits to the spirit of the </w:t>
      </w:r>
      <w:r w:rsidR="008B0188">
        <w:rPr>
          <w:rFonts w:ascii="Gellix" w:hAnsi="Gellix"/>
          <w:sz w:val="20"/>
          <w:szCs w:val="20"/>
        </w:rPr>
        <w:t>WSIS outcomes</w:t>
      </w:r>
      <w:r w:rsidR="0047308B">
        <w:rPr>
          <w:rFonts w:ascii="Gellix" w:hAnsi="Gellix"/>
          <w:sz w:val="20"/>
          <w:szCs w:val="20"/>
        </w:rPr>
        <w:t>, as strong foundations to build upon to enable global digital cooperation.</w:t>
      </w:r>
      <w:r>
        <w:rPr>
          <w:rFonts w:ascii="Gellix" w:hAnsi="Gellix"/>
          <w:sz w:val="20"/>
          <w:szCs w:val="20"/>
        </w:rPr>
        <w:t xml:space="preserve"> </w:t>
      </w:r>
      <w:r w:rsidR="001413A2">
        <w:rPr>
          <w:rFonts w:ascii="Gellix" w:hAnsi="Gellix"/>
          <w:sz w:val="20"/>
          <w:szCs w:val="20"/>
        </w:rPr>
        <w:t>In order to support this</w:t>
      </w:r>
      <w:r w:rsidR="001413A2" w:rsidRPr="001413A2">
        <w:rPr>
          <w:rFonts w:ascii="Gellix" w:hAnsi="Gellix"/>
          <w:sz w:val="20"/>
          <w:szCs w:val="20"/>
        </w:rPr>
        <w:t>,</w:t>
      </w:r>
      <w:r w:rsidR="001413A2">
        <w:rPr>
          <w:rFonts w:ascii="Gellix" w:hAnsi="Gellix"/>
          <w:sz w:val="20"/>
          <w:szCs w:val="20"/>
        </w:rPr>
        <w:t xml:space="preserve"> </w:t>
      </w:r>
      <w:r w:rsidR="008A2E11">
        <w:rPr>
          <w:rFonts w:ascii="Gellix" w:hAnsi="Gellix"/>
          <w:sz w:val="20"/>
          <w:szCs w:val="20"/>
        </w:rPr>
        <w:t xml:space="preserve">the </w:t>
      </w:r>
      <w:r w:rsidR="005012D0">
        <w:rPr>
          <w:rFonts w:ascii="Gellix" w:hAnsi="Gellix"/>
          <w:sz w:val="20"/>
          <w:szCs w:val="20"/>
        </w:rPr>
        <w:t xml:space="preserve">any potential follow up and </w:t>
      </w:r>
      <w:r w:rsidR="008A2E11">
        <w:rPr>
          <w:rFonts w:ascii="Gellix" w:hAnsi="Gellix"/>
          <w:sz w:val="20"/>
          <w:szCs w:val="20"/>
        </w:rPr>
        <w:t xml:space="preserve">next stages in the </w:t>
      </w:r>
      <w:r w:rsidR="00336E34">
        <w:rPr>
          <w:rFonts w:ascii="Gellix" w:hAnsi="Gellix"/>
          <w:sz w:val="20"/>
          <w:szCs w:val="20"/>
        </w:rPr>
        <w:t xml:space="preserve">modalities of the </w:t>
      </w:r>
      <w:r w:rsidR="008A2E11">
        <w:rPr>
          <w:rFonts w:ascii="Gellix" w:hAnsi="Gellix"/>
          <w:sz w:val="20"/>
          <w:szCs w:val="20"/>
        </w:rPr>
        <w:t xml:space="preserve">implementation process of the GDC </w:t>
      </w:r>
      <w:r w:rsidR="001413A2" w:rsidRPr="001413A2">
        <w:rPr>
          <w:rFonts w:ascii="Gellix" w:hAnsi="Gellix"/>
          <w:sz w:val="20"/>
          <w:szCs w:val="20"/>
        </w:rPr>
        <w:t xml:space="preserve">must be inclusive, bottom-up, and transparent, allowing for all stakeholders to meaningfully </w:t>
      </w:r>
      <w:r w:rsidR="00E1154D">
        <w:rPr>
          <w:rFonts w:ascii="Gellix" w:hAnsi="Gellix"/>
          <w:sz w:val="20"/>
          <w:szCs w:val="20"/>
        </w:rPr>
        <w:t>support</w:t>
      </w:r>
      <w:r w:rsidR="001413A2" w:rsidRPr="001413A2">
        <w:rPr>
          <w:rFonts w:ascii="Gellix" w:hAnsi="Gellix"/>
          <w:sz w:val="20"/>
          <w:szCs w:val="20"/>
        </w:rPr>
        <w:t xml:space="preserve"> and </w:t>
      </w:r>
      <w:r w:rsidR="007F5A5E">
        <w:rPr>
          <w:rFonts w:ascii="Gellix" w:hAnsi="Gellix"/>
          <w:sz w:val="20"/>
          <w:szCs w:val="20"/>
        </w:rPr>
        <w:t xml:space="preserve">offer </w:t>
      </w:r>
      <w:r w:rsidR="00135B85">
        <w:rPr>
          <w:rFonts w:ascii="Gellix" w:hAnsi="Gellix"/>
          <w:sz w:val="20"/>
          <w:szCs w:val="20"/>
        </w:rPr>
        <w:t>their expertise</w:t>
      </w:r>
      <w:r w:rsidR="001413A2" w:rsidRPr="001413A2">
        <w:rPr>
          <w:rFonts w:ascii="Gellix" w:hAnsi="Gellix"/>
          <w:sz w:val="20"/>
          <w:szCs w:val="20"/>
        </w:rPr>
        <w:t>. This not only fosters legitimacy and credibility, but also flexibility to rapidly adapt to changing technologies</w:t>
      </w:r>
      <w:r w:rsidR="00135B85">
        <w:rPr>
          <w:rFonts w:ascii="Gellix" w:hAnsi="Gellix"/>
          <w:sz w:val="20"/>
          <w:szCs w:val="20"/>
        </w:rPr>
        <w:t xml:space="preserve"> and issues, and avoid unintended consequences.</w:t>
      </w:r>
    </w:p>
    <w:p w14:paraId="57218F77" w14:textId="1D8DDE02" w:rsidR="00D5660A" w:rsidRPr="001413A2" w:rsidRDefault="00D5660A" w:rsidP="001413A2">
      <w:pPr>
        <w:spacing w:after="120" w:line="276" w:lineRule="auto"/>
        <w:jc w:val="both"/>
        <w:rPr>
          <w:sz w:val="20"/>
          <w:szCs w:val="20"/>
        </w:rPr>
      </w:pPr>
      <w:r>
        <w:rPr>
          <w:rFonts w:ascii="Gellix" w:hAnsi="Gellix"/>
          <w:sz w:val="20"/>
          <w:szCs w:val="20"/>
        </w:rPr>
        <w:t>At this critical juncture for the future of the development, and governance of the Internet,</w:t>
      </w:r>
      <w:r w:rsidR="00AB2B91">
        <w:rPr>
          <w:rFonts w:ascii="Gellix" w:hAnsi="Gellix"/>
          <w:sz w:val="20"/>
          <w:szCs w:val="20"/>
        </w:rPr>
        <w:t xml:space="preserve"> it is crucial for all stakeholders to commit to </w:t>
      </w:r>
      <w:r w:rsidR="00E60E4B">
        <w:rPr>
          <w:rFonts w:ascii="Gellix" w:hAnsi="Gellix"/>
          <w:sz w:val="20"/>
          <w:szCs w:val="20"/>
        </w:rPr>
        <w:t>its</w:t>
      </w:r>
      <w:r w:rsidR="00AB2B91">
        <w:rPr>
          <w:rFonts w:ascii="Gellix" w:hAnsi="Gellix"/>
          <w:sz w:val="20"/>
          <w:szCs w:val="20"/>
        </w:rPr>
        <w:t xml:space="preserve"> whole, open, interconnected and interoperable nature</w:t>
      </w:r>
      <w:r w:rsidR="008E5F52">
        <w:rPr>
          <w:rFonts w:ascii="Gellix" w:hAnsi="Gellix"/>
          <w:sz w:val="20"/>
          <w:szCs w:val="20"/>
        </w:rPr>
        <w:t xml:space="preserve">, and refrain </w:t>
      </w:r>
      <w:r w:rsidR="001B27E2">
        <w:rPr>
          <w:rFonts w:ascii="Gellix" w:hAnsi="Gellix"/>
          <w:sz w:val="20"/>
          <w:szCs w:val="20"/>
        </w:rPr>
        <w:t xml:space="preserve">from the imposition of technical or political restrictions that may lead to </w:t>
      </w:r>
      <w:r w:rsidR="00BB5621">
        <w:rPr>
          <w:rFonts w:ascii="Gellix" w:hAnsi="Gellix"/>
          <w:sz w:val="20"/>
          <w:szCs w:val="20"/>
        </w:rPr>
        <w:t xml:space="preserve">unintended harms. </w:t>
      </w:r>
    </w:p>
    <w:p w14:paraId="27C1CCA5" w14:textId="36E6675D" w:rsidR="00B31214" w:rsidRPr="00B31214" w:rsidRDefault="390F2D79" w:rsidP="00B31214">
      <w:pPr>
        <w:pStyle w:val="ListParagraph"/>
        <w:numPr>
          <w:ilvl w:val="0"/>
          <w:numId w:val="30"/>
        </w:numPr>
        <w:spacing w:after="120" w:line="276" w:lineRule="auto"/>
        <w:jc w:val="both"/>
        <w:rPr>
          <w:rFonts w:ascii="Gellix" w:hAnsi="Gellix"/>
          <w:b/>
          <w:bCs/>
          <w:sz w:val="20"/>
          <w:szCs w:val="20"/>
          <w:lang w:val="en-GB"/>
        </w:rPr>
      </w:pPr>
      <w:r w:rsidRPr="00FE4F44">
        <w:rPr>
          <w:rFonts w:ascii="Gellix" w:hAnsi="Gellix"/>
          <w:b/>
          <w:bCs/>
          <w:sz w:val="20"/>
          <w:szCs w:val="20"/>
          <w:lang w:val="en-GB"/>
        </w:rPr>
        <w:t xml:space="preserve">What are the challenges and opportunities, good practices and </w:t>
      </w:r>
      <w:proofErr w:type="spellStart"/>
      <w:r w:rsidRPr="00FE4F44">
        <w:rPr>
          <w:rFonts w:ascii="Gellix" w:hAnsi="Gellix"/>
          <w:b/>
          <w:bCs/>
          <w:sz w:val="20"/>
          <w:szCs w:val="20"/>
          <w:lang w:val="en-GB"/>
        </w:rPr>
        <w:t>favorable</w:t>
      </w:r>
      <w:proofErr w:type="spellEnd"/>
      <w:r w:rsidRPr="00FE4F44">
        <w:rPr>
          <w:rFonts w:ascii="Gellix" w:hAnsi="Gellix"/>
          <w:b/>
          <w:bCs/>
          <w:sz w:val="20"/>
          <w:szCs w:val="20"/>
          <w:lang w:val="en-GB"/>
        </w:rPr>
        <w:t xml:space="preserve"> policy environments to strengthen the Internet?</w:t>
      </w:r>
    </w:p>
    <w:p w14:paraId="0060FD26" w14:textId="76AF7B06" w:rsidR="00B31214" w:rsidRPr="00CE2223" w:rsidRDefault="00860AF2" w:rsidP="3FD06C31">
      <w:pPr>
        <w:jc w:val="both"/>
        <w:rPr>
          <w:rFonts w:ascii="Gellix" w:hAnsi="Gellix"/>
          <w:sz w:val="20"/>
          <w:szCs w:val="20"/>
        </w:rPr>
      </w:pPr>
      <w:r w:rsidRPr="3FD06C31">
        <w:rPr>
          <w:rFonts w:ascii="Gellix" w:hAnsi="Gellix"/>
          <w:sz w:val="20"/>
          <w:szCs w:val="20"/>
        </w:rPr>
        <w:t>In recent years, substantive progress has been made in harnessing the</w:t>
      </w:r>
      <w:r w:rsidR="00F033C1" w:rsidRPr="3FD06C31">
        <w:rPr>
          <w:rFonts w:ascii="Gellix" w:hAnsi="Gellix"/>
          <w:sz w:val="20"/>
          <w:szCs w:val="20"/>
        </w:rPr>
        <w:t xml:space="preserve"> empowering force of the Internet</w:t>
      </w:r>
      <w:r w:rsidR="00D60070" w:rsidRPr="3FD06C31">
        <w:rPr>
          <w:rFonts w:ascii="Gellix" w:hAnsi="Gellix"/>
          <w:sz w:val="20"/>
          <w:szCs w:val="20"/>
        </w:rPr>
        <w:t xml:space="preserve"> as a critical enabler for sustainable growth across diverse sectors, including agriculture, energy, healthcare, manufacturing and education</w:t>
      </w:r>
      <w:r w:rsidRPr="3FD06C31">
        <w:rPr>
          <w:rFonts w:ascii="Gellix" w:hAnsi="Gellix"/>
          <w:sz w:val="20"/>
          <w:szCs w:val="20"/>
        </w:rPr>
        <w:t>.</w:t>
      </w:r>
      <w:r w:rsidR="0519A300" w:rsidRPr="3FD06C31">
        <w:rPr>
          <w:rFonts w:ascii="Gellix" w:hAnsi="Gellix"/>
          <w:sz w:val="20"/>
          <w:szCs w:val="20"/>
        </w:rPr>
        <w:t xml:space="preserve"> </w:t>
      </w:r>
    </w:p>
    <w:p w14:paraId="6B0081C7" w14:textId="77777777" w:rsidR="001B093E" w:rsidRPr="00CE2223" w:rsidRDefault="00BA48C4" w:rsidP="008975DF">
      <w:pPr>
        <w:jc w:val="both"/>
        <w:rPr>
          <w:rFonts w:ascii="Gellix" w:hAnsi="Gellix"/>
          <w:sz w:val="20"/>
          <w:szCs w:val="20"/>
        </w:rPr>
      </w:pPr>
      <w:r w:rsidRPr="00BA48C4">
        <w:rPr>
          <w:rFonts w:ascii="Gellix" w:hAnsi="Gellix"/>
          <w:sz w:val="20"/>
          <w:szCs w:val="20"/>
        </w:rPr>
        <w:t>Multistakeholder collaboration is a pivotal enabler to this progress, particularly in developing the policy frameworks that allow for continued and inclusive digitalisation, and address the potential challenges that come with it.</w:t>
      </w:r>
      <w:r w:rsidR="001B093E" w:rsidRPr="00CE2223">
        <w:rPr>
          <w:rFonts w:ascii="Gellix" w:hAnsi="Gellix"/>
          <w:sz w:val="20"/>
          <w:szCs w:val="20"/>
        </w:rPr>
        <w:t xml:space="preserve"> Key advancements include:</w:t>
      </w:r>
    </w:p>
    <w:p w14:paraId="0D7FA097" w14:textId="77777777" w:rsidR="001B093E" w:rsidRPr="001B093E" w:rsidRDefault="001B093E" w:rsidP="008975DF">
      <w:pPr>
        <w:numPr>
          <w:ilvl w:val="0"/>
          <w:numId w:val="32"/>
        </w:numPr>
        <w:spacing w:after="0"/>
        <w:jc w:val="both"/>
        <w:rPr>
          <w:rFonts w:ascii="Gellix" w:hAnsi="Gellix"/>
          <w:sz w:val="20"/>
          <w:szCs w:val="20"/>
        </w:rPr>
      </w:pPr>
      <w:r w:rsidRPr="001B093E">
        <w:rPr>
          <w:rFonts w:ascii="Gellix" w:hAnsi="Gellix"/>
          <w:b/>
          <w:bCs/>
          <w:sz w:val="20"/>
          <w:szCs w:val="20"/>
        </w:rPr>
        <w:t>expanding connectivity</w:t>
      </w:r>
      <w:r w:rsidRPr="001B093E">
        <w:rPr>
          <w:rFonts w:ascii="Gellix" w:hAnsi="Gellix"/>
          <w:sz w:val="20"/>
          <w:szCs w:val="20"/>
        </w:rPr>
        <w:t xml:space="preserve"> to covering 94% of the world's population;</w:t>
      </w:r>
    </w:p>
    <w:p w14:paraId="7440668B" w14:textId="77777777" w:rsidR="001B093E" w:rsidRPr="001B093E" w:rsidRDefault="001B093E" w:rsidP="008975DF">
      <w:pPr>
        <w:numPr>
          <w:ilvl w:val="0"/>
          <w:numId w:val="32"/>
        </w:numPr>
        <w:spacing w:after="0"/>
        <w:jc w:val="both"/>
        <w:rPr>
          <w:rFonts w:ascii="Gellix" w:hAnsi="Gellix"/>
          <w:sz w:val="20"/>
          <w:szCs w:val="20"/>
        </w:rPr>
      </w:pPr>
      <w:r w:rsidRPr="001B093E">
        <w:rPr>
          <w:rFonts w:ascii="Gellix" w:hAnsi="Gellix"/>
          <w:b/>
          <w:bCs/>
          <w:sz w:val="20"/>
          <w:szCs w:val="20"/>
        </w:rPr>
        <w:t>deploying innovative digital solutions</w:t>
      </w:r>
      <w:r w:rsidRPr="001B093E">
        <w:rPr>
          <w:rFonts w:ascii="Gellix" w:hAnsi="Gellix"/>
          <w:sz w:val="20"/>
          <w:szCs w:val="20"/>
        </w:rPr>
        <w:t>, services and products to expand access to education, healthcare, government services and financial services, expanding social and economic opportunities for everyone, everywhere and facilitating the green transition; and</w:t>
      </w:r>
    </w:p>
    <w:p w14:paraId="0C090710" w14:textId="1E568993" w:rsidR="00BA48C4" w:rsidRPr="00BA48C4" w:rsidRDefault="001B093E" w:rsidP="008975DF">
      <w:pPr>
        <w:numPr>
          <w:ilvl w:val="0"/>
          <w:numId w:val="32"/>
        </w:numPr>
        <w:spacing w:after="120"/>
        <w:jc w:val="both"/>
        <w:rPr>
          <w:rFonts w:ascii="Gellix" w:hAnsi="Gellix"/>
          <w:sz w:val="20"/>
          <w:szCs w:val="20"/>
        </w:rPr>
      </w:pPr>
      <w:r w:rsidRPr="001B093E">
        <w:rPr>
          <w:rFonts w:ascii="Gellix" w:hAnsi="Gellix"/>
          <w:sz w:val="20"/>
          <w:szCs w:val="20"/>
        </w:rPr>
        <w:t xml:space="preserve">increased </w:t>
      </w:r>
      <w:r w:rsidRPr="001B093E">
        <w:rPr>
          <w:rFonts w:ascii="Gellix" w:hAnsi="Gellix"/>
          <w:b/>
          <w:bCs/>
          <w:sz w:val="20"/>
          <w:szCs w:val="20"/>
        </w:rPr>
        <w:t>application of the multistakeholder model</w:t>
      </w:r>
      <w:r w:rsidRPr="001B093E">
        <w:rPr>
          <w:rFonts w:ascii="Gellix" w:hAnsi="Gellix"/>
          <w:sz w:val="20"/>
          <w:szCs w:val="20"/>
        </w:rPr>
        <w:t xml:space="preserve"> across various levels of digital governance, illustrated for example through the steady growth in participation at the </w:t>
      </w:r>
      <w:r w:rsidR="00707029" w:rsidRPr="00CE2223">
        <w:rPr>
          <w:rFonts w:ascii="Gellix" w:hAnsi="Gellix"/>
          <w:sz w:val="20"/>
          <w:szCs w:val="20"/>
        </w:rPr>
        <w:t>IGF,</w:t>
      </w:r>
      <w:r w:rsidRPr="001B093E">
        <w:rPr>
          <w:rFonts w:ascii="Gellix" w:hAnsi="Gellix"/>
          <w:sz w:val="20"/>
          <w:szCs w:val="20"/>
        </w:rPr>
        <w:t xml:space="preserve"> and the global spread of its national and regional initiatives.</w:t>
      </w:r>
    </w:p>
    <w:p w14:paraId="3D35305B" w14:textId="77777777" w:rsidR="00982802" w:rsidRPr="00CE2223" w:rsidRDefault="00982802" w:rsidP="008975DF">
      <w:pPr>
        <w:spacing w:after="120"/>
        <w:jc w:val="both"/>
        <w:rPr>
          <w:rFonts w:ascii="Gellix" w:hAnsi="Gellix"/>
          <w:sz w:val="20"/>
          <w:szCs w:val="20"/>
        </w:rPr>
      </w:pPr>
      <w:r w:rsidRPr="00CE2223">
        <w:rPr>
          <w:rFonts w:ascii="Gellix" w:hAnsi="Gellix"/>
          <w:sz w:val="20"/>
          <w:szCs w:val="20"/>
        </w:rPr>
        <w:t xml:space="preserve">The private sector has been a pioneer and partner in driving this progress. </w:t>
      </w:r>
    </w:p>
    <w:p w14:paraId="3C8CF956" w14:textId="77777777" w:rsidR="00982802" w:rsidRPr="00CE2223" w:rsidRDefault="00982802" w:rsidP="008975DF">
      <w:pPr>
        <w:spacing w:after="120"/>
        <w:jc w:val="both"/>
        <w:rPr>
          <w:rFonts w:ascii="Gellix" w:hAnsi="Gellix"/>
          <w:sz w:val="20"/>
          <w:szCs w:val="20"/>
        </w:rPr>
      </w:pPr>
      <w:r w:rsidRPr="00CE2223">
        <w:rPr>
          <w:rFonts w:ascii="Gellix" w:hAnsi="Gellix"/>
          <w:sz w:val="20"/>
          <w:szCs w:val="20"/>
        </w:rPr>
        <w:t>Businesses invest in transformative digital infrastructure, meaningful connectivity, and accessible digital products and services, to bridge the digital divide and unlock green transition.</w:t>
      </w:r>
    </w:p>
    <w:p w14:paraId="07462FC3" w14:textId="77777777" w:rsidR="00982802" w:rsidRPr="00CE2223" w:rsidRDefault="00982802" w:rsidP="008975DF">
      <w:pPr>
        <w:spacing w:after="120"/>
        <w:jc w:val="both"/>
        <w:rPr>
          <w:rFonts w:ascii="Gellix" w:hAnsi="Gellix"/>
          <w:sz w:val="20"/>
          <w:szCs w:val="20"/>
        </w:rPr>
      </w:pPr>
      <w:r w:rsidRPr="00CE2223">
        <w:rPr>
          <w:rFonts w:ascii="Gellix" w:hAnsi="Gellix"/>
          <w:sz w:val="20"/>
          <w:szCs w:val="20"/>
        </w:rPr>
        <w:lastRenderedPageBreak/>
        <w:t xml:space="preserve">In addition, by harnessing the power of big data analytics, artificial intelligence, and machine learning, private companies extract valuable insights to promote inclusivity and sustainability. </w:t>
      </w:r>
    </w:p>
    <w:p w14:paraId="2AA30550" w14:textId="77777777" w:rsidR="00982802" w:rsidRPr="00CE2223" w:rsidRDefault="00982802" w:rsidP="008975DF">
      <w:pPr>
        <w:spacing w:after="120"/>
        <w:jc w:val="both"/>
        <w:rPr>
          <w:rFonts w:ascii="Gellix" w:hAnsi="Gellix"/>
          <w:sz w:val="20"/>
          <w:szCs w:val="20"/>
        </w:rPr>
      </w:pPr>
      <w:r w:rsidRPr="00CE2223">
        <w:rPr>
          <w:rFonts w:ascii="Gellix" w:hAnsi="Gellix"/>
          <w:sz w:val="20"/>
          <w:szCs w:val="20"/>
        </w:rPr>
        <w:t>Moreover, through capacity-building programs, businesses equip individuals and communities with the necessary digital literacy and technical competencies, preparing them for success in the digital economy.</w:t>
      </w:r>
    </w:p>
    <w:p w14:paraId="3B5D774B" w14:textId="62AF5DDD" w:rsidR="00FD7C2F" w:rsidRPr="00CE2223" w:rsidRDefault="00982802" w:rsidP="008975DF">
      <w:pPr>
        <w:spacing w:after="120"/>
        <w:jc w:val="both"/>
        <w:rPr>
          <w:rFonts w:ascii="Gellix" w:hAnsi="Gellix"/>
          <w:sz w:val="20"/>
          <w:szCs w:val="20"/>
        </w:rPr>
      </w:pPr>
      <w:r w:rsidRPr="00CE2223">
        <w:rPr>
          <w:rFonts w:ascii="Gellix" w:hAnsi="Gellix"/>
          <w:sz w:val="20"/>
          <w:szCs w:val="20"/>
        </w:rPr>
        <w:t>Business innovation, tied with the collective contributions of the multistakeholder community, are the designated vehicle t</w:t>
      </w:r>
      <w:r w:rsidR="001D09B9" w:rsidRPr="00CE2223">
        <w:rPr>
          <w:rFonts w:ascii="Gellix" w:hAnsi="Gellix"/>
          <w:sz w:val="20"/>
          <w:szCs w:val="20"/>
        </w:rPr>
        <w:t>o strengthen the Internet</w:t>
      </w:r>
      <w:r w:rsidRPr="00CE2223">
        <w:rPr>
          <w:rFonts w:ascii="Gellix" w:hAnsi="Gellix"/>
          <w:sz w:val="20"/>
          <w:szCs w:val="20"/>
        </w:rPr>
        <w:t>, and the only avenue that will unlock the potential of ICTs and digital technologies for inclusive social and economic growth.</w:t>
      </w:r>
    </w:p>
    <w:p w14:paraId="012B36FB" w14:textId="1E618E72" w:rsidR="00DB4A0C" w:rsidRPr="00CE2223" w:rsidRDefault="00B31214" w:rsidP="008975DF">
      <w:pPr>
        <w:jc w:val="both"/>
        <w:rPr>
          <w:rFonts w:ascii="Gellix" w:hAnsi="Gellix"/>
          <w:sz w:val="20"/>
          <w:szCs w:val="20"/>
        </w:rPr>
      </w:pPr>
      <w:r w:rsidRPr="00CE2223">
        <w:rPr>
          <w:rFonts w:ascii="Gellix" w:hAnsi="Gellix"/>
          <w:sz w:val="20"/>
          <w:szCs w:val="20"/>
        </w:rPr>
        <w:t>D</w:t>
      </w:r>
      <w:r w:rsidR="00DB4A0C" w:rsidRPr="00CE2223">
        <w:rPr>
          <w:rFonts w:ascii="Gellix" w:hAnsi="Gellix"/>
          <w:sz w:val="20"/>
          <w:szCs w:val="20"/>
        </w:rPr>
        <w:t>espite significant progress, a critical challenge persists: 2.6 billion users remain unconnected. One in three individuals who could go online, do not, as estimated by the International Telecommunication Union. Inequalities in connectivity are closely correlated with location, economic opportunity, education, gender as well as social and cultural norms and governance approaches.</w:t>
      </w:r>
    </w:p>
    <w:p w14:paraId="71E8FE04" w14:textId="77777777" w:rsidR="00DB4A0C" w:rsidRPr="00CE2223" w:rsidRDefault="00DB4A0C" w:rsidP="008975DF">
      <w:pPr>
        <w:jc w:val="both"/>
        <w:rPr>
          <w:rFonts w:ascii="Gellix" w:hAnsi="Gellix"/>
          <w:sz w:val="20"/>
          <w:szCs w:val="20"/>
        </w:rPr>
      </w:pPr>
      <w:r w:rsidRPr="00CE2223">
        <w:rPr>
          <w:rFonts w:ascii="Gellix" w:hAnsi="Gellix"/>
          <w:sz w:val="20"/>
          <w:szCs w:val="20"/>
        </w:rPr>
        <w:t>These barriers can be grouped in three main categories: financial, technological and regulatory aspects, as follows:</w:t>
      </w:r>
    </w:p>
    <w:p w14:paraId="1265E08F" w14:textId="77777777" w:rsidR="00DB4A0C" w:rsidRPr="00CE2223" w:rsidRDefault="00DB4A0C" w:rsidP="008975DF">
      <w:pPr>
        <w:pStyle w:val="ListParagraph"/>
        <w:numPr>
          <w:ilvl w:val="0"/>
          <w:numId w:val="31"/>
        </w:numPr>
        <w:jc w:val="both"/>
        <w:rPr>
          <w:rFonts w:ascii="Gellix" w:hAnsi="Gellix"/>
          <w:sz w:val="20"/>
          <w:szCs w:val="20"/>
          <w:lang w:val="en-GB"/>
        </w:rPr>
      </w:pPr>
      <w:r w:rsidRPr="00CE2223">
        <w:rPr>
          <w:rFonts w:ascii="Gellix" w:hAnsi="Gellix"/>
          <w:sz w:val="20"/>
          <w:szCs w:val="20"/>
          <w:lang w:val="en-GB"/>
        </w:rPr>
        <w:t xml:space="preserve">Financial barriers refer to factors that impact public and private investment in connectivity, affect costs of developing, deploying or maintaining networks, or inhibit alternative business models to deliver connectivity. </w:t>
      </w:r>
    </w:p>
    <w:p w14:paraId="69648BC3" w14:textId="77777777" w:rsidR="00DB4A0C" w:rsidRPr="00CE2223" w:rsidRDefault="00DB4A0C" w:rsidP="008975DF">
      <w:pPr>
        <w:pStyle w:val="ListParagraph"/>
        <w:numPr>
          <w:ilvl w:val="0"/>
          <w:numId w:val="31"/>
        </w:numPr>
        <w:jc w:val="both"/>
        <w:rPr>
          <w:rFonts w:ascii="Gellix" w:hAnsi="Gellix"/>
          <w:sz w:val="20"/>
          <w:szCs w:val="20"/>
          <w:lang w:val="en-GB"/>
        </w:rPr>
      </w:pPr>
      <w:r w:rsidRPr="00CE2223">
        <w:rPr>
          <w:rFonts w:ascii="Gellix" w:hAnsi="Gellix"/>
          <w:sz w:val="20"/>
          <w:szCs w:val="20"/>
          <w:lang w:val="en-GB"/>
        </w:rPr>
        <w:t xml:space="preserve">Technology barriers refer to factors that limit the development or deployment of new technologies or pose barriers to investment in innovation, research and development that would enable connectivity, especially in remote and hard-to-reach areas. </w:t>
      </w:r>
    </w:p>
    <w:p w14:paraId="5152B26C" w14:textId="77777777" w:rsidR="00DB4A0C" w:rsidRPr="00CE2223" w:rsidRDefault="00DB4A0C" w:rsidP="008975DF">
      <w:pPr>
        <w:pStyle w:val="ListParagraph"/>
        <w:numPr>
          <w:ilvl w:val="0"/>
          <w:numId w:val="31"/>
        </w:numPr>
        <w:jc w:val="both"/>
        <w:rPr>
          <w:rFonts w:ascii="Gellix" w:hAnsi="Gellix"/>
          <w:sz w:val="20"/>
          <w:szCs w:val="20"/>
          <w:lang w:val="en-GB"/>
        </w:rPr>
      </w:pPr>
      <w:r w:rsidRPr="00CE2223">
        <w:rPr>
          <w:rFonts w:ascii="Gellix" w:hAnsi="Gellix"/>
          <w:sz w:val="20"/>
          <w:szCs w:val="20"/>
          <w:lang w:val="en-GB"/>
        </w:rPr>
        <w:t xml:space="preserve">Regulatory barriers refer to norms, policies, laws and regulations that limit the deployment of networks (especially through new and innovative technologies, methods), disincentivise investments, or inhibit the uptake and use of the Internet for certain segments of the population. </w:t>
      </w:r>
    </w:p>
    <w:p w14:paraId="4CEAC8EC" w14:textId="70B3A8F3" w:rsidR="00AA2583" w:rsidRDefault="005C4917" w:rsidP="21B83E27">
      <w:pPr>
        <w:jc w:val="both"/>
        <w:rPr>
          <w:rFonts w:ascii="Gellix" w:hAnsi="Gellix"/>
          <w:sz w:val="20"/>
          <w:szCs w:val="20"/>
        </w:rPr>
      </w:pPr>
      <w:r w:rsidRPr="3FD06C31">
        <w:rPr>
          <w:rFonts w:ascii="Gellix" w:hAnsi="Gellix"/>
          <w:sz w:val="20"/>
          <w:szCs w:val="20"/>
        </w:rPr>
        <w:t>In order to reach their full potential, ICT</w:t>
      </w:r>
      <w:r w:rsidR="00BA367A" w:rsidRPr="3FD06C31">
        <w:rPr>
          <w:rFonts w:ascii="Gellix" w:hAnsi="Gellix"/>
          <w:sz w:val="20"/>
          <w:szCs w:val="20"/>
        </w:rPr>
        <w:t xml:space="preserve"> and the Internet</w:t>
      </w:r>
      <w:r w:rsidRPr="3FD06C31">
        <w:rPr>
          <w:rFonts w:ascii="Gellix" w:hAnsi="Gellix"/>
          <w:sz w:val="20"/>
          <w:szCs w:val="20"/>
        </w:rPr>
        <w:t xml:space="preserve"> must be accessible, affordable, and relevant to the needs of everyone, everywhere. For this to work in practice, </w:t>
      </w:r>
      <w:r w:rsidR="10339199" w:rsidRPr="21B83E27">
        <w:rPr>
          <w:rFonts w:ascii="Gellix" w:hAnsi="Gellix"/>
          <w:sz w:val="20"/>
          <w:szCs w:val="20"/>
        </w:rPr>
        <w:t>an appropriate mix of economic, technical, and regulatory approaches</w:t>
      </w:r>
      <w:r w:rsidR="003F2A7C">
        <w:rPr>
          <w:rFonts w:ascii="Gellix" w:hAnsi="Gellix"/>
          <w:sz w:val="20"/>
          <w:szCs w:val="20"/>
        </w:rPr>
        <w:t xml:space="preserve"> must be in place</w:t>
      </w:r>
      <w:r w:rsidR="10339199" w:rsidRPr="21B83E27">
        <w:rPr>
          <w:rFonts w:ascii="Gellix" w:hAnsi="Gellix"/>
          <w:sz w:val="20"/>
          <w:szCs w:val="20"/>
        </w:rPr>
        <w:t xml:space="preserve">. </w:t>
      </w:r>
    </w:p>
    <w:p w14:paraId="4D24AC22" w14:textId="657ECF7D" w:rsidR="10339199" w:rsidRDefault="10339199" w:rsidP="21B83E27">
      <w:pPr>
        <w:jc w:val="both"/>
        <w:rPr>
          <w:rFonts w:ascii="Gellix" w:hAnsi="Gellix"/>
          <w:sz w:val="20"/>
          <w:szCs w:val="20"/>
        </w:rPr>
      </w:pPr>
      <w:r w:rsidRPr="21B83E27">
        <w:rPr>
          <w:rFonts w:ascii="Gellix" w:hAnsi="Gellix"/>
          <w:sz w:val="20"/>
          <w:szCs w:val="20"/>
        </w:rPr>
        <w:t>Policymakers and regulators have a clear role to play in setting up enabling policy environments that are non-discriminatory, technology-neutral, and supportive of innovative business models and the development and deployment of a wide range of technologies, global standards, and system architectures, effectively promoting the value of the entire communications and digital services ecosystem at all its layers: infrastructure; applications and services; and user ability and skills.</w:t>
      </w:r>
    </w:p>
    <w:p w14:paraId="637AF5A3" w14:textId="645046CB" w:rsidR="10339199" w:rsidRDefault="10339199" w:rsidP="21B83E27">
      <w:pPr>
        <w:spacing w:after="120" w:line="276" w:lineRule="auto"/>
        <w:jc w:val="both"/>
        <w:rPr>
          <w:rFonts w:ascii="Gellix" w:hAnsi="Gellix"/>
          <w:sz w:val="20"/>
          <w:szCs w:val="20"/>
        </w:rPr>
      </w:pPr>
      <w:r w:rsidRPr="21B83E27">
        <w:rPr>
          <w:rFonts w:ascii="Gellix" w:hAnsi="Gellix"/>
          <w:sz w:val="20"/>
          <w:szCs w:val="20"/>
        </w:rPr>
        <w:t>In order to achieve the desired positive impact through the catalytic power of ICTs and digital technologies, global business encourages policymakers to:</w:t>
      </w:r>
    </w:p>
    <w:p w14:paraId="6EFCB0B1" w14:textId="3B9640AE" w:rsidR="10339199" w:rsidRDefault="10339199" w:rsidP="21B83E27">
      <w:pPr>
        <w:pStyle w:val="ListParagraph"/>
        <w:numPr>
          <w:ilvl w:val="0"/>
          <w:numId w:val="29"/>
        </w:numPr>
        <w:spacing w:after="120" w:line="276" w:lineRule="auto"/>
        <w:ind w:left="360"/>
        <w:jc w:val="both"/>
        <w:rPr>
          <w:rFonts w:ascii="Gellix" w:hAnsi="Gellix"/>
          <w:sz w:val="20"/>
          <w:szCs w:val="20"/>
          <w:lang w:val="en-GB"/>
        </w:rPr>
      </w:pPr>
      <w:r w:rsidRPr="21B83E27">
        <w:rPr>
          <w:rFonts w:ascii="Gellix" w:hAnsi="Gellix"/>
          <w:b/>
          <w:bCs/>
          <w:sz w:val="20"/>
          <w:szCs w:val="20"/>
          <w:lang w:val="en-GB"/>
        </w:rPr>
        <w:t>Facilitate investment across the entire digital value chain:</w:t>
      </w:r>
      <w:r w:rsidRPr="21B83E27">
        <w:rPr>
          <w:rFonts w:ascii="Gellix" w:hAnsi="Gellix"/>
          <w:sz w:val="20"/>
          <w:szCs w:val="20"/>
          <w:lang w:val="en-GB"/>
        </w:rPr>
        <w:t xml:space="preserve"> Policymakers should not only promote, but actively foster both private and public investment, competition, and innovation in the development and deployment of broadband services and connectivity </w:t>
      </w:r>
      <w:r w:rsidRPr="21B83E27">
        <w:rPr>
          <w:rFonts w:ascii="Gellix" w:hAnsi="Gellix"/>
          <w:sz w:val="20"/>
          <w:szCs w:val="20"/>
          <w:lang w:val="en-GB"/>
        </w:rPr>
        <w:lastRenderedPageBreak/>
        <w:t>devices, and in enabling technologies, content, applications and services that help drive and sustain adoption.</w:t>
      </w:r>
      <w:r w:rsidRPr="21B83E27">
        <w:rPr>
          <w:rStyle w:val="FootnoteReference"/>
          <w:rFonts w:ascii="Gellix" w:hAnsi="Gellix"/>
          <w:sz w:val="20"/>
          <w:szCs w:val="20"/>
          <w:lang w:val="en-GB"/>
        </w:rPr>
        <w:footnoteReference w:id="2"/>
      </w:r>
      <w:r w:rsidRPr="21B83E27">
        <w:rPr>
          <w:rFonts w:ascii="Gellix" w:hAnsi="Gellix"/>
          <w:sz w:val="20"/>
          <w:szCs w:val="20"/>
          <w:lang w:val="en-GB"/>
        </w:rPr>
        <w:t xml:space="preserve"> </w:t>
      </w:r>
    </w:p>
    <w:p w14:paraId="7B094794" w14:textId="758ADB0F" w:rsidR="10339199" w:rsidRDefault="10339199" w:rsidP="21B83E27">
      <w:pPr>
        <w:pStyle w:val="ListParagraph"/>
        <w:numPr>
          <w:ilvl w:val="0"/>
          <w:numId w:val="29"/>
        </w:numPr>
        <w:spacing w:after="120" w:line="276" w:lineRule="auto"/>
        <w:ind w:left="360"/>
        <w:jc w:val="both"/>
        <w:rPr>
          <w:rFonts w:ascii="Gellix" w:hAnsi="Gellix"/>
          <w:sz w:val="20"/>
          <w:szCs w:val="20"/>
          <w:lang w:val="en-GB"/>
        </w:rPr>
      </w:pPr>
      <w:r w:rsidRPr="21B83E27">
        <w:rPr>
          <w:rFonts w:ascii="Gellix" w:hAnsi="Gellix"/>
          <w:b/>
          <w:bCs/>
          <w:sz w:val="20"/>
          <w:szCs w:val="20"/>
          <w:lang w:val="en-GB"/>
        </w:rPr>
        <w:t>Improve digital infrastructure and its use:</w:t>
      </w:r>
      <w:r w:rsidRPr="21B83E27">
        <w:rPr>
          <w:rFonts w:ascii="Gellix" w:hAnsi="Gellix"/>
          <w:sz w:val="20"/>
          <w:szCs w:val="20"/>
          <w:lang w:val="en-GB"/>
        </w:rPr>
        <w:t xml:space="preserve"> Modern resilient and trusted telecommunication infrastructure and high-speed broadband networks will be a crucial enabler for all industries and essential for leading the way to a low-carbon society. Allocation and licensing of spectrum should be transparent, fair, economically efficient, technology-neutral, and aimed at ensuring that sufficient licensed broadband-capable spectrum is made available at reasonable cost. Unlicensed, shared, and secondary uses of spectrum should be facilitated, and operators should be incentivised to use spectrum efficiently.</w:t>
      </w:r>
    </w:p>
    <w:p w14:paraId="2D696F5E" w14:textId="729E0EF5" w:rsidR="10339199" w:rsidRDefault="10339199" w:rsidP="21B83E27">
      <w:pPr>
        <w:pStyle w:val="ListParagraph"/>
        <w:numPr>
          <w:ilvl w:val="0"/>
          <w:numId w:val="29"/>
        </w:numPr>
        <w:spacing w:after="120" w:line="276" w:lineRule="auto"/>
        <w:ind w:left="360"/>
        <w:jc w:val="both"/>
        <w:rPr>
          <w:rFonts w:ascii="Gellix" w:hAnsi="Gellix"/>
          <w:sz w:val="20"/>
          <w:szCs w:val="20"/>
          <w:lang w:val="en-GB"/>
        </w:rPr>
      </w:pPr>
      <w:r w:rsidRPr="21B83E27">
        <w:rPr>
          <w:rFonts w:ascii="Gellix" w:hAnsi="Gellix"/>
          <w:b/>
          <w:bCs/>
          <w:sz w:val="20"/>
          <w:szCs w:val="20"/>
          <w:lang w:val="en-US"/>
        </w:rPr>
        <w:t xml:space="preserve">Enable, and foster trust in data and digital technologies: </w:t>
      </w:r>
      <w:r w:rsidRPr="21B83E27">
        <w:rPr>
          <w:rFonts w:ascii="Gellix" w:hAnsi="Gellix"/>
          <w:sz w:val="20"/>
          <w:szCs w:val="20"/>
          <w:lang w:val="en-US"/>
        </w:rPr>
        <w:t xml:space="preserve">Policymakers should ensure all citizens and companies can </w:t>
      </w:r>
      <w:proofErr w:type="spellStart"/>
      <w:r w:rsidRPr="21B83E27">
        <w:rPr>
          <w:rFonts w:ascii="Gellix" w:hAnsi="Gellix"/>
          <w:sz w:val="20"/>
          <w:szCs w:val="20"/>
          <w:lang w:val="en-US"/>
        </w:rPr>
        <w:t>realise</w:t>
      </w:r>
      <w:proofErr w:type="spellEnd"/>
      <w:r w:rsidRPr="21B83E27">
        <w:rPr>
          <w:rFonts w:ascii="Gellix" w:hAnsi="Gellix"/>
          <w:sz w:val="20"/>
          <w:szCs w:val="20"/>
          <w:lang w:val="en-US"/>
        </w:rPr>
        <w:t xml:space="preserve"> the full potential of </w:t>
      </w:r>
      <w:proofErr w:type="spellStart"/>
      <w:r w:rsidRPr="21B83E27">
        <w:rPr>
          <w:rFonts w:ascii="Gellix" w:hAnsi="Gellix"/>
          <w:sz w:val="20"/>
          <w:szCs w:val="20"/>
          <w:lang w:val="en-US"/>
        </w:rPr>
        <w:t>digitalisation</w:t>
      </w:r>
      <w:proofErr w:type="spellEnd"/>
      <w:r w:rsidRPr="21B83E27">
        <w:rPr>
          <w:rFonts w:ascii="Gellix" w:hAnsi="Gellix"/>
          <w:sz w:val="20"/>
          <w:szCs w:val="20"/>
          <w:lang w:val="en-US"/>
        </w:rPr>
        <w:t xml:space="preserve"> for innovation and economic growth, by setting policies that facilitate the adoption of new technologies and the global movement of data that supports them. Establishing clear rules and enforcing roles and responsibilities in the data processing value chain are the keys to maintaining responsibility over compliance irrespective of locality. Governments should adopt policies to build trust by ensuring that users have practical mechanisms and appropriate control over how their personal data is used. Companies should ensure that personal data is appropriately secured as technology and services evolve. Increased trustworthiness and certainty will underpin innovation, inclusion, and economic growth</w:t>
      </w:r>
      <w:r w:rsidRPr="21B83E27">
        <w:rPr>
          <w:rStyle w:val="FootnoteReference"/>
          <w:rFonts w:ascii="Gellix" w:hAnsi="Gellix"/>
          <w:sz w:val="20"/>
          <w:szCs w:val="20"/>
          <w:lang w:val="en-GB"/>
        </w:rPr>
        <w:footnoteReference w:id="3"/>
      </w:r>
    </w:p>
    <w:p w14:paraId="60419380" w14:textId="0EA5C0B3" w:rsidR="10339199" w:rsidRDefault="10339199" w:rsidP="21B83E27">
      <w:pPr>
        <w:pStyle w:val="ListParagraph"/>
        <w:numPr>
          <w:ilvl w:val="0"/>
          <w:numId w:val="29"/>
        </w:numPr>
        <w:spacing w:after="120" w:line="276" w:lineRule="auto"/>
        <w:ind w:left="360"/>
        <w:jc w:val="both"/>
        <w:rPr>
          <w:rFonts w:ascii="Gellix" w:hAnsi="Gellix"/>
          <w:sz w:val="20"/>
          <w:szCs w:val="20"/>
          <w:lang w:val="en-GB"/>
        </w:rPr>
      </w:pPr>
      <w:r w:rsidRPr="21B83E27">
        <w:rPr>
          <w:rFonts w:ascii="Gellix" w:hAnsi="Gellix"/>
          <w:b/>
          <w:bCs/>
          <w:sz w:val="20"/>
          <w:szCs w:val="20"/>
          <w:lang w:val="en-GB"/>
        </w:rPr>
        <w:t>Ground policies in evidence and data:</w:t>
      </w:r>
      <w:r w:rsidRPr="21B83E27">
        <w:rPr>
          <w:rFonts w:ascii="Gellix" w:hAnsi="Gellix"/>
          <w:sz w:val="20"/>
          <w:szCs w:val="20"/>
          <w:lang w:val="en-GB"/>
        </w:rPr>
        <w:t xml:space="preserve"> Policies and regulations should be evidence based, transparent and aimed to improve the ease and predictability of doing business. </w:t>
      </w:r>
    </w:p>
    <w:p w14:paraId="57F08AE2" w14:textId="2B8AB955" w:rsidR="10339199" w:rsidRDefault="10339199" w:rsidP="21B83E27">
      <w:pPr>
        <w:pStyle w:val="ListParagraph"/>
        <w:numPr>
          <w:ilvl w:val="0"/>
          <w:numId w:val="29"/>
        </w:numPr>
        <w:spacing w:after="120" w:line="276" w:lineRule="auto"/>
        <w:ind w:left="360"/>
        <w:jc w:val="both"/>
        <w:rPr>
          <w:rFonts w:ascii="Gellix" w:hAnsi="Gellix"/>
          <w:sz w:val="20"/>
          <w:szCs w:val="20"/>
          <w:lang w:val="en-GB"/>
        </w:rPr>
      </w:pPr>
      <w:r w:rsidRPr="21B83E27">
        <w:rPr>
          <w:rFonts w:ascii="Gellix" w:hAnsi="Gellix"/>
          <w:b/>
          <w:bCs/>
          <w:sz w:val="20"/>
          <w:szCs w:val="20"/>
          <w:lang w:val="en-GB"/>
        </w:rPr>
        <w:t>Embrace multistakeholder policymaking:</w:t>
      </w:r>
      <w:r w:rsidRPr="21B83E27">
        <w:rPr>
          <w:rFonts w:ascii="Gellix" w:hAnsi="Gellix"/>
          <w:sz w:val="20"/>
          <w:szCs w:val="20"/>
          <w:lang w:val="en-GB"/>
        </w:rPr>
        <w:t xml:space="preserve"> By encouraging the participation of all relevant stakeholders, including business, civil society, and the technical community, in policymaking processes, governments can generate policies that are timely, scalable, and innovation-enabling. Multistakeholder cooperation and in particular, public-private partnerships should go beyond project implementation and actively incorporate diversity of views from the first moments of policy creation.</w:t>
      </w:r>
    </w:p>
    <w:p w14:paraId="520C759B" w14:textId="596C03FD" w:rsidR="001B557A" w:rsidRDefault="10339199" w:rsidP="21B83E27">
      <w:pPr>
        <w:pStyle w:val="ListParagraph"/>
        <w:numPr>
          <w:ilvl w:val="0"/>
          <w:numId w:val="29"/>
        </w:numPr>
        <w:spacing w:after="120" w:line="276" w:lineRule="auto"/>
        <w:ind w:left="360"/>
        <w:jc w:val="both"/>
        <w:rPr>
          <w:rFonts w:ascii="Gellix" w:hAnsi="Gellix"/>
          <w:sz w:val="20"/>
          <w:szCs w:val="20"/>
          <w:lang w:val="en-GB"/>
        </w:rPr>
      </w:pPr>
      <w:r w:rsidRPr="21B83E27">
        <w:rPr>
          <w:rFonts w:ascii="Gellix" w:hAnsi="Gellix"/>
          <w:b/>
          <w:bCs/>
          <w:sz w:val="20"/>
          <w:szCs w:val="20"/>
          <w:lang w:val="en-GB"/>
        </w:rPr>
        <w:t xml:space="preserve">Invest in digital literacy and skills development: </w:t>
      </w:r>
      <w:r w:rsidRPr="21B83E27">
        <w:rPr>
          <w:rFonts w:ascii="Gellix" w:hAnsi="Gellix"/>
          <w:sz w:val="20"/>
          <w:szCs w:val="20"/>
          <w:lang w:val="en-GB"/>
        </w:rPr>
        <w:t>Investment in digital literacy and skills development is essential for future-proofing digitalisation for people, planet and prosperity. Equipping individuals with the necessary digital skills is the only path to fully harness the opportunities offered in the digital economy, leaving no one behind.</w:t>
      </w:r>
    </w:p>
    <w:p w14:paraId="0BF5A29C" w14:textId="577E55E7" w:rsidR="21B83E27" w:rsidRPr="003F2A7C" w:rsidRDefault="10339199" w:rsidP="00B217A7">
      <w:pPr>
        <w:pStyle w:val="ListParagraph"/>
        <w:numPr>
          <w:ilvl w:val="0"/>
          <w:numId w:val="29"/>
        </w:numPr>
        <w:spacing w:after="120" w:line="276" w:lineRule="auto"/>
        <w:ind w:left="360"/>
        <w:jc w:val="both"/>
        <w:rPr>
          <w:lang w:val="en-GB"/>
        </w:rPr>
      </w:pPr>
      <w:proofErr w:type="spellStart"/>
      <w:r w:rsidRPr="00B217A7">
        <w:rPr>
          <w:rFonts w:ascii="Gellix" w:hAnsi="Gellix"/>
          <w:b/>
          <w:bCs/>
          <w:sz w:val="20"/>
          <w:szCs w:val="20"/>
        </w:rPr>
        <w:t>Promote</w:t>
      </w:r>
      <w:proofErr w:type="spellEnd"/>
      <w:r w:rsidRPr="00B217A7">
        <w:rPr>
          <w:rFonts w:ascii="Gellix" w:hAnsi="Gellix"/>
          <w:b/>
          <w:bCs/>
          <w:sz w:val="20"/>
          <w:szCs w:val="20"/>
        </w:rPr>
        <w:t xml:space="preserve"> </w:t>
      </w:r>
      <w:proofErr w:type="spellStart"/>
      <w:r w:rsidRPr="00B217A7">
        <w:rPr>
          <w:rFonts w:ascii="Gellix" w:hAnsi="Gellix"/>
          <w:b/>
          <w:bCs/>
          <w:sz w:val="20"/>
          <w:szCs w:val="20"/>
        </w:rPr>
        <w:t>international</w:t>
      </w:r>
      <w:proofErr w:type="spellEnd"/>
      <w:r w:rsidRPr="00B217A7">
        <w:rPr>
          <w:rFonts w:ascii="Gellix" w:hAnsi="Gellix"/>
          <w:b/>
          <w:bCs/>
          <w:sz w:val="20"/>
          <w:szCs w:val="20"/>
        </w:rPr>
        <w:t xml:space="preserve"> </w:t>
      </w:r>
      <w:proofErr w:type="spellStart"/>
      <w:r w:rsidRPr="00B217A7">
        <w:rPr>
          <w:rFonts w:ascii="Gellix" w:hAnsi="Gellix"/>
          <w:b/>
          <w:bCs/>
          <w:sz w:val="20"/>
          <w:szCs w:val="20"/>
        </w:rPr>
        <w:t>cooperation</w:t>
      </w:r>
      <w:proofErr w:type="spellEnd"/>
      <w:r w:rsidRPr="00B217A7">
        <w:rPr>
          <w:rFonts w:ascii="Gellix" w:hAnsi="Gellix"/>
          <w:b/>
          <w:bCs/>
          <w:sz w:val="20"/>
          <w:szCs w:val="20"/>
        </w:rPr>
        <w:t xml:space="preserve">: </w:t>
      </w:r>
      <w:proofErr w:type="spellStart"/>
      <w:r w:rsidRPr="00B217A7">
        <w:rPr>
          <w:rFonts w:ascii="Gellix" w:hAnsi="Gellix"/>
          <w:sz w:val="20"/>
          <w:szCs w:val="20"/>
        </w:rPr>
        <w:t>Lack</w:t>
      </w:r>
      <w:proofErr w:type="spellEnd"/>
      <w:r w:rsidRPr="00B217A7">
        <w:rPr>
          <w:rFonts w:ascii="Gellix" w:hAnsi="Gellix"/>
          <w:sz w:val="20"/>
          <w:szCs w:val="20"/>
        </w:rPr>
        <w:t xml:space="preserve"> of interoperability across the policy and regulatory environment can create needless administrative burdens and compliance inconsistencies across jurisdictions, stifling the opportunities and progress that can be made. </w:t>
      </w:r>
      <w:r w:rsidRPr="00B217A7">
        <w:rPr>
          <w:rFonts w:ascii="Gellix" w:hAnsi="Gellix"/>
          <w:sz w:val="20"/>
          <w:szCs w:val="20"/>
          <w:lang w:val="en-GB"/>
        </w:rPr>
        <w:t>Scaling up the adoption of existing principles and widely used industry standards ensures consistent approaches between countries, enable cross-border cooperation, and creates certainty and predictability for companies to continue investing and innovating.</w:t>
      </w:r>
      <w:r w:rsidR="001B557A" w:rsidRPr="00B217A7">
        <w:rPr>
          <w:rFonts w:ascii="Gellix" w:eastAsia="Gellix" w:hAnsi="Gellix" w:cs="Gellix"/>
          <w:sz w:val="20"/>
          <w:szCs w:val="20"/>
          <w:lang w:val="en-GB"/>
        </w:rPr>
        <w:t xml:space="preserve"> </w:t>
      </w:r>
      <w:r w:rsidR="001B557A" w:rsidRPr="00B217A7">
        <w:rPr>
          <w:rFonts w:ascii="Gellix" w:eastAsia="Gellix" w:hAnsi="Gellix" w:cs="Gellix"/>
          <w:sz w:val="20"/>
          <w:szCs w:val="20"/>
          <w:lang w:val="en-GB"/>
        </w:rPr>
        <w:lastRenderedPageBreak/>
        <w:t xml:space="preserve">Ultimately, an enabling policy environment is one that stimulates the necessary investments and innovation, resulting in sustaining </w:t>
      </w:r>
      <w:r w:rsidR="001B557A" w:rsidRPr="00B217A7">
        <w:rPr>
          <w:rFonts w:ascii="Gellix" w:hAnsi="Gellix"/>
          <w:sz w:val="20"/>
          <w:szCs w:val="20"/>
          <w:lang w:val="en-GB"/>
        </w:rPr>
        <w:t xml:space="preserve">the </w:t>
      </w:r>
      <w:r w:rsidR="001B557A" w:rsidRPr="00B217A7">
        <w:rPr>
          <w:rFonts w:ascii="Gellix" w:eastAsia="Gellix" w:hAnsi="Gellix" w:cs="Gellix"/>
          <w:sz w:val="20"/>
          <w:szCs w:val="20"/>
          <w:lang w:val="en-GB"/>
        </w:rPr>
        <w:t xml:space="preserve">services offered through the Internet, over time. </w:t>
      </w:r>
    </w:p>
    <w:p w14:paraId="4221D5B5" w14:textId="3BD434A9" w:rsidR="390F2D79" w:rsidRPr="00C6448F" w:rsidRDefault="390F2D79" w:rsidP="41EAE690">
      <w:pPr>
        <w:pStyle w:val="ListParagraph"/>
        <w:numPr>
          <w:ilvl w:val="0"/>
          <w:numId w:val="30"/>
        </w:numPr>
        <w:spacing w:after="120" w:line="276" w:lineRule="auto"/>
        <w:jc w:val="both"/>
        <w:rPr>
          <w:rFonts w:ascii="Gellix" w:hAnsi="Gellix"/>
          <w:b/>
          <w:bCs/>
          <w:sz w:val="20"/>
          <w:szCs w:val="20"/>
          <w:lang w:val="en-GB"/>
        </w:rPr>
      </w:pPr>
      <w:r w:rsidRPr="00C6448F">
        <w:rPr>
          <w:rFonts w:ascii="Gellix" w:hAnsi="Gellix"/>
          <w:b/>
          <w:bCs/>
          <w:sz w:val="20"/>
          <w:szCs w:val="20"/>
          <w:lang w:val="en-GB"/>
        </w:rPr>
        <w:t>How can we promote international multistakeholder cooperation on public policy issues that are focused on promoting the development aspects of the Internet?</w:t>
      </w:r>
    </w:p>
    <w:p w14:paraId="60F8EF12" w14:textId="69CE83BC" w:rsidR="00FB6562" w:rsidRPr="00B14BD3" w:rsidRDefault="551E17EC" w:rsidP="21B83E27">
      <w:pPr>
        <w:autoSpaceDE w:val="0"/>
        <w:autoSpaceDN w:val="0"/>
        <w:adjustRightInd w:val="0"/>
        <w:spacing w:after="120" w:line="276" w:lineRule="auto"/>
        <w:jc w:val="both"/>
        <w:rPr>
          <w:rFonts w:ascii="Gellix" w:hAnsi="Gellix"/>
          <w:sz w:val="20"/>
          <w:szCs w:val="20"/>
        </w:rPr>
      </w:pPr>
      <w:r w:rsidRPr="00B14BD3">
        <w:rPr>
          <w:rFonts w:ascii="Gellix" w:hAnsi="Gellix"/>
          <w:sz w:val="20"/>
          <w:szCs w:val="20"/>
        </w:rPr>
        <w:t>It is o</w:t>
      </w:r>
      <w:r w:rsidR="4F0C535C" w:rsidRPr="00B14BD3">
        <w:rPr>
          <w:rFonts w:ascii="Gellix" w:hAnsi="Gellix"/>
          <w:sz w:val="20"/>
          <w:szCs w:val="20"/>
        </w:rPr>
        <w:t>nly by combining the dynamism of industry innovation with enabling policy and regulatory</w:t>
      </w:r>
      <w:r w:rsidR="787262BF" w:rsidRPr="00B14BD3">
        <w:rPr>
          <w:rFonts w:ascii="Gellix" w:hAnsi="Gellix"/>
          <w:sz w:val="20"/>
          <w:szCs w:val="20"/>
        </w:rPr>
        <w:t xml:space="preserve"> </w:t>
      </w:r>
      <w:r w:rsidR="4F0C535C" w:rsidRPr="00B14BD3">
        <w:rPr>
          <w:rFonts w:ascii="Gellix" w:hAnsi="Gellix"/>
          <w:sz w:val="20"/>
          <w:szCs w:val="20"/>
        </w:rPr>
        <w:t xml:space="preserve">measures </w:t>
      </w:r>
      <w:r w:rsidR="78C28720" w:rsidRPr="00B14BD3">
        <w:rPr>
          <w:rFonts w:ascii="Gellix" w:hAnsi="Gellix"/>
          <w:sz w:val="20"/>
          <w:szCs w:val="20"/>
        </w:rPr>
        <w:t xml:space="preserve">that we </w:t>
      </w:r>
      <w:r w:rsidR="4F0C535C" w:rsidRPr="00B14BD3">
        <w:rPr>
          <w:rFonts w:ascii="Gellix" w:hAnsi="Gellix"/>
          <w:sz w:val="20"/>
          <w:szCs w:val="20"/>
        </w:rPr>
        <w:t xml:space="preserve">can unleash the boundless potential of </w:t>
      </w:r>
      <w:r w:rsidR="54A55309" w:rsidRPr="00B14BD3">
        <w:rPr>
          <w:rFonts w:ascii="Gellix" w:hAnsi="Gellix"/>
          <w:sz w:val="20"/>
          <w:szCs w:val="20"/>
        </w:rPr>
        <w:t>the Internet</w:t>
      </w:r>
      <w:r w:rsidR="4F0C535C" w:rsidRPr="00B14BD3">
        <w:rPr>
          <w:rFonts w:ascii="Gellix" w:hAnsi="Gellix"/>
          <w:sz w:val="20"/>
          <w:szCs w:val="20"/>
        </w:rPr>
        <w:t>, and realise the</w:t>
      </w:r>
      <w:r w:rsidR="620B816F" w:rsidRPr="00B14BD3">
        <w:rPr>
          <w:rFonts w:ascii="Gellix" w:hAnsi="Gellix"/>
          <w:sz w:val="20"/>
          <w:szCs w:val="20"/>
        </w:rPr>
        <w:t xml:space="preserve"> desired</w:t>
      </w:r>
      <w:r w:rsidR="1E3A9F48" w:rsidRPr="00B14BD3">
        <w:rPr>
          <w:rFonts w:ascii="Gellix" w:hAnsi="Gellix"/>
          <w:sz w:val="20"/>
          <w:szCs w:val="20"/>
        </w:rPr>
        <w:t xml:space="preserve"> </w:t>
      </w:r>
      <w:r w:rsidR="620B816F" w:rsidRPr="00B14BD3">
        <w:rPr>
          <w:rFonts w:ascii="Gellix" w:hAnsi="Gellix"/>
          <w:sz w:val="20"/>
          <w:szCs w:val="20"/>
        </w:rPr>
        <w:t>positive impacts</w:t>
      </w:r>
      <w:r w:rsidR="4F0C535C" w:rsidRPr="00B14BD3">
        <w:rPr>
          <w:rFonts w:ascii="Gellix" w:hAnsi="Gellix"/>
          <w:sz w:val="20"/>
          <w:szCs w:val="20"/>
        </w:rPr>
        <w:t>, leaving no one behin</w:t>
      </w:r>
      <w:r w:rsidR="0A19F724" w:rsidRPr="00B14BD3">
        <w:rPr>
          <w:rFonts w:ascii="Gellix" w:hAnsi="Gellix"/>
          <w:sz w:val="20"/>
          <w:szCs w:val="20"/>
        </w:rPr>
        <w:t>d.</w:t>
      </w:r>
      <w:r w:rsidR="002832CE" w:rsidRPr="00B14BD3">
        <w:rPr>
          <w:rStyle w:val="FootnoteReference"/>
          <w:rFonts w:ascii="Gellix" w:hAnsi="Gellix"/>
          <w:sz w:val="20"/>
          <w:szCs w:val="20"/>
        </w:rPr>
        <w:footnoteReference w:id="4"/>
      </w:r>
      <w:r w:rsidR="30E251E5" w:rsidRPr="00B14BD3">
        <w:rPr>
          <w:rFonts w:ascii="Gellix" w:hAnsi="Gellix"/>
          <w:sz w:val="20"/>
          <w:szCs w:val="20"/>
        </w:rPr>
        <w:t xml:space="preserve"> </w:t>
      </w:r>
      <w:r w:rsidR="17F823D5" w:rsidRPr="00B14BD3">
        <w:rPr>
          <w:rFonts w:ascii="Gellix" w:hAnsi="Gellix"/>
          <w:sz w:val="20"/>
          <w:szCs w:val="20"/>
        </w:rPr>
        <w:t>Although o</w:t>
      </w:r>
      <w:r w:rsidR="75F2701C" w:rsidRPr="00B14BD3">
        <w:rPr>
          <w:rFonts w:ascii="Gellix" w:hAnsi="Gellix"/>
          <w:sz w:val="20"/>
          <w:szCs w:val="20"/>
        </w:rPr>
        <w:t xml:space="preserve">ver the past decades, </w:t>
      </w:r>
      <w:r w:rsidR="7EB1BF45" w:rsidRPr="00B14BD3">
        <w:rPr>
          <w:rFonts w:ascii="Gellix" w:hAnsi="Gellix"/>
          <w:sz w:val="20"/>
          <w:szCs w:val="20"/>
        </w:rPr>
        <w:t>significant progress was achieved in</w:t>
      </w:r>
      <w:r w:rsidR="5D6197DA" w:rsidRPr="00B14BD3">
        <w:rPr>
          <w:rFonts w:ascii="Gellix" w:hAnsi="Gellix"/>
          <w:sz w:val="20"/>
          <w:szCs w:val="20"/>
        </w:rPr>
        <w:t xml:space="preserve"> build</w:t>
      </w:r>
      <w:r w:rsidR="7EB1BF45" w:rsidRPr="00B14BD3">
        <w:rPr>
          <w:rFonts w:ascii="Gellix" w:hAnsi="Gellix"/>
          <w:sz w:val="20"/>
          <w:szCs w:val="20"/>
        </w:rPr>
        <w:t xml:space="preserve">ing </w:t>
      </w:r>
      <w:r w:rsidR="5D6197DA" w:rsidRPr="00B14BD3">
        <w:rPr>
          <w:rFonts w:ascii="Gellix" w:hAnsi="Gellix"/>
          <w:sz w:val="20"/>
          <w:szCs w:val="20"/>
        </w:rPr>
        <w:t>a global, seamless, digital ecosystem to advance</w:t>
      </w:r>
      <w:r w:rsidR="5F0D7DB9" w:rsidRPr="00B14BD3">
        <w:rPr>
          <w:rFonts w:ascii="Gellix" w:hAnsi="Gellix"/>
          <w:sz w:val="20"/>
          <w:szCs w:val="20"/>
        </w:rPr>
        <w:t xml:space="preserve"> </w:t>
      </w:r>
      <w:r w:rsidR="5D6197DA" w:rsidRPr="00B14BD3">
        <w:rPr>
          <w:rFonts w:ascii="Gellix" w:hAnsi="Gellix"/>
          <w:sz w:val="20"/>
          <w:szCs w:val="20"/>
        </w:rPr>
        <w:t>inclusive and sustainable social-economic development</w:t>
      </w:r>
      <w:r w:rsidR="7EB1BF45" w:rsidRPr="00B14BD3">
        <w:rPr>
          <w:rFonts w:ascii="Gellix" w:hAnsi="Gellix"/>
          <w:sz w:val="20"/>
          <w:szCs w:val="20"/>
        </w:rPr>
        <w:t>, barriers still remain.</w:t>
      </w:r>
      <w:r w:rsidR="5D6197DA" w:rsidRPr="00B14BD3">
        <w:rPr>
          <w:rFonts w:ascii="Gellix" w:hAnsi="Gellix"/>
          <w:sz w:val="20"/>
          <w:szCs w:val="20"/>
        </w:rPr>
        <w:t xml:space="preserve"> </w:t>
      </w:r>
      <w:r w:rsidR="003F2A7C">
        <w:rPr>
          <w:rFonts w:ascii="Gellix" w:hAnsi="Gellix"/>
          <w:sz w:val="20"/>
          <w:szCs w:val="20"/>
        </w:rPr>
        <w:t>Despite</w:t>
      </w:r>
      <w:r w:rsidR="71707A4F" w:rsidRPr="21B83E27">
        <w:rPr>
          <w:rFonts w:ascii="Gellix" w:hAnsi="Gellix"/>
          <w:sz w:val="20"/>
          <w:szCs w:val="20"/>
        </w:rPr>
        <w:t xml:space="preserve"> important progress marked since the WSIS process</w:t>
      </w:r>
      <w:r w:rsidR="3192ABDE" w:rsidRPr="21B83E27">
        <w:rPr>
          <w:rFonts w:ascii="Gellix" w:hAnsi="Gellix"/>
          <w:sz w:val="20"/>
          <w:szCs w:val="20"/>
        </w:rPr>
        <w:t xml:space="preserve"> 20 years ago,</w:t>
      </w:r>
      <w:r w:rsidR="71707A4F" w:rsidRPr="21B83E27">
        <w:rPr>
          <w:rFonts w:ascii="Gellix" w:hAnsi="Gellix"/>
          <w:sz w:val="20"/>
          <w:szCs w:val="20"/>
        </w:rPr>
        <w:t xml:space="preserve"> the multistakeholder model, as the key ingredient to harnessing and promoting the development aspects of the Internet, is not effectively used nor universally embraced.</w:t>
      </w:r>
    </w:p>
    <w:p w14:paraId="1C4C2FFE" w14:textId="7E3DC50D" w:rsidR="00FB6562" w:rsidRPr="00B14BD3" w:rsidRDefault="43F7883D" w:rsidP="21B83E27">
      <w:pPr>
        <w:autoSpaceDE w:val="0"/>
        <w:autoSpaceDN w:val="0"/>
        <w:adjustRightInd w:val="0"/>
        <w:spacing w:after="120" w:line="276" w:lineRule="auto"/>
        <w:jc w:val="both"/>
        <w:rPr>
          <w:rFonts w:ascii="Gellix" w:hAnsi="Gellix"/>
          <w:sz w:val="20"/>
          <w:szCs w:val="20"/>
        </w:rPr>
      </w:pPr>
      <w:r w:rsidRPr="21B83E27">
        <w:rPr>
          <w:rFonts w:ascii="Gellix" w:hAnsi="Gellix"/>
          <w:sz w:val="20"/>
          <w:szCs w:val="20"/>
        </w:rPr>
        <w:t>To address this,</w:t>
      </w:r>
      <w:r w:rsidR="481E5D65" w:rsidRPr="21B83E27">
        <w:rPr>
          <w:rFonts w:ascii="Gellix" w:hAnsi="Gellix"/>
          <w:sz w:val="20"/>
          <w:szCs w:val="20"/>
        </w:rPr>
        <w:t xml:space="preserve"> policymakers should consider the multi-layered nature of the digital ecosystem and take a holistic approach across economic, technical, socio-cultural, and over-arching governance factors</w:t>
      </w:r>
      <w:r w:rsidR="3BD0F7B1" w:rsidRPr="21B83E27">
        <w:rPr>
          <w:rFonts w:ascii="Gellix" w:hAnsi="Gellix"/>
          <w:sz w:val="20"/>
          <w:szCs w:val="20"/>
        </w:rPr>
        <w:t xml:space="preserve"> when developing policy frameworks</w:t>
      </w:r>
      <w:r w:rsidR="481E5D65" w:rsidRPr="21B83E27">
        <w:rPr>
          <w:rFonts w:ascii="Gellix" w:hAnsi="Gellix"/>
          <w:sz w:val="20"/>
          <w:szCs w:val="20"/>
        </w:rPr>
        <w:t>. Multistakeholder engagement is key for the development of informed policies</w:t>
      </w:r>
      <w:r w:rsidR="18CDB96C" w:rsidRPr="21B83E27">
        <w:rPr>
          <w:rFonts w:ascii="Gellix" w:hAnsi="Gellix"/>
          <w:sz w:val="20"/>
          <w:szCs w:val="20"/>
        </w:rPr>
        <w:t>,</w:t>
      </w:r>
      <w:r w:rsidR="481E5D65" w:rsidRPr="21B83E27">
        <w:rPr>
          <w:rFonts w:ascii="Gellix" w:hAnsi="Gellix"/>
          <w:sz w:val="20"/>
          <w:szCs w:val="20"/>
        </w:rPr>
        <w:t xml:space="preserve"> leveraging expertise from the entire digital value chain.</w:t>
      </w:r>
    </w:p>
    <w:p w14:paraId="05D8AA6E" w14:textId="5C96B741" w:rsidR="00FB6562" w:rsidRPr="00B14BD3" w:rsidRDefault="31721D98" w:rsidP="21B83E27">
      <w:pPr>
        <w:autoSpaceDE w:val="0"/>
        <w:autoSpaceDN w:val="0"/>
        <w:adjustRightInd w:val="0"/>
        <w:spacing w:after="120" w:line="276" w:lineRule="auto"/>
        <w:jc w:val="both"/>
        <w:rPr>
          <w:rFonts w:ascii="Gellix" w:hAnsi="Gellix"/>
          <w:sz w:val="20"/>
          <w:szCs w:val="20"/>
        </w:rPr>
      </w:pPr>
      <w:r w:rsidRPr="21B83E27">
        <w:rPr>
          <w:rFonts w:ascii="Gellix" w:hAnsi="Gellix"/>
          <w:sz w:val="20"/>
          <w:szCs w:val="20"/>
        </w:rPr>
        <w:t xml:space="preserve">The IGF, as a unique and pioneering driver of multistakeholder collaboration, enables open, inclusive and bottom-up discussions, and the sharing of experiences, expertise and best practices that inspire action towards a development-oriented Internet. ICC is a </w:t>
      </w:r>
      <w:r w:rsidR="038A212A" w:rsidRPr="21B83E27">
        <w:rPr>
          <w:rFonts w:ascii="Gellix" w:hAnsi="Gellix"/>
          <w:sz w:val="20"/>
          <w:szCs w:val="20"/>
        </w:rPr>
        <w:t>long-time</w:t>
      </w:r>
      <w:r w:rsidRPr="21B83E27">
        <w:rPr>
          <w:rFonts w:ascii="Gellix" w:hAnsi="Gellix"/>
          <w:sz w:val="20"/>
          <w:szCs w:val="20"/>
        </w:rPr>
        <w:t xml:space="preserve"> supporter of the IGF, coordinating business input int</w:t>
      </w:r>
      <w:r w:rsidR="6C4D9037" w:rsidRPr="21B83E27">
        <w:rPr>
          <w:rFonts w:ascii="Gellix" w:hAnsi="Gellix"/>
          <w:sz w:val="20"/>
          <w:szCs w:val="20"/>
        </w:rPr>
        <w:t xml:space="preserve">o the discussions </w:t>
      </w:r>
      <w:r w:rsidR="1A4102E2" w:rsidRPr="21B83E27">
        <w:rPr>
          <w:rFonts w:ascii="Gellix" w:hAnsi="Gellix"/>
          <w:sz w:val="20"/>
          <w:szCs w:val="20"/>
        </w:rPr>
        <w:t>and</w:t>
      </w:r>
      <w:r w:rsidR="31888FAF" w:rsidRPr="21B83E27">
        <w:rPr>
          <w:rFonts w:ascii="Gellix" w:hAnsi="Gellix"/>
          <w:sz w:val="20"/>
          <w:szCs w:val="20"/>
        </w:rPr>
        <w:t xml:space="preserve"> </w:t>
      </w:r>
      <w:r w:rsidR="1A4102E2" w:rsidRPr="21B83E27">
        <w:rPr>
          <w:rFonts w:ascii="Gellix" w:hAnsi="Gellix"/>
          <w:sz w:val="20"/>
          <w:szCs w:val="20"/>
        </w:rPr>
        <w:t>benefitting from the free exchange of ideas and informal relationship-building the Forum provides. This has enabled thoughtful discussion and dissemination of best practices for the express purpose of enabling more countries to reap the economic and societal benefits of digital transformation.</w:t>
      </w:r>
      <w:r w:rsidR="00081C44" w:rsidRPr="00081C44">
        <w:rPr>
          <w:rFonts w:ascii="Gellix" w:hAnsi="Gellix"/>
          <w:sz w:val="20"/>
          <w:szCs w:val="20"/>
        </w:rPr>
        <w:t xml:space="preserve"> </w:t>
      </w:r>
      <w:r w:rsidR="00081C44" w:rsidRPr="21B83E27">
        <w:rPr>
          <w:rFonts w:ascii="Gellix" w:hAnsi="Gellix"/>
          <w:sz w:val="20"/>
          <w:szCs w:val="20"/>
        </w:rPr>
        <w:t>It is therefore more relevant than ever, in the context of the GDC, the Summit of the Future and the WSIS+20 review, to strengthen and leverage the IGF as the only UN Forum that facilitates the bottom-up and distributed cooperation of stakeholders in Internet governance and digital policy processes, promoting equitable and inclusive access to the transformative benefits offered by the Internet.</w:t>
      </w:r>
    </w:p>
    <w:p w14:paraId="4EA85152" w14:textId="5BDB5FB3" w:rsidR="00FB6562" w:rsidRPr="00B14BD3" w:rsidRDefault="003F2A7C" w:rsidP="21B83E27">
      <w:pPr>
        <w:spacing w:after="120" w:line="276" w:lineRule="auto"/>
        <w:jc w:val="both"/>
        <w:rPr>
          <w:rFonts w:ascii="Gellix" w:hAnsi="Gellix"/>
          <w:sz w:val="20"/>
          <w:szCs w:val="20"/>
        </w:rPr>
      </w:pPr>
      <w:r>
        <w:rPr>
          <w:rFonts w:ascii="Gellix" w:hAnsi="Gellix"/>
          <w:sz w:val="20"/>
          <w:szCs w:val="20"/>
        </w:rPr>
        <w:t>T</w:t>
      </w:r>
      <w:r w:rsidR="7D79D430" w:rsidRPr="21B83E27">
        <w:rPr>
          <w:rFonts w:ascii="Gellix" w:hAnsi="Gellix"/>
          <w:sz w:val="20"/>
          <w:szCs w:val="20"/>
        </w:rPr>
        <w:t>he Sao Paolo Multistakeholder Guidelines, adopted at the NETmundial+10 conference in 2024,</w:t>
      </w:r>
      <w:r w:rsidR="00B43CC4">
        <w:rPr>
          <w:rFonts w:ascii="Gellix" w:hAnsi="Gellix"/>
          <w:sz w:val="20"/>
          <w:szCs w:val="20"/>
        </w:rPr>
        <w:t xml:space="preserve"> </w:t>
      </w:r>
      <w:r w:rsidR="008D4487">
        <w:rPr>
          <w:rFonts w:ascii="Gellix" w:hAnsi="Gellix"/>
          <w:sz w:val="20"/>
          <w:szCs w:val="20"/>
        </w:rPr>
        <w:t xml:space="preserve">address the existing challenges to Internet governance </w:t>
      </w:r>
      <w:r w:rsidR="008D4487">
        <w:rPr>
          <w:rFonts w:ascii="Gellix" w:hAnsi="Gellix"/>
          <w:sz w:val="20"/>
          <w:szCs w:val="20"/>
        </w:rPr>
        <w:t xml:space="preserve">and digital policy </w:t>
      </w:r>
      <w:r w:rsidR="008D4487">
        <w:rPr>
          <w:rFonts w:ascii="Gellix" w:hAnsi="Gellix"/>
          <w:sz w:val="20"/>
          <w:szCs w:val="20"/>
        </w:rPr>
        <w:t xml:space="preserve">processes, and </w:t>
      </w:r>
      <w:r w:rsidR="009C4B77">
        <w:rPr>
          <w:rFonts w:ascii="Gellix" w:hAnsi="Gellix"/>
          <w:sz w:val="20"/>
          <w:szCs w:val="20"/>
        </w:rPr>
        <w:t>provide tangible considerations on</w:t>
      </w:r>
      <w:r w:rsidR="008D4487">
        <w:rPr>
          <w:rFonts w:ascii="Gellix" w:hAnsi="Gellix"/>
          <w:sz w:val="20"/>
          <w:szCs w:val="20"/>
        </w:rPr>
        <w:t xml:space="preserve"> </w:t>
      </w:r>
      <w:r w:rsidR="009C4B77">
        <w:rPr>
          <w:rFonts w:ascii="Gellix" w:hAnsi="Gellix"/>
          <w:sz w:val="20"/>
          <w:szCs w:val="20"/>
        </w:rPr>
        <w:t xml:space="preserve">improving multistakeholder participation in </w:t>
      </w:r>
      <w:r w:rsidR="009C4B77" w:rsidRPr="21B83E27">
        <w:rPr>
          <w:rFonts w:ascii="Gellix" w:hAnsi="Gellix"/>
          <w:sz w:val="20"/>
          <w:szCs w:val="20"/>
        </w:rPr>
        <w:t>multilateral processes</w:t>
      </w:r>
      <w:r w:rsidR="009C4B77">
        <w:rPr>
          <w:rFonts w:ascii="Gellix" w:hAnsi="Gellix"/>
          <w:sz w:val="20"/>
          <w:szCs w:val="20"/>
        </w:rPr>
        <w:t>, consensus building and decision-making, as well as ensuring a better coordination of governance spaces.</w:t>
      </w:r>
      <w:r w:rsidR="001F2006">
        <w:rPr>
          <w:rFonts w:ascii="Gellix" w:hAnsi="Gellix"/>
          <w:sz w:val="20"/>
          <w:szCs w:val="20"/>
        </w:rPr>
        <w:t xml:space="preserve"> </w:t>
      </w:r>
      <w:r w:rsidR="00E007E9">
        <w:rPr>
          <w:rFonts w:ascii="Gellix" w:hAnsi="Gellix"/>
          <w:sz w:val="20"/>
          <w:szCs w:val="20"/>
        </w:rPr>
        <w:t>T</w:t>
      </w:r>
      <w:r w:rsidR="00D42783">
        <w:rPr>
          <w:rFonts w:ascii="Gellix" w:hAnsi="Gellix"/>
          <w:sz w:val="20"/>
          <w:szCs w:val="20"/>
        </w:rPr>
        <w:t>he implementation of the Guidelines</w:t>
      </w:r>
      <w:r w:rsidR="00CE73B6">
        <w:rPr>
          <w:rFonts w:ascii="Gellix" w:hAnsi="Gellix"/>
          <w:sz w:val="20"/>
          <w:szCs w:val="20"/>
        </w:rPr>
        <w:t xml:space="preserve"> </w:t>
      </w:r>
      <w:r w:rsidR="00D42783">
        <w:rPr>
          <w:rFonts w:ascii="Gellix" w:hAnsi="Gellix"/>
          <w:sz w:val="20"/>
          <w:szCs w:val="20"/>
        </w:rPr>
        <w:t>is</w:t>
      </w:r>
      <w:r w:rsidR="00CE73B6">
        <w:rPr>
          <w:rFonts w:ascii="Gellix" w:hAnsi="Gellix"/>
          <w:sz w:val="20"/>
          <w:szCs w:val="20"/>
        </w:rPr>
        <w:t xml:space="preserve"> a prerequisite in fostering collaborative efforts and opening more and better opportunities for all stakeholders to </w:t>
      </w:r>
      <w:r w:rsidR="000A50D4">
        <w:rPr>
          <w:rFonts w:ascii="Gellix" w:hAnsi="Gellix"/>
          <w:sz w:val="20"/>
          <w:szCs w:val="20"/>
        </w:rPr>
        <w:t>meaningfully</w:t>
      </w:r>
      <w:r w:rsidR="00CE73B6">
        <w:rPr>
          <w:rFonts w:ascii="Gellix" w:hAnsi="Gellix"/>
          <w:sz w:val="20"/>
          <w:szCs w:val="20"/>
        </w:rPr>
        <w:t xml:space="preserve"> participate in </w:t>
      </w:r>
      <w:r w:rsidR="000A50D4">
        <w:rPr>
          <w:rFonts w:ascii="Gellix" w:hAnsi="Gellix"/>
          <w:sz w:val="20"/>
          <w:szCs w:val="20"/>
        </w:rPr>
        <w:t>Internet governance and digital policy processes, especially in multilateral digital policy mechanisms.</w:t>
      </w:r>
      <w:r w:rsidR="7D79D430" w:rsidRPr="21B83E27">
        <w:rPr>
          <w:rFonts w:ascii="Gellix" w:hAnsi="Gellix"/>
          <w:sz w:val="20"/>
          <w:szCs w:val="20"/>
        </w:rPr>
        <w:t xml:space="preserve"> </w:t>
      </w:r>
    </w:p>
    <w:sectPr w:rsidR="00FB6562" w:rsidRPr="00B14BD3" w:rsidSect="006847B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B818" w14:textId="77777777" w:rsidR="00D708E4" w:rsidRDefault="00D708E4" w:rsidP="00DB6365">
      <w:pPr>
        <w:spacing w:after="0" w:line="240" w:lineRule="auto"/>
      </w:pPr>
      <w:r>
        <w:separator/>
      </w:r>
    </w:p>
  </w:endnote>
  <w:endnote w:type="continuationSeparator" w:id="0">
    <w:p w14:paraId="2EFCE58F" w14:textId="77777777" w:rsidR="00D708E4" w:rsidRDefault="00D708E4" w:rsidP="00DB6365">
      <w:pPr>
        <w:spacing w:after="0" w:line="240" w:lineRule="auto"/>
      </w:pPr>
      <w:r>
        <w:continuationSeparator/>
      </w:r>
    </w:p>
  </w:endnote>
  <w:endnote w:type="continuationNotice" w:id="1">
    <w:p w14:paraId="7FEF6464" w14:textId="77777777" w:rsidR="00D708E4" w:rsidRDefault="00D70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am-Bold">
    <w:altName w:val="Calibri"/>
    <w:panose1 w:val="00000000000000000000"/>
    <w:charset w:val="00"/>
    <w:family w:val="swiss"/>
    <w:notTrueType/>
    <w:pitch w:val="default"/>
    <w:sig w:usb0="00000003" w:usb1="00000000" w:usb2="00000000" w:usb3="00000000" w:csb0="00000001" w:csb1="00000000"/>
  </w:font>
  <w:font w:name="Gellix">
    <w:altName w:val="Calibri"/>
    <w:panose1 w:val="00000000000000000000"/>
    <w:charset w:val="00"/>
    <w:family w:val="modern"/>
    <w:notTrueType/>
    <w:pitch w:val="variable"/>
    <w:sig w:usb0="A10000EF" w:usb1="0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3783" w14:textId="0F061433" w:rsidR="00F25A1D" w:rsidRDefault="00F25A1D">
    <w:pPr>
      <w:pStyle w:val="Footer"/>
    </w:pPr>
    <w:r>
      <w:rPr>
        <w:noProof/>
      </w:rPr>
      <mc:AlternateContent>
        <mc:Choice Requires="wps">
          <w:drawing>
            <wp:anchor distT="0" distB="0" distL="0" distR="0" simplePos="0" relativeHeight="251658240" behindDoc="0" locked="0" layoutInCell="1" allowOverlap="1" wp14:anchorId="7741A3CB" wp14:editId="186FCE18">
              <wp:simplePos x="635" y="635"/>
              <wp:positionH relativeFrom="page">
                <wp:align>left</wp:align>
              </wp:positionH>
              <wp:positionV relativeFrom="page">
                <wp:align>bottom</wp:align>
              </wp:positionV>
              <wp:extent cx="443865" cy="443865"/>
              <wp:effectExtent l="0" t="0" r="15875" b="0"/>
              <wp:wrapNone/>
              <wp:docPr id="2" name="Cuadro de texto 2"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BEC9B" w14:textId="77777777" w:rsidR="00F25A1D" w:rsidRPr="00F25A1D" w:rsidRDefault="00F25A1D" w:rsidP="00F25A1D">
                          <w:pPr>
                            <w:spacing w:after="0"/>
                            <w:rPr>
                              <w:rFonts w:ascii="Arial" w:eastAsia="Arial" w:hAnsi="Arial" w:cs="Arial"/>
                              <w:noProof/>
                              <w:color w:val="000000"/>
                              <w:sz w:val="14"/>
                              <w:szCs w:val="14"/>
                              <w:lang w:val="es-ES"/>
                            </w:rPr>
                          </w:pPr>
                          <w:r w:rsidRPr="00F25A1D">
                            <w:rPr>
                              <w:rFonts w:ascii="Arial" w:eastAsia="Arial" w:hAnsi="Arial" w:cs="Arial"/>
                              <w:noProof/>
                              <w:color w:val="000000"/>
                              <w:sz w:val="14"/>
                              <w:szCs w:val="14"/>
                              <w:lang w:val="es-ES"/>
                            </w:rPr>
                            <w:t>***Este documento está clasificado como PUBLICO por TELEFÓNICA.</w:t>
                          </w:r>
                        </w:p>
                        <w:p w14:paraId="642F6472" w14:textId="0630D326" w:rsidR="00F25A1D" w:rsidRPr="00F25A1D" w:rsidRDefault="00F25A1D" w:rsidP="00F25A1D">
                          <w:pPr>
                            <w:spacing w:after="0"/>
                            <w:rPr>
                              <w:rFonts w:ascii="Arial" w:eastAsia="Arial" w:hAnsi="Arial" w:cs="Arial"/>
                              <w:noProof/>
                              <w:color w:val="000000"/>
                              <w:sz w:val="14"/>
                              <w:szCs w:val="14"/>
                            </w:rPr>
                          </w:pPr>
                          <w:r w:rsidRPr="00F25A1D">
                            <w:rPr>
                              <w:rFonts w:ascii="Arial" w:eastAsia="Arial" w:hAnsi="Arial" w:cs="Arial"/>
                              <w:noProof/>
                              <w:color w:val="000000"/>
                              <w:sz w:val="14"/>
                              <w:szCs w:val="14"/>
                            </w:rPr>
                            <w:t>***This document is classified as PUBLIC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41A3CB" id="_x0000_t202" coordsize="21600,21600" o:spt="202" path="m,l,21600r21600,l21600,xe">
              <v:stroke joinstyle="miter"/>
              <v:path gradientshapeok="t" o:connecttype="rect"/>
            </v:shapetype>
            <v:shape id="Cuadro de texto 2" o:spid="_x0000_s1026" type="#_x0000_t202" alt="***Este documento está clasificado como PUBLICO por TELEFÓNICA.&#10;***This document is classified as PUBLIC by TELEFÓN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D7BEC9B" w14:textId="77777777" w:rsidR="00F25A1D" w:rsidRPr="00F25A1D" w:rsidRDefault="00F25A1D" w:rsidP="00F25A1D">
                    <w:pPr>
                      <w:spacing w:after="0"/>
                      <w:rPr>
                        <w:rFonts w:ascii="Arial" w:eastAsia="Arial" w:hAnsi="Arial" w:cs="Arial"/>
                        <w:noProof/>
                        <w:color w:val="000000"/>
                        <w:sz w:val="14"/>
                        <w:szCs w:val="14"/>
                        <w:lang w:val="es-ES"/>
                      </w:rPr>
                    </w:pPr>
                    <w:r w:rsidRPr="00F25A1D">
                      <w:rPr>
                        <w:rFonts w:ascii="Arial" w:eastAsia="Arial" w:hAnsi="Arial" w:cs="Arial"/>
                        <w:noProof/>
                        <w:color w:val="000000"/>
                        <w:sz w:val="14"/>
                        <w:szCs w:val="14"/>
                        <w:lang w:val="es-ES"/>
                      </w:rPr>
                      <w:t>***Este documento está clasificado como PUBLICO por TELEFÓNICA.</w:t>
                    </w:r>
                  </w:p>
                  <w:p w14:paraId="642F6472" w14:textId="0630D326" w:rsidR="00F25A1D" w:rsidRPr="00F25A1D" w:rsidRDefault="00F25A1D" w:rsidP="00F25A1D">
                    <w:pPr>
                      <w:spacing w:after="0"/>
                      <w:rPr>
                        <w:rFonts w:ascii="Arial" w:eastAsia="Arial" w:hAnsi="Arial" w:cs="Arial"/>
                        <w:noProof/>
                        <w:color w:val="000000"/>
                        <w:sz w:val="14"/>
                        <w:szCs w:val="14"/>
                      </w:rPr>
                    </w:pPr>
                    <w:r w:rsidRPr="00F25A1D">
                      <w:rPr>
                        <w:rFonts w:ascii="Arial" w:eastAsia="Arial" w:hAnsi="Arial" w:cs="Arial"/>
                        <w:noProof/>
                        <w:color w:val="000000"/>
                        <w:sz w:val="14"/>
                        <w:szCs w:val="14"/>
                      </w:rPr>
                      <w:t>***This document is classified as PUBLIC by TELEFÓNICA.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1C40F" w14:textId="192E4FAF" w:rsidR="00F25A1D" w:rsidRPr="004D059B" w:rsidRDefault="000F0CB1" w:rsidP="000F0CB1">
    <w:pPr>
      <w:jc w:val="center"/>
      <w:rPr>
        <w:rFonts w:ascii="Gellix" w:hAnsi="Gellix"/>
        <w:sz w:val="18"/>
        <w:szCs w:val="18"/>
        <w:lang w:val="fr-FR"/>
      </w:rPr>
    </w:pPr>
    <w:r w:rsidRPr="004D059B">
      <w:rPr>
        <w:rFonts w:ascii="Gellix" w:hAnsi="Gellix"/>
        <w:sz w:val="18"/>
        <w:szCs w:val="18"/>
        <w:lang w:val="fr-FR"/>
      </w:rPr>
      <w:t>ITU CWG-Internet Consultation 2024 | ICC Input</w:t>
    </w:r>
    <w:r w:rsidR="00F25A1D" w:rsidRPr="004D059B">
      <w:rPr>
        <w:noProof/>
        <w:sz w:val="18"/>
        <w:szCs w:val="18"/>
      </w:rPr>
      <mc:AlternateContent>
        <mc:Choice Requires="wps">
          <w:drawing>
            <wp:anchor distT="0" distB="0" distL="0" distR="0" simplePos="0" relativeHeight="251658241" behindDoc="0" locked="0" layoutInCell="1" allowOverlap="1" wp14:anchorId="0FD7DCE1" wp14:editId="096A73C4">
              <wp:simplePos x="1079500" y="10071100"/>
              <wp:positionH relativeFrom="page">
                <wp:align>left</wp:align>
              </wp:positionH>
              <wp:positionV relativeFrom="page">
                <wp:align>bottom</wp:align>
              </wp:positionV>
              <wp:extent cx="443865" cy="443865"/>
              <wp:effectExtent l="0" t="0" r="15875" b="0"/>
              <wp:wrapNone/>
              <wp:docPr id="3" name="Cuadro de texto 3"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4B4AE" w14:textId="6AEF1735" w:rsidR="00F25A1D" w:rsidRPr="00F25A1D" w:rsidRDefault="00F25A1D" w:rsidP="00F25A1D">
                          <w:pPr>
                            <w:spacing w:after="0"/>
                            <w:rPr>
                              <w:rFonts w:ascii="Arial" w:eastAsia="Arial" w:hAnsi="Arial" w:cs="Arial"/>
                              <w:noProof/>
                              <w:color w:val="000000"/>
                              <w:sz w:val="14"/>
                              <w:szCs w:val="1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D7DCE1" id="_x0000_t202" coordsize="21600,21600" o:spt="202" path="m,l,21600r21600,l21600,xe">
              <v:stroke joinstyle="miter"/>
              <v:path gradientshapeok="t" o:connecttype="rect"/>
            </v:shapetype>
            <v:shape id="Cuadro de texto 3" o:spid="_x0000_s1027" type="#_x0000_t202" alt="***Este documento está clasificado como PUBLICO por TELEFÓNICA.&#10;***This document is classified as PUBLIC by TELEFÓNICA."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F4B4AE" w14:textId="6AEF1735" w:rsidR="00F25A1D" w:rsidRPr="00F25A1D" w:rsidRDefault="00F25A1D" w:rsidP="00F25A1D">
                    <w:pPr>
                      <w:spacing w:after="0"/>
                      <w:rPr>
                        <w:rFonts w:ascii="Arial" w:eastAsia="Arial" w:hAnsi="Arial" w:cs="Arial"/>
                        <w:noProof/>
                        <w:color w:val="000000"/>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2B56" w14:textId="77777777" w:rsidR="000F0CB1" w:rsidRPr="00870823" w:rsidRDefault="000F0CB1" w:rsidP="000F0CB1">
    <w:pPr>
      <w:rPr>
        <w:rFonts w:ascii="Gellix" w:hAnsi="Gellix"/>
        <w:lang w:val="fr-FR"/>
      </w:rPr>
    </w:pPr>
    <w:r w:rsidRPr="00870823">
      <w:rPr>
        <w:rFonts w:ascii="Gellix" w:hAnsi="Gellix"/>
        <w:lang w:val="fr-FR"/>
      </w:rPr>
      <w:t xml:space="preserve">      </w:t>
    </w:r>
  </w:p>
  <w:p w14:paraId="730575E8" w14:textId="0EE47315" w:rsidR="000F0CB1" w:rsidRPr="0056696B" w:rsidRDefault="000F0CB1" w:rsidP="000F0CB1">
    <w:pPr>
      <w:jc w:val="center"/>
      <w:rPr>
        <w:rFonts w:ascii="Gellix" w:hAnsi="Gellix"/>
        <w:sz w:val="20"/>
        <w:szCs w:val="20"/>
        <w:lang w:val="fr-FR"/>
      </w:rPr>
    </w:pPr>
    <w:r w:rsidRPr="0056696B">
      <w:rPr>
        <w:rFonts w:ascii="Gellix" w:hAnsi="Gellix"/>
        <w:sz w:val="20"/>
        <w:szCs w:val="20"/>
        <w:lang w:val="fr-FR"/>
      </w:rPr>
      <w:t>ITU CWG-Internet Consultation 2024 | ICC Input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56498" w14:textId="77777777" w:rsidR="00D708E4" w:rsidRDefault="00D708E4" w:rsidP="00DB6365">
      <w:pPr>
        <w:spacing w:after="0" w:line="240" w:lineRule="auto"/>
      </w:pPr>
      <w:r>
        <w:separator/>
      </w:r>
    </w:p>
  </w:footnote>
  <w:footnote w:type="continuationSeparator" w:id="0">
    <w:p w14:paraId="73F8BC14" w14:textId="77777777" w:rsidR="00D708E4" w:rsidRDefault="00D708E4" w:rsidP="00DB6365">
      <w:pPr>
        <w:spacing w:after="0" w:line="240" w:lineRule="auto"/>
      </w:pPr>
      <w:r>
        <w:continuationSeparator/>
      </w:r>
    </w:p>
  </w:footnote>
  <w:footnote w:type="continuationNotice" w:id="1">
    <w:p w14:paraId="409E9D48" w14:textId="77777777" w:rsidR="00D708E4" w:rsidRDefault="00D708E4">
      <w:pPr>
        <w:spacing w:after="0" w:line="240" w:lineRule="auto"/>
      </w:pPr>
    </w:p>
  </w:footnote>
  <w:footnote w:id="2">
    <w:p w14:paraId="4532C5C5" w14:textId="66353442" w:rsidR="21B83E27" w:rsidRDefault="21B83E27" w:rsidP="21B83E27">
      <w:pPr>
        <w:pStyle w:val="FootnoteText"/>
        <w:jc w:val="both"/>
        <w:rPr>
          <w:rFonts w:ascii="Gellix" w:hAnsi="Gellix"/>
          <w:sz w:val="18"/>
          <w:szCs w:val="18"/>
        </w:rPr>
      </w:pPr>
      <w:r w:rsidRPr="21B83E27">
        <w:rPr>
          <w:rStyle w:val="FootnoteReference"/>
          <w:rFonts w:ascii="Gellix" w:hAnsi="Gellix"/>
          <w:sz w:val="18"/>
          <w:szCs w:val="18"/>
        </w:rPr>
        <w:footnoteRef/>
      </w:r>
      <w:r w:rsidRPr="21B83E27">
        <w:rPr>
          <w:rFonts w:ascii="Gellix" w:hAnsi="Gellix"/>
          <w:sz w:val="18"/>
          <w:szCs w:val="18"/>
        </w:rPr>
        <w:t xml:space="preserve"> See </w:t>
      </w:r>
      <w:hyperlink r:id="rId1">
        <w:r w:rsidRPr="21B83E27">
          <w:rPr>
            <w:rStyle w:val="Hyperlink"/>
            <w:rFonts w:ascii="Gellix" w:hAnsi="Gellix"/>
            <w:sz w:val="18"/>
            <w:szCs w:val="18"/>
          </w:rPr>
          <w:t>ICC’s White Paper on Delivering Universal Meaningful Connectivity</w:t>
        </w:r>
      </w:hyperlink>
      <w:r w:rsidRPr="21B83E27">
        <w:rPr>
          <w:rFonts w:ascii="Gellix" w:hAnsi="Gellix"/>
          <w:sz w:val="18"/>
          <w:szCs w:val="18"/>
        </w:rPr>
        <w:t xml:space="preserve"> for further information</w:t>
      </w:r>
    </w:p>
    <w:p w14:paraId="00F35275" w14:textId="1CDFE2F5" w:rsidR="21B83E27" w:rsidRDefault="21B83E27" w:rsidP="21B83E27">
      <w:pPr>
        <w:pStyle w:val="FootnoteText"/>
        <w:jc w:val="both"/>
        <w:rPr>
          <w:lang w:val="en-US"/>
        </w:rPr>
      </w:pPr>
      <w:r w:rsidRPr="21B83E27">
        <w:rPr>
          <w:rFonts w:ascii="Gellix" w:hAnsi="Gellix"/>
          <w:sz w:val="18"/>
          <w:szCs w:val="18"/>
        </w:rPr>
        <w:t>and recommendations.</w:t>
      </w:r>
    </w:p>
  </w:footnote>
  <w:footnote w:id="3">
    <w:p w14:paraId="321A6AFB" w14:textId="13714643" w:rsidR="21B83E27" w:rsidRDefault="21B83E27" w:rsidP="21B83E27">
      <w:pPr>
        <w:pStyle w:val="FootnoteText"/>
        <w:jc w:val="both"/>
        <w:rPr>
          <w:rFonts w:ascii="Gellix" w:hAnsi="Gellix" w:cs="Arial"/>
          <w:lang w:val="en-US"/>
        </w:rPr>
      </w:pPr>
      <w:r w:rsidRPr="21B83E27">
        <w:rPr>
          <w:rStyle w:val="FootnoteReference"/>
          <w:rFonts w:ascii="Gellix" w:hAnsi="Gellix" w:cs="Arial"/>
          <w:sz w:val="18"/>
          <w:szCs w:val="18"/>
        </w:rPr>
        <w:footnoteRef/>
      </w:r>
      <w:r w:rsidRPr="21B83E27">
        <w:rPr>
          <w:rFonts w:ascii="Gellix" w:hAnsi="Gellix" w:cs="Arial"/>
          <w:sz w:val="18"/>
          <w:szCs w:val="18"/>
        </w:rPr>
        <w:t xml:space="preserve"> See </w:t>
      </w:r>
      <w:hyperlink r:id="rId2">
        <w:r w:rsidRPr="21B83E27">
          <w:rPr>
            <w:rStyle w:val="Hyperlink"/>
            <w:rFonts w:ascii="Gellix" w:hAnsi="Gellix" w:cs="Arial"/>
            <w:sz w:val="18"/>
            <w:szCs w:val="18"/>
          </w:rPr>
          <w:t>ICC’s White Paper on Trusted Government Access to Personal Data Held by the Private Sector</w:t>
        </w:r>
      </w:hyperlink>
      <w:r w:rsidRPr="21B83E27">
        <w:rPr>
          <w:rFonts w:ascii="Gellix" w:hAnsi="Gellix" w:cs="Arial"/>
          <w:sz w:val="18"/>
          <w:szCs w:val="18"/>
        </w:rPr>
        <w:t xml:space="preserve"> and </w:t>
      </w:r>
      <w:hyperlink r:id="rId3">
        <w:r w:rsidRPr="21B83E27">
          <w:rPr>
            <w:rStyle w:val="Hyperlink"/>
            <w:rFonts w:ascii="Gellix" w:hAnsi="Gellix" w:cs="Arial"/>
            <w:sz w:val="18"/>
            <w:szCs w:val="18"/>
          </w:rPr>
          <w:t>Policy Primer on Non-personal Data</w:t>
        </w:r>
      </w:hyperlink>
      <w:r w:rsidRPr="21B83E27">
        <w:rPr>
          <w:rFonts w:ascii="Gellix" w:hAnsi="Gellix" w:cs="Arial"/>
          <w:sz w:val="18"/>
          <w:szCs w:val="18"/>
        </w:rPr>
        <w:t xml:space="preserve"> for more information and recommendations.</w:t>
      </w:r>
    </w:p>
  </w:footnote>
  <w:footnote w:id="4">
    <w:p w14:paraId="2423384C" w14:textId="07F0B786" w:rsidR="002832CE" w:rsidRPr="00B243EC" w:rsidRDefault="002832CE" w:rsidP="008975DF">
      <w:pPr>
        <w:pStyle w:val="FootnoteText"/>
        <w:jc w:val="both"/>
        <w:rPr>
          <w:rFonts w:ascii="Gellix" w:hAnsi="Gellix"/>
          <w:sz w:val="18"/>
          <w:szCs w:val="18"/>
        </w:rPr>
      </w:pPr>
      <w:r w:rsidRPr="00B243EC">
        <w:rPr>
          <w:rStyle w:val="FootnoteReference"/>
          <w:rFonts w:ascii="Gellix" w:hAnsi="Gellix"/>
          <w:sz w:val="18"/>
          <w:szCs w:val="18"/>
        </w:rPr>
        <w:footnoteRef/>
      </w:r>
      <w:r w:rsidRPr="00B243EC">
        <w:rPr>
          <w:rFonts w:ascii="Gellix" w:hAnsi="Gellix"/>
          <w:sz w:val="18"/>
          <w:szCs w:val="18"/>
        </w:rPr>
        <w:t xml:space="preserve"> </w:t>
      </w:r>
      <w:r w:rsidR="00CA4C1C" w:rsidRPr="00B243EC">
        <w:rPr>
          <w:rFonts w:ascii="Gellix" w:hAnsi="Gellix"/>
          <w:sz w:val="18"/>
          <w:szCs w:val="18"/>
        </w:rPr>
        <w:t xml:space="preserve">Find out more </w:t>
      </w:r>
      <w:r w:rsidR="00922224" w:rsidRPr="00B243EC">
        <w:rPr>
          <w:rFonts w:ascii="Gellix" w:hAnsi="Gellix"/>
          <w:sz w:val="18"/>
          <w:szCs w:val="18"/>
        </w:rPr>
        <w:t>about how</w:t>
      </w:r>
      <w:r w:rsidR="00C5429E" w:rsidRPr="00B243EC">
        <w:rPr>
          <w:rFonts w:ascii="Gellix" w:hAnsi="Gellix"/>
          <w:sz w:val="18"/>
          <w:szCs w:val="18"/>
        </w:rPr>
        <w:t xml:space="preserve"> business projects fuel digitalisation </w:t>
      </w:r>
      <w:r w:rsidR="00680DAC" w:rsidRPr="00B243EC">
        <w:rPr>
          <w:rFonts w:ascii="Gellix" w:hAnsi="Gellix"/>
          <w:sz w:val="18"/>
          <w:szCs w:val="18"/>
        </w:rPr>
        <w:t xml:space="preserve">through </w:t>
      </w:r>
      <w:hyperlink r:id="rId4" w:history="1">
        <w:r w:rsidR="00680DAC" w:rsidRPr="00B243EC">
          <w:rPr>
            <w:rStyle w:val="Hyperlink"/>
            <w:rFonts w:ascii="Gellix" w:hAnsi="Gellix"/>
            <w:sz w:val="18"/>
            <w:szCs w:val="18"/>
          </w:rPr>
          <w:t>ICC’s Digitalisation for People, Planet and Prosperity campaign</w:t>
        </w:r>
      </w:hyperlink>
      <w:r w:rsidR="00C5429E" w:rsidRPr="00B243EC">
        <w:rPr>
          <w:rFonts w:ascii="Gellix" w:hAnsi="Gellix"/>
          <w:sz w:val="18"/>
          <w:szCs w:val="18"/>
        </w:rPr>
        <w:t xml:space="preserve"> </w:t>
      </w:r>
      <w:r w:rsidR="00922224" w:rsidRPr="00B243EC">
        <w:rPr>
          <w:rFonts w:ascii="Gellix" w:hAnsi="Gellix"/>
          <w:sz w:val="18"/>
          <w:szCs w:val="18"/>
        </w:rPr>
        <w:t xml:space="preserve">and see real-world examples </w:t>
      </w:r>
      <w:r w:rsidR="00CC5540" w:rsidRPr="00B243EC">
        <w:rPr>
          <w:rFonts w:ascii="Gellix" w:hAnsi="Gellix"/>
          <w:sz w:val="18"/>
          <w:szCs w:val="18"/>
        </w:rPr>
        <w:t xml:space="preserve">in the related </w:t>
      </w:r>
      <w:hyperlink r:id="rId5" w:anchor="anchor-case-studies" w:history="1">
        <w:r w:rsidR="00CA4C1C" w:rsidRPr="00B243EC">
          <w:rPr>
            <w:rStyle w:val="Hyperlink"/>
            <w:rFonts w:ascii="Gellix" w:hAnsi="Gellix"/>
            <w:sz w:val="18"/>
            <w:szCs w:val="18"/>
          </w:rPr>
          <w:t>case study repository</w:t>
        </w:r>
      </w:hyperlink>
      <w:r w:rsidR="00CA4C1C" w:rsidRPr="00B243EC">
        <w:rPr>
          <w:rFonts w:ascii="Gellix" w:hAnsi="Gellix"/>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FDDC" w14:textId="0EBCF9C2" w:rsidR="00513681" w:rsidRDefault="00513681" w:rsidP="00C60C03">
    <w:pPr>
      <w:pStyle w:val="Header"/>
      <w:ind w:right="110"/>
      <w:jc w:val="right"/>
    </w:pPr>
  </w:p>
  <w:p w14:paraId="063E966D" w14:textId="77777777" w:rsidR="00513681" w:rsidRPr="002E3989" w:rsidRDefault="00513681" w:rsidP="002E3989">
    <w:pPr>
      <w:pStyle w:val="Header"/>
      <w:jc w:val="right"/>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1107" w14:textId="4012624B" w:rsidR="00BC7C90" w:rsidRDefault="00BC7C90" w:rsidP="00BC7C90">
    <w:pPr>
      <w:pStyle w:val="Header"/>
      <w:jc w:val="right"/>
    </w:pPr>
    <w:r>
      <w:rPr>
        <w:noProof/>
      </w:rPr>
      <w:drawing>
        <wp:inline distT="0" distB="0" distL="0" distR="0" wp14:anchorId="1C519C55" wp14:editId="27EB4B96">
          <wp:extent cx="1277852" cy="792797"/>
          <wp:effectExtent l="0" t="0" r="0" b="7620"/>
          <wp:docPr id="1941576448" name="Picture 1"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76448" name="Picture 1"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6898" cy="798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0F2B"/>
    <w:multiLevelType w:val="hybridMultilevel"/>
    <w:tmpl w:val="1B9ED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F259BE"/>
    <w:multiLevelType w:val="hybridMultilevel"/>
    <w:tmpl w:val="537A051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10B47B47"/>
    <w:multiLevelType w:val="hybridMultilevel"/>
    <w:tmpl w:val="AA421620"/>
    <w:lvl w:ilvl="0" w:tplc="08090001">
      <w:start w:val="1"/>
      <w:numFmt w:val="bullet"/>
      <w:lvlText w:val=""/>
      <w:lvlJc w:val="left"/>
      <w:pPr>
        <w:ind w:left="720" w:hanging="360"/>
      </w:pPr>
      <w:rPr>
        <w:rFonts w:ascii="Symbol" w:hAnsi="Symbol" w:hint="default"/>
      </w:rPr>
    </w:lvl>
    <w:lvl w:ilvl="1" w:tplc="8ED27BC8">
      <w:start w:val="3"/>
      <w:numFmt w:val="bullet"/>
      <w:lvlText w:val="•"/>
      <w:lvlJc w:val="left"/>
      <w:pPr>
        <w:ind w:left="1440" w:hanging="360"/>
      </w:pPr>
      <w:rPr>
        <w:rFonts w:ascii="Gotham-Medium" w:eastAsiaTheme="minorHAnsi" w:hAnsi="Gotham-Medium" w:cs="Gotham-Medium"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9E032E"/>
    <w:multiLevelType w:val="hybridMultilevel"/>
    <w:tmpl w:val="8F342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D6C15"/>
    <w:multiLevelType w:val="hybridMultilevel"/>
    <w:tmpl w:val="8D267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B5ADF"/>
    <w:multiLevelType w:val="hybridMultilevel"/>
    <w:tmpl w:val="F320DC4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534D1"/>
    <w:multiLevelType w:val="hybridMultilevel"/>
    <w:tmpl w:val="EE78F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321AF5"/>
    <w:multiLevelType w:val="hybridMultilevel"/>
    <w:tmpl w:val="3520660A"/>
    <w:lvl w:ilvl="0" w:tplc="F8F44AE0">
      <w:start w:val="3"/>
      <w:numFmt w:val="bullet"/>
      <w:lvlText w:val="•"/>
      <w:lvlJc w:val="left"/>
      <w:pPr>
        <w:ind w:left="720" w:hanging="360"/>
      </w:pPr>
      <w:rPr>
        <w:rFonts w:ascii="Gotham-Medium" w:eastAsiaTheme="minorHAnsi" w:hAnsi="Gotham-Medium" w:cs="Gotham-Medium"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E46FB"/>
    <w:multiLevelType w:val="hybridMultilevel"/>
    <w:tmpl w:val="9BA22A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1D2AC0"/>
    <w:multiLevelType w:val="hybridMultilevel"/>
    <w:tmpl w:val="744632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10C96"/>
    <w:multiLevelType w:val="hybridMultilevel"/>
    <w:tmpl w:val="FFFFFFFF"/>
    <w:lvl w:ilvl="0" w:tplc="FDA08696">
      <w:start w:val="1"/>
      <w:numFmt w:val="bullet"/>
      <w:lvlText w:val=""/>
      <w:lvlJc w:val="left"/>
      <w:pPr>
        <w:ind w:left="720" w:hanging="360"/>
      </w:pPr>
      <w:rPr>
        <w:rFonts w:ascii="Symbol" w:hAnsi="Symbol" w:hint="default"/>
      </w:rPr>
    </w:lvl>
    <w:lvl w:ilvl="1" w:tplc="D1CAC1C6">
      <w:start w:val="1"/>
      <w:numFmt w:val="bullet"/>
      <w:lvlText w:val="o"/>
      <w:lvlJc w:val="left"/>
      <w:pPr>
        <w:ind w:left="1440" w:hanging="360"/>
      </w:pPr>
      <w:rPr>
        <w:rFonts w:ascii="Courier New" w:hAnsi="Courier New" w:hint="default"/>
      </w:rPr>
    </w:lvl>
    <w:lvl w:ilvl="2" w:tplc="76308B1C">
      <w:start w:val="1"/>
      <w:numFmt w:val="bullet"/>
      <w:lvlText w:val=""/>
      <w:lvlJc w:val="left"/>
      <w:pPr>
        <w:ind w:left="2160" w:hanging="360"/>
      </w:pPr>
      <w:rPr>
        <w:rFonts w:ascii="Wingdings" w:hAnsi="Wingdings" w:hint="default"/>
      </w:rPr>
    </w:lvl>
    <w:lvl w:ilvl="3" w:tplc="1A7684D8">
      <w:start w:val="1"/>
      <w:numFmt w:val="bullet"/>
      <w:lvlText w:val=""/>
      <w:lvlJc w:val="left"/>
      <w:pPr>
        <w:ind w:left="2880" w:hanging="360"/>
      </w:pPr>
      <w:rPr>
        <w:rFonts w:ascii="Symbol" w:hAnsi="Symbol" w:hint="default"/>
      </w:rPr>
    </w:lvl>
    <w:lvl w:ilvl="4" w:tplc="DDAE0796">
      <w:start w:val="1"/>
      <w:numFmt w:val="bullet"/>
      <w:lvlText w:val="o"/>
      <w:lvlJc w:val="left"/>
      <w:pPr>
        <w:ind w:left="3600" w:hanging="360"/>
      </w:pPr>
      <w:rPr>
        <w:rFonts w:ascii="Courier New" w:hAnsi="Courier New" w:hint="default"/>
      </w:rPr>
    </w:lvl>
    <w:lvl w:ilvl="5" w:tplc="86E8D88C">
      <w:start w:val="1"/>
      <w:numFmt w:val="bullet"/>
      <w:lvlText w:val=""/>
      <w:lvlJc w:val="left"/>
      <w:pPr>
        <w:ind w:left="4320" w:hanging="360"/>
      </w:pPr>
      <w:rPr>
        <w:rFonts w:ascii="Wingdings" w:hAnsi="Wingdings" w:hint="default"/>
      </w:rPr>
    </w:lvl>
    <w:lvl w:ilvl="6" w:tplc="2A30C210">
      <w:start w:val="1"/>
      <w:numFmt w:val="bullet"/>
      <w:lvlText w:val=""/>
      <w:lvlJc w:val="left"/>
      <w:pPr>
        <w:ind w:left="5040" w:hanging="360"/>
      </w:pPr>
      <w:rPr>
        <w:rFonts w:ascii="Symbol" w:hAnsi="Symbol" w:hint="default"/>
      </w:rPr>
    </w:lvl>
    <w:lvl w:ilvl="7" w:tplc="58E01C16">
      <w:start w:val="1"/>
      <w:numFmt w:val="bullet"/>
      <w:lvlText w:val="o"/>
      <w:lvlJc w:val="left"/>
      <w:pPr>
        <w:ind w:left="5760" w:hanging="360"/>
      </w:pPr>
      <w:rPr>
        <w:rFonts w:ascii="Courier New" w:hAnsi="Courier New" w:hint="default"/>
      </w:rPr>
    </w:lvl>
    <w:lvl w:ilvl="8" w:tplc="DFDA47A4">
      <w:start w:val="1"/>
      <w:numFmt w:val="bullet"/>
      <w:lvlText w:val=""/>
      <w:lvlJc w:val="left"/>
      <w:pPr>
        <w:ind w:left="6480" w:hanging="360"/>
      </w:pPr>
      <w:rPr>
        <w:rFonts w:ascii="Wingdings" w:hAnsi="Wingdings" w:hint="default"/>
      </w:rPr>
    </w:lvl>
  </w:abstractNum>
  <w:abstractNum w:abstractNumId="11" w15:restartNumberingAfterBreak="0">
    <w:nsid w:val="408F7D49"/>
    <w:multiLevelType w:val="hybridMultilevel"/>
    <w:tmpl w:val="7B1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859D6"/>
    <w:multiLevelType w:val="hybridMultilevel"/>
    <w:tmpl w:val="748EECD2"/>
    <w:lvl w:ilvl="0" w:tplc="FBD2361E">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84495"/>
    <w:multiLevelType w:val="hybridMultilevel"/>
    <w:tmpl w:val="A43894E8"/>
    <w:lvl w:ilvl="0" w:tplc="FBD2361E">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B226E"/>
    <w:multiLevelType w:val="hybridMultilevel"/>
    <w:tmpl w:val="E07A4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2C6678"/>
    <w:multiLevelType w:val="hybridMultilevel"/>
    <w:tmpl w:val="C5AE2EEA"/>
    <w:lvl w:ilvl="0" w:tplc="F8F44AE0">
      <w:start w:val="3"/>
      <w:numFmt w:val="bullet"/>
      <w:lvlText w:val="•"/>
      <w:lvlJc w:val="left"/>
      <w:pPr>
        <w:ind w:left="720" w:hanging="360"/>
      </w:pPr>
      <w:rPr>
        <w:rFonts w:ascii="Gotham-Medium" w:eastAsiaTheme="minorHAnsi" w:hAnsi="Gotham-Medium" w:cs="Gotham-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879C2"/>
    <w:multiLevelType w:val="hybridMultilevel"/>
    <w:tmpl w:val="C8B8E5B2"/>
    <w:lvl w:ilvl="0" w:tplc="CAD00914">
      <w:start w:val="3"/>
      <w:numFmt w:val="bullet"/>
      <w:lvlText w:val="—"/>
      <w:lvlJc w:val="left"/>
      <w:pPr>
        <w:ind w:left="720" w:hanging="360"/>
      </w:pPr>
      <w:rPr>
        <w:rFonts w:ascii="Gotham-Bold" w:eastAsiaTheme="minorHAnsi" w:hAnsi="Gotham-Bold" w:cs="Gotham-Bold" w:hint="default"/>
        <w:b/>
        <w:color w:val="878786"/>
      </w:rPr>
    </w:lvl>
    <w:lvl w:ilvl="1" w:tplc="A10A656E">
      <w:start w:val="3"/>
      <w:numFmt w:val="bullet"/>
      <w:lvlText w:val="•"/>
      <w:lvlJc w:val="left"/>
      <w:pPr>
        <w:ind w:left="1440" w:hanging="360"/>
      </w:pPr>
      <w:rPr>
        <w:rFonts w:ascii="Gotham-Medium" w:eastAsiaTheme="minorHAnsi" w:hAnsi="Gotham-Medium" w:cs="Gotham-Medium"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F1D84"/>
    <w:multiLevelType w:val="hybridMultilevel"/>
    <w:tmpl w:val="F5B250F4"/>
    <w:lvl w:ilvl="0" w:tplc="F8F44AE0">
      <w:start w:val="3"/>
      <w:numFmt w:val="bullet"/>
      <w:lvlText w:val="•"/>
      <w:lvlJc w:val="left"/>
      <w:pPr>
        <w:ind w:left="360" w:hanging="360"/>
      </w:pPr>
      <w:rPr>
        <w:rFonts w:ascii="Gotham-Medium" w:eastAsiaTheme="minorHAnsi" w:hAnsi="Gotham-Medium" w:cs="Gotham-Medium" w:hint="default"/>
        <w:b/>
        <w:color w:val="878786"/>
      </w:rPr>
    </w:lvl>
    <w:lvl w:ilvl="1" w:tplc="FFFFFFFF">
      <w:start w:val="3"/>
      <w:numFmt w:val="bullet"/>
      <w:lvlText w:val="•"/>
      <w:lvlJc w:val="left"/>
      <w:pPr>
        <w:ind w:left="1080" w:hanging="360"/>
      </w:pPr>
      <w:rPr>
        <w:rFonts w:ascii="Gotham-Medium" w:eastAsiaTheme="minorHAnsi" w:hAnsi="Gotham-Medium" w:cs="Gotham-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13351EB"/>
    <w:multiLevelType w:val="hybridMultilevel"/>
    <w:tmpl w:val="F842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E7B67"/>
    <w:multiLevelType w:val="hybridMultilevel"/>
    <w:tmpl w:val="064E3A80"/>
    <w:lvl w:ilvl="0" w:tplc="CAD00914">
      <w:start w:val="3"/>
      <w:numFmt w:val="bullet"/>
      <w:lvlText w:val="—"/>
      <w:lvlJc w:val="left"/>
      <w:pPr>
        <w:ind w:left="720" w:hanging="360"/>
      </w:pPr>
      <w:rPr>
        <w:rFonts w:ascii="Gotham-Bold" w:eastAsiaTheme="minorHAnsi" w:hAnsi="Gotham-Bold" w:cs="Gotham-Bold" w:hint="default"/>
        <w:b/>
        <w:color w:val="8787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B1807"/>
    <w:multiLevelType w:val="hybridMultilevel"/>
    <w:tmpl w:val="A6C8F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424BBD"/>
    <w:multiLevelType w:val="hybridMultilevel"/>
    <w:tmpl w:val="A698B444"/>
    <w:lvl w:ilvl="0" w:tplc="F8F44AE0">
      <w:start w:val="3"/>
      <w:numFmt w:val="bullet"/>
      <w:lvlText w:val="•"/>
      <w:lvlJc w:val="left"/>
      <w:pPr>
        <w:ind w:left="720" w:hanging="360"/>
      </w:pPr>
      <w:rPr>
        <w:rFonts w:ascii="Gotham-Medium" w:eastAsiaTheme="minorHAnsi" w:hAnsi="Gotham-Medium" w:cs="Gotham-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36CD5"/>
    <w:multiLevelType w:val="hybridMultilevel"/>
    <w:tmpl w:val="0CCE9A40"/>
    <w:lvl w:ilvl="0" w:tplc="F8F44AE0">
      <w:start w:val="3"/>
      <w:numFmt w:val="bullet"/>
      <w:lvlText w:val="•"/>
      <w:lvlJc w:val="left"/>
      <w:pPr>
        <w:ind w:left="720" w:hanging="360"/>
      </w:pPr>
      <w:rPr>
        <w:rFonts w:ascii="Gotham-Medium" w:eastAsiaTheme="minorHAnsi" w:hAnsi="Gotham-Medium" w:cs="Gotham-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14A44"/>
    <w:multiLevelType w:val="hybridMultilevel"/>
    <w:tmpl w:val="A80C4004"/>
    <w:lvl w:ilvl="0" w:tplc="F8F44AE0">
      <w:start w:val="3"/>
      <w:numFmt w:val="bullet"/>
      <w:lvlText w:val="•"/>
      <w:lvlJc w:val="left"/>
      <w:pPr>
        <w:ind w:left="720" w:hanging="360"/>
      </w:pPr>
      <w:rPr>
        <w:rFonts w:ascii="Gotham-Medium" w:eastAsiaTheme="minorHAnsi" w:hAnsi="Gotham-Medium" w:cs="Gotham-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7475E"/>
    <w:multiLevelType w:val="hybridMultilevel"/>
    <w:tmpl w:val="2D34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D3800"/>
    <w:multiLevelType w:val="hybridMultilevel"/>
    <w:tmpl w:val="B7C6B6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BD28F9"/>
    <w:multiLevelType w:val="hybridMultilevel"/>
    <w:tmpl w:val="0EB8F3D6"/>
    <w:lvl w:ilvl="0" w:tplc="F8F44AE0">
      <w:start w:val="3"/>
      <w:numFmt w:val="bullet"/>
      <w:lvlText w:val="•"/>
      <w:lvlJc w:val="left"/>
      <w:pPr>
        <w:ind w:left="720" w:hanging="360"/>
      </w:pPr>
      <w:rPr>
        <w:rFonts w:ascii="Gotham-Medium" w:eastAsiaTheme="minorHAnsi" w:hAnsi="Gotham-Medium" w:cs="Gotham-Medium" w:hint="default"/>
      </w:rPr>
    </w:lvl>
    <w:lvl w:ilvl="1" w:tplc="0DD27FEE">
      <w:start w:val="3"/>
      <w:numFmt w:val="bullet"/>
      <w:lvlText w:val="—"/>
      <w:lvlJc w:val="left"/>
      <w:pPr>
        <w:ind w:left="1440" w:hanging="360"/>
      </w:pPr>
      <w:rPr>
        <w:rFonts w:ascii="Gotham-Bold" w:eastAsiaTheme="minorHAnsi" w:hAnsi="Gotham-Bold" w:cs="Gotham-Bold" w:hint="default"/>
        <w:b/>
        <w:color w:val="87878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D9619F"/>
    <w:multiLevelType w:val="hybridMultilevel"/>
    <w:tmpl w:val="B26431DE"/>
    <w:lvl w:ilvl="0" w:tplc="9EEA06B6">
      <w:numFmt w:val="bullet"/>
      <w:lvlText w:val="•"/>
      <w:lvlJc w:val="left"/>
      <w:pPr>
        <w:ind w:left="720" w:hanging="360"/>
      </w:pPr>
      <w:rPr>
        <w:rFonts w:ascii="Gellix" w:eastAsiaTheme="minorHAnsi" w:hAnsi="Gellix"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542AE9"/>
    <w:multiLevelType w:val="hybridMultilevel"/>
    <w:tmpl w:val="BE8452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31774"/>
    <w:multiLevelType w:val="hybridMultilevel"/>
    <w:tmpl w:val="F320DC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CC643A"/>
    <w:multiLevelType w:val="hybridMultilevel"/>
    <w:tmpl w:val="B0C2B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7F315041"/>
    <w:multiLevelType w:val="hybridMultilevel"/>
    <w:tmpl w:val="45564624"/>
    <w:lvl w:ilvl="0" w:tplc="F8F44AE0">
      <w:start w:val="3"/>
      <w:numFmt w:val="bullet"/>
      <w:lvlText w:val="•"/>
      <w:lvlJc w:val="left"/>
      <w:pPr>
        <w:ind w:left="720" w:hanging="360"/>
      </w:pPr>
      <w:rPr>
        <w:rFonts w:ascii="Gotham-Medium" w:eastAsiaTheme="minorHAnsi" w:hAnsi="Gotham-Medium" w:cs="Gotham-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247955">
    <w:abstractNumId w:val="10"/>
  </w:num>
  <w:num w:numId="2" w16cid:durableId="1528760618">
    <w:abstractNumId w:val="18"/>
  </w:num>
  <w:num w:numId="3" w16cid:durableId="559367108">
    <w:abstractNumId w:val="12"/>
  </w:num>
  <w:num w:numId="4" w16cid:durableId="1440490854">
    <w:abstractNumId w:val="13"/>
  </w:num>
  <w:num w:numId="5" w16cid:durableId="839739100">
    <w:abstractNumId w:val="3"/>
  </w:num>
  <w:num w:numId="6" w16cid:durableId="1205755680">
    <w:abstractNumId w:val="4"/>
  </w:num>
  <w:num w:numId="7" w16cid:durableId="296255450">
    <w:abstractNumId w:val="2"/>
  </w:num>
  <w:num w:numId="8" w16cid:durableId="560403954">
    <w:abstractNumId w:val="1"/>
  </w:num>
  <w:num w:numId="9" w16cid:durableId="1240479441">
    <w:abstractNumId w:val="15"/>
  </w:num>
  <w:num w:numId="10" w16cid:durableId="1810702826">
    <w:abstractNumId w:val="31"/>
  </w:num>
  <w:num w:numId="11" w16cid:durableId="995381641">
    <w:abstractNumId w:val="23"/>
  </w:num>
  <w:num w:numId="12" w16cid:durableId="290601225">
    <w:abstractNumId w:val="16"/>
  </w:num>
  <w:num w:numId="13" w16cid:durableId="436801477">
    <w:abstractNumId w:val="19"/>
  </w:num>
  <w:num w:numId="14" w16cid:durableId="789129316">
    <w:abstractNumId w:val="17"/>
  </w:num>
  <w:num w:numId="15" w16cid:durableId="320620426">
    <w:abstractNumId w:val="26"/>
  </w:num>
  <w:num w:numId="16" w16cid:durableId="1061250335">
    <w:abstractNumId w:val="22"/>
  </w:num>
  <w:num w:numId="17" w16cid:durableId="2055109431">
    <w:abstractNumId w:val="21"/>
  </w:num>
  <w:num w:numId="18" w16cid:durableId="1730641495">
    <w:abstractNumId w:val="7"/>
  </w:num>
  <w:num w:numId="19" w16cid:durableId="469857756">
    <w:abstractNumId w:val="28"/>
  </w:num>
  <w:num w:numId="20" w16cid:durableId="834686816">
    <w:abstractNumId w:val="20"/>
  </w:num>
  <w:num w:numId="21" w16cid:durableId="589972949">
    <w:abstractNumId w:val="29"/>
  </w:num>
  <w:num w:numId="22" w16cid:durableId="1910460931">
    <w:abstractNumId w:val="9"/>
  </w:num>
  <w:num w:numId="23" w16cid:durableId="807431739">
    <w:abstractNumId w:val="5"/>
  </w:num>
  <w:num w:numId="24" w16cid:durableId="137842001">
    <w:abstractNumId w:val="8"/>
  </w:num>
  <w:num w:numId="25" w16cid:durableId="1712267333">
    <w:abstractNumId w:val="11"/>
  </w:num>
  <w:num w:numId="26" w16cid:durableId="1106314092">
    <w:abstractNumId w:val="30"/>
  </w:num>
  <w:num w:numId="27" w16cid:durableId="1129282539">
    <w:abstractNumId w:val="6"/>
  </w:num>
  <w:num w:numId="28" w16cid:durableId="2050909559">
    <w:abstractNumId w:val="27"/>
  </w:num>
  <w:num w:numId="29" w16cid:durableId="773524449">
    <w:abstractNumId w:val="14"/>
  </w:num>
  <w:num w:numId="30" w16cid:durableId="393431104">
    <w:abstractNumId w:val="0"/>
  </w:num>
  <w:num w:numId="31" w16cid:durableId="1313750969">
    <w:abstractNumId w:val="24"/>
  </w:num>
  <w:num w:numId="32" w16cid:durableId="13758071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65"/>
    <w:rsid w:val="00013991"/>
    <w:rsid w:val="00014404"/>
    <w:rsid w:val="00020463"/>
    <w:rsid w:val="00020700"/>
    <w:rsid w:val="00022964"/>
    <w:rsid w:val="00024297"/>
    <w:rsid w:val="00042C7F"/>
    <w:rsid w:val="00046849"/>
    <w:rsid w:val="000472C1"/>
    <w:rsid w:val="000528BC"/>
    <w:rsid w:val="00053F38"/>
    <w:rsid w:val="000546FD"/>
    <w:rsid w:val="00055917"/>
    <w:rsid w:val="000577B7"/>
    <w:rsid w:val="00057CF0"/>
    <w:rsid w:val="00060011"/>
    <w:rsid w:val="00061C74"/>
    <w:rsid w:val="00063E5E"/>
    <w:rsid w:val="00066664"/>
    <w:rsid w:val="000744B7"/>
    <w:rsid w:val="00080367"/>
    <w:rsid w:val="000817A4"/>
    <w:rsid w:val="00081C44"/>
    <w:rsid w:val="00086297"/>
    <w:rsid w:val="00087511"/>
    <w:rsid w:val="0009777B"/>
    <w:rsid w:val="000A50D4"/>
    <w:rsid w:val="000A66DD"/>
    <w:rsid w:val="000B1371"/>
    <w:rsid w:val="000B2CB7"/>
    <w:rsid w:val="000B5A52"/>
    <w:rsid w:val="000B74D5"/>
    <w:rsid w:val="000C2CF8"/>
    <w:rsid w:val="000C5231"/>
    <w:rsid w:val="000C78A3"/>
    <w:rsid w:val="000D35A6"/>
    <w:rsid w:val="000E05CA"/>
    <w:rsid w:val="000E071F"/>
    <w:rsid w:val="000E4E2C"/>
    <w:rsid w:val="000E7282"/>
    <w:rsid w:val="000F0CB1"/>
    <w:rsid w:val="000F3520"/>
    <w:rsid w:val="000F78EA"/>
    <w:rsid w:val="001232F8"/>
    <w:rsid w:val="0013491B"/>
    <w:rsid w:val="00135B85"/>
    <w:rsid w:val="00135DA3"/>
    <w:rsid w:val="00135EB0"/>
    <w:rsid w:val="00140EDC"/>
    <w:rsid w:val="001413A2"/>
    <w:rsid w:val="00143A22"/>
    <w:rsid w:val="001465E8"/>
    <w:rsid w:val="0015445A"/>
    <w:rsid w:val="00155AF0"/>
    <w:rsid w:val="0016329F"/>
    <w:rsid w:val="00174707"/>
    <w:rsid w:val="0018377F"/>
    <w:rsid w:val="001932C5"/>
    <w:rsid w:val="001947D2"/>
    <w:rsid w:val="00195666"/>
    <w:rsid w:val="001A4822"/>
    <w:rsid w:val="001A5490"/>
    <w:rsid w:val="001A6588"/>
    <w:rsid w:val="001A7F9A"/>
    <w:rsid w:val="001B093E"/>
    <w:rsid w:val="001B27E2"/>
    <w:rsid w:val="001B557A"/>
    <w:rsid w:val="001D09B9"/>
    <w:rsid w:val="001E3E28"/>
    <w:rsid w:val="001E7D72"/>
    <w:rsid w:val="001F10EA"/>
    <w:rsid w:val="001F1718"/>
    <w:rsid w:val="001F1AE7"/>
    <w:rsid w:val="001F1C1A"/>
    <w:rsid w:val="001F2006"/>
    <w:rsid w:val="001F3FC4"/>
    <w:rsid w:val="00200994"/>
    <w:rsid w:val="00212743"/>
    <w:rsid w:val="0022191B"/>
    <w:rsid w:val="0022206F"/>
    <w:rsid w:val="002236D9"/>
    <w:rsid w:val="00226BE7"/>
    <w:rsid w:val="00226F6A"/>
    <w:rsid w:val="002323D9"/>
    <w:rsid w:val="00233FA8"/>
    <w:rsid w:val="0024420B"/>
    <w:rsid w:val="0024698B"/>
    <w:rsid w:val="002541CD"/>
    <w:rsid w:val="002548B9"/>
    <w:rsid w:val="00254AB3"/>
    <w:rsid w:val="00255D32"/>
    <w:rsid w:val="00260029"/>
    <w:rsid w:val="00260D46"/>
    <w:rsid w:val="00277055"/>
    <w:rsid w:val="00277CB8"/>
    <w:rsid w:val="00282205"/>
    <w:rsid w:val="002832CE"/>
    <w:rsid w:val="0028592C"/>
    <w:rsid w:val="00293AFF"/>
    <w:rsid w:val="00296D93"/>
    <w:rsid w:val="002975E4"/>
    <w:rsid w:val="002A55B1"/>
    <w:rsid w:val="002C6676"/>
    <w:rsid w:val="002C705A"/>
    <w:rsid w:val="002C7E28"/>
    <w:rsid w:val="002D25E7"/>
    <w:rsid w:val="002D3799"/>
    <w:rsid w:val="002D795B"/>
    <w:rsid w:val="002E3989"/>
    <w:rsid w:val="002E492A"/>
    <w:rsid w:val="002E6D29"/>
    <w:rsid w:val="002F2C17"/>
    <w:rsid w:val="002F3F59"/>
    <w:rsid w:val="00302058"/>
    <w:rsid w:val="00302A09"/>
    <w:rsid w:val="00316183"/>
    <w:rsid w:val="00316D45"/>
    <w:rsid w:val="00317527"/>
    <w:rsid w:val="00325DD0"/>
    <w:rsid w:val="00326B45"/>
    <w:rsid w:val="00331881"/>
    <w:rsid w:val="00331F75"/>
    <w:rsid w:val="00336E34"/>
    <w:rsid w:val="0033769F"/>
    <w:rsid w:val="00342C4F"/>
    <w:rsid w:val="00343046"/>
    <w:rsid w:val="00345DC8"/>
    <w:rsid w:val="00352078"/>
    <w:rsid w:val="00354589"/>
    <w:rsid w:val="003628FB"/>
    <w:rsid w:val="00364C7F"/>
    <w:rsid w:val="00366261"/>
    <w:rsid w:val="003702FB"/>
    <w:rsid w:val="00383761"/>
    <w:rsid w:val="00383B44"/>
    <w:rsid w:val="00390BF7"/>
    <w:rsid w:val="003B0C81"/>
    <w:rsid w:val="003D269E"/>
    <w:rsid w:val="003D4CD5"/>
    <w:rsid w:val="003D7A9A"/>
    <w:rsid w:val="003E04DC"/>
    <w:rsid w:val="003E3C25"/>
    <w:rsid w:val="003E5A2A"/>
    <w:rsid w:val="003E73BB"/>
    <w:rsid w:val="003F2A7C"/>
    <w:rsid w:val="00400FCD"/>
    <w:rsid w:val="00404717"/>
    <w:rsid w:val="0040485A"/>
    <w:rsid w:val="00405AF7"/>
    <w:rsid w:val="00411F82"/>
    <w:rsid w:val="004148D1"/>
    <w:rsid w:val="00415E30"/>
    <w:rsid w:val="0043121A"/>
    <w:rsid w:val="0043448A"/>
    <w:rsid w:val="00437E90"/>
    <w:rsid w:val="00444E30"/>
    <w:rsid w:val="0044522B"/>
    <w:rsid w:val="004478D3"/>
    <w:rsid w:val="00447C83"/>
    <w:rsid w:val="004508FA"/>
    <w:rsid w:val="00453C5F"/>
    <w:rsid w:val="00454E38"/>
    <w:rsid w:val="00455243"/>
    <w:rsid w:val="00461FCB"/>
    <w:rsid w:val="0047308B"/>
    <w:rsid w:val="0047642F"/>
    <w:rsid w:val="00482C52"/>
    <w:rsid w:val="004837F8"/>
    <w:rsid w:val="0048423E"/>
    <w:rsid w:val="00487431"/>
    <w:rsid w:val="00493EA5"/>
    <w:rsid w:val="0049696F"/>
    <w:rsid w:val="004B011B"/>
    <w:rsid w:val="004B6834"/>
    <w:rsid w:val="004B73AA"/>
    <w:rsid w:val="004B79C8"/>
    <w:rsid w:val="004C2FF5"/>
    <w:rsid w:val="004C43CD"/>
    <w:rsid w:val="004C5641"/>
    <w:rsid w:val="004D059B"/>
    <w:rsid w:val="004E007D"/>
    <w:rsid w:val="004E01F8"/>
    <w:rsid w:val="004E1D03"/>
    <w:rsid w:val="004E25F5"/>
    <w:rsid w:val="004E2C73"/>
    <w:rsid w:val="004E66E7"/>
    <w:rsid w:val="004F3126"/>
    <w:rsid w:val="004F7DB2"/>
    <w:rsid w:val="005012D0"/>
    <w:rsid w:val="00511759"/>
    <w:rsid w:val="00511AD8"/>
    <w:rsid w:val="00513681"/>
    <w:rsid w:val="00514286"/>
    <w:rsid w:val="0051752D"/>
    <w:rsid w:val="00524D53"/>
    <w:rsid w:val="005336D2"/>
    <w:rsid w:val="005336F8"/>
    <w:rsid w:val="005348CB"/>
    <w:rsid w:val="00541E63"/>
    <w:rsid w:val="0054402F"/>
    <w:rsid w:val="00547D49"/>
    <w:rsid w:val="0055694D"/>
    <w:rsid w:val="0056527C"/>
    <w:rsid w:val="0056696B"/>
    <w:rsid w:val="00567C3D"/>
    <w:rsid w:val="00572CD3"/>
    <w:rsid w:val="00577205"/>
    <w:rsid w:val="005821AF"/>
    <w:rsid w:val="0058231B"/>
    <w:rsid w:val="00583C1B"/>
    <w:rsid w:val="0059537E"/>
    <w:rsid w:val="005A5AD4"/>
    <w:rsid w:val="005A7215"/>
    <w:rsid w:val="005B1D67"/>
    <w:rsid w:val="005B2DEF"/>
    <w:rsid w:val="005B7031"/>
    <w:rsid w:val="005C4917"/>
    <w:rsid w:val="005C4BD4"/>
    <w:rsid w:val="005C6206"/>
    <w:rsid w:val="005D5976"/>
    <w:rsid w:val="005D66FA"/>
    <w:rsid w:val="005D6787"/>
    <w:rsid w:val="005E1EB3"/>
    <w:rsid w:val="005E2152"/>
    <w:rsid w:val="005F1ED7"/>
    <w:rsid w:val="005F55A8"/>
    <w:rsid w:val="006050C3"/>
    <w:rsid w:val="00613E3D"/>
    <w:rsid w:val="006144DC"/>
    <w:rsid w:val="00617981"/>
    <w:rsid w:val="00623BCB"/>
    <w:rsid w:val="00626E3F"/>
    <w:rsid w:val="0062753A"/>
    <w:rsid w:val="00632937"/>
    <w:rsid w:val="00634AE3"/>
    <w:rsid w:val="0063721F"/>
    <w:rsid w:val="006376DF"/>
    <w:rsid w:val="006400B9"/>
    <w:rsid w:val="00643FD3"/>
    <w:rsid w:val="00646AD7"/>
    <w:rsid w:val="00646D8C"/>
    <w:rsid w:val="0064700D"/>
    <w:rsid w:val="006608FB"/>
    <w:rsid w:val="00664FF3"/>
    <w:rsid w:val="00673798"/>
    <w:rsid w:val="00680D40"/>
    <w:rsid w:val="00680DAC"/>
    <w:rsid w:val="00683503"/>
    <w:rsid w:val="006847B0"/>
    <w:rsid w:val="00690E3F"/>
    <w:rsid w:val="006963B8"/>
    <w:rsid w:val="00696E55"/>
    <w:rsid w:val="006A0383"/>
    <w:rsid w:val="006A6688"/>
    <w:rsid w:val="006A7A47"/>
    <w:rsid w:val="006B358F"/>
    <w:rsid w:val="006B58B5"/>
    <w:rsid w:val="006B7E5C"/>
    <w:rsid w:val="006C051E"/>
    <w:rsid w:val="006C2ECD"/>
    <w:rsid w:val="006C4BB2"/>
    <w:rsid w:val="006D3FD3"/>
    <w:rsid w:val="006D520E"/>
    <w:rsid w:val="006D6A68"/>
    <w:rsid w:val="006E1B03"/>
    <w:rsid w:val="006F582F"/>
    <w:rsid w:val="00707029"/>
    <w:rsid w:val="0071062C"/>
    <w:rsid w:val="007110CE"/>
    <w:rsid w:val="0071151E"/>
    <w:rsid w:val="00714544"/>
    <w:rsid w:val="00716900"/>
    <w:rsid w:val="0071722D"/>
    <w:rsid w:val="007224B3"/>
    <w:rsid w:val="007317EA"/>
    <w:rsid w:val="00732B7D"/>
    <w:rsid w:val="00734F0A"/>
    <w:rsid w:val="00736BBE"/>
    <w:rsid w:val="00736EAC"/>
    <w:rsid w:val="00737AC1"/>
    <w:rsid w:val="00737ECD"/>
    <w:rsid w:val="00743AC0"/>
    <w:rsid w:val="00743FFF"/>
    <w:rsid w:val="00746FD0"/>
    <w:rsid w:val="00750D5E"/>
    <w:rsid w:val="0075136E"/>
    <w:rsid w:val="007615AB"/>
    <w:rsid w:val="007615EF"/>
    <w:rsid w:val="00762182"/>
    <w:rsid w:val="00765A9D"/>
    <w:rsid w:val="00766043"/>
    <w:rsid w:val="00771BAA"/>
    <w:rsid w:val="00773629"/>
    <w:rsid w:val="0077769A"/>
    <w:rsid w:val="00782373"/>
    <w:rsid w:val="00784B51"/>
    <w:rsid w:val="00787178"/>
    <w:rsid w:val="00787DCA"/>
    <w:rsid w:val="00790E86"/>
    <w:rsid w:val="007946D7"/>
    <w:rsid w:val="007A14BA"/>
    <w:rsid w:val="007A320C"/>
    <w:rsid w:val="007B7214"/>
    <w:rsid w:val="007C240D"/>
    <w:rsid w:val="007C3A07"/>
    <w:rsid w:val="007C4265"/>
    <w:rsid w:val="007C5598"/>
    <w:rsid w:val="007D277A"/>
    <w:rsid w:val="007D3A5B"/>
    <w:rsid w:val="007D3FC3"/>
    <w:rsid w:val="007E1F03"/>
    <w:rsid w:val="007E3987"/>
    <w:rsid w:val="007E4621"/>
    <w:rsid w:val="007E486F"/>
    <w:rsid w:val="007F3C80"/>
    <w:rsid w:val="007F5A0E"/>
    <w:rsid w:val="007F5A5E"/>
    <w:rsid w:val="00813D8B"/>
    <w:rsid w:val="00813F0F"/>
    <w:rsid w:val="00821A71"/>
    <w:rsid w:val="00826A44"/>
    <w:rsid w:val="008321BE"/>
    <w:rsid w:val="00832A7A"/>
    <w:rsid w:val="008350A4"/>
    <w:rsid w:val="00835B18"/>
    <w:rsid w:val="0083697A"/>
    <w:rsid w:val="00843FE6"/>
    <w:rsid w:val="008459D2"/>
    <w:rsid w:val="008511BF"/>
    <w:rsid w:val="0085187C"/>
    <w:rsid w:val="0086020E"/>
    <w:rsid w:val="00860AF2"/>
    <w:rsid w:val="0086216F"/>
    <w:rsid w:val="008662EC"/>
    <w:rsid w:val="008755DB"/>
    <w:rsid w:val="008770B0"/>
    <w:rsid w:val="00881575"/>
    <w:rsid w:val="008834A2"/>
    <w:rsid w:val="008870C6"/>
    <w:rsid w:val="0089038C"/>
    <w:rsid w:val="008975DF"/>
    <w:rsid w:val="00897695"/>
    <w:rsid w:val="008A2E11"/>
    <w:rsid w:val="008A3A99"/>
    <w:rsid w:val="008A4B12"/>
    <w:rsid w:val="008B0188"/>
    <w:rsid w:val="008B0828"/>
    <w:rsid w:val="008B2C5F"/>
    <w:rsid w:val="008B4A00"/>
    <w:rsid w:val="008B7960"/>
    <w:rsid w:val="008C07BA"/>
    <w:rsid w:val="008C6A6F"/>
    <w:rsid w:val="008D37ED"/>
    <w:rsid w:val="008D4161"/>
    <w:rsid w:val="008D4487"/>
    <w:rsid w:val="008E5F52"/>
    <w:rsid w:val="008F6554"/>
    <w:rsid w:val="00900AA6"/>
    <w:rsid w:val="009010C3"/>
    <w:rsid w:val="009026EC"/>
    <w:rsid w:val="009045C6"/>
    <w:rsid w:val="00907AF6"/>
    <w:rsid w:val="00910F80"/>
    <w:rsid w:val="00912034"/>
    <w:rsid w:val="00912B31"/>
    <w:rsid w:val="00914860"/>
    <w:rsid w:val="00921B27"/>
    <w:rsid w:val="00922224"/>
    <w:rsid w:val="00923715"/>
    <w:rsid w:val="00924421"/>
    <w:rsid w:val="00936213"/>
    <w:rsid w:val="0093756F"/>
    <w:rsid w:val="00940482"/>
    <w:rsid w:val="00941A8F"/>
    <w:rsid w:val="00957D8D"/>
    <w:rsid w:val="009623FA"/>
    <w:rsid w:val="00962A25"/>
    <w:rsid w:val="00964D25"/>
    <w:rsid w:val="00965500"/>
    <w:rsid w:val="00970B51"/>
    <w:rsid w:val="00973DDE"/>
    <w:rsid w:val="009757FF"/>
    <w:rsid w:val="00982163"/>
    <w:rsid w:val="00982802"/>
    <w:rsid w:val="00983E3C"/>
    <w:rsid w:val="009922A0"/>
    <w:rsid w:val="00992FB3"/>
    <w:rsid w:val="0099344A"/>
    <w:rsid w:val="00994A82"/>
    <w:rsid w:val="00997B5C"/>
    <w:rsid w:val="009A0FF1"/>
    <w:rsid w:val="009B05A0"/>
    <w:rsid w:val="009B6C33"/>
    <w:rsid w:val="009C2EE1"/>
    <w:rsid w:val="009C3C56"/>
    <w:rsid w:val="009C4B77"/>
    <w:rsid w:val="009C5401"/>
    <w:rsid w:val="009D3250"/>
    <w:rsid w:val="009D3669"/>
    <w:rsid w:val="009D5B1E"/>
    <w:rsid w:val="009F02F7"/>
    <w:rsid w:val="009F20FA"/>
    <w:rsid w:val="009F2949"/>
    <w:rsid w:val="009F6FD6"/>
    <w:rsid w:val="009F7F34"/>
    <w:rsid w:val="00A023F7"/>
    <w:rsid w:val="00A06A29"/>
    <w:rsid w:val="00A10E3B"/>
    <w:rsid w:val="00A13380"/>
    <w:rsid w:val="00A17F28"/>
    <w:rsid w:val="00A24DA7"/>
    <w:rsid w:val="00A3210F"/>
    <w:rsid w:val="00A331A5"/>
    <w:rsid w:val="00A3333F"/>
    <w:rsid w:val="00A34B75"/>
    <w:rsid w:val="00A414B0"/>
    <w:rsid w:val="00A53E50"/>
    <w:rsid w:val="00A5574E"/>
    <w:rsid w:val="00A61CE2"/>
    <w:rsid w:val="00A62F79"/>
    <w:rsid w:val="00A73676"/>
    <w:rsid w:val="00A80D12"/>
    <w:rsid w:val="00A84625"/>
    <w:rsid w:val="00A97B9A"/>
    <w:rsid w:val="00AA2583"/>
    <w:rsid w:val="00AB1AAF"/>
    <w:rsid w:val="00AB2B91"/>
    <w:rsid w:val="00AB2BC1"/>
    <w:rsid w:val="00AB46A0"/>
    <w:rsid w:val="00AC54D1"/>
    <w:rsid w:val="00AD3C80"/>
    <w:rsid w:val="00AD7DB8"/>
    <w:rsid w:val="00AE25CD"/>
    <w:rsid w:val="00AE29BD"/>
    <w:rsid w:val="00AE4A87"/>
    <w:rsid w:val="00AE72AD"/>
    <w:rsid w:val="00AE7A5F"/>
    <w:rsid w:val="00AF12A1"/>
    <w:rsid w:val="00B04AE0"/>
    <w:rsid w:val="00B12828"/>
    <w:rsid w:val="00B12A87"/>
    <w:rsid w:val="00B14BD3"/>
    <w:rsid w:val="00B217A7"/>
    <w:rsid w:val="00B243EC"/>
    <w:rsid w:val="00B24ACB"/>
    <w:rsid w:val="00B31214"/>
    <w:rsid w:val="00B41CF6"/>
    <w:rsid w:val="00B41EC3"/>
    <w:rsid w:val="00B43CC4"/>
    <w:rsid w:val="00B51B09"/>
    <w:rsid w:val="00B644FF"/>
    <w:rsid w:val="00B64948"/>
    <w:rsid w:val="00B65344"/>
    <w:rsid w:val="00B65F42"/>
    <w:rsid w:val="00B74FA6"/>
    <w:rsid w:val="00B75102"/>
    <w:rsid w:val="00B7640E"/>
    <w:rsid w:val="00B776AB"/>
    <w:rsid w:val="00B83986"/>
    <w:rsid w:val="00B86F90"/>
    <w:rsid w:val="00B941AD"/>
    <w:rsid w:val="00B94F20"/>
    <w:rsid w:val="00B96671"/>
    <w:rsid w:val="00B96A70"/>
    <w:rsid w:val="00BA16F5"/>
    <w:rsid w:val="00BA367A"/>
    <w:rsid w:val="00BA48C4"/>
    <w:rsid w:val="00BA6C2B"/>
    <w:rsid w:val="00BA74A4"/>
    <w:rsid w:val="00BB1462"/>
    <w:rsid w:val="00BB3342"/>
    <w:rsid w:val="00BB5621"/>
    <w:rsid w:val="00BC1278"/>
    <w:rsid w:val="00BC1D72"/>
    <w:rsid w:val="00BC27A6"/>
    <w:rsid w:val="00BC3EF1"/>
    <w:rsid w:val="00BC6DF1"/>
    <w:rsid w:val="00BC7C90"/>
    <w:rsid w:val="00BD2B73"/>
    <w:rsid w:val="00BE5E20"/>
    <w:rsid w:val="00C0013F"/>
    <w:rsid w:val="00C042BE"/>
    <w:rsid w:val="00C04F0A"/>
    <w:rsid w:val="00C216F7"/>
    <w:rsid w:val="00C242D1"/>
    <w:rsid w:val="00C247FA"/>
    <w:rsid w:val="00C24BFE"/>
    <w:rsid w:val="00C31A2F"/>
    <w:rsid w:val="00C34E01"/>
    <w:rsid w:val="00C34F38"/>
    <w:rsid w:val="00C367C1"/>
    <w:rsid w:val="00C41F0A"/>
    <w:rsid w:val="00C4528D"/>
    <w:rsid w:val="00C47793"/>
    <w:rsid w:val="00C47CF8"/>
    <w:rsid w:val="00C5044D"/>
    <w:rsid w:val="00C5429E"/>
    <w:rsid w:val="00C561E4"/>
    <w:rsid w:val="00C60439"/>
    <w:rsid w:val="00C60C03"/>
    <w:rsid w:val="00C6448F"/>
    <w:rsid w:val="00C64AB1"/>
    <w:rsid w:val="00C64C3B"/>
    <w:rsid w:val="00C65362"/>
    <w:rsid w:val="00C733AD"/>
    <w:rsid w:val="00C73927"/>
    <w:rsid w:val="00C74F4C"/>
    <w:rsid w:val="00C823EB"/>
    <w:rsid w:val="00C94E32"/>
    <w:rsid w:val="00C953CD"/>
    <w:rsid w:val="00C95AE0"/>
    <w:rsid w:val="00CA00F2"/>
    <w:rsid w:val="00CA0B2F"/>
    <w:rsid w:val="00CA4C1C"/>
    <w:rsid w:val="00CA6A40"/>
    <w:rsid w:val="00CB285C"/>
    <w:rsid w:val="00CB4ED3"/>
    <w:rsid w:val="00CB5453"/>
    <w:rsid w:val="00CC48D7"/>
    <w:rsid w:val="00CC5540"/>
    <w:rsid w:val="00CD14B8"/>
    <w:rsid w:val="00CD7A12"/>
    <w:rsid w:val="00CE1A99"/>
    <w:rsid w:val="00CE2223"/>
    <w:rsid w:val="00CE6C2E"/>
    <w:rsid w:val="00CE73B6"/>
    <w:rsid w:val="00CF380A"/>
    <w:rsid w:val="00CF3D95"/>
    <w:rsid w:val="00D05684"/>
    <w:rsid w:val="00D17199"/>
    <w:rsid w:val="00D26737"/>
    <w:rsid w:val="00D42783"/>
    <w:rsid w:val="00D42B2E"/>
    <w:rsid w:val="00D47277"/>
    <w:rsid w:val="00D511C3"/>
    <w:rsid w:val="00D543D1"/>
    <w:rsid w:val="00D5660A"/>
    <w:rsid w:val="00D60070"/>
    <w:rsid w:val="00D6016F"/>
    <w:rsid w:val="00D60180"/>
    <w:rsid w:val="00D62FF5"/>
    <w:rsid w:val="00D64363"/>
    <w:rsid w:val="00D64D5B"/>
    <w:rsid w:val="00D708E4"/>
    <w:rsid w:val="00D76404"/>
    <w:rsid w:val="00D806C3"/>
    <w:rsid w:val="00D87AA6"/>
    <w:rsid w:val="00D90054"/>
    <w:rsid w:val="00D92CC1"/>
    <w:rsid w:val="00D94173"/>
    <w:rsid w:val="00D964AD"/>
    <w:rsid w:val="00D978C8"/>
    <w:rsid w:val="00D9795C"/>
    <w:rsid w:val="00D97D5A"/>
    <w:rsid w:val="00DB27D8"/>
    <w:rsid w:val="00DB42F1"/>
    <w:rsid w:val="00DB4A0C"/>
    <w:rsid w:val="00DB6365"/>
    <w:rsid w:val="00DC14E5"/>
    <w:rsid w:val="00DC7D28"/>
    <w:rsid w:val="00DD0F3D"/>
    <w:rsid w:val="00DD2898"/>
    <w:rsid w:val="00DD7184"/>
    <w:rsid w:val="00DE0FDF"/>
    <w:rsid w:val="00DE1732"/>
    <w:rsid w:val="00DE1D2D"/>
    <w:rsid w:val="00DF3459"/>
    <w:rsid w:val="00DF5567"/>
    <w:rsid w:val="00DF7BA3"/>
    <w:rsid w:val="00E007E9"/>
    <w:rsid w:val="00E032DE"/>
    <w:rsid w:val="00E1154D"/>
    <w:rsid w:val="00E1190E"/>
    <w:rsid w:val="00E123AB"/>
    <w:rsid w:val="00E14BA2"/>
    <w:rsid w:val="00E250C2"/>
    <w:rsid w:val="00E30415"/>
    <w:rsid w:val="00E3332E"/>
    <w:rsid w:val="00E34FF3"/>
    <w:rsid w:val="00E432BC"/>
    <w:rsid w:val="00E43756"/>
    <w:rsid w:val="00E60E4B"/>
    <w:rsid w:val="00E62770"/>
    <w:rsid w:val="00E748BF"/>
    <w:rsid w:val="00E80F63"/>
    <w:rsid w:val="00E85900"/>
    <w:rsid w:val="00E908A7"/>
    <w:rsid w:val="00E91990"/>
    <w:rsid w:val="00E943BA"/>
    <w:rsid w:val="00E951A4"/>
    <w:rsid w:val="00EA24D6"/>
    <w:rsid w:val="00EA562E"/>
    <w:rsid w:val="00EB0A84"/>
    <w:rsid w:val="00EB3DFF"/>
    <w:rsid w:val="00EC0250"/>
    <w:rsid w:val="00EC0C01"/>
    <w:rsid w:val="00EC2EA9"/>
    <w:rsid w:val="00EC3B07"/>
    <w:rsid w:val="00EC61C6"/>
    <w:rsid w:val="00EC688D"/>
    <w:rsid w:val="00ED2104"/>
    <w:rsid w:val="00ED64BE"/>
    <w:rsid w:val="00ED75FE"/>
    <w:rsid w:val="00EE2E92"/>
    <w:rsid w:val="00EE431A"/>
    <w:rsid w:val="00EE5BE5"/>
    <w:rsid w:val="00EF1F88"/>
    <w:rsid w:val="00EF3BB3"/>
    <w:rsid w:val="00EF4143"/>
    <w:rsid w:val="00EF4360"/>
    <w:rsid w:val="00EF5394"/>
    <w:rsid w:val="00F00AA2"/>
    <w:rsid w:val="00F0298B"/>
    <w:rsid w:val="00F033C1"/>
    <w:rsid w:val="00F0491D"/>
    <w:rsid w:val="00F10922"/>
    <w:rsid w:val="00F15413"/>
    <w:rsid w:val="00F1577E"/>
    <w:rsid w:val="00F1588F"/>
    <w:rsid w:val="00F25A1D"/>
    <w:rsid w:val="00F372D9"/>
    <w:rsid w:val="00F50288"/>
    <w:rsid w:val="00F51F6C"/>
    <w:rsid w:val="00F52C41"/>
    <w:rsid w:val="00F52CA0"/>
    <w:rsid w:val="00F5649D"/>
    <w:rsid w:val="00F61213"/>
    <w:rsid w:val="00F6544F"/>
    <w:rsid w:val="00F71132"/>
    <w:rsid w:val="00F7400D"/>
    <w:rsid w:val="00F7792F"/>
    <w:rsid w:val="00F83799"/>
    <w:rsid w:val="00F8736F"/>
    <w:rsid w:val="00F919F3"/>
    <w:rsid w:val="00F91DAD"/>
    <w:rsid w:val="00F92BB0"/>
    <w:rsid w:val="00FA3337"/>
    <w:rsid w:val="00FA5624"/>
    <w:rsid w:val="00FA7730"/>
    <w:rsid w:val="00FA7850"/>
    <w:rsid w:val="00FA7B0E"/>
    <w:rsid w:val="00FB6562"/>
    <w:rsid w:val="00FC1008"/>
    <w:rsid w:val="00FC4BE2"/>
    <w:rsid w:val="00FC64AD"/>
    <w:rsid w:val="00FD0856"/>
    <w:rsid w:val="00FD7B75"/>
    <w:rsid w:val="00FD7C2F"/>
    <w:rsid w:val="00FE3AA7"/>
    <w:rsid w:val="00FE4F44"/>
    <w:rsid w:val="00FE6D21"/>
    <w:rsid w:val="00FF148E"/>
    <w:rsid w:val="00FF680F"/>
    <w:rsid w:val="00FF7E07"/>
    <w:rsid w:val="01793871"/>
    <w:rsid w:val="01916417"/>
    <w:rsid w:val="02037B8A"/>
    <w:rsid w:val="038A212A"/>
    <w:rsid w:val="03BA7B48"/>
    <w:rsid w:val="03FAD70A"/>
    <w:rsid w:val="042D2316"/>
    <w:rsid w:val="0519A300"/>
    <w:rsid w:val="05392E8C"/>
    <w:rsid w:val="067A12BD"/>
    <w:rsid w:val="0686916A"/>
    <w:rsid w:val="06F84B87"/>
    <w:rsid w:val="086A97BA"/>
    <w:rsid w:val="0885A937"/>
    <w:rsid w:val="088F8169"/>
    <w:rsid w:val="0913E7CD"/>
    <w:rsid w:val="09C5264D"/>
    <w:rsid w:val="0A19F724"/>
    <w:rsid w:val="0AD95883"/>
    <w:rsid w:val="0AF1196A"/>
    <w:rsid w:val="0B50FEEE"/>
    <w:rsid w:val="0BBB25E4"/>
    <w:rsid w:val="0C12FC1A"/>
    <w:rsid w:val="0C8E1D0B"/>
    <w:rsid w:val="0CC809D6"/>
    <w:rsid w:val="0D8160E5"/>
    <w:rsid w:val="0E2AA952"/>
    <w:rsid w:val="0E4B8C75"/>
    <w:rsid w:val="0F088A4C"/>
    <w:rsid w:val="0F3A3B7B"/>
    <w:rsid w:val="0FC79054"/>
    <w:rsid w:val="101FF436"/>
    <w:rsid w:val="10339199"/>
    <w:rsid w:val="11B88A69"/>
    <w:rsid w:val="11BB4D2A"/>
    <w:rsid w:val="14029A97"/>
    <w:rsid w:val="14DD6509"/>
    <w:rsid w:val="1567611D"/>
    <w:rsid w:val="15EEF3FD"/>
    <w:rsid w:val="15FB9D8B"/>
    <w:rsid w:val="17E32DD7"/>
    <w:rsid w:val="17F823D5"/>
    <w:rsid w:val="18CDB96C"/>
    <w:rsid w:val="191E7187"/>
    <w:rsid w:val="193FF189"/>
    <w:rsid w:val="194CF207"/>
    <w:rsid w:val="1981E93E"/>
    <w:rsid w:val="198D6955"/>
    <w:rsid w:val="19B3633F"/>
    <w:rsid w:val="1A4102E2"/>
    <w:rsid w:val="1ACFB1F3"/>
    <w:rsid w:val="1AD4F567"/>
    <w:rsid w:val="1B3AFAC5"/>
    <w:rsid w:val="1C1DB6F0"/>
    <w:rsid w:val="1C56DD36"/>
    <w:rsid w:val="1D40F75A"/>
    <w:rsid w:val="1D9CFFB0"/>
    <w:rsid w:val="1E281EF4"/>
    <w:rsid w:val="1E3A9F48"/>
    <w:rsid w:val="1F1218D3"/>
    <w:rsid w:val="1F4B551B"/>
    <w:rsid w:val="2042D650"/>
    <w:rsid w:val="206DBFBB"/>
    <w:rsid w:val="20DD0794"/>
    <w:rsid w:val="2179C53E"/>
    <w:rsid w:val="21B53EB9"/>
    <w:rsid w:val="21B83E27"/>
    <w:rsid w:val="21C22127"/>
    <w:rsid w:val="21F1FA30"/>
    <w:rsid w:val="226CD2D9"/>
    <w:rsid w:val="229DA1EE"/>
    <w:rsid w:val="22DE8AE3"/>
    <w:rsid w:val="260E53AA"/>
    <w:rsid w:val="263A17DF"/>
    <w:rsid w:val="268B9BEF"/>
    <w:rsid w:val="2750D966"/>
    <w:rsid w:val="276E36E2"/>
    <w:rsid w:val="281FC205"/>
    <w:rsid w:val="299E6EAE"/>
    <w:rsid w:val="2A6AAAD9"/>
    <w:rsid w:val="2CDC8F83"/>
    <w:rsid w:val="2E56BE8E"/>
    <w:rsid w:val="2EB53119"/>
    <w:rsid w:val="2F58CCD1"/>
    <w:rsid w:val="2F7072C0"/>
    <w:rsid w:val="3005D2F6"/>
    <w:rsid w:val="30E251E5"/>
    <w:rsid w:val="31721D98"/>
    <w:rsid w:val="31888FAF"/>
    <w:rsid w:val="318D412D"/>
    <w:rsid w:val="3192ABDE"/>
    <w:rsid w:val="31FF3392"/>
    <w:rsid w:val="325CFB87"/>
    <w:rsid w:val="328DCC7E"/>
    <w:rsid w:val="351E98B0"/>
    <w:rsid w:val="352946CA"/>
    <w:rsid w:val="37061D46"/>
    <w:rsid w:val="3867F69F"/>
    <w:rsid w:val="3896FD91"/>
    <w:rsid w:val="38CA6A3F"/>
    <w:rsid w:val="390F2D79"/>
    <w:rsid w:val="397EE01E"/>
    <w:rsid w:val="3996A9FC"/>
    <w:rsid w:val="39EDDDA0"/>
    <w:rsid w:val="3A787892"/>
    <w:rsid w:val="3B04C213"/>
    <w:rsid w:val="3BD0F7B1"/>
    <w:rsid w:val="3D44A7AF"/>
    <w:rsid w:val="3D46E4B6"/>
    <w:rsid w:val="3DA5FCC0"/>
    <w:rsid w:val="3E22C128"/>
    <w:rsid w:val="3EE50F29"/>
    <w:rsid w:val="3F3F7D91"/>
    <w:rsid w:val="3FD06C31"/>
    <w:rsid w:val="3FEE18E1"/>
    <w:rsid w:val="403A730A"/>
    <w:rsid w:val="404F5BA9"/>
    <w:rsid w:val="40950E1B"/>
    <w:rsid w:val="40EF4893"/>
    <w:rsid w:val="41DC1533"/>
    <w:rsid w:val="41EAE690"/>
    <w:rsid w:val="43F7883D"/>
    <w:rsid w:val="44B619DE"/>
    <w:rsid w:val="44CEAC51"/>
    <w:rsid w:val="45FA8918"/>
    <w:rsid w:val="4740C2F5"/>
    <w:rsid w:val="47C40F2A"/>
    <w:rsid w:val="481E5D65"/>
    <w:rsid w:val="4840CCF3"/>
    <w:rsid w:val="489C9185"/>
    <w:rsid w:val="48A0723E"/>
    <w:rsid w:val="48B31474"/>
    <w:rsid w:val="491ABEC5"/>
    <w:rsid w:val="49E020DC"/>
    <w:rsid w:val="4A6DFFF8"/>
    <w:rsid w:val="4BECE43F"/>
    <w:rsid w:val="4D37B9BB"/>
    <w:rsid w:val="4D4E8333"/>
    <w:rsid w:val="4D5B9F5D"/>
    <w:rsid w:val="4D63DBFF"/>
    <w:rsid w:val="4F0C535C"/>
    <w:rsid w:val="4FE1D482"/>
    <w:rsid w:val="506C5ABB"/>
    <w:rsid w:val="5096D7FA"/>
    <w:rsid w:val="50E8FA3A"/>
    <w:rsid w:val="54A1FF20"/>
    <w:rsid w:val="54A55309"/>
    <w:rsid w:val="551E17EC"/>
    <w:rsid w:val="554644C2"/>
    <w:rsid w:val="55C59AD7"/>
    <w:rsid w:val="5611E30E"/>
    <w:rsid w:val="562ABA9B"/>
    <w:rsid w:val="57956BE3"/>
    <w:rsid w:val="59A245EC"/>
    <w:rsid w:val="5B2F6EFB"/>
    <w:rsid w:val="5CD20851"/>
    <w:rsid w:val="5CE973B5"/>
    <w:rsid w:val="5D6197DA"/>
    <w:rsid w:val="5DD931DB"/>
    <w:rsid w:val="5EA1675E"/>
    <w:rsid w:val="5F0D7DB9"/>
    <w:rsid w:val="5F784EE0"/>
    <w:rsid w:val="606B69D7"/>
    <w:rsid w:val="60B07E9B"/>
    <w:rsid w:val="60C2D16E"/>
    <w:rsid w:val="617CA924"/>
    <w:rsid w:val="620B816F"/>
    <w:rsid w:val="63352163"/>
    <w:rsid w:val="63A3EE55"/>
    <w:rsid w:val="63F6638A"/>
    <w:rsid w:val="6438FD45"/>
    <w:rsid w:val="64C27BA5"/>
    <w:rsid w:val="666F09F4"/>
    <w:rsid w:val="66D2A6C5"/>
    <w:rsid w:val="6906915A"/>
    <w:rsid w:val="6991A8F4"/>
    <w:rsid w:val="69AA7F26"/>
    <w:rsid w:val="6A00E7C3"/>
    <w:rsid w:val="6A394480"/>
    <w:rsid w:val="6A436914"/>
    <w:rsid w:val="6A5F1E4A"/>
    <w:rsid w:val="6C4D9037"/>
    <w:rsid w:val="6D4C6E5A"/>
    <w:rsid w:val="6EF63631"/>
    <w:rsid w:val="6FF724E7"/>
    <w:rsid w:val="71707A4F"/>
    <w:rsid w:val="71F666A3"/>
    <w:rsid w:val="73039585"/>
    <w:rsid w:val="734F26B6"/>
    <w:rsid w:val="73A85552"/>
    <w:rsid w:val="75A04283"/>
    <w:rsid w:val="75D85AFF"/>
    <w:rsid w:val="75F2701C"/>
    <w:rsid w:val="760D8F69"/>
    <w:rsid w:val="76815E54"/>
    <w:rsid w:val="76DAB8CB"/>
    <w:rsid w:val="77BB6955"/>
    <w:rsid w:val="787262BF"/>
    <w:rsid w:val="78C28720"/>
    <w:rsid w:val="78F6D877"/>
    <w:rsid w:val="7A711F3C"/>
    <w:rsid w:val="7ABDDEC8"/>
    <w:rsid w:val="7C467B81"/>
    <w:rsid w:val="7D4AF28D"/>
    <w:rsid w:val="7D79D430"/>
    <w:rsid w:val="7EB1B7C1"/>
    <w:rsid w:val="7EB1BF45"/>
    <w:rsid w:val="7FEA95D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006D"/>
  <w15:chartTrackingRefBased/>
  <w15:docId w15:val="{6353B7B9-F3F0-4219-B2F2-92D483DE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28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986"/>
    <w:pPr>
      <w:autoSpaceDE w:val="0"/>
      <w:autoSpaceDN w:val="0"/>
      <w:adjustRightInd w:val="0"/>
      <w:spacing w:after="0" w:line="240" w:lineRule="auto"/>
    </w:pPr>
    <w:rPr>
      <w:rFonts w:ascii="Gellix" w:hAnsi="Gellix" w:cs="Gellix"/>
      <w:color w:val="000000"/>
      <w:sz w:val="24"/>
      <w:szCs w:val="24"/>
    </w:rPr>
  </w:style>
  <w:style w:type="character" w:styleId="CommentReference">
    <w:name w:val="annotation reference"/>
    <w:basedOn w:val="DefaultParagraphFont"/>
    <w:uiPriority w:val="99"/>
    <w:semiHidden/>
    <w:unhideWhenUsed/>
    <w:rsid w:val="000A66DD"/>
    <w:rPr>
      <w:sz w:val="16"/>
      <w:szCs w:val="16"/>
    </w:rPr>
  </w:style>
  <w:style w:type="paragraph" w:styleId="CommentText">
    <w:name w:val="annotation text"/>
    <w:basedOn w:val="Normal"/>
    <w:link w:val="CommentTextChar"/>
    <w:uiPriority w:val="99"/>
    <w:unhideWhenUsed/>
    <w:rsid w:val="000A66DD"/>
    <w:pPr>
      <w:spacing w:line="240" w:lineRule="auto"/>
    </w:pPr>
    <w:rPr>
      <w:sz w:val="20"/>
      <w:szCs w:val="20"/>
    </w:rPr>
  </w:style>
  <w:style w:type="character" w:customStyle="1" w:styleId="CommentTextChar">
    <w:name w:val="Comment Text Char"/>
    <w:basedOn w:val="DefaultParagraphFont"/>
    <w:link w:val="CommentText"/>
    <w:uiPriority w:val="99"/>
    <w:rsid w:val="000A66DD"/>
    <w:rPr>
      <w:sz w:val="20"/>
      <w:szCs w:val="20"/>
    </w:rPr>
  </w:style>
  <w:style w:type="paragraph" w:styleId="CommentSubject">
    <w:name w:val="annotation subject"/>
    <w:basedOn w:val="CommentText"/>
    <w:next w:val="CommentText"/>
    <w:link w:val="CommentSubjectChar"/>
    <w:uiPriority w:val="99"/>
    <w:semiHidden/>
    <w:unhideWhenUsed/>
    <w:rsid w:val="000A66DD"/>
    <w:rPr>
      <w:b/>
      <w:bCs/>
    </w:rPr>
  </w:style>
  <w:style w:type="character" w:customStyle="1" w:styleId="CommentSubjectChar">
    <w:name w:val="Comment Subject Char"/>
    <w:basedOn w:val="CommentTextChar"/>
    <w:link w:val="CommentSubject"/>
    <w:uiPriority w:val="99"/>
    <w:semiHidden/>
    <w:rsid w:val="000A66DD"/>
    <w:rPr>
      <w:b/>
      <w:bCs/>
      <w:sz w:val="20"/>
      <w:szCs w:val="20"/>
    </w:rPr>
  </w:style>
  <w:style w:type="paragraph" w:customStyle="1" w:styleId="xmsonormal">
    <w:name w:val="xmsonormal"/>
    <w:basedOn w:val="Normal"/>
    <w:rsid w:val="00C561E4"/>
    <w:pPr>
      <w:spacing w:before="100" w:beforeAutospacing="1" w:after="100" w:afterAutospacing="1" w:line="240" w:lineRule="auto"/>
    </w:pPr>
    <w:rPr>
      <w:rFonts w:ascii="Calibri" w:hAnsi="Calibri" w:cs="Calibri"/>
      <w:lang w:eastAsia="en-GB"/>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List Paragraph11"/>
    <w:basedOn w:val="Normal"/>
    <w:link w:val="ListParagraphChar"/>
    <w:uiPriority w:val="34"/>
    <w:qFormat/>
    <w:rsid w:val="0071151E"/>
    <w:pPr>
      <w:ind w:left="720"/>
      <w:contextualSpacing/>
    </w:pPr>
    <w:rPr>
      <w:lang w:val="es-E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71151E"/>
    <w:rPr>
      <w:lang w:val="es-ES"/>
    </w:rPr>
  </w:style>
  <w:style w:type="character" w:customStyle="1" w:styleId="Heading1Char">
    <w:name w:val="Heading 1 Char"/>
    <w:basedOn w:val="DefaultParagraphFont"/>
    <w:link w:val="Heading1"/>
    <w:uiPriority w:val="9"/>
    <w:rsid w:val="00FA56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3448A"/>
    <w:rPr>
      <w:color w:val="0000FF"/>
      <w:u w:val="single"/>
    </w:rPr>
  </w:style>
  <w:style w:type="paragraph" w:styleId="IntenseQuote">
    <w:name w:val="Intense Quote"/>
    <w:basedOn w:val="Normal"/>
    <w:next w:val="Normal"/>
    <w:link w:val="IntenseQuoteChar"/>
    <w:uiPriority w:val="30"/>
    <w:qFormat/>
    <w:rsid w:val="004B73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73AA"/>
    <w:rPr>
      <w:i/>
      <w:iCs/>
      <w:color w:val="4472C4" w:themeColor="accent1"/>
    </w:rPr>
  </w:style>
  <w:style w:type="paragraph" w:styleId="Revision">
    <w:name w:val="Revision"/>
    <w:hidden/>
    <w:uiPriority w:val="99"/>
    <w:semiHidden/>
    <w:rsid w:val="00CB4ED3"/>
    <w:pPr>
      <w:spacing w:after="0" w:line="240" w:lineRule="auto"/>
    </w:pPr>
  </w:style>
  <w:style w:type="paragraph" w:styleId="Header">
    <w:name w:val="header"/>
    <w:basedOn w:val="Normal"/>
    <w:link w:val="HeaderChar"/>
    <w:uiPriority w:val="99"/>
    <w:unhideWhenUsed/>
    <w:rsid w:val="00D51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1C3"/>
  </w:style>
  <w:style w:type="paragraph" w:styleId="Footer">
    <w:name w:val="footer"/>
    <w:basedOn w:val="Normal"/>
    <w:link w:val="FooterChar"/>
    <w:uiPriority w:val="99"/>
    <w:unhideWhenUsed/>
    <w:rsid w:val="00D51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1C3"/>
  </w:style>
  <w:style w:type="paragraph" w:styleId="Title">
    <w:name w:val="Title"/>
    <w:basedOn w:val="Normal"/>
    <w:next w:val="Normal"/>
    <w:link w:val="TitleChar"/>
    <w:uiPriority w:val="10"/>
    <w:qFormat/>
    <w:rsid w:val="001A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F9A"/>
    <w:rPr>
      <w:rFonts w:asciiTheme="majorHAnsi" w:eastAsiaTheme="majorEastAsia" w:hAnsiTheme="majorHAnsi" w:cstheme="majorBidi"/>
      <w:spacing w:val="-10"/>
      <w:kern w:val="28"/>
      <w:sz w:val="56"/>
      <w:szCs w:val="56"/>
    </w:rPr>
  </w:style>
  <w:style w:type="paragraph" w:customStyle="1" w:styleId="SubTitle">
    <w:name w:val="Sub Title"/>
    <w:basedOn w:val="Heading2"/>
    <w:link w:val="SubTitleCar"/>
    <w:qFormat/>
    <w:rsid w:val="003628FB"/>
    <w:pPr>
      <w:spacing w:before="0" w:after="120" w:line="276" w:lineRule="auto"/>
    </w:pPr>
    <w:rPr>
      <w:rFonts w:ascii="Gellix" w:hAnsi="Gellix"/>
      <w:b/>
      <w:color w:val="FFFFFF" w:themeColor="background1"/>
      <w:sz w:val="36"/>
      <w:szCs w:val="36"/>
      <w:lang w:val="en-US"/>
    </w:rPr>
  </w:style>
  <w:style w:type="character" w:customStyle="1" w:styleId="SubTitleCar">
    <w:name w:val="Sub Title Car"/>
    <w:basedOn w:val="Heading2Char"/>
    <w:link w:val="SubTitle"/>
    <w:rsid w:val="003628FB"/>
    <w:rPr>
      <w:rFonts w:ascii="Gellix" w:eastAsiaTheme="majorEastAsia" w:hAnsi="Gellix" w:cstheme="majorBidi"/>
      <w:b/>
      <w:color w:val="FFFFFF" w:themeColor="background1"/>
      <w:sz w:val="36"/>
      <w:szCs w:val="36"/>
      <w:lang w:val="en-US"/>
    </w:rPr>
  </w:style>
  <w:style w:type="character" w:customStyle="1" w:styleId="Heading2Char">
    <w:name w:val="Heading 2 Char"/>
    <w:basedOn w:val="DefaultParagraphFont"/>
    <w:link w:val="Heading2"/>
    <w:uiPriority w:val="9"/>
    <w:semiHidden/>
    <w:rsid w:val="003628F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46D8C"/>
    <w:rPr>
      <w:color w:val="605E5C"/>
      <w:shd w:val="clear" w:color="auto" w:fill="E1DFDD"/>
    </w:rPr>
  </w:style>
  <w:style w:type="paragraph" w:styleId="FootnoteText">
    <w:name w:val="footnote text"/>
    <w:basedOn w:val="Normal"/>
    <w:link w:val="FootnoteTextChar"/>
    <w:uiPriority w:val="99"/>
    <w:semiHidden/>
    <w:unhideWhenUsed/>
    <w:rsid w:val="002832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2CE"/>
    <w:rPr>
      <w:sz w:val="20"/>
      <w:szCs w:val="20"/>
    </w:rPr>
  </w:style>
  <w:style w:type="character" w:styleId="FootnoteReference">
    <w:name w:val="footnote reference"/>
    <w:basedOn w:val="DefaultParagraphFont"/>
    <w:uiPriority w:val="99"/>
    <w:semiHidden/>
    <w:unhideWhenUsed/>
    <w:rsid w:val="002832CE"/>
    <w:rPr>
      <w:vertAlign w:val="superscript"/>
    </w:rPr>
  </w:style>
  <w:style w:type="character" w:customStyle="1" w:styleId="normaltextrun">
    <w:name w:val="normaltextrun"/>
    <w:basedOn w:val="DefaultParagraphFont"/>
    <w:rsid w:val="005A7215"/>
  </w:style>
  <w:style w:type="paragraph" w:styleId="NormalWeb">
    <w:name w:val="Normal (Web)"/>
    <w:basedOn w:val="Normal"/>
    <w:uiPriority w:val="99"/>
    <w:semiHidden/>
    <w:unhideWhenUsed/>
    <w:rsid w:val="00C34F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9234">
      <w:bodyDiv w:val="1"/>
      <w:marLeft w:val="0"/>
      <w:marRight w:val="0"/>
      <w:marTop w:val="0"/>
      <w:marBottom w:val="0"/>
      <w:divBdr>
        <w:top w:val="none" w:sz="0" w:space="0" w:color="auto"/>
        <w:left w:val="none" w:sz="0" w:space="0" w:color="auto"/>
        <w:bottom w:val="none" w:sz="0" w:space="0" w:color="auto"/>
        <w:right w:val="none" w:sz="0" w:space="0" w:color="auto"/>
      </w:divBdr>
    </w:div>
    <w:div w:id="129519142">
      <w:bodyDiv w:val="1"/>
      <w:marLeft w:val="0"/>
      <w:marRight w:val="0"/>
      <w:marTop w:val="0"/>
      <w:marBottom w:val="0"/>
      <w:divBdr>
        <w:top w:val="none" w:sz="0" w:space="0" w:color="auto"/>
        <w:left w:val="none" w:sz="0" w:space="0" w:color="auto"/>
        <w:bottom w:val="none" w:sz="0" w:space="0" w:color="auto"/>
        <w:right w:val="none" w:sz="0" w:space="0" w:color="auto"/>
      </w:divBdr>
    </w:div>
    <w:div w:id="536163762">
      <w:bodyDiv w:val="1"/>
      <w:marLeft w:val="0"/>
      <w:marRight w:val="0"/>
      <w:marTop w:val="0"/>
      <w:marBottom w:val="0"/>
      <w:divBdr>
        <w:top w:val="none" w:sz="0" w:space="0" w:color="auto"/>
        <w:left w:val="none" w:sz="0" w:space="0" w:color="auto"/>
        <w:bottom w:val="none" w:sz="0" w:space="0" w:color="auto"/>
        <w:right w:val="none" w:sz="0" w:space="0" w:color="auto"/>
      </w:divBdr>
    </w:div>
    <w:div w:id="570579573">
      <w:bodyDiv w:val="1"/>
      <w:marLeft w:val="0"/>
      <w:marRight w:val="0"/>
      <w:marTop w:val="0"/>
      <w:marBottom w:val="0"/>
      <w:divBdr>
        <w:top w:val="none" w:sz="0" w:space="0" w:color="auto"/>
        <w:left w:val="none" w:sz="0" w:space="0" w:color="auto"/>
        <w:bottom w:val="none" w:sz="0" w:space="0" w:color="auto"/>
        <w:right w:val="none" w:sz="0" w:space="0" w:color="auto"/>
      </w:divBdr>
    </w:div>
    <w:div w:id="592084792">
      <w:bodyDiv w:val="1"/>
      <w:marLeft w:val="0"/>
      <w:marRight w:val="0"/>
      <w:marTop w:val="0"/>
      <w:marBottom w:val="0"/>
      <w:divBdr>
        <w:top w:val="none" w:sz="0" w:space="0" w:color="auto"/>
        <w:left w:val="none" w:sz="0" w:space="0" w:color="auto"/>
        <w:bottom w:val="none" w:sz="0" w:space="0" w:color="auto"/>
        <w:right w:val="none" w:sz="0" w:space="0" w:color="auto"/>
      </w:divBdr>
    </w:div>
    <w:div w:id="660079983">
      <w:bodyDiv w:val="1"/>
      <w:marLeft w:val="0"/>
      <w:marRight w:val="0"/>
      <w:marTop w:val="0"/>
      <w:marBottom w:val="0"/>
      <w:divBdr>
        <w:top w:val="none" w:sz="0" w:space="0" w:color="auto"/>
        <w:left w:val="none" w:sz="0" w:space="0" w:color="auto"/>
        <w:bottom w:val="none" w:sz="0" w:space="0" w:color="auto"/>
        <w:right w:val="none" w:sz="0" w:space="0" w:color="auto"/>
      </w:divBdr>
    </w:div>
    <w:div w:id="681055858">
      <w:bodyDiv w:val="1"/>
      <w:marLeft w:val="0"/>
      <w:marRight w:val="0"/>
      <w:marTop w:val="0"/>
      <w:marBottom w:val="0"/>
      <w:divBdr>
        <w:top w:val="none" w:sz="0" w:space="0" w:color="auto"/>
        <w:left w:val="none" w:sz="0" w:space="0" w:color="auto"/>
        <w:bottom w:val="none" w:sz="0" w:space="0" w:color="auto"/>
        <w:right w:val="none" w:sz="0" w:space="0" w:color="auto"/>
      </w:divBdr>
    </w:div>
    <w:div w:id="975372626">
      <w:bodyDiv w:val="1"/>
      <w:marLeft w:val="0"/>
      <w:marRight w:val="0"/>
      <w:marTop w:val="0"/>
      <w:marBottom w:val="0"/>
      <w:divBdr>
        <w:top w:val="none" w:sz="0" w:space="0" w:color="auto"/>
        <w:left w:val="none" w:sz="0" w:space="0" w:color="auto"/>
        <w:bottom w:val="none" w:sz="0" w:space="0" w:color="auto"/>
        <w:right w:val="none" w:sz="0" w:space="0" w:color="auto"/>
      </w:divBdr>
    </w:div>
    <w:div w:id="1540900090">
      <w:bodyDiv w:val="1"/>
      <w:marLeft w:val="0"/>
      <w:marRight w:val="0"/>
      <w:marTop w:val="0"/>
      <w:marBottom w:val="0"/>
      <w:divBdr>
        <w:top w:val="none" w:sz="0" w:space="0" w:color="auto"/>
        <w:left w:val="none" w:sz="0" w:space="0" w:color="auto"/>
        <w:bottom w:val="none" w:sz="0" w:space="0" w:color="auto"/>
        <w:right w:val="none" w:sz="0" w:space="0" w:color="auto"/>
      </w:divBdr>
      <w:divsChild>
        <w:div w:id="397824035">
          <w:marLeft w:val="547"/>
          <w:marRight w:val="0"/>
          <w:marTop w:val="0"/>
          <w:marBottom w:val="0"/>
          <w:divBdr>
            <w:top w:val="none" w:sz="0" w:space="0" w:color="auto"/>
            <w:left w:val="none" w:sz="0" w:space="0" w:color="auto"/>
            <w:bottom w:val="none" w:sz="0" w:space="0" w:color="auto"/>
            <w:right w:val="none" w:sz="0" w:space="0" w:color="auto"/>
          </w:divBdr>
        </w:div>
        <w:div w:id="1004671307">
          <w:marLeft w:val="547"/>
          <w:marRight w:val="0"/>
          <w:marTop w:val="0"/>
          <w:marBottom w:val="0"/>
          <w:divBdr>
            <w:top w:val="none" w:sz="0" w:space="0" w:color="auto"/>
            <w:left w:val="none" w:sz="0" w:space="0" w:color="auto"/>
            <w:bottom w:val="none" w:sz="0" w:space="0" w:color="auto"/>
            <w:right w:val="none" w:sz="0" w:space="0" w:color="auto"/>
          </w:divBdr>
        </w:div>
        <w:div w:id="1871067582">
          <w:marLeft w:val="547"/>
          <w:marRight w:val="0"/>
          <w:marTop w:val="0"/>
          <w:marBottom w:val="0"/>
          <w:divBdr>
            <w:top w:val="none" w:sz="0" w:space="0" w:color="auto"/>
            <w:left w:val="none" w:sz="0" w:space="0" w:color="auto"/>
            <w:bottom w:val="none" w:sz="0" w:space="0" w:color="auto"/>
            <w:right w:val="none" w:sz="0" w:space="0" w:color="auto"/>
          </w:divBdr>
        </w:div>
      </w:divsChild>
    </w:div>
    <w:div w:id="1541822136">
      <w:bodyDiv w:val="1"/>
      <w:marLeft w:val="0"/>
      <w:marRight w:val="0"/>
      <w:marTop w:val="0"/>
      <w:marBottom w:val="0"/>
      <w:divBdr>
        <w:top w:val="none" w:sz="0" w:space="0" w:color="auto"/>
        <w:left w:val="none" w:sz="0" w:space="0" w:color="auto"/>
        <w:bottom w:val="none" w:sz="0" w:space="0" w:color="auto"/>
        <w:right w:val="none" w:sz="0" w:space="0" w:color="auto"/>
      </w:divBdr>
    </w:div>
    <w:div w:id="1839424138">
      <w:bodyDiv w:val="1"/>
      <w:marLeft w:val="0"/>
      <w:marRight w:val="0"/>
      <w:marTop w:val="0"/>
      <w:marBottom w:val="0"/>
      <w:divBdr>
        <w:top w:val="none" w:sz="0" w:space="0" w:color="auto"/>
        <w:left w:val="none" w:sz="0" w:space="0" w:color="auto"/>
        <w:bottom w:val="none" w:sz="0" w:space="0" w:color="auto"/>
        <w:right w:val="none" w:sz="0" w:space="0" w:color="auto"/>
      </w:divBdr>
    </w:div>
    <w:div w:id="1981107893">
      <w:bodyDiv w:val="1"/>
      <w:marLeft w:val="0"/>
      <w:marRight w:val="0"/>
      <w:marTop w:val="0"/>
      <w:marBottom w:val="0"/>
      <w:divBdr>
        <w:top w:val="none" w:sz="0" w:space="0" w:color="auto"/>
        <w:left w:val="none" w:sz="0" w:space="0" w:color="auto"/>
        <w:bottom w:val="none" w:sz="0" w:space="0" w:color="auto"/>
        <w:right w:val="none" w:sz="0" w:space="0" w:color="auto"/>
      </w:divBdr>
    </w:div>
    <w:div w:id="1992713496">
      <w:bodyDiv w:val="1"/>
      <w:marLeft w:val="0"/>
      <w:marRight w:val="0"/>
      <w:marTop w:val="0"/>
      <w:marBottom w:val="0"/>
      <w:divBdr>
        <w:top w:val="none" w:sz="0" w:space="0" w:color="auto"/>
        <w:left w:val="none" w:sz="0" w:space="0" w:color="auto"/>
        <w:bottom w:val="none" w:sz="0" w:space="0" w:color="auto"/>
        <w:right w:val="none" w:sz="0" w:space="0" w:color="auto"/>
      </w:divBdr>
    </w:div>
    <w:div w:id="20901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ccwbo.org/news-publications/policies-reports/policy-primer-on-non-personal-data/" TargetMode="External"/><Relationship Id="rId2" Type="http://schemas.openxmlformats.org/officeDocument/2006/relationships/hyperlink" Target="https://iccwbo.org/news-publications/policies-reports/icc-white-paper-on-trusted-government-access-to-personal-data-held-by-the-private-sector/" TargetMode="External"/><Relationship Id="rId1" Type="http://schemas.openxmlformats.org/officeDocument/2006/relationships/hyperlink" Target="https://iccwbo.org/news-publications/policies-reports/icc-white-paper-on-delivering-universal-meaningful-connectivity/" TargetMode="External"/><Relationship Id="rId5" Type="http://schemas.openxmlformats.org/officeDocument/2006/relationships/hyperlink" Target="https://iccwbo.org/news-publications/icc-rules-guidelines/digitalisation-for-people-planet-and-prosperity/" TargetMode="External"/><Relationship Id="rId4" Type="http://schemas.openxmlformats.org/officeDocument/2006/relationships/hyperlink" Target="https://iccwbo.org/news-publications/icc-rules-guidelines/digitalisation-for-people-planet-and-prosper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SharedWithUsers xmlns="465ae127-5d1e-48f1-8bba-a4710e9de403">
      <UserInfo>
        <DisplayName>SUTO Timea</DisplayName>
        <AccountId>1683</AccountId>
        <AccountType/>
      </UserInfo>
      <UserInfo>
        <DisplayName>ANASTASIADOU Meni</DisplayName>
        <AccountId>7471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0AC4-AD10-4159-B083-9ACAD4709614}">
  <ds:schemaRefs>
    <ds:schemaRef ds:uri="http://schemas.microsoft.com/sharepoint/v3/contenttype/forms"/>
  </ds:schemaRefs>
</ds:datastoreItem>
</file>

<file path=customXml/itemProps2.xml><?xml version="1.0" encoding="utf-8"?>
<ds:datastoreItem xmlns:ds="http://schemas.openxmlformats.org/officeDocument/2006/customXml" ds:itemID="{994EAED1-C983-44E4-807A-B8FB88B6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87E39-7192-419E-88D4-5F1DB2AF540C}">
  <ds:schemaRefs>
    <ds:schemaRef ds:uri="http://schemas.microsoft.com/office/2006/metadata/properties"/>
    <ds:schemaRef ds:uri="http://schemas.microsoft.com/office/infopath/2007/PartnerControls"/>
    <ds:schemaRef ds:uri="598f140b-4145-4024-8bcc-6d7083f15a24"/>
    <ds:schemaRef ds:uri="fecf7fcc-4ac6-4448-a404-5e4417a2ee04"/>
    <ds:schemaRef ds:uri="465ae127-5d1e-48f1-8bba-a4710e9de403"/>
  </ds:schemaRefs>
</ds:datastoreItem>
</file>

<file path=customXml/itemProps4.xml><?xml version="1.0" encoding="utf-8"?>
<ds:datastoreItem xmlns:ds="http://schemas.openxmlformats.org/officeDocument/2006/customXml" ds:itemID="{5D7ACEA5-3D61-47A9-85CC-9B006052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2624</Words>
  <Characters>14960</Characters>
  <Application>Microsoft Office Word</Application>
  <DocSecurity>0</DocSecurity>
  <Lines>124</Lines>
  <Paragraphs>35</Paragraphs>
  <ScaleCrop>false</ScaleCrop>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EUSEBIO FELGUERA GARRIDO</dc:creator>
  <cp:keywords/>
  <dc:description/>
  <cp:lastModifiedBy>ANASTASIADOU Meni</cp:lastModifiedBy>
  <cp:revision>425</cp:revision>
  <dcterms:created xsi:type="dcterms:W3CDTF">2023-03-13T16:16:00Z</dcterms:created>
  <dcterms:modified xsi:type="dcterms:W3CDTF">2024-07-19T08:33:00Z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#000000,7,Arial</vt:lpwstr>
  </property>
  <property fmtid="{D5CDD505-2E9C-101B-9397-08002B2CF9AE}" pid="6" name="ClassificationContentMarkingFooterText">
    <vt:lpwstr>***Este documento está clasificado como PUBLICO por TELEFÓNICA.
***This document is classified as PUBLIC by TELEFÓNICA.</vt:lpwstr>
  </property>
  <property fmtid="{D5CDD505-2E9C-101B-9397-08002B2CF9AE}" pid="7" name="MSIP_Label_e65bd4d2-aa7c-445f-9ef8-222ebb1d2b43_Enabled">
    <vt:lpwstr>true</vt:lpwstr>
  </property>
  <property fmtid="{D5CDD505-2E9C-101B-9397-08002B2CF9AE}" pid="8" name="MSIP_Label_e65bd4d2-aa7c-445f-9ef8-222ebb1d2b43_SetDate">
    <vt:lpwstr>2024-04-03T15:59:02Z</vt:lpwstr>
  </property>
  <property fmtid="{D5CDD505-2E9C-101B-9397-08002B2CF9AE}" pid="9" name="MSIP_Label_e65bd4d2-aa7c-445f-9ef8-222ebb1d2b43_Method">
    <vt:lpwstr>Privileged</vt:lpwstr>
  </property>
  <property fmtid="{D5CDD505-2E9C-101B-9397-08002B2CF9AE}" pid="10" name="MSIP_Label_e65bd4d2-aa7c-445f-9ef8-222ebb1d2b43_Name">
    <vt:lpwstr>e65bd4d2-aa7c-445f-9ef8-222ebb1d2b43</vt:lpwstr>
  </property>
  <property fmtid="{D5CDD505-2E9C-101B-9397-08002B2CF9AE}" pid="11" name="MSIP_Label_e65bd4d2-aa7c-445f-9ef8-222ebb1d2b43_SiteId">
    <vt:lpwstr>9744600e-3e04-492e-baa1-25ec245c6f10</vt:lpwstr>
  </property>
  <property fmtid="{D5CDD505-2E9C-101B-9397-08002B2CF9AE}" pid="12" name="MSIP_Label_e65bd4d2-aa7c-445f-9ef8-222ebb1d2b43_ActionId">
    <vt:lpwstr>8b2c7de8-204d-462d-b0e7-6c0304c26542</vt:lpwstr>
  </property>
  <property fmtid="{D5CDD505-2E9C-101B-9397-08002B2CF9AE}" pid="13" name="MSIP_Label_e65bd4d2-aa7c-445f-9ef8-222ebb1d2b43_ContentBits">
    <vt:lpwstr>2</vt:lpwstr>
  </property>
</Properties>
</file>