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481CF" w14:textId="00F24EAD" w:rsidR="00E52224" w:rsidRPr="00377411" w:rsidRDefault="00E52224" w:rsidP="0061477A"/>
    <w:p w14:paraId="7C6ED337" w14:textId="77777777" w:rsidR="009805F1" w:rsidRDefault="009805F1" w:rsidP="0061477A">
      <w:pPr>
        <w:sectPr w:rsidR="009805F1" w:rsidSect="004B6918">
          <w:headerReference w:type="even" r:id="rId13"/>
          <w:headerReference w:type="default" r:id="rId14"/>
          <w:footerReference w:type="even" r:id="rId15"/>
          <w:footerReference w:type="default" r:id="rId16"/>
          <w:type w:val="oddPage"/>
          <w:pgSz w:w="11900" w:h="16840"/>
          <w:pgMar w:top="1418" w:right="1418" w:bottom="1276" w:left="1418" w:header="567" w:footer="510" w:gutter="0"/>
          <w:pgNumType w:start="25"/>
          <w:cols w:space="708"/>
          <w:docGrid w:linePitch="272"/>
        </w:sectPr>
      </w:pPr>
    </w:p>
    <w:p w14:paraId="5E3BBDD9" w14:textId="77777777" w:rsidR="00F34B87" w:rsidRPr="00377411" w:rsidRDefault="00F34B87" w:rsidP="0061477A">
      <w:pPr>
        <w:pStyle w:val="Header"/>
        <w:rPr>
          <w:lang w:val="en-GB"/>
        </w:rPr>
      </w:pPr>
    </w:p>
    <w:bookmarkStart w:id="0" w:name="_Toc166513084"/>
    <w:bookmarkStart w:id="1" w:name="_Toc166513780"/>
    <w:bookmarkStart w:id="2" w:name="_Toc166747874"/>
    <w:p w14:paraId="34EF22CC" w14:textId="7A311A69" w:rsidR="00702357" w:rsidRPr="00210937" w:rsidRDefault="001F28E5" w:rsidP="0061477A">
      <w:pPr>
        <w:pStyle w:val="Masterheading"/>
        <w:outlineLvl w:val="0"/>
        <w:rPr>
          <w:rFonts w:cs="Arial"/>
          <w:b/>
          <w:bCs/>
          <w:color w:val="595959"/>
          <w:spacing w:val="20"/>
          <w:lang w:val="en-GB"/>
        </w:rPr>
      </w:pPr>
      <w:r>
        <w:rPr>
          <w:noProof/>
          <w:sz w:val="20"/>
          <w:lang w:val="fr-FR" w:eastAsia="fr-FR"/>
        </w:rPr>
        <mc:AlternateContent>
          <mc:Choice Requires="wps">
            <w:drawing>
              <wp:anchor distT="0" distB="0" distL="114300" distR="114300" simplePos="0" relativeHeight="251658241" behindDoc="1" locked="0" layoutInCell="1" allowOverlap="1" wp14:anchorId="74F4A14B" wp14:editId="5A87F970">
                <wp:simplePos x="0" y="0"/>
                <wp:positionH relativeFrom="margin">
                  <wp:posOffset>5415280</wp:posOffset>
                </wp:positionH>
                <wp:positionV relativeFrom="paragraph">
                  <wp:posOffset>831215</wp:posOffset>
                </wp:positionV>
                <wp:extent cx="1259840" cy="5397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840" cy="539750"/>
                        </a:xfrm>
                        <a:prstGeom prst="rect">
                          <a:avLst/>
                        </a:prstGeom>
                        <a:solidFill>
                          <a:sysClr val="window" lastClr="FFFFFF">
                            <a:alpha val="65000"/>
                          </a:sysClr>
                        </a:solidFill>
                        <a:ln w="9525" cap="flat" cmpd="sng" algn="ctr">
                          <a:noFill/>
                          <a:prstDash val="solid"/>
                        </a:ln>
                        <a:effectLst/>
                      </wps:spPr>
                      <wps:bodyPr/>
                    </wps:wsp>
                  </a:graphicData>
                </a:graphic>
                <wp14:sizeRelH relativeFrom="page">
                  <wp14:pctWidth>0</wp14:pctWidth>
                </wp14:sizeRelH>
                <wp14:sizeRelV relativeFrom="page">
                  <wp14:pctHeight>0</wp14:pctHeight>
                </wp14:sizeRelV>
              </wp:anchor>
            </w:drawing>
          </mc:Choice>
          <mc:Fallback>
            <w:pict>
              <v:rect w14:anchorId="36F0CBD2" id="Rectangle 7" o:spid="_x0000_s1026" style="position:absolute;margin-left:426.4pt;margin-top:65.45pt;width:99.2pt;height:4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" fillcolor="window" stroked="f">
                <v:fill opacity="42662f"/>
                <w10:wrap anchorx="margin"/>
              </v:rect>
            </w:pict>
          </mc:Fallback>
        </mc:AlternateContent>
      </w:r>
      <w:r w:rsidR="00991BF3" w:rsidRPr="00210937">
        <w:rPr>
          <w:rFonts w:cs="Arial"/>
          <w:b/>
          <w:bCs/>
          <w:color w:val="595959"/>
          <w:spacing w:val="20"/>
          <w:lang w:val="en-GB"/>
        </w:rPr>
        <w:t>THE ICC ANTITRUST COMPLIANCE TOOLKIT</w:t>
      </w:r>
      <w:bookmarkEnd w:id="0"/>
      <w:bookmarkEnd w:id="1"/>
      <w:bookmarkEnd w:id="2"/>
      <w:r w:rsidR="00AC64E8">
        <w:rPr>
          <w:rFonts w:cs="Arial"/>
          <w:b/>
          <w:bCs/>
          <w:color w:val="595959"/>
          <w:spacing w:val="20"/>
          <w:lang w:val="en-GB"/>
        </w:rPr>
        <w:t xml:space="preserve"> </w:t>
      </w:r>
    </w:p>
    <w:p w14:paraId="29842B5D" w14:textId="4E082937" w:rsidR="00BA7B61" w:rsidRPr="00E735AF" w:rsidRDefault="00E735AF" w:rsidP="0061477A">
      <w:pPr>
        <w:pStyle w:val="NoSpacing"/>
        <w:rPr>
          <w:rFonts w:ascii="Arial" w:hAnsi="Arial"/>
          <w:sz w:val="52"/>
          <w:szCs w:val="52"/>
          <w:lang w:val="en-GB"/>
        </w:rPr>
      </w:pPr>
      <w:r w:rsidRPr="00E735AF">
        <w:rPr>
          <w:rFonts w:ascii="Arial" w:hAnsi="Arial"/>
          <w:sz w:val="52"/>
          <w:szCs w:val="52"/>
          <w:lang w:val="en-GB"/>
        </w:rPr>
        <w:t>Second Edition (</w:t>
      </w:r>
      <w:r w:rsidR="002C7F9C" w:rsidRPr="00E735AF">
        <w:rPr>
          <w:rFonts w:ascii="Arial" w:hAnsi="Arial"/>
          <w:sz w:val="52"/>
          <w:szCs w:val="52"/>
          <w:lang w:val="en-GB"/>
        </w:rPr>
        <w:t>202</w:t>
      </w:r>
      <w:r w:rsidR="002C7F9C">
        <w:rPr>
          <w:rFonts w:ascii="Arial" w:hAnsi="Arial"/>
          <w:sz w:val="52"/>
          <w:szCs w:val="52"/>
          <w:lang w:val="en-GB"/>
        </w:rPr>
        <w:t>4</w:t>
      </w:r>
      <w:r w:rsidRPr="00E735AF">
        <w:rPr>
          <w:rFonts w:ascii="Arial" w:hAnsi="Arial"/>
          <w:sz w:val="52"/>
          <w:szCs w:val="52"/>
          <w:lang w:val="en-GB"/>
        </w:rPr>
        <w:t>)</w:t>
      </w:r>
    </w:p>
    <w:p w14:paraId="4E8051B2" w14:textId="0DAD126C" w:rsidR="00BA7B61" w:rsidRPr="00377411" w:rsidRDefault="00AC64E8" w:rsidP="0061477A">
      <w:pPr>
        <w:pStyle w:val="NoSpacing"/>
        <w:rPr>
          <w:rFonts w:ascii="Arial" w:hAnsi="Arial"/>
          <w:sz w:val="20"/>
          <w:lang w:val="en-GB"/>
        </w:rPr>
      </w:pPr>
      <w:r>
        <w:rPr>
          <w:noProof/>
          <w:sz w:val="20"/>
        </w:rPr>
        <mc:AlternateContent>
          <mc:Choice Requires="wps">
            <w:drawing>
              <wp:anchor distT="0" distB="0" distL="114300" distR="114300" simplePos="0" relativeHeight="251658240" behindDoc="1" locked="0" layoutInCell="1" allowOverlap="1" wp14:anchorId="184BB226" wp14:editId="55478C8D">
                <wp:simplePos x="0" y="0"/>
                <wp:positionH relativeFrom="margin">
                  <wp:posOffset>-839470</wp:posOffset>
                </wp:positionH>
                <wp:positionV relativeFrom="paragraph">
                  <wp:posOffset>165735</wp:posOffset>
                </wp:positionV>
                <wp:extent cx="7651750" cy="539750"/>
                <wp:effectExtent l="0" t="0" r="635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1750" cy="539750"/>
                        </a:xfrm>
                        <a:prstGeom prst="rect">
                          <a:avLst/>
                        </a:prstGeom>
                        <a:solidFill>
                          <a:sysClr val="window" lastClr="FFFFFF">
                            <a:lumMod val="50000"/>
                          </a:sysClr>
                        </a:solidFill>
                        <a:ln w="9525" cap="flat" cmpd="sng" algn="ctr">
                          <a:noFill/>
                          <a:prstDash val="solid"/>
                        </a:ln>
                        <a:effectLst/>
                      </wps:spPr>
                      <wps:bodyPr/>
                    </wps:wsp>
                  </a:graphicData>
                </a:graphic>
                <wp14:sizeRelH relativeFrom="margin">
                  <wp14:pctWidth>0</wp14:pctWidth>
                </wp14:sizeRelH>
                <wp14:sizeRelV relativeFrom="page">
                  <wp14:pctHeight>0</wp14:pctHeight>
                </wp14:sizeRelV>
              </wp:anchor>
            </w:drawing>
          </mc:Choice>
          <mc:Fallback>
            <w:pict>
              <v:rect w14:anchorId="6E3168BC" id="Rectangle 5" o:spid="_x0000_s1026" style="position:absolute;margin-left:-66.1pt;margin-top:13.05pt;width:602.5pt;height: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" fillcolor="#7f7f7f" stroked="f">
                <w10:wrap anchorx="margin"/>
              </v:rect>
            </w:pict>
          </mc:Fallback>
        </mc:AlternateContent>
      </w:r>
    </w:p>
    <w:p w14:paraId="2BCAFB5F" w14:textId="77777777" w:rsidR="00BA7B61" w:rsidRPr="00377411" w:rsidRDefault="00BA7B61" w:rsidP="0061477A">
      <w:pPr>
        <w:pStyle w:val="NoSpacing"/>
        <w:rPr>
          <w:rFonts w:ascii="Arial" w:hAnsi="Arial"/>
          <w:sz w:val="20"/>
          <w:lang w:val="en-GB"/>
        </w:rPr>
      </w:pPr>
    </w:p>
    <w:p w14:paraId="6D3BE050" w14:textId="77777777" w:rsidR="00AC64E8" w:rsidRPr="00210937" w:rsidRDefault="00AC64E8" w:rsidP="00AC64E8">
      <w:pPr>
        <w:pStyle w:val="NoSpacing"/>
        <w:spacing w:before="120"/>
        <w:rPr>
          <w:rFonts w:ascii="Arial" w:hAnsi="Arial"/>
          <w:b/>
          <w:bCs/>
          <w:color w:val="F2F2F2"/>
          <w:sz w:val="24"/>
          <w:szCs w:val="24"/>
          <w:lang w:val="en-GB"/>
        </w:rPr>
      </w:pPr>
    </w:p>
    <w:p w14:paraId="2D19606A" w14:textId="77777777" w:rsidR="00AC64E8" w:rsidRPr="00377411" w:rsidRDefault="00AC64E8" w:rsidP="00AC64E8">
      <w:pPr>
        <w:pStyle w:val="NoSpacing"/>
        <w:rPr>
          <w:rFonts w:ascii="Arial" w:hAnsi="Arial"/>
          <w:sz w:val="20"/>
          <w:lang w:val="en-GB"/>
        </w:rPr>
      </w:pPr>
    </w:p>
    <w:p w14:paraId="251A3FF5" w14:textId="77777777" w:rsidR="00272C8A" w:rsidRPr="00377411" w:rsidRDefault="00272C8A" w:rsidP="0061477A">
      <w:pPr>
        <w:pStyle w:val="NoSpacing"/>
        <w:rPr>
          <w:rFonts w:ascii="Arial" w:hAnsi="Arial"/>
          <w:sz w:val="20"/>
          <w:lang w:val="en-GB"/>
        </w:rPr>
      </w:pPr>
    </w:p>
    <w:p w14:paraId="7B1468AD" w14:textId="77777777" w:rsidR="00272C8A" w:rsidRPr="00377411" w:rsidRDefault="00272C8A" w:rsidP="0061477A">
      <w:pPr>
        <w:pStyle w:val="NoSpacing"/>
        <w:rPr>
          <w:rFonts w:ascii="Arial" w:hAnsi="Arial"/>
          <w:sz w:val="20"/>
          <w:lang w:val="en-GB"/>
        </w:rPr>
      </w:pPr>
    </w:p>
    <w:p w14:paraId="5900AA69" w14:textId="77777777" w:rsidR="00272C8A" w:rsidRDefault="00272C8A" w:rsidP="0061477A">
      <w:pPr>
        <w:pStyle w:val="NoSpacing"/>
        <w:rPr>
          <w:rFonts w:ascii="Arial" w:hAnsi="Arial"/>
          <w:sz w:val="20"/>
          <w:lang w:val="en-GB"/>
        </w:rPr>
      </w:pPr>
    </w:p>
    <w:p w14:paraId="099657D6" w14:textId="77777777" w:rsidR="00F34B87" w:rsidRDefault="00F34B87" w:rsidP="0061477A">
      <w:pPr>
        <w:pStyle w:val="NoSpacing"/>
        <w:rPr>
          <w:rFonts w:ascii="Arial" w:hAnsi="Arial"/>
          <w:sz w:val="20"/>
          <w:lang w:val="en-GB"/>
        </w:rPr>
      </w:pPr>
    </w:p>
    <w:p w14:paraId="67B4707A" w14:textId="77777777" w:rsidR="00F34B87" w:rsidRDefault="00F34B87" w:rsidP="0061477A">
      <w:pPr>
        <w:pStyle w:val="NoSpacing"/>
        <w:rPr>
          <w:rFonts w:ascii="Arial" w:hAnsi="Arial"/>
          <w:sz w:val="20"/>
          <w:lang w:val="en-GB"/>
        </w:rPr>
      </w:pPr>
    </w:p>
    <w:p w14:paraId="104BD9F5" w14:textId="77777777" w:rsidR="00F34B87" w:rsidRDefault="00F34B87" w:rsidP="0061477A">
      <w:pPr>
        <w:pStyle w:val="NoSpacing"/>
        <w:rPr>
          <w:rFonts w:ascii="Arial" w:hAnsi="Arial"/>
          <w:sz w:val="20"/>
          <w:lang w:val="en-GB"/>
        </w:rPr>
      </w:pPr>
    </w:p>
    <w:p w14:paraId="48F5331E" w14:textId="77777777" w:rsidR="00F34B87" w:rsidRDefault="00F34B87" w:rsidP="0061477A">
      <w:pPr>
        <w:pStyle w:val="NoSpacing"/>
        <w:rPr>
          <w:rFonts w:ascii="Arial" w:hAnsi="Arial"/>
          <w:sz w:val="20"/>
          <w:lang w:val="en-GB"/>
        </w:rPr>
      </w:pPr>
    </w:p>
    <w:p w14:paraId="01B6D8B3" w14:textId="77777777" w:rsidR="00F34B87" w:rsidRDefault="00F34B87" w:rsidP="0061477A">
      <w:pPr>
        <w:pStyle w:val="NoSpacing"/>
        <w:rPr>
          <w:rFonts w:ascii="Arial" w:hAnsi="Arial"/>
          <w:sz w:val="20"/>
          <w:lang w:val="en-GB"/>
        </w:rPr>
      </w:pPr>
    </w:p>
    <w:p w14:paraId="5EA3F37D" w14:textId="77777777" w:rsidR="00F34B87" w:rsidRDefault="00F34B87" w:rsidP="0061477A">
      <w:pPr>
        <w:pStyle w:val="NoSpacing"/>
        <w:rPr>
          <w:rFonts w:ascii="Arial" w:hAnsi="Arial"/>
          <w:sz w:val="20"/>
          <w:lang w:val="en-GB"/>
        </w:rPr>
      </w:pPr>
    </w:p>
    <w:p w14:paraId="52C0DF8C" w14:textId="77777777" w:rsidR="00F34B87" w:rsidRDefault="00F34B87" w:rsidP="0061477A">
      <w:pPr>
        <w:pStyle w:val="NoSpacing"/>
        <w:rPr>
          <w:rFonts w:ascii="Arial" w:hAnsi="Arial"/>
          <w:sz w:val="20"/>
          <w:lang w:val="en-GB"/>
        </w:rPr>
      </w:pPr>
    </w:p>
    <w:p w14:paraId="4C4CE63C" w14:textId="77777777" w:rsidR="00F34B87" w:rsidRDefault="00F34B87" w:rsidP="0061477A">
      <w:pPr>
        <w:pStyle w:val="NoSpacing"/>
        <w:rPr>
          <w:rFonts w:ascii="Arial" w:hAnsi="Arial"/>
          <w:sz w:val="20"/>
          <w:lang w:val="en-GB"/>
        </w:rPr>
      </w:pPr>
    </w:p>
    <w:p w14:paraId="3D29669C" w14:textId="77777777" w:rsidR="00F34B87" w:rsidRDefault="00F34B87" w:rsidP="0061477A">
      <w:pPr>
        <w:pStyle w:val="NoSpacing"/>
        <w:rPr>
          <w:rFonts w:ascii="Arial" w:hAnsi="Arial"/>
          <w:sz w:val="20"/>
          <w:lang w:val="en-GB"/>
        </w:rPr>
      </w:pPr>
    </w:p>
    <w:p w14:paraId="78524E34" w14:textId="77777777" w:rsidR="00F34B87" w:rsidRDefault="00F34B87" w:rsidP="0061477A">
      <w:pPr>
        <w:pStyle w:val="NoSpacing"/>
        <w:rPr>
          <w:rFonts w:ascii="Arial" w:hAnsi="Arial"/>
          <w:sz w:val="20"/>
          <w:lang w:val="en-GB"/>
        </w:rPr>
      </w:pPr>
    </w:p>
    <w:p w14:paraId="088F1170" w14:textId="77777777" w:rsidR="00F34B87" w:rsidRDefault="00F34B87" w:rsidP="0061477A">
      <w:pPr>
        <w:pStyle w:val="NoSpacing"/>
        <w:rPr>
          <w:rFonts w:ascii="Arial" w:hAnsi="Arial"/>
          <w:sz w:val="20"/>
          <w:lang w:val="en-GB"/>
        </w:rPr>
      </w:pPr>
    </w:p>
    <w:p w14:paraId="739CA291" w14:textId="77777777" w:rsidR="00F34B87" w:rsidRDefault="00F34B87" w:rsidP="0061477A">
      <w:pPr>
        <w:pStyle w:val="NoSpacing"/>
        <w:rPr>
          <w:rFonts w:ascii="Arial" w:hAnsi="Arial"/>
          <w:sz w:val="20"/>
          <w:lang w:val="en-GB"/>
        </w:rPr>
      </w:pPr>
    </w:p>
    <w:p w14:paraId="5B158D4F" w14:textId="77777777" w:rsidR="00F34B87" w:rsidRDefault="00F34B87" w:rsidP="0061477A">
      <w:pPr>
        <w:pStyle w:val="NoSpacing"/>
        <w:rPr>
          <w:rFonts w:ascii="Arial" w:hAnsi="Arial"/>
          <w:sz w:val="20"/>
          <w:lang w:val="en-GB"/>
        </w:rPr>
      </w:pPr>
    </w:p>
    <w:p w14:paraId="64DAFA9F" w14:textId="77777777" w:rsidR="00F34B87" w:rsidRDefault="00F34B87" w:rsidP="0061477A">
      <w:pPr>
        <w:pStyle w:val="NoSpacing"/>
        <w:rPr>
          <w:rFonts w:ascii="Arial" w:hAnsi="Arial"/>
          <w:sz w:val="20"/>
          <w:lang w:val="en-GB"/>
        </w:rPr>
      </w:pPr>
    </w:p>
    <w:p w14:paraId="3FCD8752" w14:textId="77777777" w:rsidR="00D50912" w:rsidRDefault="00D50912" w:rsidP="0061477A">
      <w:pPr>
        <w:pStyle w:val="NoSpacing"/>
        <w:rPr>
          <w:rFonts w:ascii="Arial" w:hAnsi="Arial"/>
          <w:sz w:val="20"/>
          <w:lang w:val="en-GB"/>
        </w:rPr>
      </w:pPr>
    </w:p>
    <w:p w14:paraId="4ACD1B4C" w14:textId="77777777" w:rsidR="00F34B87" w:rsidRPr="00377411" w:rsidRDefault="00F34B87" w:rsidP="0061477A">
      <w:pPr>
        <w:pStyle w:val="NoSpacing"/>
        <w:rPr>
          <w:rFonts w:ascii="Arial" w:hAnsi="Arial"/>
          <w:sz w:val="20"/>
          <w:lang w:val="en-GB"/>
        </w:rPr>
      </w:pPr>
    </w:p>
    <w:p w14:paraId="464A687E" w14:textId="77777777" w:rsidR="000953EF" w:rsidRPr="000953EF" w:rsidRDefault="000953EF" w:rsidP="000953EF">
      <w:pPr>
        <w:autoSpaceDE w:val="0"/>
        <w:autoSpaceDN w:val="0"/>
        <w:adjustRightInd w:val="0"/>
        <w:spacing w:after="0" w:line="240" w:lineRule="auto"/>
        <w:rPr>
          <w:rFonts w:cs="Arial"/>
          <w:color w:val="000000"/>
          <w:lang w:eastAsia="fr-FR"/>
        </w:rPr>
      </w:pPr>
      <w:r w:rsidRPr="000953EF">
        <w:rPr>
          <w:rFonts w:cs="Arial"/>
          <w:color w:val="000000"/>
          <w:lang w:eastAsia="fr-FR"/>
        </w:rPr>
        <w:t xml:space="preserve">Please cite as: </w:t>
      </w:r>
    </w:p>
    <w:p w14:paraId="29740E45" w14:textId="2A22121A" w:rsidR="004B2E8A" w:rsidRPr="004B2E8A" w:rsidRDefault="000953EF" w:rsidP="000953EF">
      <w:pPr>
        <w:autoSpaceDE w:val="0"/>
        <w:autoSpaceDN w:val="0"/>
        <w:adjustRightInd w:val="0"/>
        <w:spacing w:after="0" w:line="240" w:lineRule="auto"/>
        <w:rPr>
          <w:rFonts w:cs="Arial"/>
          <w:color w:val="000000"/>
          <w:lang w:eastAsia="fr-FR"/>
        </w:rPr>
      </w:pPr>
      <w:r w:rsidRPr="000953EF">
        <w:rPr>
          <w:rFonts w:cs="Arial"/>
          <w:color w:val="000000"/>
          <w:lang w:eastAsia="fr-FR"/>
        </w:rPr>
        <w:t>ICC (</w:t>
      </w:r>
      <w:r w:rsidR="002C7F9C" w:rsidRPr="000953EF">
        <w:rPr>
          <w:rFonts w:cs="Arial"/>
          <w:color w:val="000000"/>
          <w:lang w:eastAsia="fr-FR"/>
        </w:rPr>
        <w:t>202</w:t>
      </w:r>
      <w:r w:rsidR="002C7F9C">
        <w:rPr>
          <w:rFonts w:cs="Arial"/>
          <w:color w:val="000000"/>
          <w:lang w:eastAsia="fr-FR"/>
        </w:rPr>
        <w:t>4</w:t>
      </w:r>
      <w:r w:rsidRPr="000953EF">
        <w:rPr>
          <w:rFonts w:cs="Arial"/>
          <w:color w:val="000000"/>
          <w:lang w:eastAsia="fr-FR"/>
        </w:rPr>
        <w:t xml:space="preserve">), </w:t>
      </w:r>
      <w:r w:rsidR="004B2E8A" w:rsidRPr="004B2E8A">
        <w:rPr>
          <w:rFonts w:cs="Arial"/>
          <w:color w:val="000000"/>
          <w:lang w:eastAsia="fr-FR"/>
        </w:rPr>
        <w:t>Antitrust Compliance Toolkit</w:t>
      </w:r>
    </w:p>
    <w:p w14:paraId="2F979346" w14:textId="7B7743E1" w:rsidR="000953EF" w:rsidRPr="000953EF" w:rsidRDefault="000953EF" w:rsidP="000953EF">
      <w:pPr>
        <w:autoSpaceDE w:val="0"/>
        <w:autoSpaceDN w:val="0"/>
        <w:adjustRightInd w:val="0"/>
        <w:spacing w:after="0" w:line="240" w:lineRule="auto"/>
        <w:rPr>
          <w:rFonts w:cs="Arial"/>
          <w:color w:val="007CFF"/>
          <w:lang w:eastAsia="fr-FR"/>
        </w:rPr>
      </w:pPr>
      <w:r w:rsidRPr="000953EF">
        <w:rPr>
          <w:rFonts w:cs="Arial"/>
          <w:color w:val="007CFF"/>
          <w:lang w:eastAsia="fr-FR"/>
        </w:rPr>
        <w:t xml:space="preserve"> </w:t>
      </w:r>
    </w:p>
    <w:p w14:paraId="64F9B4AD" w14:textId="781D313B" w:rsidR="000953EF" w:rsidRPr="004B2E8A" w:rsidRDefault="000953EF" w:rsidP="000953EF">
      <w:pPr>
        <w:autoSpaceDE w:val="0"/>
        <w:autoSpaceDN w:val="0"/>
        <w:adjustRightInd w:val="0"/>
        <w:spacing w:after="0" w:line="240" w:lineRule="auto"/>
        <w:rPr>
          <w:rFonts w:cs="Arial"/>
          <w:color w:val="000000"/>
          <w:lang w:eastAsia="fr-FR"/>
        </w:rPr>
      </w:pPr>
      <w:r w:rsidRPr="000953EF">
        <w:rPr>
          <w:rFonts w:cs="Arial"/>
          <w:color w:val="000000"/>
          <w:lang w:eastAsia="fr-FR"/>
        </w:rPr>
        <w:t xml:space="preserve">Copyright © </w:t>
      </w:r>
      <w:r w:rsidR="002C7F9C" w:rsidRPr="000953EF">
        <w:rPr>
          <w:rFonts w:cs="Arial"/>
          <w:color w:val="000000"/>
          <w:lang w:eastAsia="fr-FR"/>
        </w:rPr>
        <w:t>202</w:t>
      </w:r>
      <w:r w:rsidR="002C7F9C">
        <w:rPr>
          <w:rFonts w:cs="Arial"/>
          <w:color w:val="000000"/>
          <w:lang w:eastAsia="fr-FR"/>
        </w:rPr>
        <w:t>4</w:t>
      </w:r>
      <w:r w:rsidR="002C7F9C" w:rsidRPr="000953EF">
        <w:rPr>
          <w:rFonts w:cs="Arial"/>
          <w:color w:val="000000"/>
          <w:lang w:eastAsia="fr-FR"/>
        </w:rPr>
        <w:t xml:space="preserve"> </w:t>
      </w:r>
      <w:r w:rsidRPr="000953EF">
        <w:rPr>
          <w:rFonts w:cs="Arial"/>
          <w:color w:val="000000"/>
          <w:lang w:eastAsia="fr-FR"/>
        </w:rPr>
        <w:t xml:space="preserve">International Chamber of Commerce </w:t>
      </w:r>
    </w:p>
    <w:p w14:paraId="752E322C" w14:textId="77777777" w:rsidR="004B2E8A" w:rsidRPr="000953EF" w:rsidRDefault="004B2E8A" w:rsidP="000953EF">
      <w:pPr>
        <w:autoSpaceDE w:val="0"/>
        <w:autoSpaceDN w:val="0"/>
        <w:adjustRightInd w:val="0"/>
        <w:spacing w:after="0" w:line="240" w:lineRule="auto"/>
        <w:rPr>
          <w:rFonts w:cs="Arial"/>
          <w:color w:val="000000"/>
          <w:lang w:eastAsia="fr-FR"/>
        </w:rPr>
      </w:pPr>
    </w:p>
    <w:p w14:paraId="2384AA4E" w14:textId="77777777" w:rsidR="00FD3A51" w:rsidRPr="00FD3A51" w:rsidRDefault="00FD3A51" w:rsidP="00FD3A51">
      <w:pPr>
        <w:autoSpaceDE w:val="0"/>
        <w:autoSpaceDN w:val="0"/>
        <w:adjustRightInd w:val="0"/>
        <w:spacing w:after="0" w:line="240" w:lineRule="auto"/>
        <w:rPr>
          <w:rFonts w:cs="Arial"/>
          <w:color w:val="000000"/>
          <w:lang w:eastAsia="fr-FR"/>
        </w:rPr>
      </w:pPr>
      <w:r w:rsidRPr="00FD3A51">
        <w:rPr>
          <w:rFonts w:cs="Arial"/>
          <w:color w:val="000000"/>
          <w:lang w:eastAsia="fr-FR"/>
        </w:rPr>
        <w:t>The text below is a collective work, initiated and drafted under the authority and control of ICC, and to which ICC holds all rights.</w:t>
      </w:r>
    </w:p>
    <w:p w14:paraId="33864369" w14:textId="77777777" w:rsidR="00FD3A51" w:rsidRPr="00FD3A51" w:rsidRDefault="00FD3A51" w:rsidP="00FD3A51">
      <w:pPr>
        <w:autoSpaceDE w:val="0"/>
        <w:autoSpaceDN w:val="0"/>
        <w:adjustRightInd w:val="0"/>
        <w:spacing w:after="0" w:line="240" w:lineRule="auto"/>
        <w:rPr>
          <w:rFonts w:cs="Arial"/>
          <w:color w:val="000000"/>
          <w:lang w:eastAsia="fr-FR"/>
        </w:rPr>
      </w:pPr>
      <w:r w:rsidRPr="00FD3A51">
        <w:rPr>
          <w:rFonts w:cs="Arial"/>
          <w:color w:val="000000"/>
          <w:lang w:eastAsia="fr-FR"/>
        </w:rPr>
        <w:t> </w:t>
      </w:r>
    </w:p>
    <w:p w14:paraId="40D4DB27" w14:textId="77777777" w:rsidR="00FD3A51" w:rsidRPr="00FD3A51" w:rsidRDefault="00FD3A51" w:rsidP="00FD3A51">
      <w:pPr>
        <w:autoSpaceDE w:val="0"/>
        <w:autoSpaceDN w:val="0"/>
        <w:adjustRightInd w:val="0"/>
        <w:spacing w:after="0" w:line="240" w:lineRule="auto"/>
        <w:rPr>
          <w:rFonts w:cs="Arial"/>
          <w:color w:val="000000"/>
          <w:lang w:eastAsia="fr-FR"/>
        </w:rPr>
      </w:pPr>
      <w:r w:rsidRPr="00FD3A51">
        <w:rPr>
          <w:rFonts w:cs="Arial"/>
          <w:color w:val="000000"/>
          <w:lang w:eastAsia="fr-FR"/>
        </w:rPr>
        <w:t>Participation in the development of this text will not give rise to any rights for contributors in this collective work, of which ICC is sole copyright holder.</w:t>
      </w:r>
    </w:p>
    <w:p w14:paraId="40E83000" w14:textId="77777777" w:rsidR="00FD3A51" w:rsidRPr="00FD3A51" w:rsidRDefault="00FD3A51" w:rsidP="00FD3A51">
      <w:pPr>
        <w:autoSpaceDE w:val="0"/>
        <w:autoSpaceDN w:val="0"/>
        <w:adjustRightInd w:val="0"/>
        <w:spacing w:after="0" w:line="240" w:lineRule="auto"/>
        <w:rPr>
          <w:rFonts w:cs="Arial"/>
          <w:color w:val="000000"/>
          <w:lang w:eastAsia="fr-FR"/>
        </w:rPr>
      </w:pPr>
      <w:r w:rsidRPr="00FD3A51">
        <w:rPr>
          <w:rFonts w:cs="Arial"/>
          <w:color w:val="000000"/>
          <w:lang w:eastAsia="fr-FR"/>
        </w:rPr>
        <w:t> </w:t>
      </w:r>
    </w:p>
    <w:p w14:paraId="268638C2" w14:textId="0B5FD030" w:rsidR="00FD3A51" w:rsidRDefault="00FD3A51" w:rsidP="00FD3A51">
      <w:pPr>
        <w:autoSpaceDE w:val="0"/>
        <w:autoSpaceDN w:val="0"/>
        <w:adjustRightInd w:val="0"/>
        <w:spacing w:after="0" w:line="240" w:lineRule="auto"/>
        <w:rPr>
          <w:rFonts w:cs="Arial"/>
          <w:color w:val="000000"/>
          <w:lang w:eastAsia="fr-FR"/>
        </w:rPr>
      </w:pPr>
      <w:r w:rsidRPr="00FD3A51">
        <w:rPr>
          <w:rFonts w:cs="Arial"/>
          <w:color w:val="000000"/>
          <w:lang w:eastAsia="fr-FR"/>
        </w:rPr>
        <w:t>This shall not affect pre-existing  rights in extracts from third party texts included in this Toolkit which shall remain vested in the copyright holder of those texts.</w:t>
      </w:r>
    </w:p>
    <w:p w14:paraId="08490DFB" w14:textId="77777777" w:rsidR="00582A7D" w:rsidRDefault="00582A7D" w:rsidP="00FD3A51">
      <w:pPr>
        <w:autoSpaceDE w:val="0"/>
        <w:autoSpaceDN w:val="0"/>
        <w:adjustRightInd w:val="0"/>
        <w:spacing w:after="0" w:line="240" w:lineRule="auto"/>
        <w:rPr>
          <w:rFonts w:cs="Arial"/>
          <w:color w:val="000000"/>
          <w:lang w:eastAsia="fr-FR"/>
        </w:rPr>
      </w:pPr>
    </w:p>
    <w:p w14:paraId="4D9C6557" w14:textId="10B237E5" w:rsidR="004B2E8A" w:rsidRPr="00FD3A51" w:rsidRDefault="00372E88" w:rsidP="00372E88">
      <w:pPr>
        <w:autoSpaceDE w:val="0"/>
        <w:autoSpaceDN w:val="0"/>
        <w:adjustRightInd w:val="0"/>
        <w:spacing w:after="0" w:line="240" w:lineRule="auto"/>
        <w:rPr>
          <w:rFonts w:cs="Arial"/>
          <w:color w:val="000000"/>
          <w:lang w:eastAsia="fr-FR"/>
        </w:rPr>
      </w:pPr>
      <w:r w:rsidRPr="00372E88">
        <w:rPr>
          <w:rFonts w:cs="Arial"/>
          <w:color w:val="000000"/>
          <w:lang w:eastAsia="fr-FR"/>
        </w:rPr>
        <w:t>No part of this work may be reproduced, distributed, transmitted, translated or adapted in any form or by any means, except as permitted by law, without the written permission of ICC.</w:t>
      </w:r>
    </w:p>
    <w:p w14:paraId="2AA9F00C" w14:textId="02350443" w:rsidR="000953EF" w:rsidRDefault="000953EF" w:rsidP="000953EF">
      <w:pPr>
        <w:autoSpaceDE w:val="0"/>
        <w:autoSpaceDN w:val="0"/>
        <w:adjustRightInd w:val="0"/>
        <w:spacing w:after="0" w:line="240" w:lineRule="auto"/>
        <w:rPr>
          <w:rFonts w:cs="Arial"/>
          <w:color w:val="007CFF"/>
          <w:lang w:eastAsia="fr-FR"/>
        </w:rPr>
      </w:pPr>
      <w:r w:rsidRPr="000953EF">
        <w:rPr>
          <w:rFonts w:cs="Arial"/>
          <w:color w:val="000000"/>
          <w:lang w:eastAsia="fr-FR"/>
        </w:rPr>
        <w:t xml:space="preserve">Permission can be requested from ICC through </w:t>
      </w:r>
      <w:hyperlink r:id="rId17" w:history="1">
        <w:r w:rsidR="004B2E8A" w:rsidRPr="000953EF">
          <w:rPr>
            <w:rStyle w:val="Hyperlink"/>
            <w:rFonts w:cs="Arial"/>
            <w:lang w:eastAsia="fr-FR"/>
          </w:rPr>
          <w:t>publications@iccwbo.org</w:t>
        </w:r>
      </w:hyperlink>
      <w:r w:rsidR="004B2E8A">
        <w:rPr>
          <w:rFonts w:cs="Arial"/>
          <w:color w:val="007CFF"/>
          <w:lang w:eastAsia="fr-FR"/>
        </w:rPr>
        <w:t xml:space="preserve"> </w:t>
      </w:r>
      <w:r w:rsidRPr="000953EF">
        <w:rPr>
          <w:rFonts w:cs="Arial"/>
          <w:color w:val="007CFF"/>
          <w:lang w:eastAsia="fr-FR"/>
        </w:rPr>
        <w:t xml:space="preserve"> </w:t>
      </w:r>
      <w:r w:rsidR="004B2E8A">
        <w:rPr>
          <w:rFonts w:cs="Arial"/>
          <w:color w:val="007CFF"/>
          <w:lang w:eastAsia="fr-FR"/>
        </w:rPr>
        <w:t xml:space="preserve"> </w:t>
      </w:r>
    </w:p>
    <w:p w14:paraId="56010B77" w14:textId="77777777" w:rsidR="00E20249" w:rsidRDefault="00E20249" w:rsidP="000953EF">
      <w:pPr>
        <w:autoSpaceDE w:val="0"/>
        <w:autoSpaceDN w:val="0"/>
        <w:adjustRightInd w:val="0"/>
        <w:spacing w:after="0" w:line="240" w:lineRule="auto"/>
        <w:rPr>
          <w:rFonts w:cs="Arial"/>
          <w:color w:val="007CFF"/>
          <w:lang w:eastAsia="fr-FR"/>
        </w:rPr>
      </w:pPr>
    </w:p>
    <w:p w14:paraId="3A0933D3" w14:textId="77777777" w:rsidR="0031074F" w:rsidRDefault="00A31D30">
      <w:pPr>
        <w:spacing w:after="0" w:line="240" w:lineRule="auto"/>
        <w:rPr>
          <w:rFonts w:cs="Arial"/>
          <w:color w:val="007CFF"/>
          <w:lang w:eastAsia="fr-FR"/>
        </w:rPr>
      </w:pPr>
      <w:r>
        <w:rPr>
          <w:rFonts w:cs="Arial"/>
          <w:color w:val="007CFF"/>
          <w:lang w:eastAsia="fr-FR"/>
        </w:rPr>
        <w:br w:type="page"/>
      </w:r>
    </w:p>
    <w:p w14:paraId="7D75D0C0" w14:textId="77777777" w:rsidR="0031074F" w:rsidRDefault="0031074F">
      <w:pPr>
        <w:spacing w:after="0" w:line="240" w:lineRule="auto"/>
        <w:rPr>
          <w:rFonts w:cs="Arial"/>
          <w:color w:val="007CFF"/>
          <w:lang w:eastAsia="fr-FR"/>
        </w:rPr>
      </w:pPr>
    </w:p>
    <w:p w14:paraId="5A2D720E" w14:textId="77777777" w:rsidR="0031074F" w:rsidRDefault="0031074F">
      <w:pPr>
        <w:spacing w:after="0" w:line="240" w:lineRule="auto"/>
        <w:rPr>
          <w:rFonts w:cs="Arial"/>
          <w:color w:val="007CFF"/>
          <w:lang w:eastAsia="fr-FR"/>
        </w:rPr>
      </w:pPr>
    </w:p>
    <w:p w14:paraId="14D7EE6E" w14:textId="77777777" w:rsidR="0031074F" w:rsidRDefault="0031074F">
      <w:pPr>
        <w:spacing w:after="0" w:line="240" w:lineRule="auto"/>
        <w:rPr>
          <w:rFonts w:cs="Arial"/>
          <w:color w:val="007CFF"/>
          <w:lang w:eastAsia="fr-FR"/>
        </w:rPr>
      </w:pPr>
    </w:p>
    <w:p w14:paraId="781C3DFA" w14:textId="0A2CC7FB" w:rsidR="0031074F" w:rsidRPr="00AC0B7F" w:rsidRDefault="0031074F" w:rsidP="0031074F">
      <w:pPr>
        <w:pStyle w:val="Masterheading"/>
        <w:outlineLvl w:val="0"/>
        <w:rPr>
          <w:lang w:val="en-GB"/>
        </w:rPr>
      </w:pPr>
      <w:r>
        <w:rPr>
          <w:lang w:val="en-GB"/>
        </w:rPr>
        <w:t>Tribute to Anne Riley</w:t>
      </w:r>
    </w:p>
    <w:p w14:paraId="197AA9EB" w14:textId="1C7D7AAD" w:rsidR="009C2913" w:rsidRDefault="009C2913">
      <w:pPr>
        <w:spacing w:after="0" w:line="240" w:lineRule="auto"/>
        <w:rPr>
          <w:rFonts w:cs="Arial"/>
          <w:color w:val="007CFF"/>
          <w:lang w:eastAsia="fr-FR"/>
        </w:rPr>
      </w:pPr>
      <w:r>
        <w:rPr>
          <w:rFonts w:cs="Arial"/>
          <w:color w:val="007CFF"/>
          <w:lang w:eastAsia="fr-FR"/>
        </w:rPr>
        <w:br w:type="page"/>
      </w:r>
    </w:p>
    <w:p w14:paraId="0035D188" w14:textId="77777777" w:rsidR="009C2913" w:rsidRDefault="009C2913">
      <w:pPr>
        <w:spacing w:after="0" w:line="240" w:lineRule="auto"/>
        <w:rPr>
          <w:rFonts w:cs="Arial"/>
          <w:color w:val="007CFF"/>
          <w:lang w:eastAsia="fr-FR"/>
        </w:rPr>
      </w:pPr>
    </w:p>
    <w:p w14:paraId="56148DD3" w14:textId="77777777" w:rsidR="00A31D30" w:rsidRDefault="00A31D30">
      <w:pPr>
        <w:spacing w:after="0" w:line="240" w:lineRule="auto"/>
        <w:rPr>
          <w:rFonts w:cs="Arial"/>
          <w:color w:val="007CFF"/>
          <w:lang w:eastAsia="fr-FR"/>
        </w:rPr>
      </w:pPr>
    </w:p>
    <w:p w14:paraId="18D94DDB" w14:textId="77777777" w:rsidR="00E20249" w:rsidRPr="000953EF" w:rsidRDefault="00E20249" w:rsidP="000953EF">
      <w:pPr>
        <w:autoSpaceDE w:val="0"/>
        <w:autoSpaceDN w:val="0"/>
        <w:adjustRightInd w:val="0"/>
        <w:spacing w:after="0" w:line="240" w:lineRule="auto"/>
        <w:rPr>
          <w:rFonts w:cs="Arial"/>
          <w:color w:val="007CFF"/>
          <w:lang w:eastAsia="fr-FR"/>
        </w:rPr>
      </w:pPr>
    </w:p>
    <w:p w14:paraId="0C2F0F9E" w14:textId="77777777" w:rsidR="004B2E8A" w:rsidRPr="004B2E8A" w:rsidRDefault="004B2E8A" w:rsidP="000953EF">
      <w:pPr>
        <w:pStyle w:val="Masterheading"/>
        <w:outlineLvl w:val="0"/>
        <w:rPr>
          <w:rFonts w:cs="Arial"/>
          <w:sz w:val="20"/>
          <w:szCs w:val="20"/>
          <w:lang w:val="en-GB" w:eastAsia="fr-FR"/>
        </w:rPr>
      </w:pPr>
    </w:p>
    <w:p w14:paraId="3C1A2ECA" w14:textId="31D86124" w:rsidR="00733FFB" w:rsidRPr="00AC0B7F" w:rsidRDefault="00733FFB" w:rsidP="007C629E">
      <w:pPr>
        <w:pStyle w:val="Masterheading"/>
        <w:outlineLvl w:val="0"/>
        <w:rPr>
          <w:lang w:val="en-GB"/>
        </w:rPr>
      </w:pPr>
      <w:bookmarkStart w:id="3" w:name="_Toc166513086"/>
      <w:bookmarkStart w:id="4" w:name="_Toc166513782"/>
      <w:bookmarkStart w:id="5" w:name="_Toc166747875"/>
      <w:bookmarkStart w:id="6" w:name="_Hlk170725174"/>
      <w:r w:rsidRPr="00AC0B7F">
        <w:rPr>
          <w:lang w:val="en-GB"/>
        </w:rPr>
        <w:t>Preface</w:t>
      </w:r>
      <w:r w:rsidR="00F54AB3">
        <w:rPr>
          <w:lang w:val="en-GB"/>
        </w:rPr>
        <w:t xml:space="preserve"> by Olivier </w:t>
      </w:r>
      <w:proofErr w:type="spellStart"/>
      <w:r w:rsidR="00F54AB3">
        <w:rPr>
          <w:lang w:val="en-GB"/>
        </w:rPr>
        <w:t>Guersent</w:t>
      </w:r>
      <w:proofErr w:type="spellEnd"/>
      <w:r w:rsidR="00C223A8">
        <w:rPr>
          <w:lang w:val="en-GB"/>
        </w:rPr>
        <w:t xml:space="preserve"> (TBC)</w:t>
      </w:r>
      <w:bookmarkEnd w:id="3"/>
      <w:bookmarkEnd w:id="4"/>
      <w:bookmarkEnd w:id="5"/>
    </w:p>
    <w:bookmarkEnd w:id="6"/>
    <w:p w14:paraId="4FDAE80C" w14:textId="77777777" w:rsidR="009805F1" w:rsidRDefault="009805F1" w:rsidP="0061477A">
      <w:pPr>
        <w:pStyle w:val="Masterheading"/>
        <w:outlineLvl w:val="0"/>
        <w:rPr>
          <w:lang w:val="en-GB"/>
        </w:rPr>
      </w:pPr>
    </w:p>
    <w:p w14:paraId="63DDBF40" w14:textId="77777777" w:rsidR="000A0D45" w:rsidRDefault="000A0D45" w:rsidP="00611D44">
      <w:pPr>
        <w:pStyle w:val="Masterheading"/>
        <w:outlineLvl w:val="0"/>
        <w:rPr>
          <w:sz w:val="24"/>
          <w:szCs w:val="24"/>
          <w:lang w:val="en-GB"/>
        </w:rPr>
      </w:pPr>
    </w:p>
    <w:p w14:paraId="268E26DD" w14:textId="77777777" w:rsidR="00FC3563" w:rsidRDefault="00FC3563" w:rsidP="00A07C8A">
      <w:pPr>
        <w:pStyle w:val="Masterheading"/>
        <w:jc w:val="center"/>
        <w:outlineLvl w:val="0"/>
        <w:rPr>
          <w:lang w:val="en-GB"/>
        </w:rPr>
        <w:sectPr w:rsidR="00FC3563" w:rsidSect="004B6918">
          <w:headerReference w:type="even" r:id="rId18"/>
          <w:headerReference w:type="default" r:id="rId19"/>
          <w:footerReference w:type="even" r:id="rId20"/>
          <w:footerReference w:type="default" r:id="rId21"/>
          <w:type w:val="continuous"/>
          <w:pgSz w:w="11900" w:h="16840"/>
          <w:pgMar w:top="1418" w:right="1418" w:bottom="1276" w:left="1418" w:header="567" w:footer="510" w:gutter="0"/>
          <w:cols w:space="708"/>
          <w:docGrid w:linePitch="272"/>
        </w:sectPr>
      </w:pPr>
      <w:bookmarkStart w:id="7" w:name="_Toc166513089"/>
      <w:bookmarkStart w:id="8" w:name="_Toc166513785"/>
    </w:p>
    <w:p w14:paraId="378E03A7" w14:textId="10B8E714" w:rsidR="00AB2CA6" w:rsidRPr="00FC3563" w:rsidRDefault="00BD1245" w:rsidP="00AF5ED0">
      <w:pPr>
        <w:pStyle w:val="Masterheading"/>
        <w:jc w:val="center"/>
        <w:rPr>
          <w:sz w:val="36"/>
          <w:szCs w:val="36"/>
          <w:lang w:val="en-GB"/>
        </w:rPr>
      </w:pPr>
      <w:bookmarkStart w:id="9" w:name="_Toc166747878"/>
      <w:r w:rsidRPr="00FC3563">
        <w:rPr>
          <w:sz w:val="36"/>
          <w:szCs w:val="36"/>
          <w:lang w:val="en-GB"/>
        </w:rPr>
        <w:lastRenderedPageBreak/>
        <w:t>Table of Contents</w:t>
      </w:r>
      <w:bookmarkEnd w:id="7"/>
      <w:bookmarkEnd w:id="8"/>
      <w:bookmarkEnd w:id="9"/>
    </w:p>
    <w:p w14:paraId="0AA290A6" w14:textId="77777777" w:rsidR="00AF5ED0" w:rsidRDefault="004409E6" w:rsidP="00EF3636">
      <w:pPr>
        <w:pStyle w:val="TOC1"/>
        <w:rPr>
          <w:rFonts w:asciiTheme="minorHAnsi" w:eastAsiaTheme="minorEastAsia" w:hAnsiTheme="minorHAnsi" w:cstheme="minorBidi"/>
          <w:noProof/>
          <w:kern w:val="2"/>
          <w:sz w:val="22"/>
          <w:szCs w:val="22"/>
          <w:lang w:eastAsia="zh-CN"/>
          <w14:ligatures w14:val="standardContextual"/>
        </w:rPr>
      </w:pPr>
      <w:r>
        <w:rPr>
          <w:highlight w:val="yellow"/>
        </w:rPr>
        <w:fldChar w:fldCharType="begin"/>
      </w:r>
      <w:r>
        <w:rPr>
          <w:highlight w:val="yellow"/>
        </w:rPr>
        <w:instrText xml:space="preserve"> TOC \h \z \t "Master heading,1,Title,1,OUTLINEA_L1,2,OUTLINEA_L2,3,Subtitle,1" </w:instrText>
      </w:r>
      <w:r>
        <w:rPr>
          <w:highlight w:val="yellow"/>
        </w:rPr>
        <w:fldChar w:fldCharType="separate"/>
      </w:r>
    </w:p>
    <w:p w14:paraId="1993E6DB" w14:textId="77777777" w:rsidR="00AF5ED0" w:rsidRDefault="00000000">
      <w:pPr>
        <w:pStyle w:val="TOC1"/>
        <w:rPr>
          <w:rFonts w:asciiTheme="minorHAnsi" w:eastAsiaTheme="minorEastAsia" w:hAnsiTheme="minorHAnsi" w:cstheme="minorBidi"/>
          <w:noProof/>
          <w:kern w:val="2"/>
          <w:sz w:val="22"/>
          <w:szCs w:val="22"/>
          <w:lang w:eastAsia="zh-CN"/>
          <w14:ligatures w14:val="standardContextual"/>
        </w:rPr>
      </w:pPr>
      <w:hyperlink w:anchor="_Toc166747879" w:history="1">
        <w:r w:rsidR="00AF5ED0" w:rsidRPr="00737E55">
          <w:rPr>
            <w:rStyle w:val="Hyperlink"/>
            <w:noProof/>
          </w:rPr>
          <w:t>Introduction</w:t>
        </w:r>
        <w:r w:rsidR="00AF5ED0">
          <w:rPr>
            <w:noProof/>
            <w:webHidden/>
          </w:rPr>
          <w:tab/>
        </w:r>
        <w:r w:rsidR="00AF5ED0">
          <w:rPr>
            <w:noProof/>
            <w:webHidden/>
          </w:rPr>
          <w:fldChar w:fldCharType="begin"/>
        </w:r>
        <w:r w:rsidR="00AF5ED0">
          <w:rPr>
            <w:noProof/>
            <w:webHidden/>
          </w:rPr>
          <w:instrText xml:space="preserve"> PAGEREF _Toc166747879 \h </w:instrText>
        </w:r>
        <w:r w:rsidR="00AF5ED0">
          <w:rPr>
            <w:noProof/>
            <w:webHidden/>
          </w:rPr>
        </w:r>
        <w:r w:rsidR="00AF5ED0">
          <w:rPr>
            <w:noProof/>
            <w:webHidden/>
          </w:rPr>
          <w:fldChar w:fldCharType="separate"/>
        </w:r>
        <w:r w:rsidR="00097CEB">
          <w:rPr>
            <w:noProof/>
            <w:webHidden/>
          </w:rPr>
          <w:t>6</w:t>
        </w:r>
        <w:r w:rsidR="00AF5ED0">
          <w:rPr>
            <w:noProof/>
            <w:webHidden/>
          </w:rPr>
          <w:fldChar w:fldCharType="end"/>
        </w:r>
      </w:hyperlink>
    </w:p>
    <w:p w14:paraId="5A0C1C06" w14:textId="77777777" w:rsidR="00AF5ED0" w:rsidRDefault="00000000">
      <w:pPr>
        <w:pStyle w:val="TOC2"/>
        <w:tabs>
          <w:tab w:val="left" w:pos="1440"/>
        </w:tabs>
        <w:rPr>
          <w:rFonts w:asciiTheme="minorHAnsi" w:eastAsiaTheme="minorEastAsia" w:hAnsiTheme="minorHAnsi" w:cstheme="minorBidi"/>
          <w:noProof/>
          <w:kern w:val="2"/>
          <w:sz w:val="22"/>
          <w:szCs w:val="22"/>
          <w:lang w:eastAsia="zh-CN"/>
          <w14:ligatures w14:val="standardContextual"/>
        </w:rPr>
      </w:pPr>
      <w:hyperlink w:anchor="_Toc166747880" w:history="1">
        <w:r w:rsidR="00AF5ED0" w:rsidRPr="00737E55">
          <w:rPr>
            <w:rStyle w:val="Hyperlink"/>
            <w:bCs/>
            <w:noProof/>
          </w:rPr>
          <w:t>1.</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Compliance embedded as company culture and policy</w:t>
        </w:r>
        <w:r w:rsidR="00AF5ED0">
          <w:rPr>
            <w:noProof/>
            <w:webHidden/>
          </w:rPr>
          <w:tab/>
        </w:r>
        <w:r w:rsidR="00AF5ED0">
          <w:rPr>
            <w:noProof/>
            <w:webHidden/>
          </w:rPr>
          <w:fldChar w:fldCharType="begin"/>
        </w:r>
        <w:r w:rsidR="00AF5ED0">
          <w:rPr>
            <w:noProof/>
            <w:webHidden/>
          </w:rPr>
          <w:instrText xml:space="preserve"> PAGEREF _Toc166747880 \h </w:instrText>
        </w:r>
        <w:r w:rsidR="00AF5ED0">
          <w:rPr>
            <w:noProof/>
            <w:webHidden/>
          </w:rPr>
        </w:r>
        <w:r w:rsidR="00AF5ED0">
          <w:rPr>
            <w:noProof/>
            <w:webHidden/>
          </w:rPr>
          <w:fldChar w:fldCharType="separate"/>
        </w:r>
        <w:r w:rsidR="00097CEB">
          <w:rPr>
            <w:noProof/>
            <w:webHidden/>
          </w:rPr>
          <w:t>7</w:t>
        </w:r>
        <w:r w:rsidR="00AF5ED0">
          <w:rPr>
            <w:noProof/>
            <w:webHidden/>
          </w:rPr>
          <w:fldChar w:fldCharType="end"/>
        </w:r>
      </w:hyperlink>
    </w:p>
    <w:p w14:paraId="1D9C026D"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881" w:history="1">
        <w:r w:rsidR="00AF5ED0" w:rsidRPr="00737E55">
          <w:rPr>
            <w:rStyle w:val="Hyperlink"/>
            <w:noProof/>
          </w:rPr>
          <w:t>a.</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Recognising antitrust as a risk that your company needs to address</w:t>
        </w:r>
        <w:r w:rsidR="00AF5ED0">
          <w:rPr>
            <w:noProof/>
            <w:webHidden/>
          </w:rPr>
          <w:tab/>
        </w:r>
        <w:r w:rsidR="00AF5ED0">
          <w:rPr>
            <w:noProof/>
            <w:webHidden/>
          </w:rPr>
          <w:fldChar w:fldCharType="begin"/>
        </w:r>
        <w:r w:rsidR="00AF5ED0">
          <w:rPr>
            <w:noProof/>
            <w:webHidden/>
          </w:rPr>
          <w:instrText xml:space="preserve"> PAGEREF _Toc166747881 \h </w:instrText>
        </w:r>
        <w:r w:rsidR="00AF5ED0">
          <w:rPr>
            <w:noProof/>
            <w:webHidden/>
          </w:rPr>
        </w:r>
        <w:r w:rsidR="00AF5ED0">
          <w:rPr>
            <w:noProof/>
            <w:webHidden/>
          </w:rPr>
          <w:fldChar w:fldCharType="separate"/>
        </w:r>
        <w:r w:rsidR="00097CEB">
          <w:rPr>
            <w:noProof/>
            <w:webHidden/>
          </w:rPr>
          <w:t>7</w:t>
        </w:r>
        <w:r w:rsidR="00AF5ED0">
          <w:rPr>
            <w:noProof/>
            <w:webHidden/>
          </w:rPr>
          <w:fldChar w:fldCharType="end"/>
        </w:r>
      </w:hyperlink>
    </w:p>
    <w:p w14:paraId="0515C6D3"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882" w:history="1">
        <w:r w:rsidR="00AF5ED0" w:rsidRPr="00737E55">
          <w:rPr>
            <w:rStyle w:val="Hyperlink"/>
            <w:noProof/>
          </w:rPr>
          <w:t>b.</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Obtaining management commitment</w:t>
        </w:r>
        <w:r w:rsidR="00AF5ED0">
          <w:rPr>
            <w:noProof/>
            <w:webHidden/>
          </w:rPr>
          <w:tab/>
        </w:r>
        <w:r w:rsidR="00AF5ED0">
          <w:rPr>
            <w:noProof/>
            <w:webHidden/>
          </w:rPr>
          <w:fldChar w:fldCharType="begin"/>
        </w:r>
        <w:r w:rsidR="00AF5ED0">
          <w:rPr>
            <w:noProof/>
            <w:webHidden/>
          </w:rPr>
          <w:instrText xml:space="preserve"> PAGEREF _Toc166747882 \h </w:instrText>
        </w:r>
        <w:r w:rsidR="00AF5ED0">
          <w:rPr>
            <w:noProof/>
            <w:webHidden/>
          </w:rPr>
        </w:r>
        <w:r w:rsidR="00AF5ED0">
          <w:rPr>
            <w:noProof/>
            <w:webHidden/>
          </w:rPr>
          <w:fldChar w:fldCharType="separate"/>
        </w:r>
        <w:r w:rsidR="00097CEB">
          <w:rPr>
            <w:noProof/>
            <w:webHidden/>
          </w:rPr>
          <w:t>7</w:t>
        </w:r>
        <w:r w:rsidR="00AF5ED0">
          <w:rPr>
            <w:noProof/>
            <w:webHidden/>
          </w:rPr>
          <w:fldChar w:fldCharType="end"/>
        </w:r>
      </w:hyperlink>
    </w:p>
    <w:p w14:paraId="2F793B1C"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883" w:history="1">
        <w:r w:rsidR="00AF5ED0" w:rsidRPr="00737E55">
          <w:rPr>
            <w:rStyle w:val="Hyperlink"/>
            <w:noProof/>
          </w:rPr>
          <w:t>c.</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Code of Conduct and/or Statement of Business Principles</w:t>
        </w:r>
        <w:r w:rsidR="00AF5ED0">
          <w:rPr>
            <w:noProof/>
            <w:webHidden/>
          </w:rPr>
          <w:tab/>
        </w:r>
        <w:r w:rsidR="00AF5ED0">
          <w:rPr>
            <w:noProof/>
            <w:webHidden/>
          </w:rPr>
          <w:fldChar w:fldCharType="begin"/>
        </w:r>
        <w:r w:rsidR="00AF5ED0">
          <w:rPr>
            <w:noProof/>
            <w:webHidden/>
          </w:rPr>
          <w:instrText xml:space="preserve"> PAGEREF _Toc166747883 \h </w:instrText>
        </w:r>
        <w:r w:rsidR="00AF5ED0">
          <w:rPr>
            <w:noProof/>
            <w:webHidden/>
          </w:rPr>
        </w:r>
        <w:r w:rsidR="00AF5ED0">
          <w:rPr>
            <w:noProof/>
            <w:webHidden/>
          </w:rPr>
          <w:fldChar w:fldCharType="separate"/>
        </w:r>
        <w:r w:rsidR="00097CEB">
          <w:rPr>
            <w:noProof/>
            <w:webHidden/>
          </w:rPr>
          <w:t>8</w:t>
        </w:r>
        <w:r w:rsidR="00AF5ED0">
          <w:rPr>
            <w:noProof/>
            <w:webHidden/>
          </w:rPr>
          <w:fldChar w:fldCharType="end"/>
        </w:r>
      </w:hyperlink>
    </w:p>
    <w:p w14:paraId="58DD6C53"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884" w:history="1">
        <w:r w:rsidR="00AF5ED0" w:rsidRPr="00737E55">
          <w:rPr>
            <w:rStyle w:val="Hyperlink"/>
            <w:noProof/>
          </w:rPr>
          <w:t>d.</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Integrate your antitrust programme into your other programmes and controls</w:t>
        </w:r>
        <w:r w:rsidR="00AF5ED0">
          <w:rPr>
            <w:noProof/>
            <w:webHidden/>
          </w:rPr>
          <w:tab/>
        </w:r>
        <w:r w:rsidR="00AF5ED0">
          <w:rPr>
            <w:noProof/>
            <w:webHidden/>
          </w:rPr>
          <w:fldChar w:fldCharType="begin"/>
        </w:r>
        <w:r w:rsidR="00AF5ED0">
          <w:rPr>
            <w:noProof/>
            <w:webHidden/>
          </w:rPr>
          <w:instrText xml:space="preserve"> PAGEREF _Toc166747884 \h </w:instrText>
        </w:r>
        <w:r w:rsidR="00AF5ED0">
          <w:rPr>
            <w:noProof/>
            <w:webHidden/>
          </w:rPr>
        </w:r>
        <w:r w:rsidR="00AF5ED0">
          <w:rPr>
            <w:noProof/>
            <w:webHidden/>
          </w:rPr>
          <w:fldChar w:fldCharType="separate"/>
        </w:r>
        <w:r w:rsidR="00097CEB">
          <w:rPr>
            <w:noProof/>
            <w:webHidden/>
          </w:rPr>
          <w:t>9</w:t>
        </w:r>
        <w:r w:rsidR="00AF5ED0">
          <w:rPr>
            <w:noProof/>
            <w:webHidden/>
          </w:rPr>
          <w:fldChar w:fldCharType="end"/>
        </w:r>
      </w:hyperlink>
    </w:p>
    <w:p w14:paraId="41918D1C"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885" w:history="1">
        <w:r w:rsidR="00AF5ED0" w:rsidRPr="00737E55">
          <w:rPr>
            <w:rStyle w:val="Hyperlink"/>
            <w:noProof/>
          </w:rPr>
          <w:t>e.</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Ongoing and sustained senior management commitment</w:t>
        </w:r>
        <w:r w:rsidR="00AF5ED0">
          <w:rPr>
            <w:noProof/>
            <w:webHidden/>
          </w:rPr>
          <w:tab/>
        </w:r>
        <w:r w:rsidR="00AF5ED0">
          <w:rPr>
            <w:noProof/>
            <w:webHidden/>
          </w:rPr>
          <w:fldChar w:fldCharType="begin"/>
        </w:r>
        <w:r w:rsidR="00AF5ED0">
          <w:rPr>
            <w:noProof/>
            <w:webHidden/>
          </w:rPr>
          <w:instrText xml:space="preserve"> PAGEREF _Toc166747885 \h </w:instrText>
        </w:r>
        <w:r w:rsidR="00AF5ED0">
          <w:rPr>
            <w:noProof/>
            <w:webHidden/>
          </w:rPr>
        </w:r>
        <w:r w:rsidR="00AF5ED0">
          <w:rPr>
            <w:noProof/>
            <w:webHidden/>
          </w:rPr>
          <w:fldChar w:fldCharType="separate"/>
        </w:r>
        <w:r w:rsidR="00097CEB">
          <w:rPr>
            <w:noProof/>
            <w:webHidden/>
          </w:rPr>
          <w:t>9</w:t>
        </w:r>
        <w:r w:rsidR="00AF5ED0">
          <w:rPr>
            <w:noProof/>
            <w:webHidden/>
          </w:rPr>
          <w:fldChar w:fldCharType="end"/>
        </w:r>
      </w:hyperlink>
    </w:p>
    <w:p w14:paraId="07DF46AA" w14:textId="77777777" w:rsidR="00AF5ED0" w:rsidRDefault="00000000">
      <w:pPr>
        <w:pStyle w:val="TOC2"/>
        <w:tabs>
          <w:tab w:val="left" w:pos="1440"/>
        </w:tabs>
        <w:rPr>
          <w:rFonts w:asciiTheme="minorHAnsi" w:eastAsiaTheme="minorEastAsia" w:hAnsiTheme="minorHAnsi" w:cstheme="minorBidi"/>
          <w:noProof/>
          <w:kern w:val="2"/>
          <w:sz w:val="22"/>
          <w:szCs w:val="22"/>
          <w:lang w:eastAsia="zh-CN"/>
          <w14:ligatures w14:val="standardContextual"/>
        </w:rPr>
      </w:pPr>
      <w:hyperlink w:anchor="_Toc166747886" w:history="1">
        <w:r w:rsidR="00AF5ED0" w:rsidRPr="00737E55">
          <w:rPr>
            <w:rStyle w:val="Hyperlink"/>
            <w:bCs/>
            <w:noProof/>
          </w:rPr>
          <w:t>2.</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Compliance organisation and resources</w:t>
        </w:r>
        <w:r w:rsidR="00AF5ED0">
          <w:rPr>
            <w:noProof/>
            <w:webHidden/>
          </w:rPr>
          <w:tab/>
        </w:r>
        <w:r w:rsidR="00AF5ED0">
          <w:rPr>
            <w:noProof/>
            <w:webHidden/>
          </w:rPr>
          <w:fldChar w:fldCharType="begin"/>
        </w:r>
        <w:r w:rsidR="00AF5ED0">
          <w:rPr>
            <w:noProof/>
            <w:webHidden/>
          </w:rPr>
          <w:instrText xml:space="preserve"> PAGEREF _Toc166747886 \h </w:instrText>
        </w:r>
        <w:r w:rsidR="00AF5ED0">
          <w:rPr>
            <w:noProof/>
            <w:webHidden/>
          </w:rPr>
        </w:r>
        <w:r w:rsidR="00AF5ED0">
          <w:rPr>
            <w:noProof/>
            <w:webHidden/>
          </w:rPr>
          <w:fldChar w:fldCharType="separate"/>
        </w:r>
        <w:r w:rsidR="00097CEB">
          <w:rPr>
            <w:noProof/>
            <w:webHidden/>
          </w:rPr>
          <w:t>10</w:t>
        </w:r>
        <w:r w:rsidR="00AF5ED0">
          <w:rPr>
            <w:noProof/>
            <w:webHidden/>
          </w:rPr>
          <w:fldChar w:fldCharType="end"/>
        </w:r>
      </w:hyperlink>
    </w:p>
    <w:p w14:paraId="1BA692EB"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887" w:history="1">
        <w:r w:rsidR="00AF5ED0" w:rsidRPr="00737E55">
          <w:rPr>
            <w:rStyle w:val="Hyperlink"/>
            <w:noProof/>
          </w:rPr>
          <w:t>a.</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Compliance leadership and organisation</w:t>
        </w:r>
        <w:r w:rsidR="00AF5ED0">
          <w:rPr>
            <w:noProof/>
            <w:webHidden/>
          </w:rPr>
          <w:tab/>
        </w:r>
        <w:r w:rsidR="00AF5ED0">
          <w:rPr>
            <w:noProof/>
            <w:webHidden/>
          </w:rPr>
          <w:fldChar w:fldCharType="begin"/>
        </w:r>
        <w:r w:rsidR="00AF5ED0">
          <w:rPr>
            <w:noProof/>
            <w:webHidden/>
          </w:rPr>
          <w:instrText xml:space="preserve"> PAGEREF _Toc166747887 \h </w:instrText>
        </w:r>
        <w:r w:rsidR="00AF5ED0">
          <w:rPr>
            <w:noProof/>
            <w:webHidden/>
          </w:rPr>
        </w:r>
        <w:r w:rsidR="00AF5ED0">
          <w:rPr>
            <w:noProof/>
            <w:webHidden/>
          </w:rPr>
          <w:fldChar w:fldCharType="separate"/>
        </w:r>
        <w:r w:rsidR="00097CEB">
          <w:rPr>
            <w:noProof/>
            <w:webHidden/>
          </w:rPr>
          <w:t>10</w:t>
        </w:r>
        <w:r w:rsidR="00AF5ED0">
          <w:rPr>
            <w:noProof/>
            <w:webHidden/>
          </w:rPr>
          <w:fldChar w:fldCharType="end"/>
        </w:r>
      </w:hyperlink>
    </w:p>
    <w:p w14:paraId="605F0CD2"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888" w:history="1">
        <w:r w:rsidR="00AF5ED0" w:rsidRPr="00737E55">
          <w:rPr>
            <w:rStyle w:val="Hyperlink"/>
            <w:noProof/>
          </w:rPr>
          <w:t>b.</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Regular reporting to the Board and other senior management</w:t>
        </w:r>
        <w:r w:rsidR="00AF5ED0">
          <w:rPr>
            <w:noProof/>
            <w:webHidden/>
          </w:rPr>
          <w:tab/>
        </w:r>
        <w:r w:rsidR="00AF5ED0">
          <w:rPr>
            <w:noProof/>
            <w:webHidden/>
          </w:rPr>
          <w:fldChar w:fldCharType="begin"/>
        </w:r>
        <w:r w:rsidR="00AF5ED0">
          <w:rPr>
            <w:noProof/>
            <w:webHidden/>
          </w:rPr>
          <w:instrText xml:space="preserve"> PAGEREF _Toc166747888 \h </w:instrText>
        </w:r>
        <w:r w:rsidR="00AF5ED0">
          <w:rPr>
            <w:noProof/>
            <w:webHidden/>
          </w:rPr>
        </w:r>
        <w:r w:rsidR="00AF5ED0">
          <w:rPr>
            <w:noProof/>
            <w:webHidden/>
          </w:rPr>
          <w:fldChar w:fldCharType="separate"/>
        </w:r>
        <w:r w:rsidR="00097CEB">
          <w:rPr>
            <w:noProof/>
            <w:webHidden/>
          </w:rPr>
          <w:t>10</w:t>
        </w:r>
        <w:r w:rsidR="00AF5ED0">
          <w:rPr>
            <w:noProof/>
            <w:webHidden/>
          </w:rPr>
          <w:fldChar w:fldCharType="end"/>
        </w:r>
      </w:hyperlink>
    </w:p>
    <w:p w14:paraId="397BD11F"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889" w:history="1">
        <w:r w:rsidR="00AF5ED0" w:rsidRPr="00737E55">
          <w:rPr>
            <w:rStyle w:val="Hyperlink"/>
            <w:noProof/>
          </w:rPr>
          <w:t>c.</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Adequate resourcing</w:t>
        </w:r>
        <w:r w:rsidR="00AF5ED0">
          <w:rPr>
            <w:noProof/>
            <w:webHidden/>
          </w:rPr>
          <w:tab/>
        </w:r>
        <w:r w:rsidR="00AF5ED0">
          <w:rPr>
            <w:noProof/>
            <w:webHidden/>
          </w:rPr>
          <w:fldChar w:fldCharType="begin"/>
        </w:r>
        <w:r w:rsidR="00AF5ED0">
          <w:rPr>
            <w:noProof/>
            <w:webHidden/>
          </w:rPr>
          <w:instrText xml:space="preserve"> PAGEREF _Toc166747889 \h </w:instrText>
        </w:r>
        <w:r w:rsidR="00AF5ED0">
          <w:rPr>
            <w:noProof/>
            <w:webHidden/>
          </w:rPr>
        </w:r>
        <w:r w:rsidR="00AF5ED0">
          <w:rPr>
            <w:noProof/>
            <w:webHidden/>
          </w:rPr>
          <w:fldChar w:fldCharType="separate"/>
        </w:r>
        <w:r w:rsidR="00097CEB">
          <w:rPr>
            <w:noProof/>
            <w:webHidden/>
          </w:rPr>
          <w:t>11</w:t>
        </w:r>
        <w:r w:rsidR="00AF5ED0">
          <w:rPr>
            <w:noProof/>
            <w:webHidden/>
          </w:rPr>
          <w:fldChar w:fldCharType="end"/>
        </w:r>
      </w:hyperlink>
    </w:p>
    <w:p w14:paraId="5E125D43" w14:textId="77777777" w:rsidR="00AF5ED0" w:rsidRDefault="00000000">
      <w:pPr>
        <w:pStyle w:val="TOC2"/>
        <w:tabs>
          <w:tab w:val="left" w:pos="1440"/>
        </w:tabs>
        <w:rPr>
          <w:rFonts w:asciiTheme="minorHAnsi" w:eastAsiaTheme="minorEastAsia" w:hAnsiTheme="minorHAnsi" w:cstheme="minorBidi"/>
          <w:noProof/>
          <w:kern w:val="2"/>
          <w:sz w:val="22"/>
          <w:szCs w:val="22"/>
          <w:lang w:eastAsia="zh-CN"/>
          <w14:ligatures w14:val="standardContextual"/>
        </w:rPr>
      </w:pPr>
      <w:hyperlink w:anchor="_Toc166747890" w:history="1">
        <w:r w:rsidR="00AF5ED0" w:rsidRPr="00737E55">
          <w:rPr>
            <w:rStyle w:val="Hyperlink"/>
            <w:bCs/>
            <w:noProof/>
          </w:rPr>
          <w:t>3.</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Risk identification and assessment</w:t>
        </w:r>
        <w:r w:rsidR="00AF5ED0">
          <w:rPr>
            <w:noProof/>
            <w:webHidden/>
          </w:rPr>
          <w:tab/>
        </w:r>
        <w:r w:rsidR="00AF5ED0">
          <w:rPr>
            <w:noProof/>
            <w:webHidden/>
          </w:rPr>
          <w:fldChar w:fldCharType="begin"/>
        </w:r>
        <w:r w:rsidR="00AF5ED0">
          <w:rPr>
            <w:noProof/>
            <w:webHidden/>
          </w:rPr>
          <w:instrText xml:space="preserve"> PAGEREF _Toc166747890 \h </w:instrText>
        </w:r>
        <w:r w:rsidR="00AF5ED0">
          <w:rPr>
            <w:noProof/>
            <w:webHidden/>
          </w:rPr>
        </w:r>
        <w:r w:rsidR="00AF5ED0">
          <w:rPr>
            <w:noProof/>
            <w:webHidden/>
          </w:rPr>
          <w:fldChar w:fldCharType="separate"/>
        </w:r>
        <w:r w:rsidR="00097CEB">
          <w:rPr>
            <w:noProof/>
            <w:webHidden/>
          </w:rPr>
          <w:t>12</w:t>
        </w:r>
        <w:r w:rsidR="00AF5ED0">
          <w:rPr>
            <w:noProof/>
            <w:webHidden/>
          </w:rPr>
          <w:fldChar w:fldCharType="end"/>
        </w:r>
      </w:hyperlink>
    </w:p>
    <w:p w14:paraId="0190CCBA"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891" w:history="1">
        <w:r w:rsidR="00AF5ED0" w:rsidRPr="00737E55">
          <w:rPr>
            <w:rStyle w:val="Hyperlink"/>
            <w:noProof/>
          </w:rPr>
          <w:t>a.</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Understanding the company’s overall approach to risk management</w:t>
        </w:r>
        <w:r w:rsidR="00AF5ED0">
          <w:rPr>
            <w:noProof/>
            <w:webHidden/>
          </w:rPr>
          <w:tab/>
        </w:r>
        <w:r w:rsidR="00AF5ED0">
          <w:rPr>
            <w:noProof/>
            <w:webHidden/>
          </w:rPr>
          <w:fldChar w:fldCharType="begin"/>
        </w:r>
        <w:r w:rsidR="00AF5ED0">
          <w:rPr>
            <w:noProof/>
            <w:webHidden/>
          </w:rPr>
          <w:instrText xml:space="preserve"> PAGEREF _Toc166747891 \h </w:instrText>
        </w:r>
        <w:r w:rsidR="00AF5ED0">
          <w:rPr>
            <w:noProof/>
            <w:webHidden/>
          </w:rPr>
        </w:r>
        <w:r w:rsidR="00AF5ED0">
          <w:rPr>
            <w:noProof/>
            <w:webHidden/>
          </w:rPr>
          <w:fldChar w:fldCharType="separate"/>
        </w:r>
        <w:r w:rsidR="00097CEB">
          <w:rPr>
            <w:noProof/>
            <w:webHidden/>
          </w:rPr>
          <w:t>12</w:t>
        </w:r>
        <w:r w:rsidR="00AF5ED0">
          <w:rPr>
            <w:noProof/>
            <w:webHidden/>
          </w:rPr>
          <w:fldChar w:fldCharType="end"/>
        </w:r>
      </w:hyperlink>
    </w:p>
    <w:p w14:paraId="2B0AB8F0"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892" w:history="1">
        <w:r w:rsidR="00AF5ED0" w:rsidRPr="00737E55">
          <w:rPr>
            <w:rStyle w:val="Hyperlink"/>
            <w:noProof/>
          </w:rPr>
          <w:t>b.</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Introducing or improving control points</w:t>
        </w:r>
        <w:r w:rsidR="00AF5ED0">
          <w:rPr>
            <w:noProof/>
            <w:webHidden/>
          </w:rPr>
          <w:tab/>
        </w:r>
        <w:r w:rsidR="00AF5ED0">
          <w:rPr>
            <w:noProof/>
            <w:webHidden/>
          </w:rPr>
          <w:fldChar w:fldCharType="begin"/>
        </w:r>
        <w:r w:rsidR="00AF5ED0">
          <w:rPr>
            <w:noProof/>
            <w:webHidden/>
          </w:rPr>
          <w:instrText xml:space="preserve"> PAGEREF _Toc166747892 \h </w:instrText>
        </w:r>
        <w:r w:rsidR="00AF5ED0">
          <w:rPr>
            <w:noProof/>
            <w:webHidden/>
          </w:rPr>
        </w:r>
        <w:r w:rsidR="00AF5ED0">
          <w:rPr>
            <w:noProof/>
            <w:webHidden/>
          </w:rPr>
          <w:fldChar w:fldCharType="separate"/>
        </w:r>
        <w:r w:rsidR="00097CEB">
          <w:rPr>
            <w:noProof/>
            <w:webHidden/>
          </w:rPr>
          <w:t>13</w:t>
        </w:r>
        <w:r w:rsidR="00AF5ED0">
          <w:rPr>
            <w:noProof/>
            <w:webHidden/>
          </w:rPr>
          <w:fldChar w:fldCharType="end"/>
        </w:r>
      </w:hyperlink>
    </w:p>
    <w:p w14:paraId="55659FF6"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893" w:history="1">
        <w:r w:rsidR="00AF5ED0" w:rsidRPr="00737E55">
          <w:rPr>
            <w:rStyle w:val="Hyperlink"/>
            <w:noProof/>
          </w:rPr>
          <w:t>c.</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Effectiveness of control points</w:t>
        </w:r>
        <w:r w:rsidR="00AF5ED0">
          <w:rPr>
            <w:noProof/>
            <w:webHidden/>
          </w:rPr>
          <w:tab/>
        </w:r>
        <w:r w:rsidR="00AF5ED0">
          <w:rPr>
            <w:noProof/>
            <w:webHidden/>
          </w:rPr>
          <w:fldChar w:fldCharType="begin"/>
        </w:r>
        <w:r w:rsidR="00AF5ED0">
          <w:rPr>
            <w:noProof/>
            <w:webHidden/>
          </w:rPr>
          <w:instrText xml:space="preserve"> PAGEREF _Toc166747893 \h </w:instrText>
        </w:r>
        <w:r w:rsidR="00AF5ED0">
          <w:rPr>
            <w:noProof/>
            <w:webHidden/>
          </w:rPr>
        </w:r>
        <w:r w:rsidR="00AF5ED0">
          <w:rPr>
            <w:noProof/>
            <w:webHidden/>
          </w:rPr>
          <w:fldChar w:fldCharType="separate"/>
        </w:r>
        <w:r w:rsidR="00097CEB">
          <w:rPr>
            <w:noProof/>
            <w:webHidden/>
          </w:rPr>
          <w:t>14</w:t>
        </w:r>
        <w:r w:rsidR="00AF5ED0">
          <w:rPr>
            <w:noProof/>
            <w:webHidden/>
          </w:rPr>
          <w:fldChar w:fldCharType="end"/>
        </w:r>
      </w:hyperlink>
    </w:p>
    <w:p w14:paraId="36B67E5E" w14:textId="77777777" w:rsidR="00AF5ED0" w:rsidRDefault="00000000">
      <w:pPr>
        <w:pStyle w:val="TOC2"/>
        <w:tabs>
          <w:tab w:val="left" w:pos="1440"/>
        </w:tabs>
        <w:rPr>
          <w:rFonts w:asciiTheme="minorHAnsi" w:eastAsiaTheme="minorEastAsia" w:hAnsiTheme="minorHAnsi" w:cstheme="minorBidi"/>
          <w:noProof/>
          <w:kern w:val="2"/>
          <w:sz w:val="22"/>
          <w:szCs w:val="22"/>
          <w:lang w:eastAsia="zh-CN"/>
          <w14:ligatures w14:val="standardContextual"/>
        </w:rPr>
      </w:pPr>
      <w:hyperlink w:anchor="_Toc166747894" w:history="1">
        <w:r w:rsidR="00AF5ED0" w:rsidRPr="00737E55">
          <w:rPr>
            <w:rStyle w:val="Hyperlink"/>
            <w:bCs/>
            <w:noProof/>
          </w:rPr>
          <w:t>4.</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Antitrust compliance know-how</w:t>
        </w:r>
        <w:r w:rsidR="00AF5ED0">
          <w:rPr>
            <w:noProof/>
            <w:webHidden/>
          </w:rPr>
          <w:tab/>
        </w:r>
        <w:r w:rsidR="00AF5ED0">
          <w:rPr>
            <w:noProof/>
            <w:webHidden/>
          </w:rPr>
          <w:fldChar w:fldCharType="begin"/>
        </w:r>
        <w:r w:rsidR="00AF5ED0">
          <w:rPr>
            <w:noProof/>
            <w:webHidden/>
          </w:rPr>
          <w:instrText xml:space="preserve"> PAGEREF _Toc166747894 \h </w:instrText>
        </w:r>
        <w:r w:rsidR="00AF5ED0">
          <w:rPr>
            <w:noProof/>
            <w:webHidden/>
          </w:rPr>
        </w:r>
        <w:r w:rsidR="00AF5ED0">
          <w:rPr>
            <w:noProof/>
            <w:webHidden/>
          </w:rPr>
          <w:fldChar w:fldCharType="separate"/>
        </w:r>
        <w:r w:rsidR="00097CEB">
          <w:rPr>
            <w:noProof/>
            <w:webHidden/>
          </w:rPr>
          <w:t>15</w:t>
        </w:r>
        <w:r w:rsidR="00AF5ED0">
          <w:rPr>
            <w:noProof/>
            <w:webHidden/>
          </w:rPr>
          <w:fldChar w:fldCharType="end"/>
        </w:r>
      </w:hyperlink>
    </w:p>
    <w:p w14:paraId="121A9DCA"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895" w:history="1">
        <w:r w:rsidR="00AF5ED0" w:rsidRPr="00737E55">
          <w:rPr>
            <w:rStyle w:val="Hyperlink"/>
            <w:noProof/>
          </w:rPr>
          <w:t>a.</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Antitrust know-how: manuals, handbooks, guides</w:t>
        </w:r>
        <w:r w:rsidR="00AF5ED0">
          <w:rPr>
            <w:noProof/>
            <w:webHidden/>
          </w:rPr>
          <w:tab/>
        </w:r>
        <w:r w:rsidR="00AF5ED0">
          <w:rPr>
            <w:noProof/>
            <w:webHidden/>
          </w:rPr>
          <w:fldChar w:fldCharType="begin"/>
        </w:r>
        <w:r w:rsidR="00AF5ED0">
          <w:rPr>
            <w:noProof/>
            <w:webHidden/>
          </w:rPr>
          <w:instrText xml:space="preserve"> PAGEREF _Toc166747895 \h </w:instrText>
        </w:r>
        <w:r w:rsidR="00AF5ED0">
          <w:rPr>
            <w:noProof/>
            <w:webHidden/>
          </w:rPr>
        </w:r>
        <w:r w:rsidR="00AF5ED0">
          <w:rPr>
            <w:noProof/>
            <w:webHidden/>
          </w:rPr>
          <w:fldChar w:fldCharType="separate"/>
        </w:r>
        <w:r w:rsidR="00097CEB">
          <w:rPr>
            <w:noProof/>
            <w:webHidden/>
          </w:rPr>
          <w:t>15</w:t>
        </w:r>
        <w:r w:rsidR="00AF5ED0">
          <w:rPr>
            <w:noProof/>
            <w:webHidden/>
          </w:rPr>
          <w:fldChar w:fldCharType="end"/>
        </w:r>
      </w:hyperlink>
    </w:p>
    <w:p w14:paraId="2224065B"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896" w:history="1">
        <w:r w:rsidR="00AF5ED0" w:rsidRPr="00737E55">
          <w:rPr>
            <w:rStyle w:val="Hyperlink"/>
            <w:noProof/>
          </w:rPr>
          <w:t>b.</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Antitrust training</w:t>
        </w:r>
        <w:r w:rsidR="00AF5ED0">
          <w:rPr>
            <w:noProof/>
            <w:webHidden/>
          </w:rPr>
          <w:tab/>
        </w:r>
        <w:r w:rsidR="00AF5ED0">
          <w:rPr>
            <w:noProof/>
            <w:webHidden/>
          </w:rPr>
          <w:fldChar w:fldCharType="begin"/>
        </w:r>
        <w:r w:rsidR="00AF5ED0">
          <w:rPr>
            <w:noProof/>
            <w:webHidden/>
          </w:rPr>
          <w:instrText xml:space="preserve"> PAGEREF _Toc166747896 \h </w:instrText>
        </w:r>
        <w:r w:rsidR="00AF5ED0">
          <w:rPr>
            <w:noProof/>
            <w:webHidden/>
          </w:rPr>
        </w:r>
        <w:r w:rsidR="00AF5ED0">
          <w:rPr>
            <w:noProof/>
            <w:webHidden/>
          </w:rPr>
          <w:fldChar w:fldCharType="separate"/>
        </w:r>
        <w:r w:rsidR="00097CEB">
          <w:rPr>
            <w:noProof/>
            <w:webHidden/>
          </w:rPr>
          <w:t>15</w:t>
        </w:r>
        <w:r w:rsidR="00AF5ED0">
          <w:rPr>
            <w:noProof/>
            <w:webHidden/>
          </w:rPr>
          <w:fldChar w:fldCharType="end"/>
        </w:r>
      </w:hyperlink>
    </w:p>
    <w:p w14:paraId="5B149ED5"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897" w:history="1">
        <w:r w:rsidR="00AF5ED0" w:rsidRPr="00737E55">
          <w:rPr>
            <w:rStyle w:val="Hyperlink"/>
            <w:noProof/>
          </w:rPr>
          <w:t>c.</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Find ways to stimulate positive employee engagement</w:t>
        </w:r>
        <w:r w:rsidR="00AF5ED0">
          <w:rPr>
            <w:noProof/>
            <w:webHidden/>
          </w:rPr>
          <w:tab/>
        </w:r>
        <w:r w:rsidR="00AF5ED0">
          <w:rPr>
            <w:noProof/>
            <w:webHidden/>
          </w:rPr>
          <w:fldChar w:fldCharType="begin"/>
        </w:r>
        <w:r w:rsidR="00AF5ED0">
          <w:rPr>
            <w:noProof/>
            <w:webHidden/>
          </w:rPr>
          <w:instrText xml:space="preserve"> PAGEREF _Toc166747897 \h </w:instrText>
        </w:r>
        <w:r w:rsidR="00AF5ED0">
          <w:rPr>
            <w:noProof/>
            <w:webHidden/>
          </w:rPr>
        </w:r>
        <w:r w:rsidR="00AF5ED0">
          <w:rPr>
            <w:noProof/>
            <w:webHidden/>
          </w:rPr>
          <w:fldChar w:fldCharType="separate"/>
        </w:r>
        <w:r w:rsidR="00097CEB">
          <w:rPr>
            <w:noProof/>
            <w:webHidden/>
          </w:rPr>
          <w:t>17</w:t>
        </w:r>
        <w:r w:rsidR="00AF5ED0">
          <w:rPr>
            <w:noProof/>
            <w:webHidden/>
          </w:rPr>
          <w:fldChar w:fldCharType="end"/>
        </w:r>
      </w:hyperlink>
    </w:p>
    <w:p w14:paraId="411E400C"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898" w:history="1">
        <w:r w:rsidR="00AF5ED0" w:rsidRPr="00737E55">
          <w:rPr>
            <w:rStyle w:val="Hyperlink"/>
            <w:noProof/>
          </w:rPr>
          <w:t>d.</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Information about antitrust investigations</w:t>
        </w:r>
        <w:r w:rsidR="00AF5ED0">
          <w:rPr>
            <w:noProof/>
            <w:webHidden/>
          </w:rPr>
          <w:tab/>
        </w:r>
        <w:r w:rsidR="00AF5ED0">
          <w:rPr>
            <w:noProof/>
            <w:webHidden/>
          </w:rPr>
          <w:fldChar w:fldCharType="begin"/>
        </w:r>
        <w:r w:rsidR="00AF5ED0">
          <w:rPr>
            <w:noProof/>
            <w:webHidden/>
          </w:rPr>
          <w:instrText xml:space="preserve"> PAGEREF _Toc166747898 \h </w:instrText>
        </w:r>
        <w:r w:rsidR="00AF5ED0">
          <w:rPr>
            <w:noProof/>
            <w:webHidden/>
          </w:rPr>
        </w:r>
        <w:r w:rsidR="00AF5ED0">
          <w:rPr>
            <w:noProof/>
            <w:webHidden/>
          </w:rPr>
          <w:fldChar w:fldCharType="separate"/>
        </w:r>
        <w:r w:rsidR="00097CEB">
          <w:rPr>
            <w:noProof/>
            <w:webHidden/>
          </w:rPr>
          <w:t>17</w:t>
        </w:r>
        <w:r w:rsidR="00AF5ED0">
          <w:rPr>
            <w:noProof/>
            <w:webHidden/>
          </w:rPr>
          <w:fldChar w:fldCharType="end"/>
        </w:r>
      </w:hyperlink>
    </w:p>
    <w:p w14:paraId="408BF110" w14:textId="77777777" w:rsidR="00AF5ED0" w:rsidRDefault="00000000">
      <w:pPr>
        <w:pStyle w:val="TOC2"/>
        <w:tabs>
          <w:tab w:val="left" w:pos="1440"/>
        </w:tabs>
        <w:rPr>
          <w:rFonts w:asciiTheme="minorHAnsi" w:eastAsiaTheme="minorEastAsia" w:hAnsiTheme="minorHAnsi" w:cstheme="minorBidi"/>
          <w:noProof/>
          <w:kern w:val="2"/>
          <w:sz w:val="22"/>
          <w:szCs w:val="22"/>
          <w:lang w:eastAsia="zh-CN"/>
          <w14:ligatures w14:val="standardContextual"/>
        </w:rPr>
      </w:pPr>
      <w:hyperlink w:anchor="_Toc166747899" w:history="1">
        <w:r w:rsidR="00AF5ED0" w:rsidRPr="00737E55">
          <w:rPr>
            <w:rStyle w:val="Hyperlink"/>
            <w:bCs/>
            <w:noProof/>
          </w:rPr>
          <w:t>5.</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Antitrust concerns-handling systems</w:t>
        </w:r>
        <w:r w:rsidR="00AF5ED0">
          <w:rPr>
            <w:noProof/>
            <w:webHidden/>
          </w:rPr>
          <w:tab/>
        </w:r>
        <w:r w:rsidR="00AF5ED0">
          <w:rPr>
            <w:noProof/>
            <w:webHidden/>
          </w:rPr>
          <w:fldChar w:fldCharType="begin"/>
        </w:r>
        <w:r w:rsidR="00AF5ED0">
          <w:rPr>
            <w:noProof/>
            <w:webHidden/>
          </w:rPr>
          <w:instrText xml:space="preserve"> PAGEREF _Toc166747899 \h </w:instrText>
        </w:r>
        <w:r w:rsidR="00AF5ED0">
          <w:rPr>
            <w:noProof/>
            <w:webHidden/>
          </w:rPr>
        </w:r>
        <w:r w:rsidR="00AF5ED0">
          <w:rPr>
            <w:noProof/>
            <w:webHidden/>
          </w:rPr>
          <w:fldChar w:fldCharType="separate"/>
        </w:r>
        <w:r w:rsidR="00097CEB">
          <w:rPr>
            <w:noProof/>
            <w:webHidden/>
          </w:rPr>
          <w:t>19</w:t>
        </w:r>
        <w:r w:rsidR="00AF5ED0">
          <w:rPr>
            <w:noProof/>
            <w:webHidden/>
          </w:rPr>
          <w:fldChar w:fldCharType="end"/>
        </w:r>
      </w:hyperlink>
    </w:p>
    <w:p w14:paraId="53ABD172"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00" w:history="1">
        <w:r w:rsidR="00AF5ED0" w:rsidRPr="00737E55">
          <w:rPr>
            <w:rStyle w:val="Hyperlink"/>
            <w:noProof/>
          </w:rPr>
          <w:t>a.</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Different kinds of internal reporting systems</w:t>
        </w:r>
        <w:r w:rsidR="00AF5ED0">
          <w:rPr>
            <w:noProof/>
            <w:webHidden/>
          </w:rPr>
          <w:tab/>
        </w:r>
        <w:r w:rsidR="00AF5ED0">
          <w:rPr>
            <w:noProof/>
            <w:webHidden/>
          </w:rPr>
          <w:fldChar w:fldCharType="begin"/>
        </w:r>
        <w:r w:rsidR="00AF5ED0">
          <w:rPr>
            <w:noProof/>
            <w:webHidden/>
          </w:rPr>
          <w:instrText xml:space="preserve"> PAGEREF _Toc166747900 \h </w:instrText>
        </w:r>
        <w:r w:rsidR="00AF5ED0">
          <w:rPr>
            <w:noProof/>
            <w:webHidden/>
          </w:rPr>
        </w:r>
        <w:r w:rsidR="00AF5ED0">
          <w:rPr>
            <w:noProof/>
            <w:webHidden/>
          </w:rPr>
          <w:fldChar w:fldCharType="separate"/>
        </w:r>
        <w:r w:rsidR="00097CEB">
          <w:rPr>
            <w:noProof/>
            <w:webHidden/>
          </w:rPr>
          <w:t>19</w:t>
        </w:r>
        <w:r w:rsidR="00AF5ED0">
          <w:rPr>
            <w:noProof/>
            <w:webHidden/>
          </w:rPr>
          <w:fldChar w:fldCharType="end"/>
        </w:r>
      </w:hyperlink>
    </w:p>
    <w:p w14:paraId="018EEC11"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01" w:history="1">
        <w:r w:rsidR="00AF5ED0" w:rsidRPr="00737E55">
          <w:rPr>
            <w:rStyle w:val="Hyperlink"/>
            <w:noProof/>
          </w:rPr>
          <w:t>b.</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Communicate, educate and create a culture of speaking up</w:t>
        </w:r>
        <w:r w:rsidR="00AF5ED0">
          <w:rPr>
            <w:noProof/>
            <w:webHidden/>
          </w:rPr>
          <w:tab/>
        </w:r>
        <w:r w:rsidR="00AF5ED0">
          <w:rPr>
            <w:noProof/>
            <w:webHidden/>
          </w:rPr>
          <w:fldChar w:fldCharType="begin"/>
        </w:r>
        <w:r w:rsidR="00AF5ED0">
          <w:rPr>
            <w:noProof/>
            <w:webHidden/>
          </w:rPr>
          <w:instrText xml:space="preserve"> PAGEREF _Toc166747901 \h </w:instrText>
        </w:r>
        <w:r w:rsidR="00AF5ED0">
          <w:rPr>
            <w:noProof/>
            <w:webHidden/>
          </w:rPr>
        </w:r>
        <w:r w:rsidR="00AF5ED0">
          <w:rPr>
            <w:noProof/>
            <w:webHidden/>
          </w:rPr>
          <w:fldChar w:fldCharType="separate"/>
        </w:r>
        <w:r w:rsidR="00097CEB">
          <w:rPr>
            <w:noProof/>
            <w:webHidden/>
          </w:rPr>
          <w:t>20</w:t>
        </w:r>
        <w:r w:rsidR="00AF5ED0">
          <w:rPr>
            <w:noProof/>
            <w:webHidden/>
          </w:rPr>
          <w:fldChar w:fldCharType="end"/>
        </w:r>
      </w:hyperlink>
    </w:p>
    <w:p w14:paraId="6302FFFF"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02" w:history="1">
        <w:r w:rsidR="00AF5ED0" w:rsidRPr="00737E55">
          <w:rPr>
            <w:rStyle w:val="Hyperlink"/>
            <w:noProof/>
          </w:rPr>
          <w:t>c.</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Non-retaliation and confidentiality</w:t>
        </w:r>
        <w:r w:rsidR="00AF5ED0">
          <w:rPr>
            <w:noProof/>
            <w:webHidden/>
          </w:rPr>
          <w:tab/>
        </w:r>
        <w:r w:rsidR="00AF5ED0">
          <w:rPr>
            <w:noProof/>
            <w:webHidden/>
          </w:rPr>
          <w:fldChar w:fldCharType="begin"/>
        </w:r>
        <w:r w:rsidR="00AF5ED0">
          <w:rPr>
            <w:noProof/>
            <w:webHidden/>
          </w:rPr>
          <w:instrText xml:space="preserve"> PAGEREF _Toc166747902 \h </w:instrText>
        </w:r>
        <w:r w:rsidR="00AF5ED0">
          <w:rPr>
            <w:noProof/>
            <w:webHidden/>
          </w:rPr>
        </w:r>
        <w:r w:rsidR="00AF5ED0">
          <w:rPr>
            <w:noProof/>
            <w:webHidden/>
          </w:rPr>
          <w:fldChar w:fldCharType="separate"/>
        </w:r>
        <w:r w:rsidR="00097CEB">
          <w:rPr>
            <w:noProof/>
            <w:webHidden/>
          </w:rPr>
          <w:t>20</w:t>
        </w:r>
        <w:r w:rsidR="00AF5ED0">
          <w:rPr>
            <w:noProof/>
            <w:webHidden/>
          </w:rPr>
          <w:fldChar w:fldCharType="end"/>
        </w:r>
      </w:hyperlink>
    </w:p>
    <w:p w14:paraId="0523BFD8"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03" w:history="1">
        <w:r w:rsidR="00AF5ED0" w:rsidRPr="00737E55">
          <w:rPr>
            <w:rStyle w:val="Hyperlink"/>
            <w:noProof/>
          </w:rPr>
          <w:t>d.</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The company’s prompt and fair response to a concern</w:t>
        </w:r>
        <w:r w:rsidR="00AF5ED0">
          <w:rPr>
            <w:noProof/>
            <w:webHidden/>
          </w:rPr>
          <w:tab/>
        </w:r>
        <w:r w:rsidR="00AF5ED0">
          <w:rPr>
            <w:noProof/>
            <w:webHidden/>
          </w:rPr>
          <w:fldChar w:fldCharType="begin"/>
        </w:r>
        <w:r w:rsidR="00AF5ED0">
          <w:rPr>
            <w:noProof/>
            <w:webHidden/>
          </w:rPr>
          <w:instrText xml:space="preserve"> PAGEREF _Toc166747903 \h </w:instrText>
        </w:r>
        <w:r w:rsidR="00AF5ED0">
          <w:rPr>
            <w:noProof/>
            <w:webHidden/>
          </w:rPr>
        </w:r>
        <w:r w:rsidR="00AF5ED0">
          <w:rPr>
            <w:noProof/>
            <w:webHidden/>
          </w:rPr>
          <w:fldChar w:fldCharType="separate"/>
        </w:r>
        <w:r w:rsidR="00097CEB">
          <w:rPr>
            <w:noProof/>
            <w:webHidden/>
          </w:rPr>
          <w:t>21</w:t>
        </w:r>
        <w:r w:rsidR="00AF5ED0">
          <w:rPr>
            <w:noProof/>
            <w:webHidden/>
          </w:rPr>
          <w:fldChar w:fldCharType="end"/>
        </w:r>
      </w:hyperlink>
    </w:p>
    <w:p w14:paraId="4783771E" w14:textId="77777777" w:rsidR="00AF5ED0" w:rsidRDefault="00000000">
      <w:pPr>
        <w:pStyle w:val="TOC2"/>
        <w:tabs>
          <w:tab w:val="left" w:pos="1440"/>
        </w:tabs>
        <w:rPr>
          <w:rFonts w:asciiTheme="minorHAnsi" w:eastAsiaTheme="minorEastAsia" w:hAnsiTheme="minorHAnsi" w:cstheme="minorBidi"/>
          <w:noProof/>
          <w:kern w:val="2"/>
          <w:sz w:val="22"/>
          <w:szCs w:val="22"/>
          <w:lang w:eastAsia="zh-CN"/>
          <w14:ligatures w14:val="standardContextual"/>
        </w:rPr>
      </w:pPr>
      <w:hyperlink w:anchor="_Toc166747904" w:history="1">
        <w:r w:rsidR="00AF5ED0" w:rsidRPr="00737E55">
          <w:rPr>
            <w:rStyle w:val="Hyperlink"/>
            <w:bCs/>
            <w:noProof/>
          </w:rPr>
          <w:t>6.</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Handling of internal investigations</w:t>
        </w:r>
        <w:r w:rsidR="00AF5ED0">
          <w:rPr>
            <w:noProof/>
            <w:webHidden/>
          </w:rPr>
          <w:tab/>
        </w:r>
        <w:r w:rsidR="00AF5ED0">
          <w:rPr>
            <w:noProof/>
            <w:webHidden/>
          </w:rPr>
          <w:fldChar w:fldCharType="begin"/>
        </w:r>
        <w:r w:rsidR="00AF5ED0">
          <w:rPr>
            <w:noProof/>
            <w:webHidden/>
          </w:rPr>
          <w:instrText xml:space="preserve"> PAGEREF _Toc166747904 \h </w:instrText>
        </w:r>
        <w:r w:rsidR="00AF5ED0">
          <w:rPr>
            <w:noProof/>
            <w:webHidden/>
          </w:rPr>
        </w:r>
        <w:r w:rsidR="00AF5ED0">
          <w:rPr>
            <w:noProof/>
            <w:webHidden/>
          </w:rPr>
          <w:fldChar w:fldCharType="separate"/>
        </w:r>
        <w:r w:rsidR="00097CEB">
          <w:rPr>
            <w:noProof/>
            <w:webHidden/>
          </w:rPr>
          <w:t>22</w:t>
        </w:r>
        <w:r w:rsidR="00AF5ED0">
          <w:rPr>
            <w:noProof/>
            <w:webHidden/>
          </w:rPr>
          <w:fldChar w:fldCharType="end"/>
        </w:r>
      </w:hyperlink>
    </w:p>
    <w:p w14:paraId="197D95D7"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05" w:history="1">
        <w:r w:rsidR="00AF5ED0" w:rsidRPr="00737E55">
          <w:rPr>
            <w:rStyle w:val="Hyperlink"/>
            <w:noProof/>
          </w:rPr>
          <w:t>a.</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Types of internal investigations</w:t>
        </w:r>
        <w:r w:rsidR="00AF5ED0">
          <w:rPr>
            <w:noProof/>
            <w:webHidden/>
          </w:rPr>
          <w:tab/>
        </w:r>
        <w:r w:rsidR="00AF5ED0">
          <w:rPr>
            <w:noProof/>
            <w:webHidden/>
          </w:rPr>
          <w:fldChar w:fldCharType="begin"/>
        </w:r>
        <w:r w:rsidR="00AF5ED0">
          <w:rPr>
            <w:noProof/>
            <w:webHidden/>
          </w:rPr>
          <w:instrText xml:space="preserve"> PAGEREF _Toc166747905 \h </w:instrText>
        </w:r>
        <w:r w:rsidR="00AF5ED0">
          <w:rPr>
            <w:noProof/>
            <w:webHidden/>
          </w:rPr>
        </w:r>
        <w:r w:rsidR="00AF5ED0">
          <w:rPr>
            <w:noProof/>
            <w:webHidden/>
          </w:rPr>
          <w:fldChar w:fldCharType="separate"/>
        </w:r>
        <w:r w:rsidR="00097CEB">
          <w:rPr>
            <w:noProof/>
            <w:webHidden/>
          </w:rPr>
          <w:t>22</w:t>
        </w:r>
        <w:r w:rsidR="00AF5ED0">
          <w:rPr>
            <w:noProof/>
            <w:webHidden/>
          </w:rPr>
          <w:fldChar w:fldCharType="end"/>
        </w:r>
      </w:hyperlink>
    </w:p>
    <w:p w14:paraId="01EA07B7"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06" w:history="1">
        <w:r w:rsidR="00AF5ED0" w:rsidRPr="00737E55">
          <w:rPr>
            <w:rStyle w:val="Hyperlink"/>
            <w:noProof/>
          </w:rPr>
          <w:t>b.</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Things to consider/practical tools and tips</w:t>
        </w:r>
        <w:r w:rsidR="00AF5ED0">
          <w:rPr>
            <w:noProof/>
            <w:webHidden/>
          </w:rPr>
          <w:tab/>
        </w:r>
        <w:r w:rsidR="00AF5ED0">
          <w:rPr>
            <w:noProof/>
            <w:webHidden/>
          </w:rPr>
          <w:fldChar w:fldCharType="begin"/>
        </w:r>
        <w:r w:rsidR="00AF5ED0">
          <w:rPr>
            <w:noProof/>
            <w:webHidden/>
          </w:rPr>
          <w:instrText xml:space="preserve"> PAGEREF _Toc166747906 \h </w:instrText>
        </w:r>
        <w:r w:rsidR="00AF5ED0">
          <w:rPr>
            <w:noProof/>
            <w:webHidden/>
          </w:rPr>
        </w:r>
        <w:r w:rsidR="00AF5ED0">
          <w:rPr>
            <w:noProof/>
            <w:webHidden/>
          </w:rPr>
          <w:fldChar w:fldCharType="separate"/>
        </w:r>
        <w:r w:rsidR="00097CEB">
          <w:rPr>
            <w:noProof/>
            <w:webHidden/>
          </w:rPr>
          <w:t>23</w:t>
        </w:r>
        <w:r w:rsidR="00AF5ED0">
          <w:rPr>
            <w:noProof/>
            <w:webHidden/>
          </w:rPr>
          <w:fldChar w:fldCharType="end"/>
        </w:r>
      </w:hyperlink>
    </w:p>
    <w:p w14:paraId="0A36AA36" w14:textId="77777777" w:rsidR="00AF5ED0" w:rsidRDefault="00000000">
      <w:pPr>
        <w:pStyle w:val="TOC2"/>
        <w:tabs>
          <w:tab w:val="left" w:pos="1440"/>
        </w:tabs>
        <w:rPr>
          <w:rFonts w:asciiTheme="minorHAnsi" w:eastAsiaTheme="minorEastAsia" w:hAnsiTheme="minorHAnsi" w:cstheme="minorBidi"/>
          <w:noProof/>
          <w:kern w:val="2"/>
          <w:sz w:val="22"/>
          <w:szCs w:val="22"/>
          <w:lang w:eastAsia="zh-CN"/>
          <w14:ligatures w14:val="standardContextual"/>
        </w:rPr>
      </w:pPr>
      <w:hyperlink w:anchor="_Toc166747907" w:history="1">
        <w:r w:rsidR="00AF5ED0" w:rsidRPr="00737E55">
          <w:rPr>
            <w:rStyle w:val="Hyperlink"/>
            <w:bCs/>
            <w:noProof/>
          </w:rPr>
          <w:t>7.</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Disciplinary action</w:t>
        </w:r>
        <w:r w:rsidR="00AF5ED0">
          <w:rPr>
            <w:noProof/>
            <w:webHidden/>
          </w:rPr>
          <w:tab/>
        </w:r>
        <w:r w:rsidR="00AF5ED0">
          <w:rPr>
            <w:noProof/>
            <w:webHidden/>
          </w:rPr>
          <w:fldChar w:fldCharType="begin"/>
        </w:r>
        <w:r w:rsidR="00AF5ED0">
          <w:rPr>
            <w:noProof/>
            <w:webHidden/>
          </w:rPr>
          <w:instrText xml:space="preserve"> PAGEREF _Toc166747907 \h </w:instrText>
        </w:r>
        <w:r w:rsidR="00AF5ED0">
          <w:rPr>
            <w:noProof/>
            <w:webHidden/>
          </w:rPr>
        </w:r>
        <w:r w:rsidR="00AF5ED0">
          <w:rPr>
            <w:noProof/>
            <w:webHidden/>
          </w:rPr>
          <w:fldChar w:fldCharType="separate"/>
        </w:r>
        <w:r w:rsidR="00097CEB">
          <w:rPr>
            <w:noProof/>
            <w:webHidden/>
          </w:rPr>
          <w:t>27</w:t>
        </w:r>
        <w:r w:rsidR="00AF5ED0">
          <w:rPr>
            <w:noProof/>
            <w:webHidden/>
          </w:rPr>
          <w:fldChar w:fldCharType="end"/>
        </w:r>
      </w:hyperlink>
    </w:p>
    <w:p w14:paraId="6E2C8BF8"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08" w:history="1">
        <w:r w:rsidR="00AF5ED0" w:rsidRPr="00737E55">
          <w:rPr>
            <w:rStyle w:val="Hyperlink"/>
            <w:noProof/>
          </w:rPr>
          <w:t>a.</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General requirements for disciplinary proceedings</w:t>
        </w:r>
        <w:r w:rsidR="00AF5ED0">
          <w:rPr>
            <w:noProof/>
            <w:webHidden/>
          </w:rPr>
          <w:tab/>
        </w:r>
        <w:r w:rsidR="00AF5ED0">
          <w:rPr>
            <w:noProof/>
            <w:webHidden/>
          </w:rPr>
          <w:fldChar w:fldCharType="begin"/>
        </w:r>
        <w:r w:rsidR="00AF5ED0">
          <w:rPr>
            <w:noProof/>
            <w:webHidden/>
          </w:rPr>
          <w:instrText xml:space="preserve"> PAGEREF _Toc166747908 \h </w:instrText>
        </w:r>
        <w:r w:rsidR="00AF5ED0">
          <w:rPr>
            <w:noProof/>
            <w:webHidden/>
          </w:rPr>
        </w:r>
        <w:r w:rsidR="00AF5ED0">
          <w:rPr>
            <w:noProof/>
            <w:webHidden/>
          </w:rPr>
          <w:fldChar w:fldCharType="separate"/>
        </w:r>
        <w:r w:rsidR="00097CEB">
          <w:rPr>
            <w:noProof/>
            <w:webHidden/>
          </w:rPr>
          <w:t>27</w:t>
        </w:r>
        <w:r w:rsidR="00AF5ED0">
          <w:rPr>
            <w:noProof/>
            <w:webHidden/>
          </w:rPr>
          <w:fldChar w:fldCharType="end"/>
        </w:r>
      </w:hyperlink>
    </w:p>
    <w:p w14:paraId="3E029C53"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09" w:history="1">
        <w:r w:rsidR="00AF5ED0" w:rsidRPr="00737E55">
          <w:rPr>
            <w:rStyle w:val="Hyperlink"/>
            <w:noProof/>
          </w:rPr>
          <w:t>b.</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Possible disciplinary measures</w:t>
        </w:r>
        <w:r w:rsidR="00AF5ED0">
          <w:rPr>
            <w:noProof/>
            <w:webHidden/>
          </w:rPr>
          <w:tab/>
        </w:r>
        <w:r w:rsidR="00AF5ED0">
          <w:rPr>
            <w:noProof/>
            <w:webHidden/>
          </w:rPr>
          <w:fldChar w:fldCharType="begin"/>
        </w:r>
        <w:r w:rsidR="00AF5ED0">
          <w:rPr>
            <w:noProof/>
            <w:webHidden/>
          </w:rPr>
          <w:instrText xml:space="preserve"> PAGEREF _Toc166747909 \h </w:instrText>
        </w:r>
        <w:r w:rsidR="00AF5ED0">
          <w:rPr>
            <w:noProof/>
            <w:webHidden/>
          </w:rPr>
        </w:r>
        <w:r w:rsidR="00AF5ED0">
          <w:rPr>
            <w:noProof/>
            <w:webHidden/>
          </w:rPr>
          <w:fldChar w:fldCharType="separate"/>
        </w:r>
        <w:r w:rsidR="00097CEB">
          <w:rPr>
            <w:noProof/>
            <w:webHidden/>
          </w:rPr>
          <w:t>28</w:t>
        </w:r>
        <w:r w:rsidR="00AF5ED0">
          <w:rPr>
            <w:noProof/>
            <w:webHidden/>
          </w:rPr>
          <w:fldChar w:fldCharType="end"/>
        </w:r>
      </w:hyperlink>
    </w:p>
    <w:p w14:paraId="0533F4CC"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10" w:history="1">
        <w:r w:rsidR="00AF5ED0" w:rsidRPr="00737E55">
          <w:rPr>
            <w:rStyle w:val="Hyperlink"/>
            <w:noProof/>
          </w:rPr>
          <w:t>c.</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Potential aggravating and mitigating factors</w:t>
        </w:r>
        <w:r w:rsidR="00AF5ED0">
          <w:rPr>
            <w:noProof/>
            <w:webHidden/>
          </w:rPr>
          <w:tab/>
        </w:r>
        <w:r w:rsidR="00AF5ED0">
          <w:rPr>
            <w:noProof/>
            <w:webHidden/>
          </w:rPr>
          <w:fldChar w:fldCharType="begin"/>
        </w:r>
        <w:r w:rsidR="00AF5ED0">
          <w:rPr>
            <w:noProof/>
            <w:webHidden/>
          </w:rPr>
          <w:instrText xml:space="preserve"> PAGEREF _Toc166747910 \h </w:instrText>
        </w:r>
        <w:r w:rsidR="00AF5ED0">
          <w:rPr>
            <w:noProof/>
            <w:webHidden/>
          </w:rPr>
        </w:r>
        <w:r w:rsidR="00AF5ED0">
          <w:rPr>
            <w:noProof/>
            <w:webHidden/>
          </w:rPr>
          <w:fldChar w:fldCharType="separate"/>
        </w:r>
        <w:r w:rsidR="00097CEB">
          <w:rPr>
            <w:noProof/>
            <w:webHidden/>
          </w:rPr>
          <w:t>28</w:t>
        </w:r>
        <w:r w:rsidR="00AF5ED0">
          <w:rPr>
            <w:noProof/>
            <w:webHidden/>
          </w:rPr>
          <w:fldChar w:fldCharType="end"/>
        </w:r>
      </w:hyperlink>
    </w:p>
    <w:p w14:paraId="3542E504"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11" w:history="1">
        <w:r w:rsidR="00AF5ED0" w:rsidRPr="00737E55">
          <w:rPr>
            <w:rStyle w:val="Hyperlink"/>
            <w:noProof/>
          </w:rPr>
          <w:t>d.</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Specific considerations in antitrust cases</w:t>
        </w:r>
        <w:r w:rsidR="00AF5ED0">
          <w:rPr>
            <w:noProof/>
            <w:webHidden/>
          </w:rPr>
          <w:tab/>
        </w:r>
        <w:r w:rsidR="00AF5ED0">
          <w:rPr>
            <w:noProof/>
            <w:webHidden/>
          </w:rPr>
          <w:fldChar w:fldCharType="begin"/>
        </w:r>
        <w:r w:rsidR="00AF5ED0">
          <w:rPr>
            <w:noProof/>
            <w:webHidden/>
          </w:rPr>
          <w:instrText xml:space="preserve"> PAGEREF _Toc166747911 \h </w:instrText>
        </w:r>
        <w:r w:rsidR="00AF5ED0">
          <w:rPr>
            <w:noProof/>
            <w:webHidden/>
          </w:rPr>
        </w:r>
        <w:r w:rsidR="00AF5ED0">
          <w:rPr>
            <w:noProof/>
            <w:webHidden/>
          </w:rPr>
          <w:fldChar w:fldCharType="separate"/>
        </w:r>
        <w:r w:rsidR="00097CEB">
          <w:rPr>
            <w:noProof/>
            <w:webHidden/>
          </w:rPr>
          <w:t>30</w:t>
        </w:r>
        <w:r w:rsidR="00AF5ED0">
          <w:rPr>
            <w:noProof/>
            <w:webHidden/>
          </w:rPr>
          <w:fldChar w:fldCharType="end"/>
        </w:r>
      </w:hyperlink>
    </w:p>
    <w:p w14:paraId="6258990D" w14:textId="77777777" w:rsidR="00AF5ED0" w:rsidRDefault="00000000">
      <w:pPr>
        <w:pStyle w:val="TOC2"/>
        <w:tabs>
          <w:tab w:val="left" w:pos="1440"/>
        </w:tabs>
        <w:rPr>
          <w:rFonts w:asciiTheme="minorHAnsi" w:eastAsiaTheme="minorEastAsia" w:hAnsiTheme="minorHAnsi" w:cstheme="minorBidi"/>
          <w:noProof/>
          <w:kern w:val="2"/>
          <w:sz w:val="22"/>
          <w:szCs w:val="22"/>
          <w:lang w:eastAsia="zh-CN"/>
          <w14:ligatures w14:val="standardContextual"/>
        </w:rPr>
      </w:pPr>
      <w:hyperlink w:anchor="_Toc166747912" w:history="1">
        <w:r w:rsidR="00AF5ED0" w:rsidRPr="00737E55">
          <w:rPr>
            <w:rStyle w:val="Hyperlink"/>
            <w:bCs/>
            <w:noProof/>
          </w:rPr>
          <w:t>8.</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Antitrust due diligence</w:t>
        </w:r>
        <w:r w:rsidR="00AF5ED0">
          <w:rPr>
            <w:noProof/>
            <w:webHidden/>
          </w:rPr>
          <w:tab/>
        </w:r>
        <w:r w:rsidR="00AF5ED0">
          <w:rPr>
            <w:noProof/>
            <w:webHidden/>
          </w:rPr>
          <w:fldChar w:fldCharType="begin"/>
        </w:r>
        <w:r w:rsidR="00AF5ED0">
          <w:rPr>
            <w:noProof/>
            <w:webHidden/>
          </w:rPr>
          <w:instrText xml:space="preserve"> PAGEREF _Toc166747912 \h </w:instrText>
        </w:r>
        <w:r w:rsidR="00AF5ED0">
          <w:rPr>
            <w:noProof/>
            <w:webHidden/>
          </w:rPr>
        </w:r>
        <w:r w:rsidR="00AF5ED0">
          <w:rPr>
            <w:noProof/>
            <w:webHidden/>
          </w:rPr>
          <w:fldChar w:fldCharType="separate"/>
        </w:r>
        <w:r w:rsidR="00097CEB">
          <w:rPr>
            <w:noProof/>
            <w:webHidden/>
          </w:rPr>
          <w:t>31</w:t>
        </w:r>
        <w:r w:rsidR="00AF5ED0">
          <w:rPr>
            <w:noProof/>
            <w:webHidden/>
          </w:rPr>
          <w:fldChar w:fldCharType="end"/>
        </w:r>
      </w:hyperlink>
    </w:p>
    <w:p w14:paraId="7BF47650"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13" w:history="1">
        <w:r w:rsidR="00AF5ED0" w:rsidRPr="00737E55">
          <w:rPr>
            <w:rStyle w:val="Hyperlink"/>
            <w:noProof/>
          </w:rPr>
          <w:t>a.</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Due diligence in hiring new employees</w:t>
        </w:r>
        <w:r w:rsidR="00AF5ED0">
          <w:rPr>
            <w:noProof/>
            <w:webHidden/>
          </w:rPr>
          <w:tab/>
        </w:r>
        <w:r w:rsidR="00AF5ED0">
          <w:rPr>
            <w:noProof/>
            <w:webHidden/>
          </w:rPr>
          <w:fldChar w:fldCharType="begin"/>
        </w:r>
        <w:r w:rsidR="00AF5ED0">
          <w:rPr>
            <w:noProof/>
            <w:webHidden/>
          </w:rPr>
          <w:instrText xml:space="preserve"> PAGEREF _Toc166747913 \h </w:instrText>
        </w:r>
        <w:r w:rsidR="00AF5ED0">
          <w:rPr>
            <w:noProof/>
            <w:webHidden/>
          </w:rPr>
        </w:r>
        <w:r w:rsidR="00AF5ED0">
          <w:rPr>
            <w:noProof/>
            <w:webHidden/>
          </w:rPr>
          <w:fldChar w:fldCharType="separate"/>
        </w:r>
        <w:r w:rsidR="00097CEB">
          <w:rPr>
            <w:noProof/>
            <w:webHidden/>
          </w:rPr>
          <w:t>31</w:t>
        </w:r>
        <w:r w:rsidR="00AF5ED0">
          <w:rPr>
            <w:noProof/>
            <w:webHidden/>
          </w:rPr>
          <w:fldChar w:fldCharType="end"/>
        </w:r>
      </w:hyperlink>
    </w:p>
    <w:p w14:paraId="6C6BDF29"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14" w:history="1">
        <w:r w:rsidR="00AF5ED0" w:rsidRPr="00737E55">
          <w:rPr>
            <w:rStyle w:val="Hyperlink"/>
            <w:noProof/>
          </w:rPr>
          <w:t>b.</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Due diligence in assessing substantive compliance</w:t>
        </w:r>
        <w:r w:rsidR="00AF5ED0">
          <w:rPr>
            <w:noProof/>
            <w:webHidden/>
          </w:rPr>
          <w:tab/>
        </w:r>
        <w:r w:rsidR="00AF5ED0">
          <w:rPr>
            <w:noProof/>
            <w:webHidden/>
          </w:rPr>
          <w:fldChar w:fldCharType="begin"/>
        </w:r>
        <w:r w:rsidR="00AF5ED0">
          <w:rPr>
            <w:noProof/>
            <w:webHidden/>
          </w:rPr>
          <w:instrText xml:space="preserve"> PAGEREF _Toc166747914 \h </w:instrText>
        </w:r>
        <w:r w:rsidR="00AF5ED0">
          <w:rPr>
            <w:noProof/>
            <w:webHidden/>
          </w:rPr>
        </w:r>
        <w:r w:rsidR="00AF5ED0">
          <w:rPr>
            <w:noProof/>
            <w:webHidden/>
          </w:rPr>
          <w:fldChar w:fldCharType="separate"/>
        </w:r>
        <w:r w:rsidR="00097CEB">
          <w:rPr>
            <w:noProof/>
            <w:webHidden/>
          </w:rPr>
          <w:t>31</w:t>
        </w:r>
        <w:r w:rsidR="00AF5ED0">
          <w:rPr>
            <w:noProof/>
            <w:webHidden/>
          </w:rPr>
          <w:fldChar w:fldCharType="end"/>
        </w:r>
      </w:hyperlink>
    </w:p>
    <w:p w14:paraId="015D0ABB"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15" w:history="1">
        <w:r w:rsidR="00AF5ED0" w:rsidRPr="00737E55">
          <w:rPr>
            <w:rStyle w:val="Hyperlink"/>
            <w:noProof/>
          </w:rPr>
          <w:t>c.</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Antitrust assessments (audits) or selective deep dives</w:t>
        </w:r>
        <w:r w:rsidR="00AF5ED0">
          <w:rPr>
            <w:noProof/>
            <w:webHidden/>
          </w:rPr>
          <w:tab/>
        </w:r>
        <w:r w:rsidR="00AF5ED0">
          <w:rPr>
            <w:noProof/>
            <w:webHidden/>
          </w:rPr>
          <w:fldChar w:fldCharType="begin"/>
        </w:r>
        <w:r w:rsidR="00AF5ED0">
          <w:rPr>
            <w:noProof/>
            <w:webHidden/>
          </w:rPr>
          <w:instrText xml:space="preserve"> PAGEREF _Toc166747915 \h </w:instrText>
        </w:r>
        <w:r w:rsidR="00AF5ED0">
          <w:rPr>
            <w:noProof/>
            <w:webHidden/>
          </w:rPr>
        </w:r>
        <w:r w:rsidR="00AF5ED0">
          <w:rPr>
            <w:noProof/>
            <w:webHidden/>
          </w:rPr>
          <w:fldChar w:fldCharType="separate"/>
        </w:r>
        <w:r w:rsidR="00097CEB">
          <w:rPr>
            <w:noProof/>
            <w:webHidden/>
          </w:rPr>
          <w:t>32</w:t>
        </w:r>
        <w:r w:rsidR="00AF5ED0">
          <w:rPr>
            <w:noProof/>
            <w:webHidden/>
          </w:rPr>
          <w:fldChar w:fldCharType="end"/>
        </w:r>
      </w:hyperlink>
    </w:p>
    <w:p w14:paraId="69714B86"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16" w:history="1">
        <w:r w:rsidR="00AF5ED0" w:rsidRPr="00737E55">
          <w:rPr>
            <w:rStyle w:val="Hyperlink"/>
            <w:noProof/>
          </w:rPr>
          <w:t>d.</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Due diligence in relation to trade associations</w:t>
        </w:r>
        <w:r w:rsidR="00AF5ED0">
          <w:rPr>
            <w:noProof/>
            <w:webHidden/>
          </w:rPr>
          <w:tab/>
        </w:r>
        <w:r w:rsidR="00AF5ED0">
          <w:rPr>
            <w:noProof/>
            <w:webHidden/>
          </w:rPr>
          <w:fldChar w:fldCharType="begin"/>
        </w:r>
        <w:r w:rsidR="00AF5ED0">
          <w:rPr>
            <w:noProof/>
            <w:webHidden/>
          </w:rPr>
          <w:instrText xml:space="preserve"> PAGEREF _Toc166747916 \h </w:instrText>
        </w:r>
        <w:r w:rsidR="00AF5ED0">
          <w:rPr>
            <w:noProof/>
            <w:webHidden/>
          </w:rPr>
        </w:r>
        <w:r w:rsidR="00AF5ED0">
          <w:rPr>
            <w:noProof/>
            <w:webHidden/>
          </w:rPr>
          <w:fldChar w:fldCharType="separate"/>
        </w:r>
        <w:r w:rsidR="00097CEB">
          <w:rPr>
            <w:noProof/>
            <w:webHidden/>
          </w:rPr>
          <w:t>32</w:t>
        </w:r>
        <w:r w:rsidR="00AF5ED0">
          <w:rPr>
            <w:noProof/>
            <w:webHidden/>
          </w:rPr>
          <w:fldChar w:fldCharType="end"/>
        </w:r>
      </w:hyperlink>
    </w:p>
    <w:p w14:paraId="3A6B383C"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17" w:history="1">
        <w:r w:rsidR="00AF5ED0" w:rsidRPr="00737E55">
          <w:rPr>
            <w:rStyle w:val="Hyperlink"/>
            <w:noProof/>
            <w:lang w:val="en-CA"/>
          </w:rPr>
          <w:t>e.</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Due diligence in M&amp;A situations</w:t>
        </w:r>
        <w:r w:rsidR="00AF5ED0">
          <w:rPr>
            <w:noProof/>
            <w:webHidden/>
          </w:rPr>
          <w:tab/>
        </w:r>
        <w:r w:rsidR="00AF5ED0">
          <w:rPr>
            <w:noProof/>
            <w:webHidden/>
          </w:rPr>
          <w:fldChar w:fldCharType="begin"/>
        </w:r>
        <w:r w:rsidR="00AF5ED0">
          <w:rPr>
            <w:noProof/>
            <w:webHidden/>
          </w:rPr>
          <w:instrText xml:space="preserve"> PAGEREF _Toc166747917 \h </w:instrText>
        </w:r>
        <w:r w:rsidR="00AF5ED0">
          <w:rPr>
            <w:noProof/>
            <w:webHidden/>
          </w:rPr>
        </w:r>
        <w:r w:rsidR="00AF5ED0">
          <w:rPr>
            <w:noProof/>
            <w:webHidden/>
          </w:rPr>
          <w:fldChar w:fldCharType="separate"/>
        </w:r>
        <w:r w:rsidR="00097CEB">
          <w:rPr>
            <w:noProof/>
            <w:webHidden/>
          </w:rPr>
          <w:t>33</w:t>
        </w:r>
        <w:r w:rsidR="00AF5ED0">
          <w:rPr>
            <w:noProof/>
            <w:webHidden/>
          </w:rPr>
          <w:fldChar w:fldCharType="end"/>
        </w:r>
      </w:hyperlink>
    </w:p>
    <w:p w14:paraId="3E5931F6" w14:textId="77777777" w:rsidR="00AF5ED0" w:rsidRDefault="00000000">
      <w:pPr>
        <w:pStyle w:val="TOC2"/>
        <w:tabs>
          <w:tab w:val="left" w:pos="1440"/>
        </w:tabs>
        <w:rPr>
          <w:rFonts w:asciiTheme="minorHAnsi" w:eastAsiaTheme="minorEastAsia" w:hAnsiTheme="minorHAnsi" w:cstheme="minorBidi"/>
          <w:noProof/>
          <w:kern w:val="2"/>
          <w:sz w:val="22"/>
          <w:szCs w:val="22"/>
          <w:lang w:eastAsia="zh-CN"/>
          <w14:ligatures w14:val="standardContextual"/>
        </w:rPr>
      </w:pPr>
      <w:hyperlink w:anchor="_Toc166747918" w:history="1">
        <w:r w:rsidR="00AF5ED0" w:rsidRPr="00737E55">
          <w:rPr>
            <w:rStyle w:val="Hyperlink"/>
            <w:bCs/>
            <w:noProof/>
          </w:rPr>
          <w:t>9.</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Compliance incentives</w:t>
        </w:r>
        <w:r w:rsidR="00AF5ED0">
          <w:rPr>
            <w:noProof/>
            <w:webHidden/>
          </w:rPr>
          <w:tab/>
        </w:r>
        <w:r w:rsidR="00AF5ED0">
          <w:rPr>
            <w:noProof/>
            <w:webHidden/>
          </w:rPr>
          <w:fldChar w:fldCharType="begin"/>
        </w:r>
        <w:r w:rsidR="00AF5ED0">
          <w:rPr>
            <w:noProof/>
            <w:webHidden/>
          </w:rPr>
          <w:instrText xml:space="preserve"> PAGEREF _Toc166747918 \h </w:instrText>
        </w:r>
        <w:r w:rsidR="00AF5ED0">
          <w:rPr>
            <w:noProof/>
            <w:webHidden/>
          </w:rPr>
        </w:r>
        <w:r w:rsidR="00AF5ED0">
          <w:rPr>
            <w:noProof/>
            <w:webHidden/>
          </w:rPr>
          <w:fldChar w:fldCharType="separate"/>
        </w:r>
        <w:r w:rsidR="00097CEB">
          <w:rPr>
            <w:noProof/>
            <w:webHidden/>
          </w:rPr>
          <w:t>36</w:t>
        </w:r>
        <w:r w:rsidR="00AF5ED0">
          <w:rPr>
            <w:noProof/>
            <w:webHidden/>
          </w:rPr>
          <w:fldChar w:fldCharType="end"/>
        </w:r>
      </w:hyperlink>
    </w:p>
    <w:p w14:paraId="7EDE6DE0"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19" w:history="1">
        <w:r w:rsidR="00AF5ED0" w:rsidRPr="00737E55">
          <w:rPr>
            <w:rStyle w:val="Hyperlink"/>
            <w:noProof/>
          </w:rPr>
          <w:t>a.</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Why have compliance incentives?</w:t>
        </w:r>
        <w:r w:rsidR="00AF5ED0">
          <w:rPr>
            <w:noProof/>
            <w:webHidden/>
          </w:rPr>
          <w:tab/>
        </w:r>
        <w:r w:rsidR="00AF5ED0">
          <w:rPr>
            <w:noProof/>
            <w:webHidden/>
          </w:rPr>
          <w:fldChar w:fldCharType="begin"/>
        </w:r>
        <w:r w:rsidR="00AF5ED0">
          <w:rPr>
            <w:noProof/>
            <w:webHidden/>
          </w:rPr>
          <w:instrText xml:space="preserve"> PAGEREF _Toc166747919 \h </w:instrText>
        </w:r>
        <w:r w:rsidR="00AF5ED0">
          <w:rPr>
            <w:noProof/>
            <w:webHidden/>
          </w:rPr>
        </w:r>
        <w:r w:rsidR="00AF5ED0">
          <w:rPr>
            <w:noProof/>
            <w:webHidden/>
          </w:rPr>
          <w:fldChar w:fldCharType="separate"/>
        </w:r>
        <w:r w:rsidR="00097CEB">
          <w:rPr>
            <w:noProof/>
            <w:webHidden/>
          </w:rPr>
          <w:t>36</w:t>
        </w:r>
        <w:r w:rsidR="00AF5ED0">
          <w:rPr>
            <w:noProof/>
            <w:webHidden/>
          </w:rPr>
          <w:fldChar w:fldCharType="end"/>
        </w:r>
      </w:hyperlink>
    </w:p>
    <w:p w14:paraId="362A1D77"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20" w:history="1">
        <w:r w:rsidR="00AF5ED0" w:rsidRPr="00737E55">
          <w:rPr>
            <w:rStyle w:val="Hyperlink"/>
            <w:noProof/>
          </w:rPr>
          <w:t>b.</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Types of incentives</w:t>
        </w:r>
        <w:r w:rsidR="00AF5ED0">
          <w:rPr>
            <w:noProof/>
            <w:webHidden/>
          </w:rPr>
          <w:tab/>
        </w:r>
        <w:r w:rsidR="00AF5ED0">
          <w:rPr>
            <w:noProof/>
            <w:webHidden/>
          </w:rPr>
          <w:fldChar w:fldCharType="begin"/>
        </w:r>
        <w:r w:rsidR="00AF5ED0">
          <w:rPr>
            <w:noProof/>
            <w:webHidden/>
          </w:rPr>
          <w:instrText xml:space="preserve"> PAGEREF _Toc166747920 \h </w:instrText>
        </w:r>
        <w:r w:rsidR="00AF5ED0">
          <w:rPr>
            <w:noProof/>
            <w:webHidden/>
          </w:rPr>
        </w:r>
        <w:r w:rsidR="00AF5ED0">
          <w:rPr>
            <w:noProof/>
            <w:webHidden/>
          </w:rPr>
          <w:fldChar w:fldCharType="separate"/>
        </w:r>
        <w:r w:rsidR="00097CEB">
          <w:rPr>
            <w:noProof/>
            <w:webHidden/>
          </w:rPr>
          <w:t>36</w:t>
        </w:r>
        <w:r w:rsidR="00AF5ED0">
          <w:rPr>
            <w:noProof/>
            <w:webHidden/>
          </w:rPr>
          <w:fldChar w:fldCharType="end"/>
        </w:r>
      </w:hyperlink>
    </w:p>
    <w:p w14:paraId="08B93813" w14:textId="77777777" w:rsidR="00AF5ED0" w:rsidRDefault="00000000">
      <w:pPr>
        <w:pStyle w:val="TOC2"/>
        <w:tabs>
          <w:tab w:val="left" w:pos="1440"/>
        </w:tabs>
        <w:rPr>
          <w:rFonts w:asciiTheme="minorHAnsi" w:eastAsiaTheme="minorEastAsia" w:hAnsiTheme="minorHAnsi" w:cstheme="minorBidi"/>
          <w:noProof/>
          <w:kern w:val="2"/>
          <w:sz w:val="22"/>
          <w:szCs w:val="22"/>
          <w:lang w:eastAsia="zh-CN"/>
          <w14:ligatures w14:val="standardContextual"/>
        </w:rPr>
      </w:pPr>
      <w:hyperlink w:anchor="_Toc166747921" w:history="1">
        <w:r w:rsidR="00AF5ED0" w:rsidRPr="00737E55">
          <w:rPr>
            <w:rStyle w:val="Hyperlink"/>
            <w:bCs/>
            <w:noProof/>
          </w:rPr>
          <w:t>10.</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Monitoring and continuous improvement</w:t>
        </w:r>
        <w:r w:rsidR="00AF5ED0">
          <w:rPr>
            <w:noProof/>
            <w:webHidden/>
          </w:rPr>
          <w:tab/>
        </w:r>
        <w:r w:rsidR="00AF5ED0">
          <w:rPr>
            <w:noProof/>
            <w:webHidden/>
          </w:rPr>
          <w:fldChar w:fldCharType="begin"/>
        </w:r>
        <w:r w:rsidR="00AF5ED0">
          <w:rPr>
            <w:noProof/>
            <w:webHidden/>
          </w:rPr>
          <w:instrText xml:space="preserve"> PAGEREF _Toc166747921 \h </w:instrText>
        </w:r>
        <w:r w:rsidR="00AF5ED0">
          <w:rPr>
            <w:noProof/>
            <w:webHidden/>
          </w:rPr>
        </w:r>
        <w:r w:rsidR="00AF5ED0">
          <w:rPr>
            <w:noProof/>
            <w:webHidden/>
          </w:rPr>
          <w:fldChar w:fldCharType="separate"/>
        </w:r>
        <w:r w:rsidR="00097CEB">
          <w:rPr>
            <w:noProof/>
            <w:webHidden/>
          </w:rPr>
          <w:t>38</w:t>
        </w:r>
        <w:r w:rsidR="00AF5ED0">
          <w:rPr>
            <w:noProof/>
            <w:webHidden/>
          </w:rPr>
          <w:fldChar w:fldCharType="end"/>
        </w:r>
      </w:hyperlink>
    </w:p>
    <w:p w14:paraId="44A8DC36"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22" w:history="1">
        <w:r w:rsidR="00AF5ED0" w:rsidRPr="00737E55">
          <w:rPr>
            <w:rStyle w:val="Hyperlink"/>
            <w:noProof/>
          </w:rPr>
          <w:t>a.</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Monitoring and assessing processes and controls</w:t>
        </w:r>
        <w:r w:rsidR="00AF5ED0">
          <w:rPr>
            <w:noProof/>
            <w:webHidden/>
          </w:rPr>
          <w:tab/>
        </w:r>
        <w:r w:rsidR="00AF5ED0">
          <w:rPr>
            <w:noProof/>
            <w:webHidden/>
          </w:rPr>
          <w:fldChar w:fldCharType="begin"/>
        </w:r>
        <w:r w:rsidR="00AF5ED0">
          <w:rPr>
            <w:noProof/>
            <w:webHidden/>
          </w:rPr>
          <w:instrText xml:space="preserve"> PAGEREF _Toc166747922 \h </w:instrText>
        </w:r>
        <w:r w:rsidR="00AF5ED0">
          <w:rPr>
            <w:noProof/>
            <w:webHidden/>
          </w:rPr>
        </w:r>
        <w:r w:rsidR="00AF5ED0">
          <w:rPr>
            <w:noProof/>
            <w:webHidden/>
          </w:rPr>
          <w:fldChar w:fldCharType="separate"/>
        </w:r>
        <w:r w:rsidR="00097CEB">
          <w:rPr>
            <w:noProof/>
            <w:webHidden/>
          </w:rPr>
          <w:t>38</w:t>
        </w:r>
        <w:r w:rsidR="00AF5ED0">
          <w:rPr>
            <w:noProof/>
            <w:webHidden/>
          </w:rPr>
          <w:fldChar w:fldCharType="end"/>
        </w:r>
      </w:hyperlink>
    </w:p>
    <w:p w14:paraId="1D14DD02"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23" w:history="1">
        <w:r w:rsidR="00AF5ED0" w:rsidRPr="00737E55">
          <w:rPr>
            <w:rStyle w:val="Hyperlink"/>
            <w:noProof/>
          </w:rPr>
          <w:t>b.</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Measuring effectiveness of processes and controls</w:t>
        </w:r>
        <w:r w:rsidR="00AF5ED0">
          <w:rPr>
            <w:noProof/>
            <w:webHidden/>
          </w:rPr>
          <w:tab/>
        </w:r>
        <w:r w:rsidR="00AF5ED0">
          <w:rPr>
            <w:noProof/>
            <w:webHidden/>
          </w:rPr>
          <w:fldChar w:fldCharType="begin"/>
        </w:r>
        <w:r w:rsidR="00AF5ED0">
          <w:rPr>
            <w:noProof/>
            <w:webHidden/>
          </w:rPr>
          <w:instrText xml:space="preserve"> PAGEREF _Toc166747923 \h </w:instrText>
        </w:r>
        <w:r w:rsidR="00AF5ED0">
          <w:rPr>
            <w:noProof/>
            <w:webHidden/>
          </w:rPr>
        </w:r>
        <w:r w:rsidR="00AF5ED0">
          <w:rPr>
            <w:noProof/>
            <w:webHidden/>
          </w:rPr>
          <w:fldChar w:fldCharType="separate"/>
        </w:r>
        <w:r w:rsidR="00097CEB">
          <w:rPr>
            <w:noProof/>
            <w:webHidden/>
          </w:rPr>
          <w:t>39</w:t>
        </w:r>
        <w:r w:rsidR="00AF5ED0">
          <w:rPr>
            <w:noProof/>
            <w:webHidden/>
          </w:rPr>
          <w:fldChar w:fldCharType="end"/>
        </w:r>
      </w:hyperlink>
    </w:p>
    <w:p w14:paraId="446F63F4"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24" w:history="1">
        <w:r w:rsidR="00AF5ED0" w:rsidRPr="00737E55">
          <w:rPr>
            <w:rStyle w:val="Hyperlink"/>
            <w:noProof/>
          </w:rPr>
          <w:t>c.</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Auditing and benchmarking</w:t>
        </w:r>
        <w:r w:rsidR="00AF5ED0">
          <w:rPr>
            <w:noProof/>
            <w:webHidden/>
          </w:rPr>
          <w:tab/>
        </w:r>
        <w:r w:rsidR="00AF5ED0">
          <w:rPr>
            <w:noProof/>
            <w:webHidden/>
          </w:rPr>
          <w:fldChar w:fldCharType="begin"/>
        </w:r>
        <w:r w:rsidR="00AF5ED0">
          <w:rPr>
            <w:noProof/>
            <w:webHidden/>
          </w:rPr>
          <w:instrText xml:space="preserve"> PAGEREF _Toc166747924 \h </w:instrText>
        </w:r>
        <w:r w:rsidR="00AF5ED0">
          <w:rPr>
            <w:noProof/>
            <w:webHidden/>
          </w:rPr>
        </w:r>
        <w:r w:rsidR="00AF5ED0">
          <w:rPr>
            <w:noProof/>
            <w:webHidden/>
          </w:rPr>
          <w:fldChar w:fldCharType="separate"/>
        </w:r>
        <w:r w:rsidR="00097CEB">
          <w:rPr>
            <w:noProof/>
            <w:webHidden/>
          </w:rPr>
          <w:t>39</w:t>
        </w:r>
        <w:r w:rsidR="00AF5ED0">
          <w:rPr>
            <w:noProof/>
            <w:webHidden/>
          </w:rPr>
          <w:fldChar w:fldCharType="end"/>
        </w:r>
      </w:hyperlink>
    </w:p>
    <w:p w14:paraId="005A5366"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25" w:history="1">
        <w:r w:rsidR="00AF5ED0" w:rsidRPr="00737E55">
          <w:rPr>
            <w:rStyle w:val="Hyperlink"/>
            <w:noProof/>
          </w:rPr>
          <w:t>d.</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Monitoring and assessing substantive compliance</w:t>
        </w:r>
        <w:r w:rsidR="00AF5ED0">
          <w:rPr>
            <w:noProof/>
            <w:webHidden/>
          </w:rPr>
          <w:tab/>
        </w:r>
        <w:r w:rsidR="00AF5ED0">
          <w:rPr>
            <w:noProof/>
            <w:webHidden/>
          </w:rPr>
          <w:fldChar w:fldCharType="begin"/>
        </w:r>
        <w:r w:rsidR="00AF5ED0">
          <w:rPr>
            <w:noProof/>
            <w:webHidden/>
          </w:rPr>
          <w:instrText xml:space="preserve"> PAGEREF _Toc166747925 \h </w:instrText>
        </w:r>
        <w:r w:rsidR="00AF5ED0">
          <w:rPr>
            <w:noProof/>
            <w:webHidden/>
          </w:rPr>
        </w:r>
        <w:r w:rsidR="00AF5ED0">
          <w:rPr>
            <w:noProof/>
            <w:webHidden/>
          </w:rPr>
          <w:fldChar w:fldCharType="separate"/>
        </w:r>
        <w:r w:rsidR="00097CEB">
          <w:rPr>
            <w:noProof/>
            <w:webHidden/>
          </w:rPr>
          <w:t>40</w:t>
        </w:r>
        <w:r w:rsidR="00AF5ED0">
          <w:rPr>
            <w:noProof/>
            <w:webHidden/>
          </w:rPr>
          <w:fldChar w:fldCharType="end"/>
        </w:r>
      </w:hyperlink>
    </w:p>
    <w:p w14:paraId="243E15AC" w14:textId="77777777" w:rsidR="00AF5ED0" w:rsidRDefault="00000000">
      <w:pPr>
        <w:pStyle w:val="TOC3"/>
        <w:rPr>
          <w:rFonts w:asciiTheme="minorHAnsi" w:eastAsiaTheme="minorEastAsia" w:hAnsiTheme="minorHAnsi" w:cstheme="minorBidi"/>
          <w:noProof/>
          <w:kern w:val="2"/>
          <w:sz w:val="22"/>
          <w:szCs w:val="22"/>
          <w:lang w:eastAsia="zh-CN"/>
          <w14:ligatures w14:val="standardContextual"/>
        </w:rPr>
      </w:pPr>
      <w:hyperlink w:anchor="_Toc166747926" w:history="1">
        <w:r w:rsidR="00AF5ED0" w:rsidRPr="00737E55">
          <w:rPr>
            <w:rStyle w:val="Hyperlink"/>
            <w:noProof/>
          </w:rPr>
          <w:t>e.</w:t>
        </w:r>
        <w:r w:rsidR="00AF5ED0">
          <w:rPr>
            <w:rFonts w:asciiTheme="minorHAnsi" w:eastAsiaTheme="minorEastAsia" w:hAnsiTheme="minorHAnsi" w:cstheme="minorBidi"/>
            <w:noProof/>
            <w:kern w:val="2"/>
            <w:sz w:val="22"/>
            <w:szCs w:val="22"/>
            <w:lang w:eastAsia="zh-CN"/>
            <w14:ligatures w14:val="standardContextual"/>
          </w:rPr>
          <w:tab/>
        </w:r>
        <w:r w:rsidR="00AF5ED0" w:rsidRPr="00737E55">
          <w:rPr>
            <w:rStyle w:val="Hyperlink"/>
            <w:noProof/>
          </w:rPr>
          <w:t>Compliance programme improvement plan</w:t>
        </w:r>
        <w:r w:rsidR="00AF5ED0">
          <w:rPr>
            <w:noProof/>
            <w:webHidden/>
          </w:rPr>
          <w:tab/>
        </w:r>
        <w:r w:rsidR="00AF5ED0">
          <w:rPr>
            <w:noProof/>
            <w:webHidden/>
          </w:rPr>
          <w:fldChar w:fldCharType="begin"/>
        </w:r>
        <w:r w:rsidR="00AF5ED0">
          <w:rPr>
            <w:noProof/>
            <w:webHidden/>
          </w:rPr>
          <w:instrText xml:space="preserve"> PAGEREF _Toc166747926 \h </w:instrText>
        </w:r>
        <w:r w:rsidR="00AF5ED0">
          <w:rPr>
            <w:noProof/>
            <w:webHidden/>
          </w:rPr>
        </w:r>
        <w:r w:rsidR="00AF5ED0">
          <w:rPr>
            <w:noProof/>
            <w:webHidden/>
          </w:rPr>
          <w:fldChar w:fldCharType="separate"/>
        </w:r>
        <w:r w:rsidR="00097CEB">
          <w:rPr>
            <w:noProof/>
            <w:webHidden/>
          </w:rPr>
          <w:t>40</w:t>
        </w:r>
        <w:r w:rsidR="00AF5ED0">
          <w:rPr>
            <w:noProof/>
            <w:webHidden/>
          </w:rPr>
          <w:fldChar w:fldCharType="end"/>
        </w:r>
      </w:hyperlink>
    </w:p>
    <w:p w14:paraId="7CD22200" w14:textId="77777777" w:rsidR="00AF5ED0" w:rsidRDefault="00000000">
      <w:pPr>
        <w:pStyle w:val="TOC1"/>
        <w:rPr>
          <w:rFonts w:asciiTheme="minorHAnsi" w:eastAsiaTheme="minorEastAsia" w:hAnsiTheme="minorHAnsi" w:cstheme="minorBidi"/>
          <w:noProof/>
          <w:kern w:val="2"/>
          <w:sz w:val="22"/>
          <w:szCs w:val="22"/>
          <w:lang w:eastAsia="zh-CN"/>
          <w14:ligatures w14:val="standardContextual"/>
        </w:rPr>
      </w:pPr>
      <w:hyperlink w:anchor="_Toc166747927" w:history="1">
        <w:r w:rsidR="00AF5ED0" w:rsidRPr="00737E55">
          <w:rPr>
            <w:rStyle w:val="Hyperlink"/>
            <w:noProof/>
          </w:rPr>
          <w:t>Acknowledgements</w:t>
        </w:r>
        <w:r w:rsidR="00AF5ED0">
          <w:rPr>
            <w:noProof/>
            <w:webHidden/>
          </w:rPr>
          <w:tab/>
        </w:r>
        <w:r w:rsidR="00AF5ED0">
          <w:rPr>
            <w:noProof/>
            <w:webHidden/>
          </w:rPr>
          <w:fldChar w:fldCharType="begin"/>
        </w:r>
        <w:r w:rsidR="00AF5ED0">
          <w:rPr>
            <w:noProof/>
            <w:webHidden/>
          </w:rPr>
          <w:instrText xml:space="preserve"> PAGEREF _Toc166747927 \h </w:instrText>
        </w:r>
        <w:r w:rsidR="00AF5ED0">
          <w:rPr>
            <w:noProof/>
            <w:webHidden/>
          </w:rPr>
        </w:r>
        <w:r w:rsidR="00AF5ED0">
          <w:rPr>
            <w:noProof/>
            <w:webHidden/>
          </w:rPr>
          <w:fldChar w:fldCharType="separate"/>
        </w:r>
        <w:r w:rsidR="00097CEB">
          <w:rPr>
            <w:noProof/>
            <w:webHidden/>
          </w:rPr>
          <w:t>42</w:t>
        </w:r>
        <w:r w:rsidR="00AF5ED0">
          <w:rPr>
            <w:noProof/>
            <w:webHidden/>
          </w:rPr>
          <w:fldChar w:fldCharType="end"/>
        </w:r>
      </w:hyperlink>
    </w:p>
    <w:p w14:paraId="246F6345" w14:textId="77777777" w:rsidR="00AF5ED0" w:rsidRDefault="00000000">
      <w:pPr>
        <w:pStyle w:val="TOC1"/>
        <w:rPr>
          <w:rFonts w:asciiTheme="minorHAnsi" w:eastAsiaTheme="minorEastAsia" w:hAnsiTheme="minorHAnsi" w:cstheme="minorBidi"/>
          <w:noProof/>
          <w:kern w:val="2"/>
          <w:sz w:val="22"/>
          <w:szCs w:val="22"/>
          <w:lang w:eastAsia="zh-CN"/>
          <w14:ligatures w14:val="standardContextual"/>
        </w:rPr>
      </w:pPr>
      <w:hyperlink w:anchor="_Toc166747928" w:history="1">
        <w:r w:rsidR="00AF5ED0" w:rsidRPr="00737E55">
          <w:rPr>
            <w:rStyle w:val="Hyperlink"/>
            <w:noProof/>
            <w:lang w:eastAsia="fr-FR"/>
          </w:rPr>
          <w:t>About the International Chamber of Commerce (ICC)</w:t>
        </w:r>
        <w:r w:rsidR="00AF5ED0">
          <w:rPr>
            <w:noProof/>
            <w:webHidden/>
          </w:rPr>
          <w:tab/>
        </w:r>
        <w:r w:rsidR="00AF5ED0">
          <w:rPr>
            <w:noProof/>
            <w:webHidden/>
          </w:rPr>
          <w:fldChar w:fldCharType="begin"/>
        </w:r>
        <w:r w:rsidR="00AF5ED0">
          <w:rPr>
            <w:noProof/>
            <w:webHidden/>
          </w:rPr>
          <w:instrText xml:space="preserve"> PAGEREF _Toc166747928 \h </w:instrText>
        </w:r>
        <w:r w:rsidR="00AF5ED0">
          <w:rPr>
            <w:noProof/>
            <w:webHidden/>
          </w:rPr>
        </w:r>
        <w:r w:rsidR="00AF5ED0">
          <w:rPr>
            <w:noProof/>
            <w:webHidden/>
          </w:rPr>
          <w:fldChar w:fldCharType="separate"/>
        </w:r>
        <w:r w:rsidR="00097CEB">
          <w:rPr>
            <w:noProof/>
            <w:webHidden/>
          </w:rPr>
          <w:t>43</w:t>
        </w:r>
        <w:r w:rsidR="00AF5ED0">
          <w:rPr>
            <w:noProof/>
            <w:webHidden/>
          </w:rPr>
          <w:fldChar w:fldCharType="end"/>
        </w:r>
      </w:hyperlink>
    </w:p>
    <w:p w14:paraId="61B842E3" w14:textId="5935F933" w:rsidR="00117FB0" w:rsidRDefault="004409E6" w:rsidP="00FC3563">
      <w:pPr>
        <w:rPr>
          <w:b/>
          <w:bCs/>
          <w:highlight w:val="yellow"/>
        </w:rPr>
      </w:pPr>
      <w:r>
        <w:rPr>
          <w:rFonts w:eastAsia="Times New Roman" w:cs="Arial"/>
          <w:b/>
          <w:bCs/>
          <w:highlight w:val="yellow"/>
          <w:lang w:eastAsia="en-US"/>
        </w:rPr>
        <w:fldChar w:fldCharType="end"/>
      </w:r>
    </w:p>
    <w:p w14:paraId="21F4D454" w14:textId="77777777" w:rsidR="00EF3636" w:rsidRDefault="00EF3636" w:rsidP="00FC3563">
      <w:pPr>
        <w:rPr>
          <w:b/>
          <w:bCs/>
          <w:highlight w:val="yellow"/>
        </w:rPr>
      </w:pPr>
    </w:p>
    <w:p w14:paraId="1255AE5B" w14:textId="77777777" w:rsidR="00EF3636" w:rsidRDefault="00EF3636" w:rsidP="00FC3563">
      <w:pPr>
        <w:rPr>
          <w:b/>
          <w:bCs/>
          <w:highlight w:val="yellow"/>
        </w:rPr>
      </w:pPr>
    </w:p>
    <w:p w14:paraId="6968C0E3" w14:textId="77777777" w:rsidR="00EF3636" w:rsidRDefault="00EF3636" w:rsidP="00FC3563">
      <w:pPr>
        <w:rPr>
          <w:b/>
          <w:bCs/>
          <w:highlight w:val="yellow"/>
        </w:rPr>
      </w:pPr>
    </w:p>
    <w:p w14:paraId="001F15D4" w14:textId="77777777" w:rsidR="00EF3636" w:rsidRDefault="00EF3636" w:rsidP="00FC3563">
      <w:pPr>
        <w:rPr>
          <w:b/>
          <w:bCs/>
          <w:highlight w:val="yellow"/>
        </w:rPr>
      </w:pPr>
    </w:p>
    <w:p w14:paraId="18D26D0D" w14:textId="77777777" w:rsidR="00EF3636" w:rsidRDefault="00EF3636" w:rsidP="00FC3563">
      <w:pPr>
        <w:rPr>
          <w:b/>
          <w:bCs/>
          <w:highlight w:val="yellow"/>
        </w:rPr>
      </w:pPr>
    </w:p>
    <w:p w14:paraId="207A16F9" w14:textId="77777777" w:rsidR="00EF3636" w:rsidRDefault="00EF3636" w:rsidP="00FC3563">
      <w:pPr>
        <w:rPr>
          <w:b/>
          <w:bCs/>
          <w:highlight w:val="yellow"/>
        </w:rPr>
      </w:pPr>
    </w:p>
    <w:p w14:paraId="16231E87" w14:textId="77777777" w:rsidR="00EF3636" w:rsidRDefault="00EF3636" w:rsidP="00FC3563">
      <w:pPr>
        <w:rPr>
          <w:b/>
          <w:bCs/>
          <w:highlight w:val="yellow"/>
        </w:rPr>
      </w:pPr>
    </w:p>
    <w:p w14:paraId="40FC0C84" w14:textId="77777777" w:rsidR="00EF3636" w:rsidRDefault="00EF3636" w:rsidP="00FC3563">
      <w:pPr>
        <w:rPr>
          <w:b/>
          <w:bCs/>
          <w:highlight w:val="yellow"/>
        </w:rPr>
      </w:pPr>
    </w:p>
    <w:p w14:paraId="53F1C1B8" w14:textId="77777777" w:rsidR="00EF3636" w:rsidRDefault="00EF3636" w:rsidP="00FC3563">
      <w:pPr>
        <w:rPr>
          <w:b/>
          <w:bCs/>
          <w:highlight w:val="yellow"/>
        </w:rPr>
      </w:pPr>
    </w:p>
    <w:p w14:paraId="7873C2C8" w14:textId="77777777" w:rsidR="00EF3636" w:rsidRDefault="00EF3636" w:rsidP="00FC3563">
      <w:pPr>
        <w:rPr>
          <w:b/>
          <w:bCs/>
          <w:highlight w:val="yellow"/>
        </w:rPr>
      </w:pPr>
    </w:p>
    <w:p w14:paraId="4CFC9DF3" w14:textId="77777777" w:rsidR="00EF3636" w:rsidRDefault="00EF3636" w:rsidP="00FC3563">
      <w:pPr>
        <w:rPr>
          <w:b/>
          <w:bCs/>
          <w:highlight w:val="yellow"/>
        </w:rPr>
      </w:pPr>
    </w:p>
    <w:p w14:paraId="2C6FCA48" w14:textId="77777777" w:rsidR="00EF3636" w:rsidRDefault="00EF3636" w:rsidP="00FC3563">
      <w:pPr>
        <w:rPr>
          <w:b/>
          <w:bCs/>
          <w:highlight w:val="yellow"/>
        </w:rPr>
      </w:pPr>
    </w:p>
    <w:p w14:paraId="0706163D" w14:textId="77777777" w:rsidR="00EF3636" w:rsidRDefault="00EF3636" w:rsidP="00FC3563">
      <w:pPr>
        <w:rPr>
          <w:b/>
          <w:bCs/>
          <w:highlight w:val="yellow"/>
        </w:rPr>
      </w:pPr>
    </w:p>
    <w:p w14:paraId="4DB3963F" w14:textId="77777777" w:rsidR="00EF3636" w:rsidRDefault="00EF3636" w:rsidP="00FC3563">
      <w:pPr>
        <w:rPr>
          <w:b/>
          <w:bCs/>
          <w:highlight w:val="yellow"/>
        </w:rPr>
      </w:pPr>
    </w:p>
    <w:p w14:paraId="46095558" w14:textId="77777777" w:rsidR="00EF3636" w:rsidRDefault="00EF3636" w:rsidP="00FC3563">
      <w:pPr>
        <w:rPr>
          <w:b/>
          <w:bCs/>
          <w:highlight w:val="yellow"/>
        </w:rPr>
      </w:pPr>
    </w:p>
    <w:p w14:paraId="32485DCE" w14:textId="77777777" w:rsidR="00EF3636" w:rsidRPr="00FA4B6B" w:rsidRDefault="00EF3636" w:rsidP="00FC3563">
      <w:pPr>
        <w:rPr>
          <w:b/>
          <w:bCs/>
          <w:highlight w:val="yellow"/>
        </w:rPr>
      </w:pPr>
    </w:p>
    <w:p w14:paraId="7888F99A" w14:textId="641453D3" w:rsidR="00FA7928" w:rsidRPr="00AC0B7F" w:rsidRDefault="00FA7928" w:rsidP="00FC3563">
      <w:pPr>
        <w:pStyle w:val="Masterheading"/>
      </w:pPr>
      <w:bookmarkStart w:id="10" w:name="_Toc166513090"/>
      <w:bookmarkStart w:id="11" w:name="_Toc166747879"/>
      <w:r w:rsidRPr="00AC0B7F">
        <w:lastRenderedPageBreak/>
        <w:t>Introduction</w:t>
      </w:r>
      <w:bookmarkEnd w:id="10"/>
      <w:bookmarkEnd w:id="11"/>
    </w:p>
    <w:p w14:paraId="5E2C5314" w14:textId="21730210" w:rsidR="00FD2728" w:rsidRDefault="00C11413" w:rsidP="00C37101">
      <w:pPr>
        <w:spacing w:after="280"/>
        <w:jc w:val="both"/>
      </w:pPr>
      <w:r w:rsidRPr="00AC0B7F">
        <w:t xml:space="preserve">The </w:t>
      </w:r>
      <w:r w:rsidRPr="00E735AF">
        <w:rPr>
          <w:b/>
          <w:bCs/>
        </w:rPr>
        <w:t>ICC Antitrust</w:t>
      </w:r>
      <w:r w:rsidRPr="00E735AF">
        <w:rPr>
          <w:b/>
          <w:bCs/>
          <w:vertAlign w:val="superscript"/>
        </w:rPr>
        <w:footnoteReference w:id="2"/>
      </w:r>
      <w:r w:rsidRPr="00E735AF">
        <w:rPr>
          <w:b/>
          <w:bCs/>
        </w:rPr>
        <w:t xml:space="preserve"> Compliance Toolkit</w:t>
      </w:r>
      <w:r w:rsidRPr="00AC0B7F">
        <w:t xml:space="preserve"> </w:t>
      </w:r>
      <w:r w:rsidR="00E322C7">
        <w:t xml:space="preserve">(the </w:t>
      </w:r>
      <w:r w:rsidR="002773F9">
        <w:t>“Toolkit</w:t>
      </w:r>
      <w:r w:rsidR="004C3E0A">
        <w:t>”</w:t>
      </w:r>
      <w:r w:rsidR="002773F9">
        <w:t xml:space="preserve">) </w:t>
      </w:r>
      <w:r w:rsidR="00710939">
        <w:t xml:space="preserve">was first </w:t>
      </w:r>
      <w:r w:rsidR="002773F9">
        <w:t xml:space="preserve">published </w:t>
      </w:r>
      <w:r w:rsidR="00710939">
        <w:t>in 2013. Th</w:t>
      </w:r>
      <w:r w:rsidR="00BB5839">
        <w:t>e</w:t>
      </w:r>
      <w:r w:rsidR="00710939">
        <w:t xml:space="preserve"> </w:t>
      </w:r>
      <w:r w:rsidR="002C7F9C">
        <w:t xml:space="preserve">2024 </w:t>
      </w:r>
      <w:r w:rsidR="00710939">
        <w:t xml:space="preserve">update </w:t>
      </w:r>
      <w:r w:rsidRPr="00AC0B7F">
        <w:t>is intended to</w:t>
      </w:r>
      <w:r w:rsidR="00E721C4">
        <w:t xml:space="preserve"> recognise and reflect changes that have taken place over the last decade in antitrust compliance programmes</w:t>
      </w:r>
      <w:r w:rsidR="004719A4">
        <w:t xml:space="preserve">, </w:t>
      </w:r>
      <w:r w:rsidR="002C7F9C">
        <w:t xml:space="preserve">the developing views of antitrust agencies, </w:t>
      </w:r>
      <w:r w:rsidR="00DA12FD">
        <w:t>as well as developments in areas of antitrust risk. The toolkit</w:t>
      </w:r>
      <w:r w:rsidRPr="00AC0B7F">
        <w:t xml:space="preserve"> provide</w:t>
      </w:r>
      <w:r w:rsidR="00DA12FD">
        <w:t>s</w:t>
      </w:r>
      <w:r w:rsidRPr="00AC0B7F">
        <w:t xml:space="preserve"> </w:t>
      </w:r>
      <w:r w:rsidRPr="00AC0B7F">
        <w:rPr>
          <w:b/>
        </w:rPr>
        <w:t>practical tools for companies</w:t>
      </w:r>
      <w:r w:rsidRPr="00AC0B7F">
        <w:rPr>
          <w:vertAlign w:val="superscript"/>
        </w:rPr>
        <w:footnoteReference w:id="3"/>
      </w:r>
      <w:r w:rsidRPr="00AC0B7F">
        <w:t xml:space="preserve"> wishing to build a </w:t>
      </w:r>
      <w:r w:rsidRPr="00AC0B7F">
        <w:rPr>
          <w:b/>
        </w:rPr>
        <w:t>robust antitrust compliance programme</w:t>
      </w:r>
      <w:r w:rsidRPr="00AC0B7F">
        <w:t xml:space="preserve">. </w:t>
      </w:r>
    </w:p>
    <w:p w14:paraId="2242ED11" w14:textId="301CDBE3" w:rsidR="00C11413" w:rsidRPr="00AC0B7F" w:rsidRDefault="00C11413" w:rsidP="00C37101">
      <w:pPr>
        <w:spacing w:after="280"/>
        <w:jc w:val="both"/>
      </w:pPr>
      <w:r w:rsidRPr="00AC0B7F">
        <w:t xml:space="preserve">There are </w:t>
      </w:r>
      <w:r w:rsidRPr="00AC0B7F">
        <w:rPr>
          <w:b/>
        </w:rPr>
        <w:t>many possible triggers</w:t>
      </w:r>
      <w:r w:rsidRPr="00AC0B7F">
        <w:t xml:space="preserve"> for your decision to develop an antitrust compliance programme:</w:t>
      </w:r>
    </w:p>
    <w:p w14:paraId="7C8D5ABF" w14:textId="08732206" w:rsidR="00C11413" w:rsidRPr="00AC0B7F" w:rsidRDefault="000151C5" w:rsidP="00C37101">
      <w:pPr>
        <w:numPr>
          <w:ilvl w:val="0"/>
          <w:numId w:val="3"/>
        </w:numPr>
        <w:spacing w:after="280"/>
        <w:ind w:left="851" w:hanging="284"/>
        <w:jc w:val="both"/>
        <w:rPr>
          <w:rFonts w:eastAsia="Calibri" w:cs="Arial"/>
        </w:rPr>
      </w:pPr>
      <w:r>
        <w:rPr>
          <w:rFonts w:eastAsia="Calibri" w:cs="Arial"/>
        </w:rPr>
        <w:t>U</w:t>
      </w:r>
      <w:r w:rsidR="00C11413" w:rsidRPr="00AC0B7F">
        <w:rPr>
          <w:rFonts w:eastAsia="Calibri" w:cs="Arial"/>
        </w:rPr>
        <w:t>nexpected antitrust investigations by antitrust agencies may spur your company into rolling out a dedicated new programme as a matter of urgency</w:t>
      </w:r>
      <w:r w:rsidR="007930BF">
        <w:rPr>
          <w:rFonts w:eastAsia="Calibri" w:cs="Arial"/>
        </w:rPr>
        <w:t>;</w:t>
      </w:r>
    </w:p>
    <w:p w14:paraId="55DF4CB8" w14:textId="5422EF4F" w:rsidR="00C11413" w:rsidRPr="00AC0B7F" w:rsidRDefault="000151C5" w:rsidP="00C37101">
      <w:pPr>
        <w:numPr>
          <w:ilvl w:val="0"/>
          <w:numId w:val="3"/>
        </w:numPr>
        <w:spacing w:after="280"/>
        <w:ind w:left="851" w:hanging="284"/>
        <w:jc w:val="both"/>
        <w:rPr>
          <w:rFonts w:eastAsia="Calibri" w:cs="Arial"/>
        </w:rPr>
      </w:pPr>
      <w:r>
        <w:rPr>
          <w:rFonts w:eastAsia="Calibri" w:cs="Arial"/>
        </w:rPr>
        <w:t>Y</w:t>
      </w:r>
      <w:r w:rsidR="00C11413" w:rsidRPr="00AC0B7F">
        <w:rPr>
          <w:rFonts w:eastAsia="Calibri" w:cs="Arial"/>
        </w:rPr>
        <w:t xml:space="preserve">our business leaders may operate successfully based on awareness that all </w:t>
      </w:r>
      <w:r w:rsidR="008D53A8">
        <w:rPr>
          <w:rFonts w:eastAsia="Calibri" w:cs="Arial"/>
        </w:rPr>
        <w:t>antitrust</w:t>
      </w:r>
      <w:r w:rsidR="008D53A8" w:rsidRPr="00AC0B7F">
        <w:rPr>
          <w:rFonts w:eastAsia="Calibri" w:cs="Arial"/>
        </w:rPr>
        <w:t xml:space="preserve"> </w:t>
      </w:r>
      <w:r w:rsidR="00C11413" w:rsidRPr="00AC0B7F">
        <w:rPr>
          <w:rFonts w:eastAsia="Calibri" w:cs="Arial"/>
        </w:rPr>
        <w:t>risks must be as</w:t>
      </w:r>
      <w:r w:rsidR="008E0ECF">
        <w:rPr>
          <w:rFonts w:eastAsia="Calibri" w:cs="Arial"/>
        </w:rPr>
        <w:t>sessed and managed effectively -</w:t>
      </w:r>
      <w:r w:rsidR="00C11413" w:rsidRPr="00AC0B7F">
        <w:rPr>
          <w:rFonts w:eastAsia="Calibri" w:cs="Arial"/>
        </w:rPr>
        <w:t xml:space="preserve"> and actively sponsor </w:t>
      </w:r>
      <w:r w:rsidR="002C7F9C">
        <w:rPr>
          <w:rFonts w:eastAsia="Calibri" w:cs="Arial"/>
        </w:rPr>
        <w:t xml:space="preserve">and support </w:t>
      </w:r>
      <w:r w:rsidR="00C11413" w:rsidRPr="00AC0B7F">
        <w:rPr>
          <w:rFonts w:eastAsia="Calibri" w:cs="Arial"/>
        </w:rPr>
        <w:t>a coherent ongoing strategy to develop risk management capability;</w:t>
      </w:r>
    </w:p>
    <w:p w14:paraId="728F0815" w14:textId="5B439F2F" w:rsidR="00C11413" w:rsidRPr="00AC0B7F" w:rsidRDefault="000151C5" w:rsidP="00C37101">
      <w:pPr>
        <w:numPr>
          <w:ilvl w:val="0"/>
          <w:numId w:val="3"/>
        </w:numPr>
        <w:spacing w:after="280"/>
        <w:ind w:left="851" w:hanging="284"/>
        <w:jc w:val="both"/>
        <w:rPr>
          <w:rFonts w:eastAsia="Calibri" w:cs="Arial"/>
        </w:rPr>
      </w:pPr>
      <w:r>
        <w:rPr>
          <w:rFonts w:eastAsia="Calibri" w:cs="Arial"/>
        </w:rPr>
        <w:t>Y</w:t>
      </w:r>
      <w:r w:rsidR="00C11413" w:rsidRPr="00AC0B7F">
        <w:rPr>
          <w:rFonts w:eastAsia="Calibri" w:cs="Arial"/>
        </w:rPr>
        <w:t xml:space="preserve">our antitrust compliance focus may be driven by informed parts of the company, such as </w:t>
      </w:r>
      <w:r w:rsidR="00EC4CAA" w:rsidRPr="00AC0B7F">
        <w:rPr>
          <w:rFonts w:eastAsia="Calibri" w:cs="Arial"/>
        </w:rPr>
        <w:t xml:space="preserve">your </w:t>
      </w:r>
      <w:r w:rsidR="00C11413" w:rsidRPr="00AC0B7F">
        <w:rPr>
          <w:rFonts w:eastAsia="Calibri" w:cs="Arial"/>
        </w:rPr>
        <w:t>Legal, Audit, or Finance teams, or</w:t>
      </w:r>
      <w:r w:rsidR="00745287" w:rsidRPr="00AC0B7F">
        <w:rPr>
          <w:rFonts w:eastAsia="Calibri" w:cs="Arial"/>
        </w:rPr>
        <w:t xml:space="preserve"> by</w:t>
      </w:r>
      <w:r w:rsidR="00C11413" w:rsidRPr="00AC0B7F">
        <w:rPr>
          <w:rFonts w:eastAsia="Calibri" w:cs="Arial"/>
        </w:rPr>
        <w:t xml:space="preserve"> new recruits. </w:t>
      </w:r>
    </w:p>
    <w:p w14:paraId="339DBB1C" w14:textId="1F6857E2" w:rsidR="003F3B69" w:rsidRDefault="00F72B02" w:rsidP="00C37101">
      <w:pPr>
        <w:spacing w:after="280"/>
        <w:jc w:val="both"/>
      </w:pPr>
      <w:r>
        <w:t>P</w:t>
      </w:r>
      <w:r w:rsidR="00C11413" w:rsidRPr="00AC0B7F">
        <w:t xml:space="preserve">rocesses and systems alone will not manage risks, </w:t>
      </w:r>
      <w:r w:rsidR="00C11413" w:rsidRPr="00AC0B7F">
        <w:rPr>
          <w:b/>
          <w:bCs/>
        </w:rPr>
        <w:t>individuals</w:t>
      </w:r>
      <w:r w:rsidR="003B1235">
        <w:t xml:space="preserve"> </w:t>
      </w:r>
      <w:r w:rsidR="00C83A3B">
        <w:t xml:space="preserve">(and especially management) </w:t>
      </w:r>
      <w:r w:rsidR="00C11413" w:rsidRPr="00AC0B7F">
        <w:t xml:space="preserve">will.  </w:t>
      </w:r>
      <w:r w:rsidR="00F54AB3">
        <w:t>H</w:t>
      </w:r>
      <w:r w:rsidR="00C11413" w:rsidRPr="00AC0B7F">
        <w:t xml:space="preserve">ence the need for structured antitrust compliance processes to give your business the skills it needs to develop a </w:t>
      </w:r>
      <w:r w:rsidR="00C11413" w:rsidRPr="00AC0B7F">
        <w:rPr>
          <w:b/>
        </w:rPr>
        <w:t>common position</w:t>
      </w:r>
      <w:r w:rsidR="00C11413" w:rsidRPr="00AC0B7F">
        <w:t xml:space="preserve"> and secure </w:t>
      </w:r>
      <w:r w:rsidR="00C11413" w:rsidRPr="00AC0B7F">
        <w:rPr>
          <w:b/>
        </w:rPr>
        <w:t>consistent ongoing commitment from employees and management</w:t>
      </w:r>
      <w:r w:rsidR="00C11413" w:rsidRPr="00AC0B7F">
        <w:t>.</w:t>
      </w:r>
    </w:p>
    <w:p w14:paraId="7208DEC7" w14:textId="0075A787" w:rsidR="003F3B69" w:rsidRDefault="003F3B69" w:rsidP="00C37101">
      <w:pPr>
        <w:spacing w:after="280"/>
        <w:jc w:val="both"/>
      </w:pPr>
      <w:r>
        <w:t xml:space="preserve">A </w:t>
      </w:r>
      <w:r w:rsidR="00C11413" w:rsidRPr="00AC0B7F">
        <w:rPr>
          <w:b/>
        </w:rPr>
        <w:t>comprehensive antitrust risk assessment</w:t>
      </w:r>
      <w:r w:rsidR="00C11413" w:rsidRPr="00AC0B7F">
        <w:t xml:space="preserve"> </w:t>
      </w:r>
      <w:r w:rsidR="00F11F24">
        <w:t>will</w:t>
      </w:r>
      <w:r w:rsidR="0045295C" w:rsidRPr="00AC0B7F">
        <w:t xml:space="preserve"> </w:t>
      </w:r>
      <w:r w:rsidR="00C11413" w:rsidRPr="00AC0B7F">
        <w:t xml:space="preserve">help clarify what sort of </w:t>
      </w:r>
      <w:r w:rsidR="00C11413" w:rsidRPr="00510802">
        <w:rPr>
          <w:b/>
          <w:bCs/>
        </w:rPr>
        <w:t>substantive know-how</w:t>
      </w:r>
      <w:r w:rsidR="00C11413" w:rsidRPr="00AC0B7F">
        <w:t xml:space="preserve"> needs to be disseminated internally and how </w:t>
      </w:r>
      <w:r w:rsidR="00AF1D5F" w:rsidRPr="00AC0B7F">
        <w:t>best to present</w:t>
      </w:r>
      <w:r w:rsidR="00C11413" w:rsidRPr="00AC0B7F">
        <w:t xml:space="preserve">.  </w:t>
      </w:r>
    </w:p>
    <w:p w14:paraId="3081C745" w14:textId="3CA8843E" w:rsidR="00C11413" w:rsidRPr="00AC0B7F" w:rsidRDefault="00510802" w:rsidP="00C37101">
      <w:pPr>
        <w:spacing w:after="280"/>
        <w:jc w:val="both"/>
      </w:pPr>
      <w:r>
        <w:t>In addition, you will need</w:t>
      </w:r>
      <w:r w:rsidR="003F3B69">
        <w:t xml:space="preserve"> </w:t>
      </w:r>
      <w:r>
        <w:t>an</w:t>
      </w:r>
      <w:r w:rsidR="00C11413" w:rsidRPr="00AC0B7F">
        <w:t xml:space="preserve"> </w:t>
      </w:r>
      <w:r w:rsidR="00C11413" w:rsidRPr="00FA4B6B">
        <w:rPr>
          <w:b/>
          <w:bCs/>
        </w:rPr>
        <w:t>antitrust concer</w:t>
      </w:r>
      <w:r w:rsidR="00AF1D5F" w:rsidRPr="00FA4B6B">
        <w:rPr>
          <w:b/>
          <w:bCs/>
        </w:rPr>
        <w:t>n</w:t>
      </w:r>
      <w:r w:rsidR="003B1235" w:rsidRPr="00FA4B6B">
        <w:rPr>
          <w:b/>
          <w:bCs/>
        </w:rPr>
        <w:t>s</w:t>
      </w:r>
      <w:r w:rsidR="004D2A9F" w:rsidRPr="00FA4B6B">
        <w:rPr>
          <w:b/>
          <w:bCs/>
        </w:rPr>
        <w:t>-</w:t>
      </w:r>
      <w:r w:rsidR="00AF1D5F" w:rsidRPr="00FA4B6B">
        <w:rPr>
          <w:b/>
          <w:bCs/>
        </w:rPr>
        <w:t>handling</w:t>
      </w:r>
      <w:r w:rsidR="004D2A9F" w:rsidRPr="00FA4B6B">
        <w:rPr>
          <w:b/>
          <w:bCs/>
        </w:rPr>
        <w:t xml:space="preserve"> </w:t>
      </w:r>
      <w:r w:rsidR="00AF1D5F" w:rsidRPr="00FA4B6B">
        <w:rPr>
          <w:b/>
          <w:bCs/>
        </w:rPr>
        <w:t xml:space="preserve">systems </w:t>
      </w:r>
      <w:r w:rsidR="00AF1D5F" w:rsidRPr="00AC0B7F">
        <w:t>(</w:t>
      </w:r>
      <w:r w:rsidR="0083772B">
        <w:t>i.e</w:t>
      </w:r>
      <w:r w:rsidR="005726F7">
        <w:t>.</w:t>
      </w:r>
      <w:r w:rsidR="0083772B">
        <w:t xml:space="preserve">, </w:t>
      </w:r>
      <w:r w:rsidR="00C11413" w:rsidRPr="00AC0B7F">
        <w:t xml:space="preserve">the means to </w:t>
      </w:r>
      <w:r w:rsidR="00C11413" w:rsidRPr="00F11F24">
        <w:rPr>
          <w:b/>
          <w:bCs/>
        </w:rPr>
        <w:t>investigate</w:t>
      </w:r>
      <w:r w:rsidR="00AF1D5F" w:rsidRPr="00F11F24">
        <w:rPr>
          <w:b/>
          <w:bCs/>
        </w:rPr>
        <w:t xml:space="preserve"> issues internally</w:t>
      </w:r>
      <w:r w:rsidR="00AF1D5F" w:rsidRPr="00AC0B7F">
        <w:t xml:space="preserve"> </w:t>
      </w:r>
      <w:r w:rsidR="00C11413" w:rsidRPr="00AC0B7F">
        <w:t xml:space="preserve">and, where necessary, take </w:t>
      </w:r>
      <w:r w:rsidR="00C11413" w:rsidRPr="00F11F24">
        <w:rPr>
          <w:b/>
          <w:bCs/>
        </w:rPr>
        <w:t>disciplinary action</w:t>
      </w:r>
      <w:r w:rsidR="00C11413" w:rsidRPr="00AC0B7F">
        <w:t xml:space="preserve"> and impose </w:t>
      </w:r>
      <w:r w:rsidR="00F11F24" w:rsidRPr="00F11F24">
        <w:rPr>
          <w:b/>
          <w:bCs/>
        </w:rPr>
        <w:t>disciplinary measures</w:t>
      </w:r>
      <w:r w:rsidR="00F11F24">
        <w:rPr>
          <w:b/>
          <w:bCs/>
        </w:rPr>
        <w:t xml:space="preserve"> </w:t>
      </w:r>
      <w:r w:rsidR="00C11413" w:rsidRPr="00AC0B7F">
        <w:t>on individuals who fail to live up to corp</w:t>
      </w:r>
      <w:r w:rsidR="00AF1D5F" w:rsidRPr="00AC0B7F">
        <w:t>orate expectations</w:t>
      </w:r>
      <w:r w:rsidR="005726F7">
        <w:t>)</w:t>
      </w:r>
      <w:r w:rsidR="00C11413" w:rsidRPr="00AC0B7F">
        <w:t>.</w:t>
      </w:r>
      <w:r w:rsidR="00316341" w:rsidRPr="00AC0B7F">
        <w:t xml:space="preserve"> </w:t>
      </w:r>
      <w:r w:rsidR="00DA618D">
        <w:t>This should include</w:t>
      </w:r>
      <w:r w:rsidR="00C11413" w:rsidRPr="00AC0B7F">
        <w:t xml:space="preserve"> day-to-day </w:t>
      </w:r>
      <w:r w:rsidR="00C11413" w:rsidRPr="009318F5">
        <w:rPr>
          <w:b/>
          <w:bCs/>
        </w:rPr>
        <w:t>due diligence and compliance assurance</w:t>
      </w:r>
      <w:r w:rsidR="00C11413" w:rsidRPr="00AC0B7F">
        <w:t>, due diligence in respect of trade associations, and due diligence</w:t>
      </w:r>
      <w:r w:rsidR="00AF1D5F" w:rsidRPr="00AC0B7F">
        <w:t xml:space="preserve"> in an M&amp;A context</w:t>
      </w:r>
      <w:r w:rsidR="00C11413" w:rsidRPr="00AC0B7F">
        <w:rPr>
          <w:iCs/>
        </w:rPr>
        <w:t>.</w:t>
      </w:r>
    </w:p>
    <w:p w14:paraId="7DC6760F" w14:textId="3CCD694B" w:rsidR="00C11413" w:rsidRPr="00AC0B7F" w:rsidRDefault="00636EA9" w:rsidP="00C37101">
      <w:pPr>
        <w:spacing w:after="280"/>
        <w:jc w:val="both"/>
      </w:pPr>
      <w:r>
        <w:t>T</w:t>
      </w:r>
      <w:r w:rsidR="00C11413" w:rsidRPr="00AC0B7F">
        <w:t xml:space="preserve">he enduring nature of a compliance culture may also depend on the extent to which a company builds </w:t>
      </w:r>
      <w:r w:rsidRPr="007E6368">
        <w:rPr>
          <w:b/>
          <w:bCs/>
        </w:rPr>
        <w:t xml:space="preserve">screening </w:t>
      </w:r>
      <w:r w:rsidR="00C11413" w:rsidRPr="007E6368">
        <w:rPr>
          <w:b/>
          <w:bCs/>
        </w:rPr>
        <w:t>mechanisms</w:t>
      </w:r>
      <w:r w:rsidR="007E6368">
        <w:t xml:space="preserve"> </w:t>
      </w:r>
      <w:r w:rsidR="00AF1D5F" w:rsidRPr="00AC0B7F">
        <w:t xml:space="preserve">and </w:t>
      </w:r>
      <w:r w:rsidR="007E6368" w:rsidRPr="007E6368">
        <w:rPr>
          <w:b/>
          <w:bCs/>
        </w:rPr>
        <w:t xml:space="preserve">compliance </w:t>
      </w:r>
      <w:r w:rsidR="00AF1D5F" w:rsidRPr="007E6368">
        <w:rPr>
          <w:b/>
          <w:bCs/>
        </w:rPr>
        <w:t>incentives</w:t>
      </w:r>
      <w:r w:rsidR="00AF1D5F" w:rsidRPr="00AC0B7F">
        <w:t xml:space="preserve"> </w:t>
      </w:r>
      <w:r w:rsidR="00C11413" w:rsidRPr="00AC0B7F">
        <w:t xml:space="preserve">into its </w:t>
      </w:r>
      <w:r w:rsidR="007E6368">
        <w:t>programme</w:t>
      </w:r>
      <w:r w:rsidR="00DA618D">
        <w:t xml:space="preserve"> as well</w:t>
      </w:r>
      <w:r w:rsidR="00C11413" w:rsidRPr="00AC0B7F">
        <w:t>. </w:t>
      </w:r>
    </w:p>
    <w:p w14:paraId="17F15BCA" w14:textId="7CF403F5" w:rsidR="0065051A" w:rsidRDefault="00C11413" w:rsidP="00C37101">
      <w:pPr>
        <w:spacing w:after="280"/>
        <w:jc w:val="both"/>
      </w:pPr>
      <w:r w:rsidRPr="00AC0B7F">
        <w:t xml:space="preserve">Finally, a commitment to </w:t>
      </w:r>
      <w:r w:rsidRPr="00E7300B">
        <w:rPr>
          <w:b/>
          <w:bCs/>
        </w:rPr>
        <w:t>ongoing monitoring and continuous improvement</w:t>
      </w:r>
      <w:r w:rsidRPr="00AC0B7F">
        <w:t xml:space="preserve"> is an essential feature of any good antitrust com</w:t>
      </w:r>
      <w:r w:rsidR="00AF1D5F" w:rsidRPr="00AC0B7F">
        <w:t>pliance programme</w:t>
      </w:r>
      <w:r w:rsidR="00E7300B">
        <w:t xml:space="preserve">. </w:t>
      </w:r>
    </w:p>
    <w:p w14:paraId="22D302A6" w14:textId="3653D52C" w:rsidR="00EE5ADC" w:rsidRPr="00AC0B7F" w:rsidRDefault="004C6103" w:rsidP="005C66BF">
      <w:pPr>
        <w:pStyle w:val="OUTLINEAL1"/>
      </w:pPr>
      <w:bookmarkStart w:id="12" w:name="_Toc166512633"/>
      <w:bookmarkStart w:id="13" w:name="_Toc166513091"/>
      <w:bookmarkStart w:id="14" w:name="_Toc166747880"/>
      <w:r w:rsidRPr="00AC0B7F">
        <w:lastRenderedPageBreak/>
        <w:t>Compliance embedded as company culture and policy</w:t>
      </w:r>
      <w:bookmarkEnd w:id="12"/>
      <w:bookmarkEnd w:id="13"/>
      <w:bookmarkEnd w:id="14"/>
    </w:p>
    <w:p w14:paraId="3130C0AD" w14:textId="1EF1D7AD" w:rsidR="004107FC" w:rsidRPr="00AC0B7F" w:rsidRDefault="004107FC" w:rsidP="007E01F0">
      <w:pPr>
        <w:spacing w:after="280"/>
        <w:jc w:val="both"/>
        <w:rPr>
          <w:rFonts w:cs="Arial"/>
        </w:rPr>
      </w:pPr>
      <w:r w:rsidRPr="00AC0B7F">
        <w:rPr>
          <w:rFonts w:cs="Arial"/>
        </w:rPr>
        <w:t>The key to any successful</w:t>
      </w:r>
      <w:r w:rsidR="008D53A8">
        <w:rPr>
          <w:rFonts w:cs="Arial"/>
        </w:rPr>
        <w:t xml:space="preserve"> antitrust</w:t>
      </w:r>
      <w:r w:rsidRPr="00AC0B7F">
        <w:rPr>
          <w:rFonts w:cs="Arial"/>
        </w:rPr>
        <w:t xml:space="preserve"> compliance programme</w:t>
      </w:r>
      <w:r w:rsidR="007930BF">
        <w:rPr>
          <w:rFonts w:cs="Arial"/>
        </w:rPr>
        <w:t xml:space="preserve"> </w:t>
      </w:r>
      <w:r w:rsidRPr="00AC0B7F">
        <w:rPr>
          <w:rFonts w:cs="Arial"/>
        </w:rPr>
        <w:t xml:space="preserve">is to reach the stage where the behaviour required under the programme is an </w:t>
      </w:r>
      <w:r w:rsidRPr="00AC0B7F">
        <w:rPr>
          <w:rFonts w:cs="Arial"/>
          <w:b/>
        </w:rPr>
        <w:t>indistinguishable part</w:t>
      </w:r>
      <w:r w:rsidRPr="00AC0B7F">
        <w:rPr>
          <w:rFonts w:cs="Arial"/>
        </w:rPr>
        <w:t xml:space="preserve"> </w:t>
      </w:r>
      <w:r w:rsidR="00A8505E" w:rsidRPr="00AC0B7F">
        <w:rPr>
          <w:rFonts w:cs="Arial"/>
          <w:b/>
          <w:bCs/>
        </w:rPr>
        <w:t>of</w:t>
      </w:r>
      <w:r w:rsidR="00A8505E" w:rsidRPr="00AC0B7F">
        <w:rPr>
          <w:rFonts w:cs="Arial"/>
        </w:rPr>
        <w:t xml:space="preserve"> </w:t>
      </w:r>
      <w:r w:rsidRPr="00AC0B7F">
        <w:rPr>
          <w:rFonts w:cs="Arial"/>
          <w:b/>
        </w:rPr>
        <w:t>your company culture</w:t>
      </w:r>
      <w:r w:rsidR="00760F43">
        <w:rPr>
          <w:rStyle w:val="FootnoteReference"/>
          <w:rFonts w:cs="Arial"/>
          <w:b/>
        </w:rPr>
        <w:footnoteReference w:id="4"/>
      </w:r>
      <w:r w:rsidRPr="00AC0B7F">
        <w:rPr>
          <w:rFonts w:cs="Arial"/>
        </w:rPr>
        <w:t xml:space="preserve">. </w:t>
      </w:r>
    </w:p>
    <w:p w14:paraId="365C6DF6" w14:textId="43C3170A" w:rsidR="004107FC" w:rsidRPr="00AC0B7F" w:rsidRDefault="004107FC" w:rsidP="007E01F0">
      <w:pPr>
        <w:spacing w:after="280"/>
        <w:jc w:val="both"/>
        <w:rPr>
          <w:rFonts w:cs="Arial"/>
        </w:rPr>
      </w:pPr>
      <w:r w:rsidRPr="00AC0B7F">
        <w:rPr>
          <w:rFonts w:cs="Arial"/>
        </w:rPr>
        <w:t xml:space="preserve">However, creating a culture of compliance and integrity is not </w:t>
      </w:r>
      <w:r w:rsidR="007F0488">
        <w:rPr>
          <w:rFonts w:cs="Arial"/>
        </w:rPr>
        <w:t>something</w:t>
      </w:r>
      <w:r w:rsidRPr="00AC0B7F">
        <w:rPr>
          <w:rFonts w:cs="Arial"/>
        </w:rPr>
        <w:t xml:space="preserve"> which can be achieved through a single training session or e-mail message from your CEO</w:t>
      </w:r>
      <w:r w:rsidR="00713760" w:rsidRPr="00AC0B7F">
        <w:rPr>
          <w:rFonts w:cs="Arial"/>
        </w:rPr>
        <w:t>.</w:t>
      </w:r>
      <w:r w:rsidR="00745287" w:rsidRPr="00AC0B7F">
        <w:rPr>
          <w:rFonts w:cs="Arial"/>
          <w:vertAlign w:val="superscript"/>
        </w:rPr>
        <w:footnoteReference w:id="5"/>
      </w:r>
      <w:r w:rsidRPr="00AC0B7F">
        <w:rPr>
          <w:rFonts w:cs="Arial"/>
        </w:rPr>
        <w:t xml:space="preserve"> Your antitrust compliance programme must be designed to </w:t>
      </w:r>
      <w:r w:rsidRPr="00AC0B7F">
        <w:rPr>
          <w:rFonts w:cs="Arial"/>
          <w:b/>
        </w:rPr>
        <w:t>foster a continuous ethical</w:t>
      </w:r>
      <w:r w:rsidRPr="00AC0B7F">
        <w:rPr>
          <w:rFonts w:cs="Arial"/>
        </w:rPr>
        <w:t xml:space="preserve"> </w:t>
      </w:r>
      <w:r w:rsidRPr="00AC0B7F">
        <w:rPr>
          <w:rFonts w:cs="Arial"/>
          <w:b/>
        </w:rPr>
        <w:t>culture</w:t>
      </w:r>
      <w:r w:rsidRPr="00AC0B7F">
        <w:rPr>
          <w:rFonts w:cs="Arial"/>
        </w:rPr>
        <w:t xml:space="preserve"> of antitrust integrity that promotes free and fair competition and compliance with the law. </w:t>
      </w:r>
    </w:p>
    <w:p w14:paraId="12F34A4A" w14:textId="46F3EB59" w:rsidR="004107FC" w:rsidRPr="00AC0B7F" w:rsidRDefault="004107FC" w:rsidP="007E01F0">
      <w:pPr>
        <w:spacing w:after="280"/>
        <w:jc w:val="both"/>
        <w:rPr>
          <w:rFonts w:cs="Arial"/>
        </w:rPr>
      </w:pPr>
      <w:r w:rsidRPr="00AC0B7F">
        <w:rPr>
          <w:rFonts w:cs="Arial"/>
        </w:rPr>
        <w:t>The ethical element of antitrust compliance can be understood</w:t>
      </w:r>
      <w:r w:rsidR="00B3250A">
        <w:rPr>
          <w:rFonts w:cs="Arial"/>
        </w:rPr>
        <w:t xml:space="preserve"> as a</w:t>
      </w:r>
      <w:r w:rsidRPr="00AC0B7F">
        <w:rPr>
          <w:rFonts w:cs="Arial"/>
        </w:rPr>
        <w:t xml:space="preserve"> </w:t>
      </w:r>
      <w:r w:rsidR="00B3250A">
        <w:rPr>
          <w:rFonts w:cs="Arial"/>
        </w:rPr>
        <w:t>“positive”</w:t>
      </w:r>
      <w:r w:rsidRPr="00AC0B7F">
        <w:rPr>
          <w:rFonts w:cs="Arial"/>
        </w:rPr>
        <w:t xml:space="preserve"> business culture or </w:t>
      </w:r>
      <w:hyperlink r:id="rId22" w:tooltip="Philosophy of business" w:history="1">
        <w:r w:rsidRPr="00AC0B7F">
          <w:rPr>
            <w:rFonts w:cs="Arial"/>
          </w:rPr>
          <w:t>philosophy</w:t>
        </w:r>
      </w:hyperlink>
      <w:r w:rsidRPr="00AC0B7F">
        <w:t xml:space="preserve"> that</w:t>
      </w:r>
      <w:r w:rsidRPr="00AC0B7F">
        <w:rPr>
          <w:rFonts w:cs="Arial"/>
        </w:rPr>
        <w:t xml:space="preserve"> fosters </w:t>
      </w:r>
      <w:r w:rsidRPr="00AC0B7F">
        <w:rPr>
          <w:rFonts w:cs="Arial"/>
          <w:b/>
        </w:rPr>
        <w:t>consensus on the need to “do the right thing”</w:t>
      </w:r>
      <w:r w:rsidR="007F7487">
        <w:rPr>
          <w:rFonts w:cs="Arial"/>
          <w:b/>
        </w:rPr>
        <w:t>,</w:t>
      </w:r>
      <w:r w:rsidRPr="00AC0B7F">
        <w:rPr>
          <w:rFonts w:cs="Arial"/>
        </w:rPr>
        <w:t xml:space="preserve"> as well as stressing that knowing and adhering to antitrust laws creates important opportunities for your company. </w:t>
      </w:r>
    </w:p>
    <w:p w14:paraId="1A75BD25" w14:textId="16989698" w:rsidR="004107FC" w:rsidRPr="00AC0B7F" w:rsidRDefault="004107FC" w:rsidP="007E01F0">
      <w:pPr>
        <w:spacing w:after="280"/>
        <w:jc w:val="both"/>
        <w:rPr>
          <w:rFonts w:cs="Arial"/>
        </w:rPr>
      </w:pPr>
      <w:r w:rsidRPr="00AC0B7F">
        <w:rPr>
          <w:rFonts w:cs="Arial"/>
        </w:rPr>
        <w:t xml:space="preserve">Your company’s challenge is to ensure that applicable antitrust rules are both </w:t>
      </w:r>
      <w:r w:rsidRPr="00AC0B7F">
        <w:rPr>
          <w:rFonts w:cs="Arial"/>
          <w:b/>
        </w:rPr>
        <w:t>understood and upheld</w:t>
      </w:r>
      <w:r w:rsidRPr="00AC0B7F">
        <w:rPr>
          <w:rFonts w:cs="Arial"/>
        </w:rPr>
        <w:t xml:space="preserve"> by management and employees, </w:t>
      </w:r>
      <w:r w:rsidR="007F7487">
        <w:rPr>
          <w:rFonts w:cs="Arial"/>
        </w:rPr>
        <w:t>to avoid</w:t>
      </w:r>
      <w:r w:rsidRPr="00AC0B7F">
        <w:rPr>
          <w:rFonts w:cs="Arial"/>
        </w:rPr>
        <w:t xml:space="preserve"> unnecessary and inappropriate risks. </w:t>
      </w:r>
    </w:p>
    <w:p w14:paraId="31E5FA20" w14:textId="7D82705F" w:rsidR="004107FC" w:rsidRPr="00AC0B7F" w:rsidRDefault="004107FC" w:rsidP="007E01F0">
      <w:pPr>
        <w:spacing w:after="280"/>
        <w:jc w:val="both"/>
        <w:rPr>
          <w:rFonts w:cs="Arial"/>
        </w:rPr>
      </w:pPr>
      <w:r w:rsidRPr="00AC0B7F">
        <w:rPr>
          <w:rFonts w:cs="Arial"/>
        </w:rPr>
        <w:t xml:space="preserve">The leadership of your company has </w:t>
      </w:r>
      <w:r w:rsidR="005A5921">
        <w:rPr>
          <w:rFonts w:cs="Arial"/>
        </w:rPr>
        <w:t>an essential</w:t>
      </w:r>
      <w:r w:rsidRPr="00AC0B7F">
        <w:rPr>
          <w:rFonts w:cs="Arial"/>
        </w:rPr>
        <w:t xml:space="preserve"> role to play in persuading all employees to behave pro-competitively in all their commercial </w:t>
      </w:r>
      <w:r w:rsidR="00713760" w:rsidRPr="00AC0B7F">
        <w:rPr>
          <w:rFonts w:cs="Arial"/>
        </w:rPr>
        <w:t>and other external engagements.</w:t>
      </w:r>
      <w:r w:rsidRPr="00AC0B7F">
        <w:rPr>
          <w:rFonts w:cs="Arial"/>
        </w:rPr>
        <w:t xml:space="preserve"> </w:t>
      </w:r>
      <w:r w:rsidRPr="00AC0B7F">
        <w:rPr>
          <w:rFonts w:cs="Arial"/>
          <w:b/>
        </w:rPr>
        <w:t>Actions speak louder than words.</w:t>
      </w:r>
      <w:r w:rsidR="00316341" w:rsidRPr="00AC0B7F">
        <w:rPr>
          <w:rFonts w:cs="Arial"/>
        </w:rPr>
        <w:t xml:space="preserve"> </w:t>
      </w:r>
      <w:r w:rsidRPr="00AC0B7F">
        <w:rPr>
          <w:rFonts w:cs="Arial"/>
        </w:rPr>
        <w:t xml:space="preserve">Where the culture and </w:t>
      </w:r>
      <w:r w:rsidRPr="00AC0B7F">
        <w:rPr>
          <w:rFonts w:cs="Arial"/>
          <w:b/>
        </w:rPr>
        <w:t xml:space="preserve">tone at the top </w:t>
      </w:r>
      <w:r w:rsidRPr="00AC0B7F">
        <w:rPr>
          <w:rFonts w:cs="Arial"/>
        </w:rPr>
        <w:t>are clear and successfully embedded, employees will generally comply</w:t>
      </w:r>
      <w:r w:rsidR="00A63FB5">
        <w:rPr>
          <w:rFonts w:cs="Arial"/>
        </w:rPr>
        <w:t xml:space="preserve"> </w:t>
      </w:r>
      <w:r w:rsidRPr="00AC0B7F">
        <w:rPr>
          <w:rFonts w:cs="Arial"/>
        </w:rPr>
        <w:t>because they believe that this is the right thing to do</w:t>
      </w:r>
      <w:r w:rsidR="00713760" w:rsidRPr="00AC0B7F">
        <w:rPr>
          <w:rFonts w:cs="Arial"/>
        </w:rPr>
        <w:t>.</w:t>
      </w:r>
      <w:r w:rsidRPr="00AC0B7F">
        <w:rPr>
          <w:rFonts w:cs="Arial"/>
        </w:rPr>
        <w:t xml:space="preserve">  </w:t>
      </w:r>
    </w:p>
    <w:p w14:paraId="38FB7C77" w14:textId="2A9A3222" w:rsidR="004107FC" w:rsidRPr="00AC0B7F" w:rsidRDefault="00644E08" w:rsidP="00503D2A">
      <w:pPr>
        <w:pStyle w:val="OUTLINEAL2"/>
      </w:pPr>
      <w:bookmarkStart w:id="18" w:name="_Toc166512634"/>
      <w:bookmarkStart w:id="19" w:name="_Toc166513092"/>
      <w:bookmarkStart w:id="20" w:name="_Toc166747881"/>
      <w:r>
        <w:t>Recognising</w:t>
      </w:r>
      <w:r w:rsidR="004107FC" w:rsidRPr="00AC0B7F">
        <w:t xml:space="preserve"> antitrust as a risk that your company needs to address</w:t>
      </w:r>
      <w:bookmarkEnd w:id="18"/>
      <w:bookmarkEnd w:id="19"/>
      <w:bookmarkEnd w:id="20"/>
    </w:p>
    <w:p w14:paraId="6B4FBFD3" w14:textId="3252578B" w:rsidR="004107FC" w:rsidRDefault="004107FC" w:rsidP="007E01F0">
      <w:pPr>
        <w:tabs>
          <w:tab w:val="left" w:pos="0"/>
        </w:tabs>
        <w:spacing w:after="280"/>
        <w:jc w:val="both"/>
        <w:rPr>
          <w:rFonts w:cs="Arial"/>
        </w:rPr>
      </w:pPr>
      <w:r w:rsidRPr="00AC0B7F">
        <w:rPr>
          <w:rFonts w:cs="Arial"/>
        </w:rPr>
        <w:t xml:space="preserve">The </w:t>
      </w:r>
      <w:r w:rsidRPr="00AC0B7F">
        <w:rPr>
          <w:rFonts w:cs="Arial"/>
          <w:b/>
        </w:rPr>
        <w:t>first practical step</w:t>
      </w:r>
      <w:r w:rsidRPr="00AC0B7F">
        <w:rPr>
          <w:rFonts w:cs="Arial"/>
        </w:rPr>
        <w:t xml:space="preserve"> is to ensure </w:t>
      </w:r>
      <w:r w:rsidR="00A8505E" w:rsidRPr="00AC0B7F">
        <w:rPr>
          <w:rFonts w:cs="Arial"/>
        </w:rPr>
        <w:t xml:space="preserve">that </w:t>
      </w:r>
      <w:r w:rsidR="00B66F87">
        <w:rPr>
          <w:rFonts w:cs="Arial"/>
        </w:rPr>
        <w:t xml:space="preserve">your company </w:t>
      </w:r>
      <w:r w:rsidR="003E6D44">
        <w:rPr>
          <w:rFonts w:cs="Arial"/>
        </w:rPr>
        <w:t>recognises</w:t>
      </w:r>
      <w:r w:rsidRPr="00AC0B7F">
        <w:rPr>
          <w:rFonts w:cs="Arial"/>
        </w:rPr>
        <w:t xml:space="preserve"> that antitrust law compliance is relevant to its operations. Most major companies have a Legal function which should identify antitrust compliance as something the company needs to address. </w:t>
      </w:r>
      <w:r w:rsidR="00056ED3">
        <w:rPr>
          <w:rFonts w:cs="Arial"/>
        </w:rPr>
        <w:t>I</w:t>
      </w:r>
      <w:r w:rsidRPr="00AC0B7F">
        <w:rPr>
          <w:rFonts w:cs="Arial"/>
        </w:rPr>
        <w:t xml:space="preserve">f there is no Legal function, you should have a Finance manager or similar company officer who can raise these points. </w:t>
      </w:r>
    </w:p>
    <w:p w14:paraId="55BA4548" w14:textId="2A61CD0E" w:rsidR="00FD2728" w:rsidRDefault="00FD2728" w:rsidP="007E01F0">
      <w:pPr>
        <w:tabs>
          <w:tab w:val="left" w:pos="0"/>
        </w:tabs>
        <w:spacing w:after="280"/>
        <w:jc w:val="both"/>
        <w:rPr>
          <w:rFonts w:cs="Arial"/>
          <w:b/>
        </w:rPr>
      </w:pPr>
      <w:r>
        <w:rPr>
          <w:rFonts w:cs="Arial"/>
        </w:rPr>
        <w:t xml:space="preserve">Once the risk has been </w:t>
      </w:r>
      <w:r w:rsidR="00460F2B">
        <w:rPr>
          <w:rFonts w:cs="Arial"/>
        </w:rPr>
        <w:t>recognised</w:t>
      </w:r>
      <w:r w:rsidRPr="00AC0B7F">
        <w:rPr>
          <w:rFonts w:cs="Arial"/>
        </w:rPr>
        <w:t xml:space="preserve">, someone in your company needs to </w:t>
      </w:r>
      <w:r w:rsidRPr="00AC0B7F">
        <w:rPr>
          <w:rFonts w:cs="Arial"/>
          <w:b/>
        </w:rPr>
        <w:t>take ownership of the compliance effort</w:t>
      </w:r>
      <w:r>
        <w:rPr>
          <w:rFonts w:cs="Arial"/>
          <w:b/>
        </w:rPr>
        <w:t>.</w:t>
      </w:r>
    </w:p>
    <w:p w14:paraId="0131082B" w14:textId="05046795" w:rsidR="004107FC" w:rsidRPr="00AC0B7F" w:rsidRDefault="004107FC" w:rsidP="00D654E3">
      <w:pPr>
        <w:pStyle w:val="OUTLINEAL2"/>
      </w:pPr>
      <w:bookmarkStart w:id="21" w:name="_Toc166512635"/>
      <w:bookmarkStart w:id="22" w:name="_Toc166513093"/>
      <w:bookmarkStart w:id="23" w:name="_Toc166747882"/>
      <w:r w:rsidRPr="00AC0B7F">
        <w:t>Obtaining management commitment</w:t>
      </w:r>
      <w:bookmarkEnd w:id="21"/>
      <w:bookmarkEnd w:id="22"/>
      <w:bookmarkEnd w:id="23"/>
    </w:p>
    <w:p w14:paraId="639F619B" w14:textId="5A14F2F9" w:rsidR="004107FC" w:rsidRPr="00AC0B7F" w:rsidRDefault="004107FC" w:rsidP="007E01F0">
      <w:pPr>
        <w:autoSpaceDE w:val="0"/>
        <w:autoSpaceDN w:val="0"/>
        <w:adjustRightInd w:val="0"/>
        <w:spacing w:after="280"/>
        <w:jc w:val="both"/>
        <w:rPr>
          <w:rFonts w:cs="Arial"/>
          <w:lang w:eastAsia="en-US"/>
        </w:rPr>
      </w:pPr>
      <w:r w:rsidRPr="00AC0B7F">
        <w:rPr>
          <w:rFonts w:cs="Arial"/>
          <w:lang w:eastAsia="en-US"/>
        </w:rPr>
        <w:t xml:space="preserve">Another </w:t>
      </w:r>
      <w:r w:rsidR="00416585">
        <w:rPr>
          <w:rFonts w:cs="Arial"/>
          <w:lang w:eastAsia="en-US"/>
        </w:rPr>
        <w:t>essential</w:t>
      </w:r>
      <w:r w:rsidR="00416585" w:rsidRPr="00AC0B7F">
        <w:rPr>
          <w:rFonts w:cs="Arial"/>
          <w:lang w:eastAsia="en-US"/>
        </w:rPr>
        <w:t xml:space="preserve"> </w:t>
      </w:r>
      <w:r w:rsidRPr="00AC0B7F">
        <w:rPr>
          <w:rFonts w:cs="Arial"/>
          <w:lang w:eastAsia="en-US"/>
        </w:rPr>
        <w:t xml:space="preserve">practical step in building a compliance culture is to get buy-in and </w:t>
      </w:r>
      <w:r w:rsidRPr="00AC0B7F">
        <w:rPr>
          <w:rFonts w:cs="Arial"/>
          <w:b/>
          <w:lang w:eastAsia="en-US"/>
        </w:rPr>
        <w:t>commitment from your senior management</w:t>
      </w:r>
      <w:r w:rsidR="00C83A3B">
        <w:rPr>
          <w:rFonts w:cs="Arial"/>
          <w:b/>
          <w:lang w:eastAsia="en-US"/>
        </w:rPr>
        <w:t xml:space="preserve"> </w:t>
      </w:r>
      <w:r w:rsidR="00C83A3B" w:rsidRPr="00460A84">
        <w:rPr>
          <w:rFonts w:cs="Arial"/>
          <w:bCs/>
          <w:lang w:eastAsia="en-US"/>
        </w:rPr>
        <w:t>(including Board level commitment)</w:t>
      </w:r>
      <w:r w:rsidRPr="00AC0B7F">
        <w:rPr>
          <w:rFonts w:cs="Arial"/>
          <w:lang w:eastAsia="en-US"/>
        </w:rPr>
        <w:t xml:space="preserve">, as the culture of your company is almost </w:t>
      </w:r>
      <w:r w:rsidR="00065FED">
        <w:rPr>
          <w:rFonts w:cs="Arial"/>
          <w:lang w:eastAsia="en-US"/>
        </w:rPr>
        <w:t>inevitably</w:t>
      </w:r>
      <w:r w:rsidR="00065FED" w:rsidRPr="00AC0B7F">
        <w:rPr>
          <w:rFonts w:cs="Arial"/>
          <w:lang w:eastAsia="en-US"/>
        </w:rPr>
        <w:t xml:space="preserve"> </w:t>
      </w:r>
      <w:r w:rsidRPr="00AC0B7F">
        <w:rPr>
          <w:rFonts w:cs="Arial"/>
          <w:lang w:eastAsia="en-US"/>
        </w:rPr>
        <w:t xml:space="preserve">driven by senior management. </w:t>
      </w:r>
    </w:p>
    <w:p w14:paraId="16E28E14" w14:textId="586DEF61" w:rsidR="004107FC" w:rsidRPr="00AC0B7F" w:rsidRDefault="004107FC" w:rsidP="007E01F0">
      <w:pPr>
        <w:autoSpaceDE w:val="0"/>
        <w:autoSpaceDN w:val="0"/>
        <w:adjustRightInd w:val="0"/>
        <w:spacing w:after="280"/>
        <w:jc w:val="both"/>
        <w:rPr>
          <w:rFonts w:cs="Arial"/>
          <w:lang w:eastAsia="en-US"/>
        </w:rPr>
      </w:pPr>
      <w:r w:rsidRPr="00AC0B7F">
        <w:rPr>
          <w:rFonts w:cs="Arial"/>
          <w:lang w:eastAsia="en-US"/>
        </w:rPr>
        <w:t xml:space="preserve">Successful compliance programmes are also </w:t>
      </w:r>
      <w:r w:rsidRPr="00AC0B7F">
        <w:rPr>
          <w:rFonts w:cs="Arial"/>
          <w:b/>
          <w:lang w:eastAsia="en-US"/>
        </w:rPr>
        <w:t>critically dependent upon the engagement and support</w:t>
      </w:r>
      <w:r w:rsidRPr="00AC0B7F">
        <w:rPr>
          <w:rFonts w:cs="Arial"/>
          <w:lang w:eastAsia="en-US"/>
        </w:rPr>
        <w:t xml:space="preserve"> of employees and management at all levels of your company. Simply rolling out a training programme will never lead to full or sustainable compliance.</w:t>
      </w:r>
      <w:r w:rsidR="008E626B">
        <w:rPr>
          <w:rFonts w:cs="Arial"/>
          <w:lang w:eastAsia="en-US"/>
        </w:rPr>
        <w:t xml:space="preserve"> </w:t>
      </w:r>
      <w:r w:rsidR="00B7133F">
        <w:rPr>
          <w:rFonts w:cs="Arial"/>
          <w:lang w:eastAsia="en-US"/>
        </w:rPr>
        <w:t xml:space="preserve">That being said, successful compliance programmes will inevitably </w:t>
      </w:r>
      <w:r w:rsidR="00C83A3B">
        <w:rPr>
          <w:rFonts w:cs="Arial"/>
          <w:lang w:eastAsia="en-US"/>
        </w:rPr>
        <w:t>assist</w:t>
      </w:r>
      <w:r w:rsidR="00D52F9F">
        <w:rPr>
          <w:rFonts w:cs="Arial"/>
          <w:lang w:eastAsia="en-US"/>
        </w:rPr>
        <w:t xml:space="preserve"> the company</w:t>
      </w:r>
      <w:r w:rsidR="00370E58">
        <w:rPr>
          <w:rFonts w:cs="Arial"/>
          <w:lang w:eastAsia="en-US"/>
        </w:rPr>
        <w:t xml:space="preserve"> as it will </w:t>
      </w:r>
      <w:r w:rsidR="008F52BC">
        <w:rPr>
          <w:rFonts w:cs="Arial"/>
          <w:lang w:eastAsia="en-US"/>
        </w:rPr>
        <w:t>help</w:t>
      </w:r>
      <w:r w:rsidR="00370E58">
        <w:rPr>
          <w:rFonts w:cs="Arial"/>
          <w:lang w:eastAsia="en-US"/>
        </w:rPr>
        <w:t xml:space="preserve"> to identify </w:t>
      </w:r>
      <w:r w:rsidR="008F52BC">
        <w:rPr>
          <w:rFonts w:cs="Arial"/>
          <w:lang w:eastAsia="en-US"/>
        </w:rPr>
        <w:t>behaviours</w:t>
      </w:r>
      <w:r w:rsidR="00370E58">
        <w:rPr>
          <w:rFonts w:cs="Arial"/>
          <w:lang w:eastAsia="en-US"/>
        </w:rPr>
        <w:t xml:space="preserve"> that infringe</w:t>
      </w:r>
      <w:r w:rsidR="005F2CF5">
        <w:rPr>
          <w:rFonts w:cs="Arial"/>
          <w:lang w:eastAsia="en-US"/>
        </w:rPr>
        <w:t xml:space="preserve"> antitrust</w:t>
      </w:r>
      <w:r w:rsidR="00370E58">
        <w:rPr>
          <w:rFonts w:cs="Arial"/>
          <w:lang w:eastAsia="en-US"/>
        </w:rPr>
        <w:t xml:space="preserve"> </w:t>
      </w:r>
      <w:r w:rsidR="00370E58">
        <w:rPr>
          <w:rFonts w:cs="Arial"/>
          <w:lang w:eastAsia="en-US"/>
        </w:rPr>
        <w:lastRenderedPageBreak/>
        <w:t>law</w:t>
      </w:r>
      <w:r w:rsidR="00370E58">
        <w:rPr>
          <w:rStyle w:val="FootnoteReference"/>
          <w:rFonts w:cs="Arial"/>
          <w:lang w:eastAsia="en-US"/>
        </w:rPr>
        <w:footnoteReference w:id="6"/>
      </w:r>
      <w:r w:rsidR="00370E58">
        <w:rPr>
          <w:rFonts w:cs="Arial"/>
          <w:lang w:eastAsia="en-US"/>
        </w:rPr>
        <w:t>. In addition</w:t>
      </w:r>
      <w:r w:rsidR="00B7133F">
        <w:rPr>
          <w:rFonts w:cs="Arial"/>
          <w:lang w:eastAsia="en-US"/>
        </w:rPr>
        <w:t>, depending on your jurisdiction,</w:t>
      </w:r>
      <w:r w:rsidR="003B66CB">
        <w:rPr>
          <w:rFonts w:cs="Arial"/>
          <w:lang w:eastAsia="en-US"/>
        </w:rPr>
        <w:t xml:space="preserve"> competition authorities</w:t>
      </w:r>
      <w:r w:rsidR="00B7133F">
        <w:rPr>
          <w:rFonts w:cs="Arial"/>
          <w:lang w:eastAsia="en-US"/>
        </w:rPr>
        <w:t xml:space="preserve"> </w:t>
      </w:r>
      <w:r w:rsidR="00B006F1">
        <w:rPr>
          <w:rFonts w:cs="Arial"/>
          <w:lang w:eastAsia="en-US"/>
        </w:rPr>
        <w:t>may reward compliance programmes, for instance, through reduction of fines</w:t>
      </w:r>
      <w:r w:rsidR="005F2CF5">
        <w:rPr>
          <w:rFonts w:cs="Arial"/>
          <w:lang w:eastAsia="en-US"/>
        </w:rPr>
        <w:t xml:space="preserve"> subject to certain conditions</w:t>
      </w:r>
      <w:r w:rsidR="00B7133F">
        <w:rPr>
          <w:rStyle w:val="FootnoteReference"/>
          <w:rFonts w:cs="Arial"/>
          <w:lang w:eastAsia="en-US"/>
        </w:rPr>
        <w:footnoteReference w:id="7"/>
      </w:r>
      <w:r w:rsidR="003B66CB">
        <w:rPr>
          <w:rFonts w:cs="Arial"/>
          <w:lang w:eastAsia="en-US"/>
        </w:rPr>
        <w:t>.</w:t>
      </w:r>
    </w:p>
    <w:p w14:paraId="0B8CA0E1" w14:textId="784AEE17" w:rsidR="004107FC" w:rsidRPr="00AC0B7F" w:rsidRDefault="004107FC" w:rsidP="007E01F0">
      <w:pPr>
        <w:autoSpaceDE w:val="0"/>
        <w:autoSpaceDN w:val="0"/>
        <w:adjustRightInd w:val="0"/>
        <w:spacing w:after="280"/>
        <w:jc w:val="both"/>
        <w:rPr>
          <w:rFonts w:cs="Arial"/>
          <w:lang w:eastAsia="en-US"/>
        </w:rPr>
      </w:pPr>
      <w:r w:rsidRPr="00AC0B7F">
        <w:rPr>
          <w:rFonts w:cs="Arial"/>
          <w:lang w:eastAsia="en-US"/>
        </w:rPr>
        <w:t xml:space="preserve">The </w:t>
      </w:r>
      <w:r w:rsidRPr="00AC0B7F">
        <w:rPr>
          <w:rFonts w:cs="Arial"/>
          <w:b/>
          <w:lang w:eastAsia="en-US"/>
        </w:rPr>
        <w:t xml:space="preserve">means of drawing management’s attention to antitrust as a </w:t>
      </w:r>
      <w:r w:rsidR="00D44C48">
        <w:rPr>
          <w:rFonts w:cs="Arial"/>
          <w:b/>
          <w:lang w:eastAsia="en-US"/>
        </w:rPr>
        <w:t>signifi</w:t>
      </w:r>
      <w:r w:rsidR="00BA483F">
        <w:rPr>
          <w:rFonts w:cs="Arial"/>
          <w:b/>
          <w:lang w:eastAsia="en-US"/>
        </w:rPr>
        <w:t xml:space="preserve">cant </w:t>
      </w:r>
      <w:r w:rsidRPr="00AC0B7F">
        <w:rPr>
          <w:rFonts w:cs="Arial"/>
          <w:b/>
          <w:lang w:eastAsia="en-US"/>
        </w:rPr>
        <w:t>business risk</w:t>
      </w:r>
      <w:r w:rsidRPr="00AC0B7F">
        <w:rPr>
          <w:rFonts w:cs="Arial"/>
          <w:lang w:eastAsia="en-US"/>
        </w:rPr>
        <w:t xml:space="preserve"> and securing their commitment to compliance will differ from company to company, but might include:</w:t>
      </w:r>
    </w:p>
    <w:p w14:paraId="2D048260" w14:textId="0C85436B" w:rsidR="004107FC" w:rsidRPr="00AC0B7F" w:rsidRDefault="004107FC">
      <w:pPr>
        <w:numPr>
          <w:ilvl w:val="0"/>
          <w:numId w:val="4"/>
        </w:numPr>
        <w:autoSpaceDE w:val="0"/>
        <w:autoSpaceDN w:val="0"/>
        <w:adjustRightInd w:val="0"/>
        <w:spacing w:after="280"/>
        <w:ind w:left="851" w:hanging="284"/>
        <w:jc w:val="both"/>
        <w:rPr>
          <w:rFonts w:eastAsia="Calibri" w:cs="Arial"/>
          <w:lang w:eastAsia="en-US"/>
        </w:rPr>
      </w:pPr>
      <w:r w:rsidRPr="00AC0B7F">
        <w:rPr>
          <w:rFonts w:eastAsia="Calibri" w:cs="Arial"/>
          <w:lang w:eastAsia="en-US"/>
        </w:rPr>
        <w:t>Using</w:t>
      </w:r>
      <w:r w:rsidR="00713760" w:rsidRPr="00AC0B7F">
        <w:rPr>
          <w:rFonts w:eastAsia="Calibri" w:cs="Arial"/>
          <w:lang w:eastAsia="en-US"/>
        </w:rPr>
        <w:t xml:space="preserve"> examples from the press/</w:t>
      </w:r>
      <w:r w:rsidRPr="00AC0B7F">
        <w:rPr>
          <w:rFonts w:eastAsia="Calibri" w:cs="Arial"/>
          <w:lang w:eastAsia="en-US"/>
        </w:rPr>
        <w:t xml:space="preserve">media on damage to companies’ reputations </w:t>
      </w:r>
      <w:r w:rsidR="00BA483F">
        <w:rPr>
          <w:rFonts w:eastAsia="Calibri" w:cs="Arial"/>
          <w:lang w:eastAsia="en-US"/>
        </w:rPr>
        <w:t>(including – for public companies</w:t>
      </w:r>
      <w:r w:rsidR="0017482B">
        <w:rPr>
          <w:rFonts w:eastAsia="Calibri" w:cs="Arial"/>
          <w:lang w:eastAsia="en-US"/>
        </w:rPr>
        <w:t xml:space="preserve"> -</w:t>
      </w:r>
      <w:r w:rsidR="00BA483F">
        <w:rPr>
          <w:rFonts w:eastAsia="Calibri" w:cs="Arial"/>
          <w:lang w:eastAsia="en-US"/>
        </w:rPr>
        <w:t xml:space="preserve"> the negative effect on share price) </w:t>
      </w:r>
      <w:r w:rsidRPr="00AC0B7F">
        <w:rPr>
          <w:rFonts w:eastAsia="Calibri" w:cs="Arial"/>
          <w:lang w:eastAsia="en-US"/>
        </w:rPr>
        <w:t xml:space="preserve">from non-compliance (antitrust violations or other compliance topics such as anti-bribery and corruption); </w:t>
      </w:r>
    </w:p>
    <w:p w14:paraId="210A5DEA" w14:textId="77777777" w:rsidR="004107FC" w:rsidRPr="00AC0B7F" w:rsidRDefault="004107FC">
      <w:pPr>
        <w:numPr>
          <w:ilvl w:val="0"/>
          <w:numId w:val="4"/>
        </w:numPr>
        <w:autoSpaceDE w:val="0"/>
        <w:autoSpaceDN w:val="0"/>
        <w:adjustRightInd w:val="0"/>
        <w:spacing w:after="280"/>
        <w:ind w:left="851" w:hanging="284"/>
        <w:jc w:val="both"/>
        <w:rPr>
          <w:rFonts w:eastAsia="Calibri" w:cs="Arial"/>
          <w:lang w:eastAsia="en-US"/>
        </w:rPr>
      </w:pPr>
      <w:r w:rsidRPr="00AC0B7F">
        <w:rPr>
          <w:rFonts w:eastAsia="Calibri" w:cs="Arial"/>
          <w:lang w:eastAsia="en-US"/>
        </w:rPr>
        <w:t>Using statistics about antitrust violations (fines, personal penalties);</w:t>
      </w:r>
    </w:p>
    <w:p w14:paraId="112EF3C0" w14:textId="017210B9" w:rsidR="004107FC" w:rsidRPr="00087D23" w:rsidRDefault="004107FC">
      <w:pPr>
        <w:numPr>
          <w:ilvl w:val="0"/>
          <w:numId w:val="4"/>
        </w:numPr>
        <w:autoSpaceDE w:val="0"/>
        <w:autoSpaceDN w:val="0"/>
        <w:adjustRightInd w:val="0"/>
        <w:spacing w:after="280"/>
        <w:ind w:left="851" w:hanging="284"/>
        <w:jc w:val="both"/>
        <w:rPr>
          <w:rFonts w:eastAsia="Calibri" w:cs="Arial"/>
          <w:lang w:eastAsia="en-US"/>
        </w:rPr>
      </w:pPr>
      <w:r w:rsidRPr="00AC0B7F">
        <w:rPr>
          <w:rFonts w:eastAsia="Calibri" w:cs="Arial"/>
          <w:lang w:eastAsia="en-US"/>
        </w:rPr>
        <w:t>Learning from experience of compliance issues</w:t>
      </w:r>
      <w:r w:rsidR="0061333E">
        <w:rPr>
          <w:rFonts w:eastAsia="Calibri" w:cs="Arial"/>
          <w:lang w:eastAsia="en-US"/>
        </w:rPr>
        <w:t xml:space="preserve"> – whether relating to antitrust or </w:t>
      </w:r>
      <w:r w:rsidR="005F2CF5">
        <w:rPr>
          <w:rFonts w:eastAsia="Calibri" w:cs="Arial"/>
          <w:lang w:eastAsia="en-US"/>
        </w:rPr>
        <w:t xml:space="preserve">not </w:t>
      </w:r>
      <w:r w:rsidRPr="00AC0B7F">
        <w:rPr>
          <w:rFonts w:eastAsia="Calibri" w:cs="Arial"/>
          <w:lang w:eastAsia="en-US"/>
        </w:rPr>
        <w:t>(including the value of detecting these early);</w:t>
      </w:r>
    </w:p>
    <w:p w14:paraId="5149D20F" w14:textId="50CA9F2E" w:rsidR="004107FC" w:rsidRPr="00AC0B7F" w:rsidRDefault="004107FC">
      <w:pPr>
        <w:numPr>
          <w:ilvl w:val="0"/>
          <w:numId w:val="4"/>
        </w:numPr>
        <w:autoSpaceDE w:val="0"/>
        <w:autoSpaceDN w:val="0"/>
        <w:adjustRightInd w:val="0"/>
        <w:spacing w:after="280"/>
        <w:ind w:left="851" w:hanging="284"/>
        <w:jc w:val="both"/>
        <w:rPr>
          <w:rFonts w:eastAsia="Calibri" w:cs="Arial"/>
          <w:lang w:eastAsia="en-US"/>
        </w:rPr>
      </w:pPr>
      <w:r w:rsidRPr="00AC0B7F">
        <w:rPr>
          <w:rFonts w:eastAsia="Calibri" w:cs="Arial"/>
          <w:lang w:eastAsia="en-US"/>
        </w:rPr>
        <w:t xml:space="preserve">Setting out a realistic plan for management </w:t>
      </w:r>
      <w:r w:rsidR="00B97AFA" w:rsidRPr="00AC0B7F">
        <w:rPr>
          <w:rFonts w:eastAsia="Calibri" w:cs="Arial"/>
          <w:lang w:eastAsia="en-US"/>
        </w:rPr>
        <w:t>of the steps</w:t>
      </w:r>
      <w:r w:rsidRPr="00AC0B7F">
        <w:rPr>
          <w:rFonts w:eastAsia="Calibri" w:cs="Arial"/>
          <w:lang w:eastAsia="en-US"/>
        </w:rPr>
        <w:t xml:space="preserve"> required to roll out </w:t>
      </w:r>
      <w:r w:rsidR="00544F39" w:rsidRPr="00AC0B7F">
        <w:rPr>
          <w:rFonts w:eastAsia="Calibri" w:cs="Arial"/>
          <w:lang w:eastAsia="en-US"/>
        </w:rPr>
        <w:t>a</w:t>
      </w:r>
      <w:r w:rsidR="00544F39">
        <w:rPr>
          <w:rFonts w:eastAsia="Calibri" w:cs="Arial"/>
          <w:lang w:eastAsia="en-US"/>
        </w:rPr>
        <w:t xml:space="preserve"> credible</w:t>
      </w:r>
      <w:r w:rsidR="00544F39" w:rsidRPr="00AC0B7F">
        <w:rPr>
          <w:rFonts w:eastAsia="Calibri" w:cs="Arial"/>
          <w:lang w:eastAsia="en-US"/>
        </w:rPr>
        <w:t xml:space="preserve"> </w:t>
      </w:r>
      <w:r w:rsidRPr="00AC0B7F">
        <w:rPr>
          <w:rFonts w:eastAsia="Calibri" w:cs="Arial"/>
          <w:lang w:eastAsia="en-US"/>
        </w:rPr>
        <w:t xml:space="preserve">antitrust compliance programme, and the </w:t>
      </w:r>
      <w:r w:rsidR="005F2CF5">
        <w:rPr>
          <w:rFonts w:eastAsia="Calibri" w:cs="Arial"/>
          <w:lang w:eastAsia="en-US"/>
        </w:rPr>
        <w:t xml:space="preserve">necessary </w:t>
      </w:r>
      <w:r w:rsidRPr="00AC0B7F">
        <w:rPr>
          <w:rFonts w:eastAsia="Calibri" w:cs="Arial"/>
          <w:lang w:eastAsia="en-US"/>
        </w:rPr>
        <w:t>resources</w:t>
      </w:r>
      <w:r w:rsidR="009109AC">
        <w:rPr>
          <w:rStyle w:val="FootnoteReference"/>
          <w:rFonts w:eastAsia="Calibri" w:cs="Arial"/>
          <w:lang w:eastAsia="en-US"/>
        </w:rPr>
        <w:footnoteReference w:id="8"/>
      </w:r>
      <w:r w:rsidRPr="00AC0B7F">
        <w:rPr>
          <w:rFonts w:eastAsia="Calibri" w:cs="Arial"/>
          <w:lang w:eastAsia="en-US"/>
        </w:rPr>
        <w:t>, including timing for the introduction of controls and the required budget</w:t>
      </w:r>
      <w:r w:rsidR="005C4AEB">
        <w:rPr>
          <w:rStyle w:val="FootnoteReference"/>
          <w:rFonts w:eastAsia="Calibri" w:cs="Arial"/>
          <w:lang w:eastAsia="en-US"/>
        </w:rPr>
        <w:footnoteReference w:id="9"/>
      </w:r>
      <w:r w:rsidRPr="00AC0B7F">
        <w:rPr>
          <w:rFonts w:eastAsia="Calibri" w:cs="Arial"/>
          <w:lang w:eastAsia="en-US"/>
        </w:rPr>
        <w:t xml:space="preserve">. </w:t>
      </w:r>
    </w:p>
    <w:p w14:paraId="438BDCFE" w14:textId="7C2A9C69" w:rsidR="004107FC" w:rsidRPr="00AC0B7F" w:rsidRDefault="00F556FC" w:rsidP="00D654E3">
      <w:pPr>
        <w:pStyle w:val="OUTLINEAL2"/>
      </w:pPr>
      <w:bookmarkStart w:id="25" w:name="_Toc166512636"/>
      <w:bookmarkStart w:id="26" w:name="_Toc166513094"/>
      <w:bookmarkStart w:id="27" w:name="_Toc166747883"/>
      <w:r w:rsidRPr="00AC0B7F">
        <w:t xml:space="preserve">Code of </w:t>
      </w:r>
      <w:r w:rsidR="00B752CF" w:rsidRPr="00AC0B7F">
        <w:t>C</w:t>
      </w:r>
      <w:r w:rsidR="00103B0C" w:rsidRPr="00AC0B7F">
        <w:t xml:space="preserve">onduct </w:t>
      </w:r>
      <w:r w:rsidRPr="00AC0B7F">
        <w:t>and/</w:t>
      </w:r>
      <w:r w:rsidR="004107FC" w:rsidRPr="00AC0B7F">
        <w:t xml:space="preserve">or </w:t>
      </w:r>
      <w:r w:rsidR="00B752CF" w:rsidRPr="00AC0B7F">
        <w:t>S</w:t>
      </w:r>
      <w:r w:rsidR="00103B0C" w:rsidRPr="00AC0B7F">
        <w:t xml:space="preserve">tatement </w:t>
      </w:r>
      <w:r w:rsidR="004107FC" w:rsidRPr="00AC0B7F">
        <w:t xml:space="preserve">of </w:t>
      </w:r>
      <w:r w:rsidR="00B752CF" w:rsidRPr="00AC0B7F">
        <w:t>B</w:t>
      </w:r>
      <w:r w:rsidR="00103B0C" w:rsidRPr="00AC0B7F">
        <w:t xml:space="preserve">usiness </w:t>
      </w:r>
      <w:r w:rsidR="00B752CF" w:rsidRPr="00AC0B7F">
        <w:t>P</w:t>
      </w:r>
      <w:r w:rsidR="00103B0C" w:rsidRPr="00AC0B7F">
        <w:t>rinciples</w:t>
      </w:r>
      <w:bookmarkEnd w:id="25"/>
      <w:bookmarkEnd w:id="26"/>
      <w:bookmarkEnd w:id="27"/>
    </w:p>
    <w:p w14:paraId="784BB66E" w14:textId="37C11833" w:rsidR="004107FC" w:rsidRPr="00AC0B7F" w:rsidRDefault="004107FC" w:rsidP="007E01F0">
      <w:pPr>
        <w:spacing w:after="280"/>
        <w:jc w:val="both"/>
        <w:rPr>
          <w:rFonts w:cs="Arial"/>
        </w:rPr>
      </w:pPr>
      <w:r w:rsidRPr="00AC0B7F">
        <w:rPr>
          <w:rFonts w:cs="Arial"/>
        </w:rPr>
        <w:t xml:space="preserve">There has been a </w:t>
      </w:r>
      <w:r w:rsidRPr="00AC0B7F">
        <w:rPr>
          <w:rFonts w:cs="Arial"/>
          <w:b/>
        </w:rPr>
        <w:t>dramatic increase in the ethical expectations of businesses and professions</w:t>
      </w:r>
      <w:r w:rsidRPr="00AC0B7F">
        <w:rPr>
          <w:rFonts w:cs="Arial"/>
        </w:rPr>
        <w:t xml:space="preserve"> over recent years</w:t>
      </w:r>
      <w:r w:rsidR="00F744AC">
        <w:rPr>
          <w:rFonts w:cs="Arial"/>
        </w:rPr>
        <w:t>.</w:t>
      </w:r>
      <w:r w:rsidRPr="00AC0B7F">
        <w:rPr>
          <w:rFonts w:cs="Arial"/>
        </w:rPr>
        <w:t xml:space="preserve"> This has led many companies </w:t>
      </w:r>
      <w:r w:rsidR="00043194" w:rsidRPr="00AC0B7F">
        <w:rPr>
          <w:rFonts w:cs="Arial"/>
        </w:rPr>
        <w:t>-</w:t>
      </w:r>
      <w:r w:rsidRPr="00AC0B7F">
        <w:rPr>
          <w:rFonts w:cs="Arial"/>
        </w:rPr>
        <w:t xml:space="preserve"> both SMEs and larger business</w:t>
      </w:r>
      <w:r w:rsidR="00CC4319" w:rsidRPr="00AC0B7F">
        <w:rPr>
          <w:rFonts w:cs="Arial"/>
        </w:rPr>
        <w:t>es - to adopt a Code of Conduct/</w:t>
      </w:r>
      <w:r w:rsidRPr="00AC0B7F">
        <w:rPr>
          <w:rFonts w:cs="Arial"/>
        </w:rPr>
        <w:t>S</w:t>
      </w:r>
      <w:r w:rsidR="00CC4319" w:rsidRPr="00AC0B7F">
        <w:rPr>
          <w:rFonts w:cs="Arial"/>
        </w:rPr>
        <w:t>tatement of Core Values/</w:t>
      </w:r>
      <w:r w:rsidRPr="00AC0B7F">
        <w:rPr>
          <w:rFonts w:cs="Arial"/>
        </w:rPr>
        <w:t xml:space="preserve">Statement of Business Principles. </w:t>
      </w:r>
    </w:p>
    <w:p w14:paraId="0BA292AD" w14:textId="18F1A4AD" w:rsidR="004107FC" w:rsidRPr="00AC0B7F" w:rsidRDefault="004107FC" w:rsidP="007E01F0">
      <w:pPr>
        <w:spacing w:after="280"/>
        <w:jc w:val="both"/>
        <w:rPr>
          <w:rFonts w:cs="Arial"/>
        </w:rPr>
      </w:pPr>
      <w:r w:rsidRPr="00AC0B7F">
        <w:rPr>
          <w:rFonts w:cs="Arial"/>
        </w:rPr>
        <w:t>A Code of Conduct (or similar</w:t>
      </w:r>
      <w:r w:rsidR="009B46FC" w:rsidRPr="00AC0B7F">
        <w:rPr>
          <w:rFonts w:cs="Arial"/>
        </w:rPr>
        <w:t xml:space="preserve"> document</w:t>
      </w:r>
      <w:r w:rsidRPr="00AC0B7F">
        <w:rPr>
          <w:rFonts w:cs="Arial"/>
        </w:rPr>
        <w:t xml:space="preserve">) is intended to be a </w:t>
      </w:r>
      <w:r w:rsidRPr="00AC0B7F">
        <w:rPr>
          <w:rFonts w:cs="Arial"/>
          <w:b/>
        </w:rPr>
        <w:t>central guide and reference for all individuals</w:t>
      </w:r>
      <w:r w:rsidRPr="00AC0B7F">
        <w:rPr>
          <w:rFonts w:cs="Arial"/>
        </w:rPr>
        <w:t xml:space="preserve"> in your company in support of day-to-day decision making. A </w:t>
      </w:r>
      <w:r w:rsidR="00BC6F89" w:rsidRPr="00AC0B7F">
        <w:rPr>
          <w:rFonts w:cs="Arial"/>
        </w:rPr>
        <w:t>Code is</w:t>
      </w:r>
      <w:r w:rsidRPr="00AC0B7F">
        <w:rPr>
          <w:rFonts w:cs="Arial"/>
        </w:rPr>
        <w:t xml:space="preserve"> an open</w:t>
      </w:r>
      <w:r w:rsidR="00F744AC">
        <w:rPr>
          <w:rFonts w:cs="Arial"/>
        </w:rPr>
        <w:t xml:space="preserve"> and public</w:t>
      </w:r>
      <w:r w:rsidRPr="00AC0B7F">
        <w:rPr>
          <w:rFonts w:cs="Arial"/>
        </w:rPr>
        <w:t xml:space="preserve"> disclosure of the way your company intends to operate. A Code is also a </w:t>
      </w:r>
      <w:r w:rsidR="003B1235">
        <w:rPr>
          <w:rFonts w:cs="Arial"/>
        </w:rPr>
        <w:t>tool to encourage discussions of</w:t>
      </w:r>
      <w:r w:rsidRPr="00AC0B7F">
        <w:rPr>
          <w:rFonts w:cs="Arial"/>
        </w:rPr>
        <w:t xml:space="preserve"> ethics and compliance, and to improve how your company’s employees deal with ethical dilemmas and grey areas that are encountered in everyday work. </w:t>
      </w:r>
      <w:r w:rsidR="00A8147C">
        <w:rPr>
          <w:rFonts w:cs="Arial"/>
        </w:rPr>
        <w:t>A Code of Conduct or Compliance Manual is</w:t>
      </w:r>
      <w:r w:rsidR="00185BCB">
        <w:rPr>
          <w:rFonts w:cs="Arial"/>
        </w:rPr>
        <w:t xml:space="preserve">, however, insufficient on its own to demonstrate that the company has a commitment to compliance </w:t>
      </w:r>
      <w:r w:rsidR="00401891">
        <w:rPr>
          <w:rFonts w:cs="Arial"/>
        </w:rPr>
        <w:t>(and may even be counter-productive if the company does “live up” to its values</w:t>
      </w:r>
      <w:r w:rsidR="00FD1D02">
        <w:rPr>
          <w:rFonts w:cs="Arial"/>
        </w:rPr>
        <w:t xml:space="preserve">) </w:t>
      </w:r>
      <w:r w:rsidR="00185BCB">
        <w:rPr>
          <w:rFonts w:cs="Arial"/>
        </w:rPr>
        <w:t xml:space="preserve">– the further steps articulated in this Toolkit </w:t>
      </w:r>
      <w:r w:rsidR="002A0185">
        <w:rPr>
          <w:rFonts w:cs="Arial"/>
        </w:rPr>
        <w:t>should also be considered</w:t>
      </w:r>
      <w:r w:rsidR="007E01F0">
        <w:rPr>
          <w:rFonts w:cs="Arial"/>
        </w:rPr>
        <w:t>.</w:t>
      </w:r>
      <w:r w:rsidR="002A0185">
        <w:rPr>
          <w:rFonts w:cs="Arial"/>
        </w:rPr>
        <w:t xml:space="preserve"> </w:t>
      </w:r>
    </w:p>
    <w:p w14:paraId="0E0511C1" w14:textId="77777777" w:rsidR="004107FC" w:rsidRPr="00AC0B7F" w:rsidRDefault="004107FC" w:rsidP="0061477A">
      <w:pPr>
        <w:ind w:left="720"/>
        <w:contextualSpacing/>
        <w:rPr>
          <w:rFonts w:eastAsia="Calibri" w:cs="Arial"/>
        </w:rPr>
      </w:pPr>
    </w:p>
    <w:p w14:paraId="0BC55D93" w14:textId="21EE3212" w:rsidR="004107FC" w:rsidRPr="00AC0B7F" w:rsidRDefault="004107FC" w:rsidP="00D654E3">
      <w:pPr>
        <w:pStyle w:val="OUTLINEAL2"/>
      </w:pPr>
      <w:bookmarkStart w:id="28" w:name="_Toc166512637"/>
      <w:bookmarkStart w:id="29" w:name="_Toc166513095"/>
      <w:bookmarkStart w:id="30" w:name="_Toc166747884"/>
      <w:r w:rsidRPr="00AC0B7F">
        <w:lastRenderedPageBreak/>
        <w:t>Integrate</w:t>
      </w:r>
      <w:r w:rsidR="00316341" w:rsidRPr="00AC0B7F">
        <w:t xml:space="preserve"> </w:t>
      </w:r>
      <w:r w:rsidR="002C43A2">
        <w:t xml:space="preserve">your antitrust programme </w:t>
      </w:r>
      <w:r w:rsidRPr="00AC0B7F">
        <w:t xml:space="preserve">into </w:t>
      </w:r>
      <w:r w:rsidR="00EB01E3">
        <w:t xml:space="preserve">your </w:t>
      </w:r>
      <w:r w:rsidRPr="00AC0B7F">
        <w:t>other programmes and controls</w:t>
      </w:r>
      <w:bookmarkEnd w:id="28"/>
      <w:bookmarkEnd w:id="29"/>
      <w:bookmarkEnd w:id="30"/>
      <w:r w:rsidRPr="00AC0B7F">
        <w:t xml:space="preserve"> </w:t>
      </w:r>
    </w:p>
    <w:p w14:paraId="751E1F5F" w14:textId="7C73104B" w:rsidR="004107FC" w:rsidRPr="00AC0B7F" w:rsidRDefault="00FD1D02" w:rsidP="007E01F0">
      <w:pPr>
        <w:spacing w:after="280"/>
        <w:contextualSpacing/>
        <w:jc w:val="both"/>
        <w:rPr>
          <w:rFonts w:eastAsia="Calibri" w:cs="Arial"/>
        </w:rPr>
      </w:pPr>
      <w:r>
        <w:rPr>
          <w:rFonts w:eastAsia="Calibri" w:cs="Arial"/>
        </w:rPr>
        <w:t>Y</w:t>
      </w:r>
      <w:r w:rsidR="004107FC" w:rsidRPr="00AC0B7F">
        <w:rPr>
          <w:rFonts w:eastAsia="Calibri" w:cs="Arial"/>
        </w:rPr>
        <w:t>our antitrust compliance programme</w:t>
      </w:r>
      <w:r w:rsidR="00C5216D">
        <w:rPr>
          <w:rFonts w:eastAsia="Calibri" w:cs="Arial"/>
        </w:rPr>
        <w:t xml:space="preserve"> should not</w:t>
      </w:r>
      <w:r w:rsidR="004107FC" w:rsidRPr="00AC0B7F">
        <w:rPr>
          <w:rFonts w:eastAsia="Calibri" w:cs="Arial"/>
        </w:rPr>
        <w:t xml:space="preserve"> be developed in isolation</w:t>
      </w:r>
      <w:r>
        <w:rPr>
          <w:rFonts w:eastAsia="Calibri" w:cs="Arial"/>
        </w:rPr>
        <w:t xml:space="preserve"> from other compliance risks</w:t>
      </w:r>
      <w:r w:rsidR="004107FC" w:rsidRPr="00AC0B7F">
        <w:rPr>
          <w:rFonts w:eastAsia="Calibri" w:cs="Arial"/>
        </w:rPr>
        <w:t xml:space="preserve">. From the start, therefore, it is important that you give some thought </w:t>
      </w:r>
      <w:r w:rsidR="003B1235">
        <w:rPr>
          <w:rFonts w:eastAsia="Calibri" w:cs="Arial"/>
        </w:rPr>
        <w:t>to</w:t>
      </w:r>
      <w:r w:rsidR="004107FC" w:rsidRPr="00AC0B7F">
        <w:rPr>
          <w:rFonts w:eastAsia="Calibri" w:cs="Arial"/>
        </w:rPr>
        <w:t xml:space="preserve"> how you might </w:t>
      </w:r>
      <w:r w:rsidR="004107FC" w:rsidRPr="00AC0B7F">
        <w:rPr>
          <w:rFonts w:eastAsia="Calibri" w:cs="Arial"/>
          <w:b/>
        </w:rPr>
        <w:t>link</w:t>
      </w:r>
      <w:r w:rsidR="004107FC" w:rsidRPr="00AC0B7F">
        <w:rPr>
          <w:rFonts w:eastAsia="Calibri" w:cs="Arial"/>
        </w:rPr>
        <w:t xml:space="preserve"> your antitrust compliance programme to your company’s other </w:t>
      </w:r>
      <w:r w:rsidR="005C0E7C">
        <w:rPr>
          <w:rFonts w:eastAsia="Calibri" w:cs="Arial"/>
        </w:rPr>
        <w:t xml:space="preserve">compliance </w:t>
      </w:r>
      <w:r w:rsidR="004107FC" w:rsidRPr="00AC0B7F">
        <w:rPr>
          <w:rFonts w:eastAsia="Calibri" w:cs="Arial"/>
        </w:rPr>
        <w:t>programmes (for example the anti-bribery and corruption</w:t>
      </w:r>
      <w:r w:rsidR="005C0E7C">
        <w:rPr>
          <w:rFonts w:eastAsia="Calibri" w:cs="Arial"/>
        </w:rPr>
        <w:t xml:space="preserve"> and data privacy</w:t>
      </w:r>
      <w:r w:rsidR="004107FC" w:rsidRPr="00AC0B7F">
        <w:rPr>
          <w:rFonts w:eastAsia="Calibri" w:cs="Arial"/>
        </w:rPr>
        <w:t xml:space="preserve"> programme</w:t>
      </w:r>
      <w:r w:rsidR="00042AD5">
        <w:rPr>
          <w:rFonts w:eastAsia="Calibri" w:cs="Arial"/>
        </w:rPr>
        <w:t>s etc.</w:t>
      </w:r>
      <w:r w:rsidR="004107FC" w:rsidRPr="00AC0B7F">
        <w:rPr>
          <w:rFonts w:eastAsia="Calibri" w:cs="Arial"/>
        </w:rPr>
        <w:t xml:space="preserve">) and into your company’s </w:t>
      </w:r>
      <w:r w:rsidR="00042AD5">
        <w:rPr>
          <w:rFonts w:eastAsia="Calibri" w:cs="Arial"/>
        </w:rPr>
        <w:t xml:space="preserve">risk, </w:t>
      </w:r>
      <w:r w:rsidR="004107FC" w:rsidRPr="00AC0B7F">
        <w:rPr>
          <w:rFonts w:eastAsia="Calibri" w:cs="Arial"/>
        </w:rPr>
        <w:t>controls and governance systems.</w:t>
      </w:r>
    </w:p>
    <w:p w14:paraId="1FA684A9" w14:textId="77777777" w:rsidR="004107FC" w:rsidRPr="00AC0B7F" w:rsidRDefault="004107FC" w:rsidP="0061477A">
      <w:pPr>
        <w:spacing w:after="280"/>
        <w:contextualSpacing/>
        <w:rPr>
          <w:rFonts w:eastAsia="Calibri" w:cs="Arial"/>
        </w:rPr>
      </w:pPr>
    </w:p>
    <w:p w14:paraId="523C18B1" w14:textId="1E265E8A" w:rsidR="004107FC" w:rsidRPr="00AC0B7F" w:rsidRDefault="00047C56" w:rsidP="0061477A">
      <w:pPr>
        <w:spacing w:after="280"/>
        <w:contextualSpacing/>
        <w:rPr>
          <w:rFonts w:eastAsia="Calibri" w:cs="Arial"/>
        </w:rPr>
      </w:pPr>
      <w:r>
        <w:rPr>
          <w:rFonts w:eastAsia="Calibri" w:cs="Arial"/>
          <w:b/>
        </w:rPr>
        <w:t>A</w:t>
      </w:r>
      <w:r w:rsidR="004107FC" w:rsidRPr="00AC0B7F">
        <w:rPr>
          <w:rFonts w:eastAsia="Calibri" w:cs="Arial"/>
          <w:b/>
        </w:rPr>
        <w:t xml:space="preserve"> holistic approach </w:t>
      </w:r>
      <w:r>
        <w:rPr>
          <w:rFonts w:eastAsia="Calibri" w:cs="Arial"/>
          <w:b/>
        </w:rPr>
        <w:t xml:space="preserve">to compliance </w:t>
      </w:r>
      <w:r w:rsidR="004107FC" w:rsidRPr="00AC0B7F">
        <w:rPr>
          <w:rFonts w:eastAsia="Calibri" w:cs="Arial"/>
          <w:b/>
        </w:rPr>
        <w:t>is important and</w:t>
      </w:r>
      <w:r w:rsidR="00AB7AAA">
        <w:rPr>
          <w:rFonts w:eastAsia="Calibri" w:cs="Arial"/>
          <w:b/>
        </w:rPr>
        <w:t xml:space="preserve"> </w:t>
      </w:r>
      <w:r w:rsidR="007C6369">
        <w:rPr>
          <w:rFonts w:eastAsia="Calibri" w:cs="Arial"/>
          <w:b/>
        </w:rPr>
        <w:t>is</w:t>
      </w:r>
      <w:r w:rsidR="00AB7AAA">
        <w:rPr>
          <w:rFonts w:eastAsia="Calibri" w:cs="Arial"/>
          <w:b/>
        </w:rPr>
        <w:t xml:space="preserve"> more effective</w:t>
      </w:r>
      <w:r w:rsidR="004107FC" w:rsidRPr="00AC0B7F">
        <w:rPr>
          <w:rFonts w:eastAsia="Calibri" w:cs="Arial"/>
        </w:rPr>
        <w:t>:</w:t>
      </w:r>
    </w:p>
    <w:p w14:paraId="668C1B36" w14:textId="77777777" w:rsidR="004107FC" w:rsidRPr="00AC0B7F" w:rsidRDefault="004107FC" w:rsidP="0061477A">
      <w:pPr>
        <w:spacing w:after="280"/>
        <w:contextualSpacing/>
        <w:rPr>
          <w:rFonts w:eastAsia="Calibri" w:cs="Arial"/>
        </w:rPr>
      </w:pPr>
    </w:p>
    <w:p w14:paraId="27FCC973" w14:textId="651F9E77" w:rsidR="004107FC" w:rsidRPr="00AC0B7F" w:rsidRDefault="004107FC">
      <w:pPr>
        <w:numPr>
          <w:ilvl w:val="0"/>
          <w:numId w:val="5"/>
        </w:numPr>
        <w:spacing w:after="280"/>
        <w:ind w:left="851" w:hanging="284"/>
        <w:jc w:val="both"/>
        <w:rPr>
          <w:rFonts w:eastAsia="Calibri" w:cs="Arial"/>
        </w:rPr>
      </w:pPr>
      <w:r w:rsidRPr="00AC0B7F">
        <w:rPr>
          <w:rFonts w:eastAsia="Calibri" w:cs="Arial"/>
        </w:rPr>
        <w:t>All companies from SMEs to the very large</w:t>
      </w:r>
      <w:r w:rsidR="00333445">
        <w:rPr>
          <w:rFonts w:eastAsia="Calibri" w:cs="Arial"/>
        </w:rPr>
        <w:t>st</w:t>
      </w:r>
      <w:r w:rsidR="00CC4319" w:rsidRPr="00AC0B7F">
        <w:rPr>
          <w:rFonts w:eastAsia="Calibri" w:cs="Arial"/>
        </w:rPr>
        <w:t xml:space="preserve"> will have a Finance function/</w:t>
      </w:r>
      <w:r w:rsidR="00A92561" w:rsidRPr="00AC0B7F">
        <w:rPr>
          <w:rFonts w:eastAsia="Calibri" w:cs="Arial"/>
        </w:rPr>
        <w:t xml:space="preserve">Finance </w:t>
      </w:r>
      <w:r w:rsidRPr="00AC0B7F">
        <w:rPr>
          <w:rFonts w:eastAsia="Calibri" w:cs="Arial"/>
        </w:rPr>
        <w:t xml:space="preserve">manager </w:t>
      </w:r>
      <w:r w:rsidR="00333445">
        <w:rPr>
          <w:rFonts w:eastAsia="Calibri" w:cs="Arial"/>
        </w:rPr>
        <w:t>or Financial advis</w:t>
      </w:r>
      <w:r w:rsidR="00CE71B2">
        <w:rPr>
          <w:rFonts w:eastAsia="Calibri" w:cs="Arial"/>
        </w:rPr>
        <w:t>o</w:t>
      </w:r>
      <w:r w:rsidR="00333445">
        <w:rPr>
          <w:rFonts w:eastAsia="Calibri" w:cs="Arial"/>
        </w:rPr>
        <w:t xml:space="preserve">r </w:t>
      </w:r>
      <w:r w:rsidRPr="00AC0B7F">
        <w:rPr>
          <w:rFonts w:eastAsia="Calibri" w:cs="Arial"/>
        </w:rPr>
        <w:t>who will consider all the material risks that the company faces. If antitrust features</w:t>
      </w:r>
      <w:r w:rsidR="00C5216D">
        <w:rPr>
          <w:rFonts w:eastAsia="Calibri" w:cs="Arial"/>
        </w:rPr>
        <w:t xml:space="preserve"> </w:t>
      </w:r>
      <w:r w:rsidR="008D5BAD">
        <w:rPr>
          <w:rFonts w:eastAsia="Calibri" w:cs="Arial"/>
        </w:rPr>
        <w:t>are</w:t>
      </w:r>
      <w:r w:rsidRPr="00AC0B7F">
        <w:rPr>
          <w:rFonts w:eastAsia="Calibri" w:cs="Arial"/>
        </w:rPr>
        <w:t xml:space="preserve"> in your central list of corporate risks, it becomes easier for appropriate contr</w:t>
      </w:r>
      <w:r w:rsidR="00CC4319" w:rsidRPr="00AC0B7F">
        <w:rPr>
          <w:rFonts w:eastAsia="Calibri" w:cs="Arial"/>
        </w:rPr>
        <w:t xml:space="preserve">ols to be </w:t>
      </w:r>
      <w:r w:rsidRPr="00AC0B7F">
        <w:rPr>
          <w:rFonts w:eastAsia="Calibri" w:cs="Arial"/>
        </w:rPr>
        <w:t>rolled out consistently across your company;</w:t>
      </w:r>
    </w:p>
    <w:p w14:paraId="27C90AA9" w14:textId="56D523C7" w:rsidR="004107FC" w:rsidRPr="00AC0B7F" w:rsidRDefault="004107FC">
      <w:pPr>
        <w:numPr>
          <w:ilvl w:val="0"/>
          <w:numId w:val="5"/>
        </w:numPr>
        <w:spacing w:after="280"/>
        <w:ind w:left="851" w:hanging="284"/>
        <w:jc w:val="both"/>
        <w:rPr>
          <w:rFonts w:eastAsia="Calibri" w:cs="Arial"/>
        </w:rPr>
      </w:pPr>
      <w:r w:rsidRPr="00AC0B7F">
        <w:rPr>
          <w:rFonts w:eastAsia="Calibri" w:cs="Arial"/>
        </w:rPr>
        <w:t xml:space="preserve">This approach </w:t>
      </w:r>
      <w:r w:rsidR="00106B16">
        <w:rPr>
          <w:rFonts w:eastAsia="Calibri" w:cs="Arial"/>
        </w:rPr>
        <w:t>w</w:t>
      </w:r>
      <w:r w:rsidR="00106B16" w:rsidRPr="00AC0B7F">
        <w:rPr>
          <w:rFonts w:eastAsia="Calibri" w:cs="Arial"/>
        </w:rPr>
        <w:t xml:space="preserve">ould </w:t>
      </w:r>
      <w:r w:rsidRPr="00AC0B7F">
        <w:rPr>
          <w:rFonts w:eastAsia="Calibri" w:cs="Arial"/>
        </w:rPr>
        <w:t xml:space="preserve">involve the application of a consistent risk assessment methodology that </w:t>
      </w:r>
      <w:r w:rsidR="008D5BAD">
        <w:rPr>
          <w:rFonts w:eastAsia="Calibri" w:cs="Arial"/>
        </w:rPr>
        <w:t>recognises</w:t>
      </w:r>
      <w:r w:rsidRPr="00AC0B7F">
        <w:rPr>
          <w:rFonts w:eastAsia="Calibri" w:cs="Arial"/>
        </w:rPr>
        <w:t xml:space="preserve"> the negative potential impact of antitrust issues (notably the occurrence of cartels)</w:t>
      </w:r>
      <w:r w:rsidR="00331653">
        <w:rPr>
          <w:rFonts w:eastAsia="Calibri" w:cs="Arial"/>
        </w:rPr>
        <w:t xml:space="preserve"> </w:t>
      </w:r>
      <w:r w:rsidR="008F6146">
        <w:rPr>
          <w:rFonts w:eastAsia="Calibri" w:cs="Arial"/>
        </w:rPr>
        <w:t xml:space="preserve">with a view </w:t>
      </w:r>
      <w:r w:rsidRPr="00AC0B7F">
        <w:rPr>
          <w:rFonts w:eastAsia="Calibri" w:cs="Arial"/>
        </w:rPr>
        <w:t xml:space="preserve">to mitigate </w:t>
      </w:r>
      <w:r w:rsidR="008F6146">
        <w:rPr>
          <w:rFonts w:eastAsia="Calibri" w:cs="Arial"/>
        </w:rPr>
        <w:t xml:space="preserve">such </w:t>
      </w:r>
      <w:r w:rsidRPr="00AC0B7F">
        <w:rPr>
          <w:rFonts w:eastAsia="Calibri" w:cs="Arial"/>
        </w:rPr>
        <w:t>risks</w:t>
      </w:r>
      <w:r w:rsidR="007E01F0">
        <w:rPr>
          <w:rFonts w:eastAsia="Calibri" w:cs="Arial"/>
        </w:rPr>
        <w:t>.</w:t>
      </w:r>
    </w:p>
    <w:p w14:paraId="1B058494" w14:textId="47BF7EAD" w:rsidR="00426F6A" w:rsidRPr="00AC0B7F" w:rsidRDefault="004107FC" w:rsidP="00C370ED">
      <w:pPr>
        <w:spacing w:after="280"/>
        <w:rPr>
          <w:rFonts w:cs="Arial"/>
        </w:rPr>
      </w:pPr>
      <w:r w:rsidRPr="00AC0B7F">
        <w:rPr>
          <w:rFonts w:cs="Arial"/>
        </w:rPr>
        <w:t xml:space="preserve">It is </w:t>
      </w:r>
      <w:r w:rsidR="00E61FB0">
        <w:rPr>
          <w:rFonts w:cs="Arial"/>
          <w:b/>
        </w:rPr>
        <w:t xml:space="preserve"> </w:t>
      </w:r>
      <w:r w:rsidR="00822C02">
        <w:rPr>
          <w:rFonts w:cs="Arial"/>
          <w:b/>
        </w:rPr>
        <w:t>essential</w:t>
      </w:r>
      <w:r w:rsidR="00E61FB0">
        <w:rPr>
          <w:rFonts w:cs="Arial"/>
          <w:b/>
        </w:rPr>
        <w:t xml:space="preserve"> </w:t>
      </w:r>
      <w:r w:rsidRPr="00AC0B7F">
        <w:rPr>
          <w:rFonts w:cs="Arial"/>
          <w:b/>
        </w:rPr>
        <w:t xml:space="preserve">that </w:t>
      </w:r>
      <w:r w:rsidR="00106B16">
        <w:rPr>
          <w:rFonts w:cs="Arial"/>
          <w:b/>
        </w:rPr>
        <w:t xml:space="preserve">the </w:t>
      </w:r>
      <w:r w:rsidRPr="00AC0B7F">
        <w:rPr>
          <w:rFonts w:cs="Arial"/>
          <w:b/>
        </w:rPr>
        <w:t>antitrust</w:t>
      </w:r>
      <w:r w:rsidR="00106B16">
        <w:rPr>
          <w:rFonts w:cs="Arial"/>
          <w:b/>
        </w:rPr>
        <w:t xml:space="preserve"> programme and those supporting it</w:t>
      </w:r>
      <w:r w:rsidRPr="00AC0B7F">
        <w:rPr>
          <w:rFonts w:cs="Arial"/>
          <w:b/>
        </w:rPr>
        <w:t xml:space="preserve"> get sufficient dedicated resources</w:t>
      </w:r>
      <w:r w:rsidR="005C4AEB">
        <w:rPr>
          <w:rStyle w:val="FootnoteReference"/>
          <w:rFonts w:cs="Arial"/>
          <w:b/>
        </w:rPr>
        <w:footnoteReference w:id="10"/>
      </w:r>
      <w:r w:rsidRPr="00AC0B7F">
        <w:rPr>
          <w:rFonts w:cs="Arial"/>
        </w:rPr>
        <w:t xml:space="preserve">. </w:t>
      </w:r>
    </w:p>
    <w:p w14:paraId="53A1757F" w14:textId="77777777" w:rsidR="004107FC" w:rsidRPr="00AC0B7F" w:rsidRDefault="004107FC" w:rsidP="00D654E3">
      <w:pPr>
        <w:pStyle w:val="OUTLINEAL2"/>
      </w:pPr>
      <w:bookmarkStart w:id="31" w:name="_Toc166512638"/>
      <w:bookmarkStart w:id="32" w:name="_Toc166513096"/>
      <w:bookmarkStart w:id="33" w:name="_Toc166747885"/>
      <w:r w:rsidRPr="00AC0B7F">
        <w:t>Ongoing and sustained senior management commitment</w:t>
      </w:r>
      <w:bookmarkEnd w:id="31"/>
      <w:bookmarkEnd w:id="32"/>
      <w:bookmarkEnd w:id="33"/>
    </w:p>
    <w:p w14:paraId="5A63F634" w14:textId="7F493C3A" w:rsidR="004107FC" w:rsidRPr="00AC0B7F" w:rsidRDefault="00706C87" w:rsidP="007E01F0">
      <w:pPr>
        <w:autoSpaceDE w:val="0"/>
        <w:autoSpaceDN w:val="0"/>
        <w:adjustRightInd w:val="0"/>
        <w:spacing w:after="280"/>
        <w:jc w:val="both"/>
        <w:rPr>
          <w:rFonts w:cs="Arial"/>
          <w:lang w:eastAsia="en-US"/>
        </w:rPr>
      </w:pPr>
      <w:r>
        <w:rPr>
          <w:rFonts w:cs="Arial"/>
          <w:lang w:eastAsia="en-US"/>
        </w:rPr>
        <w:t>S</w:t>
      </w:r>
      <w:r w:rsidR="004107FC" w:rsidRPr="00AC0B7F">
        <w:rPr>
          <w:rFonts w:cs="Arial"/>
          <w:lang w:eastAsia="en-US"/>
        </w:rPr>
        <w:t>enior management</w:t>
      </w:r>
      <w:r>
        <w:rPr>
          <w:rFonts w:cs="Arial"/>
          <w:lang w:eastAsia="en-US"/>
        </w:rPr>
        <w:t xml:space="preserve"> support for your antitrust programme</w:t>
      </w:r>
      <w:r w:rsidR="004107FC" w:rsidRPr="00AC0B7F">
        <w:rPr>
          <w:rFonts w:cs="Arial"/>
          <w:lang w:eastAsia="en-US"/>
        </w:rPr>
        <w:t xml:space="preserve"> </w:t>
      </w:r>
      <w:r w:rsidR="004107FC" w:rsidRPr="00AC0B7F">
        <w:rPr>
          <w:rFonts w:cs="Arial"/>
          <w:b/>
          <w:lang w:eastAsia="en-US"/>
        </w:rPr>
        <w:t>needs to be sustained</w:t>
      </w:r>
      <w:r w:rsidR="004107FC" w:rsidRPr="00AC0B7F">
        <w:rPr>
          <w:rFonts w:cs="Arial"/>
          <w:lang w:eastAsia="en-US"/>
        </w:rPr>
        <w:t xml:space="preserve"> on an ongoing basis. </w:t>
      </w:r>
      <w:r w:rsidR="00822C02">
        <w:rPr>
          <w:rFonts w:cs="Arial"/>
          <w:lang w:eastAsia="en-US"/>
        </w:rPr>
        <w:t>“</w:t>
      </w:r>
      <w:r w:rsidR="004107FC" w:rsidRPr="00AC0B7F">
        <w:rPr>
          <w:rFonts w:cs="Arial"/>
          <w:lang w:eastAsia="en-US"/>
        </w:rPr>
        <w:t>T</w:t>
      </w:r>
      <w:r w:rsidR="004107FC" w:rsidRPr="00AC0B7F" w:rsidDel="000D4831">
        <w:rPr>
          <w:rFonts w:cs="Arial"/>
          <w:lang w:eastAsia="en-US"/>
        </w:rPr>
        <w:t>one from the top</w:t>
      </w:r>
      <w:r w:rsidR="00822C02">
        <w:rPr>
          <w:rFonts w:cs="Arial"/>
          <w:lang w:eastAsia="en-US"/>
        </w:rPr>
        <w:t>”</w:t>
      </w:r>
      <w:r w:rsidR="004107FC" w:rsidRPr="00AC0B7F" w:rsidDel="000D4831">
        <w:rPr>
          <w:rFonts w:cs="Arial"/>
          <w:lang w:eastAsia="en-US"/>
        </w:rPr>
        <w:t xml:space="preserve"> </w:t>
      </w:r>
      <w:r w:rsidR="004107FC" w:rsidRPr="00AC0B7F">
        <w:rPr>
          <w:rFonts w:cs="Arial"/>
          <w:lang w:eastAsia="en-US"/>
        </w:rPr>
        <w:t xml:space="preserve">should be </w:t>
      </w:r>
      <w:r w:rsidR="00E91A42">
        <w:rPr>
          <w:rFonts w:cs="Arial"/>
          <w:lang w:eastAsia="en-US"/>
        </w:rPr>
        <w:t xml:space="preserve">clearly </w:t>
      </w:r>
      <w:r w:rsidR="004107FC" w:rsidRPr="00AC0B7F">
        <w:rPr>
          <w:rFonts w:cs="Arial"/>
          <w:lang w:eastAsia="en-US"/>
        </w:rPr>
        <w:t>demonstrated</w:t>
      </w:r>
      <w:r w:rsidR="004107FC" w:rsidRPr="00AC0B7F" w:rsidDel="000D4831">
        <w:rPr>
          <w:rFonts w:cs="Arial"/>
          <w:lang w:eastAsia="en-US"/>
        </w:rPr>
        <w:t xml:space="preserve"> not </w:t>
      </w:r>
      <w:r w:rsidR="004107FC" w:rsidRPr="00AC0B7F">
        <w:rPr>
          <w:rFonts w:cs="Arial"/>
          <w:lang w:eastAsia="en-US"/>
        </w:rPr>
        <w:t xml:space="preserve">just by initial management commitment and by issuing a company </w:t>
      </w:r>
      <w:r w:rsidR="004107FC" w:rsidRPr="00AC0B7F" w:rsidDel="000D4831">
        <w:rPr>
          <w:rFonts w:cs="Arial"/>
          <w:lang w:eastAsia="en-US"/>
        </w:rPr>
        <w:t>Code of Conduct</w:t>
      </w:r>
      <w:r w:rsidR="004107FC" w:rsidRPr="00AC0B7F">
        <w:rPr>
          <w:rFonts w:cs="Arial"/>
          <w:lang w:eastAsia="en-US"/>
        </w:rPr>
        <w:t>,</w:t>
      </w:r>
      <w:r w:rsidR="004107FC" w:rsidRPr="00AC0B7F" w:rsidDel="000D4831">
        <w:rPr>
          <w:rFonts w:cs="Arial"/>
          <w:lang w:eastAsia="en-US"/>
        </w:rPr>
        <w:t xml:space="preserve"> but also </w:t>
      </w:r>
      <w:r w:rsidR="004107FC" w:rsidRPr="00AC0B7F">
        <w:rPr>
          <w:rFonts w:cs="Arial"/>
          <w:lang w:eastAsia="en-US"/>
        </w:rPr>
        <w:t>by</w:t>
      </w:r>
      <w:r w:rsidR="004107FC" w:rsidRPr="00AC0B7F" w:rsidDel="000D4831">
        <w:rPr>
          <w:rFonts w:cs="Arial"/>
          <w:lang w:eastAsia="en-US"/>
        </w:rPr>
        <w:t xml:space="preserve"> senior leaders and managers</w:t>
      </w:r>
      <w:r w:rsidR="004107FC" w:rsidRPr="00AC0B7F">
        <w:rPr>
          <w:rFonts w:cs="Arial"/>
          <w:lang w:eastAsia="en-US"/>
        </w:rPr>
        <w:t xml:space="preserve"> </w:t>
      </w:r>
    </w:p>
    <w:p w14:paraId="47E920DA" w14:textId="1EA2A999" w:rsidR="004107FC" w:rsidRPr="00AC0B7F" w:rsidRDefault="004107FC" w:rsidP="007E01F0">
      <w:pPr>
        <w:autoSpaceDE w:val="0"/>
        <w:autoSpaceDN w:val="0"/>
        <w:adjustRightInd w:val="0"/>
        <w:spacing w:after="280"/>
        <w:jc w:val="both"/>
        <w:rPr>
          <w:rFonts w:cs="Arial"/>
          <w:lang w:eastAsia="en-US"/>
        </w:rPr>
      </w:pPr>
      <w:r w:rsidRPr="00C223A8">
        <w:rPr>
          <w:rFonts w:cs="Arial"/>
          <w:lang w:eastAsia="en-US"/>
        </w:rPr>
        <w:t>S</w:t>
      </w:r>
      <w:r w:rsidRPr="00C223A8" w:rsidDel="000D4831">
        <w:rPr>
          <w:rFonts w:cs="Arial"/>
          <w:lang w:eastAsia="en-US"/>
        </w:rPr>
        <w:t xml:space="preserve">tatements </w:t>
      </w:r>
      <w:r w:rsidR="009D5BF5" w:rsidRPr="00C223A8">
        <w:rPr>
          <w:rFonts w:cs="Arial"/>
          <w:b/>
          <w:lang w:eastAsia="en-US"/>
        </w:rPr>
        <w:t>from</w:t>
      </w:r>
      <w:r w:rsidR="009D5BF5" w:rsidRPr="00C223A8" w:rsidDel="000D4831">
        <w:rPr>
          <w:rFonts w:cs="Arial"/>
          <w:b/>
          <w:lang w:eastAsia="en-US"/>
        </w:rPr>
        <w:t xml:space="preserve"> </w:t>
      </w:r>
      <w:r w:rsidRPr="00C223A8">
        <w:rPr>
          <w:rFonts w:cs="Arial"/>
          <w:b/>
          <w:lang w:eastAsia="en-US"/>
        </w:rPr>
        <w:t>senior managers</w:t>
      </w:r>
      <w:r w:rsidRPr="00C223A8" w:rsidDel="000D4831">
        <w:rPr>
          <w:rFonts w:cs="Arial"/>
          <w:lang w:eastAsia="en-US"/>
        </w:rPr>
        <w:t xml:space="preserve"> proactively reaffirm</w:t>
      </w:r>
      <w:r w:rsidRPr="00C223A8">
        <w:rPr>
          <w:rFonts w:cs="Arial"/>
          <w:lang w:eastAsia="en-US"/>
        </w:rPr>
        <w:t>ing</w:t>
      </w:r>
      <w:r w:rsidRPr="00C223A8" w:rsidDel="000D4831">
        <w:rPr>
          <w:rFonts w:cs="Arial"/>
          <w:lang w:eastAsia="en-US"/>
        </w:rPr>
        <w:t xml:space="preserve"> their own commitment to </w:t>
      </w:r>
      <w:r w:rsidRPr="00C223A8">
        <w:rPr>
          <w:rFonts w:cs="Arial"/>
          <w:lang w:eastAsia="en-US"/>
        </w:rPr>
        <w:t xml:space="preserve">antitrust </w:t>
      </w:r>
      <w:r w:rsidRPr="00C223A8" w:rsidDel="000D4831">
        <w:rPr>
          <w:rFonts w:cs="Arial"/>
          <w:lang w:eastAsia="en-US"/>
        </w:rPr>
        <w:t xml:space="preserve">compliance can have a more profound </w:t>
      </w:r>
      <w:r w:rsidRPr="00C223A8">
        <w:rPr>
          <w:rFonts w:cs="Arial"/>
          <w:lang w:eastAsia="en-US"/>
        </w:rPr>
        <w:t xml:space="preserve">and enduring </w:t>
      </w:r>
      <w:r w:rsidRPr="00C223A8" w:rsidDel="000D4831">
        <w:rPr>
          <w:rFonts w:cs="Arial"/>
          <w:lang w:eastAsia="en-US"/>
        </w:rPr>
        <w:t>impact than any written document.</w:t>
      </w:r>
      <w:r w:rsidRPr="00AC0B7F" w:rsidDel="000D4831">
        <w:rPr>
          <w:rFonts w:cs="Arial"/>
          <w:lang w:eastAsia="en-US"/>
        </w:rPr>
        <w:t xml:space="preserve"> </w:t>
      </w:r>
      <w:r w:rsidR="00CE71B2">
        <w:rPr>
          <w:rFonts w:cs="Arial"/>
          <w:lang w:eastAsia="en-US"/>
        </w:rPr>
        <w:t>P</w:t>
      </w:r>
      <w:r w:rsidRPr="00AC0B7F" w:rsidDel="000D4831">
        <w:rPr>
          <w:rFonts w:cs="Arial"/>
          <w:lang w:eastAsia="en-US"/>
        </w:rPr>
        <w:t xml:space="preserve">romoting leaders who </w:t>
      </w:r>
      <w:r w:rsidRPr="00AC0B7F">
        <w:rPr>
          <w:rFonts w:cs="Arial"/>
          <w:lang w:eastAsia="en-US"/>
        </w:rPr>
        <w:t xml:space="preserve">have a track record of </w:t>
      </w:r>
      <w:r w:rsidRPr="00AC0B7F" w:rsidDel="000D4831">
        <w:rPr>
          <w:rFonts w:cs="Arial"/>
          <w:lang w:eastAsia="en-US"/>
        </w:rPr>
        <w:t>show</w:t>
      </w:r>
      <w:r w:rsidRPr="00AC0B7F">
        <w:rPr>
          <w:rFonts w:cs="Arial"/>
          <w:lang w:eastAsia="en-US"/>
        </w:rPr>
        <w:t>ing</w:t>
      </w:r>
      <w:r w:rsidRPr="00AC0B7F" w:rsidDel="000D4831">
        <w:rPr>
          <w:rFonts w:cs="Arial"/>
          <w:lang w:eastAsia="en-US"/>
        </w:rPr>
        <w:t xml:space="preserve"> a similar commitment to </w:t>
      </w:r>
      <w:r w:rsidRPr="00AC0B7F">
        <w:rPr>
          <w:rFonts w:cs="Arial"/>
          <w:lang w:eastAsia="en-US"/>
        </w:rPr>
        <w:t>compliance</w:t>
      </w:r>
      <w:r w:rsidRPr="00AC0B7F" w:rsidDel="000D4831">
        <w:rPr>
          <w:rFonts w:cs="Arial"/>
          <w:lang w:eastAsia="en-US"/>
        </w:rPr>
        <w:t xml:space="preserve"> </w:t>
      </w:r>
      <w:r w:rsidR="00CE71B2">
        <w:rPr>
          <w:rFonts w:cs="Arial"/>
          <w:lang w:eastAsia="en-US"/>
        </w:rPr>
        <w:t>helps to set up a strong competition culture in companies, which is positively considered by competition authorities</w:t>
      </w:r>
      <w:r w:rsidR="00094686">
        <w:rPr>
          <w:rStyle w:val="FootnoteReference"/>
          <w:rFonts w:cs="Arial"/>
          <w:lang w:eastAsia="en-US"/>
        </w:rPr>
        <w:footnoteReference w:id="11"/>
      </w:r>
      <w:r w:rsidRPr="00AC0B7F" w:rsidDel="000D4831">
        <w:rPr>
          <w:rFonts w:cs="Arial"/>
          <w:lang w:eastAsia="en-US"/>
        </w:rPr>
        <w:t>.</w:t>
      </w:r>
    </w:p>
    <w:p w14:paraId="559E1D9E" w14:textId="20D19979" w:rsidR="004107FC" w:rsidRPr="00AC0B7F" w:rsidRDefault="004107FC" w:rsidP="007E01F0">
      <w:pPr>
        <w:autoSpaceDE w:val="0"/>
        <w:autoSpaceDN w:val="0"/>
        <w:adjustRightInd w:val="0"/>
        <w:spacing w:after="280"/>
        <w:jc w:val="both"/>
        <w:rPr>
          <w:rFonts w:cs="Arial"/>
          <w:lang w:eastAsia="en-US"/>
        </w:rPr>
      </w:pPr>
      <w:r w:rsidRPr="00AC0B7F">
        <w:rPr>
          <w:rFonts w:cs="Arial"/>
          <w:lang w:eastAsia="en-US"/>
        </w:rPr>
        <w:t xml:space="preserve">To avoid the impression that </w:t>
      </w:r>
      <w:r w:rsidR="00E45AC3">
        <w:rPr>
          <w:rFonts w:cs="Arial"/>
          <w:lang w:eastAsia="en-US"/>
        </w:rPr>
        <w:t xml:space="preserve">antitrust </w:t>
      </w:r>
      <w:r w:rsidRPr="00AC0B7F">
        <w:rPr>
          <w:rFonts w:cs="Arial"/>
          <w:lang w:eastAsia="en-US"/>
        </w:rPr>
        <w:t>compliance is only communicated by your CEO and the Board</w:t>
      </w:r>
      <w:r w:rsidR="00E45AC3">
        <w:rPr>
          <w:rFonts w:cs="Arial"/>
          <w:lang w:eastAsia="en-US"/>
        </w:rPr>
        <w:t xml:space="preserve"> and not seen to be embraced by your whole company</w:t>
      </w:r>
      <w:r w:rsidRPr="00AC0B7F">
        <w:rPr>
          <w:rFonts w:cs="Arial"/>
          <w:lang w:eastAsia="en-US"/>
        </w:rPr>
        <w:t xml:space="preserve">, you </w:t>
      </w:r>
      <w:r w:rsidR="00E45AC3" w:rsidRPr="00AC0B7F">
        <w:rPr>
          <w:rFonts w:cs="Arial"/>
          <w:lang w:eastAsia="en-US"/>
        </w:rPr>
        <w:t xml:space="preserve"> </w:t>
      </w:r>
      <w:r w:rsidRPr="00AC0B7F">
        <w:rPr>
          <w:rFonts w:cs="Arial"/>
          <w:lang w:eastAsia="en-US"/>
        </w:rPr>
        <w:t xml:space="preserve">could arrange for regular e-mail and other direct communication by other </w:t>
      </w:r>
      <w:r w:rsidR="00E45AC3">
        <w:rPr>
          <w:rFonts w:cs="Arial"/>
          <w:lang w:eastAsia="en-US"/>
        </w:rPr>
        <w:t xml:space="preserve">senior and lower level </w:t>
      </w:r>
      <w:r w:rsidR="00FD2728" w:rsidRPr="00AC0B7F">
        <w:rPr>
          <w:rFonts w:cs="Arial"/>
          <w:lang w:eastAsia="en-US"/>
        </w:rPr>
        <w:t>managers</w:t>
      </w:r>
      <w:r w:rsidRPr="00AC0B7F">
        <w:rPr>
          <w:rFonts w:cs="Arial"/>
          <w:lang w:eastAsia="en-US"/>
        </w:rPr>
        <w:t xml:space="preserve"> to their teams, underlining the importance of antitrust compliance, referring to the compliance policy and expectations and indicating what individuals should do if they have any compliance concerns. </w:t>
      </w:r>
    </w:p>
    <w:p w14:paraId="53F65497" w14:textId="53943087" w:rsidR="00D3201B" w:rsidRPr="00D3201B" w:rsidRDefault="00D3201B" w:rsidP="005C66BF">
      <w:pPr>
        <w:pStyle w:val="OUTLINEAL1"/>
      </w:pPr>
      <w:bookmarkStart w:id="34" w:name="_Toc166512639"/>
      <w:bookmarkStart w:id="35" w:name="_Toc166513097"/>
      <w:bookmarkStart w:id="36" w:name="_Toc166747886"/>
      <w:r w:rsidRPr="00D3201B">
        <w:lastRenderedPageBreak/>
        <w:t xml:space="preserve">Compliance </w:t>
      </w:r>
      <w:r w:rsidR="00002E34">
        <w:t>organisation</w:t>
      </w:r>
      <w:r w:rsidRPr="00D3201B">
        <w:t xml:space="preserve"> and resources</w:t>
      </w:r>
      <w:bookmarkEnd w:id="34"/>
      <w:bookmarkEnd w:id="35"/>
      <w:bookmarkEnd w:id="36"/>
    </w:p>
    <w:p w14:paraId="35A9D30D" w14:textId="46F8C24B" w:rsidR="00491244" w:rsidRDefault="00D3201B" w:rsidP="007E01F0">
      <w:pPr>
        <w:spacing w:after="280"/>
        <w:jc w:val="both"/>
        <w:rPr>
          <w:rFonts w:asciiTheme="minorBidi" w:hAnsiTheme="minorBidi" w:cstheme="minorBidi"/>
        </w:rPr>
      </w:pPr>
      <w:r w:rsidRPr="00D3201B">
        <w:rPr>
          <w:rFonts w:asciiTheme="minorBidi" w:hAnsiTheme="minorBidi" w:cstheme="minorBidi"/>
        </w:rPr>
        <w:t xml:space="preserve">While the </w:t>
      </w:r>
      <w:r w:rsidR="00002E34">
        <w:rPr>
          <w:rFonts w:asciiTheme="minorBidi" w:hAnsiTheme="minorBidi" w:cstheme="minorBidi"/>
        </w:rPr>
        <w:t>organisation</w:t>
      </w:r>
      <w:r w:rsidRPr="00D3201B">
        <w:rPr>
          <w:rFonts w:asciiTheme="minorBidi" w:hAnsiTheme="minorBidi" w:cstheme="minorBidi"/>
        </w:rPr>
        <w:t xml:space="preserve"> and resourcing of an antitrust compliance programme will differ from company to company</w:t>
      </w:r>
      <w:r w:rsidR="00002E34">
        <w:rPr>
          <w:rFonts w:asciiTheme="minorBidi" w:hAnsiTheme="minorBidi" w:cstheme="minorBidi"/>
        </w:rPr>
        <w:t>,</w:t>
      </w:r>
      <w:r w:rsidRPr="00D3201B">
        <w:rPr>
          <w:rFonts w:asciiTheme="minorBidi" w:hAnsiTheme="minorBidi" w:cstheme="minorBidi"/>
        </w:rPr>
        <w:t xml:space="preserve"> every company should have a clear internal reporting structure </w:t>
      </w:r>
      <w:r w:rsidR="00CE7443">
        <w:rPr>
          <w:rFonts w:asciiTheme="minorBidi" w:hAnsiTheme="minorBidi" w:cstheme="minorBidi"/>
        </w:rPr>
        <w:t>with</w:t>
      </w:r>
      <w:r w:rsidRPr="00D3201B">
        <w:rPr>
          <w:rFonts w:asciiTheme="minorBidi" w:hAnsiTheme="minorBidi" w:cstheme="minorBidi"/>
        </w:rPr>
        <w:t xml:space="preserve"> regards </w:t>
      </w:r>
      <w:r w:rsidR="00CE7443">
        <w:rPr>
          <w:rFonts w:asciiTheme="minorBidi" w:hAnsiTheme="minorBidi" w:cstheme="minorBidi"/>
        </w:rPr>
        <w:t xml:space="preserve">to </w:t>
      </w:r>
      <w:r w:rsidRPr="00D3201B">
        <w:rPr>
          <w:rFonts w:asciiTheme="minorBidi" w:hAnsiTheme="minorBidi" w:cstheme="minorBidi"/>
        </w:rPr>
        <w:t>antitrust</w:t>
      </w:r>
      <w:r w:rsidR="00602D22">
        <w:rPr>
          <w:rFonts w:asciiTheme="minorBidi" w:hAnsiTheme="minorBidi" w:cstheme="minorBidi"/>
        </w:rPr>
        <w:t xml:space="preserve"> compliance</w:t>
      </w:r>
      <w:r w:rsidRPr="00D3201B">
        <w:rPr>
          <w:rFonts w:asciiTheme="minorBidi" w:hAnsiTheme="minorBidi" w:cstheme="minorBidi"/>
        </w:rPr>
        <w:t xml:space="preserve">. </w:t>
      </w:r>
    </w:p>
    <w:p w14:paraId="191E22B5" w14:textId="24BE5AB0" w:rsidR="00D3201B" w:rsidRPr="00D3201B" w:rsidRDefault="00D3201B" w:rsidP="007E01F0">
      <w:pPr>
        <w:spacing w:after="280"/>
        <w:jc w:val="both"/>
        <w:rPr>
          <w:rFonts w:asciiTheme="minorBidi" w:hAnsiTheme="minorBidi" w:cstheme="minorBidi"/>
        </w:rPr>
      </w:pPr>
      <w:r w:rsidRPr="00D3201B">
        <w:rPr>
          <w:rFonts w:asciiTheme="minorBidi" w:hAnsiTheme="minorBidi" w:cstheme="minorBidi"/>
        </w:rPr>
        <w:t>The following key elements should be covered</w:t>
      </w:r>
      <w:r w:rsidR="00491244">
        <w:rPr>
          <w:rFonts w:asciiTheme="minorBidi" w:hAnsiTheme="minorBidi" w:cstheme="minorBidi"/>
        </w:rPr>
        <w:t>:</w:t>
      </w:r>
    </w:p>
    <w:p w14:paraId="39E0E83E" w14:textId="021C38A1" w:rsidR="00D3201B" w:rsidRPr="00CE7443" w:rsidRDefault="00D3201B">
      <w:pPr>
        <w:pStyle w:val="OUTLINEAL2"/>
        <w:numPr>
          <w:ilvl w:val="0"/>
          <w:numId w:val="40"/>
        </w:numPr>
      </w:pPr>
      <w:bookmarkStart w:id="37" w:name="_Toc166512640"/>
      <w:bookmarkStart w:id="38" w:name="_Toc166513098"/>
      <w:bookmarkStart w:id="39" w:name="_Toc166747887"/>
      <w:r w:rsidRPr="00476276">
        <w:t>Compliance</w:t>
      </w:r>
      <w:r w:rsidRPr="00CE7443">
        <w:t xml:space="preserve"> leadership and </w:t>
      </w:r>
      <w:r w:rsidR="00CE7443">
        <w:t>organisation</w:t>
      </w:r>
      <w:bookmarkEnd w:id="37"/>
      <w:bookmarkEnd w:id="38"/>
      <w:bookmarkEnd w:id="39"/>
    </w:p>
    <w:p w14:paraId="6C3E23F0" w14:textId="626F53EE" w:rsidR="00FE153A" w:rsidRDefault="00D3201B" w:rsidP="007E01F0">
      <w:pPr>
        <w:tabs>
          <w:tab w:val="left" w:pos="0"/>
        </w:tabs>
        <w:autoSpaceDE w:val="0"/>
        <w:autoSpaceDN w:val="0"/>
        <w:adjustRightInd w:val="0"/>
        <w:spacing w:after="280"/>
        <w:jc w:val="both"/>
        <w:rPr>
          <w:rFonts w:asciiTheme="minorBidi" w:hAnsiTheme="minorBidi" w:cstheme="minorBidi"/>
          <w:lang w:eastAsia="en-US"/>
        </w:rPr>
      </w:pPr>
      <w:r w:rsidRPr="00D3201B">
        <w:rPr>
          <w:rFonts w:asciiTheme="minorBidi" w:hAnsiTheme="minorBidi" w:cstheme="minorBidi"/>
          <w:lang w:eastAsia="en-US"/>
        </w:rPr>
        <w:t xml:space="preserve">Although </w:t>
      </w:r>
      <w:r w:rsidRPr="00D3201B">
        <w:rPr>
          <w:rFonts w:asciiTheme="minorBidi" w:hAnsiTheme="minorBidi" w:cstheme="minorBidi"/>
          <w:b/>
          <w:lang w:eastAsia="en-US"/>
        </w:rPr>
        <w:t xml:space="preserve">senior management in the company </w:t>
      </w:r>
      <w:r w:rsidR="007850A4">
        <w:rPr>
          <w:rFonts w:asciiTheme="minorBidi" w:hAnsiTheme="minorBidi" w:cstheme="minorBidi"/>
          <w:b/>
          <w:lang w:eastAsia="en-US"/>
        </w:rPr>
        <w:t xml:space="preserve">must </w:t>
      </w:r>
      <w:r w:rsidRPr="00D3201B">
        <w:rPr>
          <w:rFonts w:asciiTheme="minorBidi" w:hAnsiTheme="minorBidi" w:cstheme="minorBidi"/>
          <w:b/>
          <w:lang w:eastAsia="en-US"/>
        </w:rPr>
        <w:t>be accountable</w:t>
      </w:r>
      <w:r w:rsidRPr="00D3201B">
        <w:rPr>
          <w:rFonts w:asciiTheme="minorBidi" w:hAnsiTheme="minorBidi" w:cstheme="minorBidi"/>
          <w:lang w:eastAsia="en-US"/>
        </w:rPr>
        <w:t xml:space="preserve"> for promoting a sustainable compliance culture, the day-to-day implementation of an effective and credible programme may be delegated to a </w:t>
      </w:r>
      <w:r w:rsidRPr="00D3201B">
        <w:rPr>
          <w:rFonts w:asciiTheme="minorBidi" w:hAnsiTheme="minorBidi" w:cstheme="minorBidi"/>
          <w:b/>
          <w:lang w:eastAsia="en-US"/>
        </w:rPr>
        <w:t>designated senior person.</w:t>
      </w:r>
      <w:r w:rsidRPr="00D3201B">
        <w:rPr>
          <w:rFonts w:asciiTheme="minorBidi" w:hAnsiTheme="minorBidi" w:cstheme="minorBidi"/>
          <w:lang w:eastAsia="en-US"/>
        </w:rPr>
        <w:t xml:space="preserve"> Whether a </w:t>
      </w:r>
      <w:r w:rsidRPr="00D3201B">
        <w:rPr>
          <w:rFonts w:asciiTheme="minorBidi" w:hAnsiTheme="minorBidi" w:cstheme="minorBidi"/>
          <w:b/>
          <w:lang w:eastAsia="en-US"/>
        </w:rPr>
        <w:t>dedicated compliance team</w:t>
      </w:r>
      <w:r w:rsidRPr="00D3201B">
        <w:rPr>
          <w:rFonts w:asciiTheme="minorBidi" w:hAnsiTheme="minorBidi" w:cstheme="minorBidi"/>
          <w:lang w:eastAsia="en-US"/>
        </w:rPr>
        <w:t xml:space="preserve"> is required will depend on the size, scale</w:t>
      </w:r>
      <w:r w:rsidR="00937ED4">
        <w:rPr>
          <w:rFonts w:asciiTheme="minorBidi" w:hAnsiTheme="minorBidi" w:cstheme="minorBidi"/>
          <w:lang w:eastAsia="en-US"/>
        </w:rPr>
        <w:t>,</w:t>
      </w:r>
      <w:r w:rsidRPr="00D3201B">
        <w:rPr>
          <w:rFonts w:asciiTheme="minorBidi" w:hAnsiTheme="minorBidi" w:cstheme="minorBidi"/>
          <w:lang w:eastAsia="en-US"/>
        </w:rPr>
        <w:t xml:space="preserve"> and the nature of your business, including the risks your company faces. </w:t>
      </w:r>
    </w:p>
    <w:p w14:paraId="0A3A3AAB" w14:textId="63F3C1C7" w:rsidR="00D3201B" w:rsidRPr="00D3201B" w:rsidRDefault="00D3201B" w:rsidP="007E01F0">
      <w:pPr>
        <w:spacing w:after="280"/>
        <w:jc w:val="both"/>
        <w:rPr>
          <w:rFonts w:asciiTheme="minorBidi" w:hAnsiTheme="minorBidi" w:cstheme="minorBidi"/>
        </w:rPr>
      </w:pPr>
      <w:r w:rsidRPr="00D3201B">
        <w:rPr>
          <w:rFonts w:asciiTheme="minorBidi" w:hAnsiTheme="minorBidi" w:cstheme="minorBidi"/>
        </w:rPr>
        <w:t xml:space="preserve">Antitrust agency guidelines have made it very clear that a </w:t>
      </w:r>
      <w:r w:rsidRPr="00D3201B">
        <w:rPr>
          <w:rFonts w:asciiTheme="minorBidi" w:hAnsiTheme="minorBidi" w:cstheme="minorBidi"/>
          <w:b/>
          <w:bCs/>
        </w:rPr>
        <w:t>senior</w:t>
      </w:r>
      <w:r w:rsidRPr="00D3201B">
        <w:rPr>
          <w:rFonts w:asciiTheme="minorBidi" w:hAnsiTheme="minorBidi" w:cstheme="minorBidi"/>
        </w:rPr>
        <w:t xml:space="preserve"> individual either on or </w:t>
      </w:r>
      <w:r w:rsidRPr="00D3201B">
        <w:rPr>
          <w:rFonts w:asciiTheme="minorBidi" w:hAnsiTheme="minorBidi" w:cstheme="minorBidi"/>
          <w:b/>
        </w:rPr>
        <w:t>reporting to the company Board/management committee</w:t>
      </w:r>
      <w:r w:rsidRPr="00D3201B">
        <w:rPr>
          <w:rFonts w:asciiTheme="minorBidi" w:hAnsiTheme="minorBidi" w:cstheme="minorBidi"/>
        </w:rPr>
        <w:t xml:space="preserve"> should be responsible for your company’s compliance programme (including the antitrust programme). It could be the </w:t>
      </w:r>
      <w:r w:rsidRPr="00D3201B">
        <w:rPr>
          <w:rFonts w:asciiTheme="minorBidi" w:hAnsiTheme="minorBidi" w:cstheme="minorBidi"/>
          <w:b/>
        </w:rPr>
        <w:t>General Counsel/Chief Legal Officer</w:t>
      </w:r>
      <w:r w:rsidRPr="00D3201B">
        <w:rPr>
          <w:rFonts w:asciiTheme="minorBidi" w:hAnsiTheme="minorBidi" w:cstheme="minorBidi"/>
        </w:rPr>
        <w:t xml:space="preserve"> or even the Chief Compliance Officer/Chief Ethics and Compliance Officer (CECO)</w:t>
      </w:r>
      <w:r w:rsidR="0018300D">
        <w:rPr>
          <w:rFonts w:asciiTheme="minorBidi" w:hAnsiTheme="minorBidi" w:cstheme="minorBidi"/>
        </w:rPr>
        <w:t>.</w:t>
      </w:r>
    </w:p>
    <w:p w14:paraId="1DC630F2" w14:textId="3F331B9E" w:rsidR="00D3201B" w:rsidRPr="00D3201B" w:rsidRDefault="00726297" w:rsidP="007E01F0">
      <w:pPr>
        <w:spacing w:after="280"/>
        <w:jc w:val="both"/>
        <w:rPr>
          <w:rFonts w:asciiTheme="minorBidi" w:hAnsiTheme="minorBidi" w:cstheme="minorBidi"/>
        </w:rPr>
      </w:pPr>
      <w:r>
        <w:rPr>
          <w:rFonts w:asciiTheme="minorBidi" w:hAnsiTheme="minorBidi" w:cstheme="minorBidi"/>
        </w:rPr>
        <w:t>I</w:t>
      </w:r>
      <w:r w:rsidR="00D3201B" w:rsidRPr="00D3201B">
        <w:rPr>
          <w:rFonts w:asciiTheme="minorBidi" w:hAnsiTheme="minorBidi" w:cstheme="minorBidi"/>
        </w:rPr>
        <w:t xml:space="preserve">t will be essential that this individual has </w:t>
      </w:r>
      <w:r w:rsidR="00D3201B" w:rsidRPr="00D3201B">
        <w:rPr>
          <w:rFonts w:asciiTheme="minorBidi" w:hAnsiTheme="minorBidi" w:cstheme="minorBidi"/>
          <w:b/>
        </w:rPr>
        <w:t>direct access</w:t>
      </w:r>
      <w:r w:rsidR="00D3201B" w:rsidRPr="00D3201B">
        <w:rPr>
          <w:rFonts w:asciiTheme="minorBidi" w:hAnsiTheme="minorBidi" w:cstheme="minorBidi"/>
        </w:rPr>
        <w:t xml:space="preserve"> not only to the Board/Executive management committee</w:t>
      </w:r>
      <w:r w:rsidR="007134F0">
        <w:rPr>
          <w:rFonts w:asciiTheme="minorBidi" w:hAnsiTheme="minorBidi" w:cstheme="minorBidi"/>
        </w:rPr>
        <w:t>,</w:t>
      </w:r>
      <w:r w:rsidR="00D3201B" w:rsidRPr="00D3201B">
        <w:rPr>
          <w:rFonts w:asciiTheme="minorBidi" w:hAnsiTheme="minorBidi" w:cstheme="minorBidi"/>
        </w:rPr>
        <w:t xml:space="preserve"> but also to other relevant internal committees such as the Audit Committee and Corporate/Social Responsibility (or ESG) Committee.</w:t>
      </w:r>
    </w:p>
    <w:p w14:paraId="51806844" w14:textId="2EE0976B" w:rsidR="00D3201B" w:rsidRPr="00D3201B" w:rsidRDefault="00D3201B" w:rsidP="007E01F0">
      <w:pPr>
        <w:tabs>
          <w:tab w:val="left" w:pos="0"/>
        </w:tabs>
        <w:autoSpaceDE w:val="0"/>
        <w:autoSpaceDN w:val="0"/>
        <w:adjustRightInd w:val="0"/>
        <w:spacing w:after="280"/>
        <w:jc w:val="both"/>
        <w:rPr>
          <w:rFonts w:asciiTheme="minorBidi" w:hAnsiTheme="minorBidi" w:cstheme="minorBidi"/>
          <w:b/>
        </w:rPr>
      </w:pPr>
      <w:r w:rsidRPr="00D3201B">
        <w:rPr>
          <w:rFonts w:asciiTheme="minorBidi" w:hAnsiTheme="minorBidi" w:cstheme="minorBidi"/>
        </w:rPr>
        <w:t xml:space="preserve">Large companies are likely to have one or more in-house lawyers, and it </w:t>
      </w:r>
      <w:r w:rsidR="00EB07FC">
        <w:rPr>
          <w:rFonts w:asciiTheme="minorBidi" w:hAnsiTheme="minorBidi" w:cstheme="minorBidi"/>
        </w:rPr>
        <w:t>would be</w:t>
      </w:r>
      <w:r w:rsidRPr="00D3201B">
        <w:rPr>
          <w:rFonts w:asciiTheme="minorBidi" w:hAnsiTheme="minorBidi" w:cstheme="minorBidi"/>
        </w:rPr>
        <w:t xml:space="preserve"> sensible to recruit </w:t>
      </w:r>
      <w:r w:rsidRPr="00D3201B">
        <w:rPr>
          <w:rFonts w:asciiTheme="minorBidi" w:hAnsiTheme="minorBidi" w:cstheme="minorBidi"/>
          <w:b/>
        </w:rPr>
        <w:t>dedicated antitrust counsel</w:t>
      </w:r>
      <w:r w:rsidRPr="00D3201B">
        <w:rPr>
          <w:rFonts w:asciiTheme="minorBidi" w:hAnsiTheme="minorBidi" w:cstheme="minorBidi"/>
        </w:rPr>
        <w:t xml:space="preserve"> to contribute key substantive knowledge. In companies that have an in-house antitrust lawyer, that lawyer would normally </w:t>
      </w:r>
      <w:r w:rsidR="007658F7">
        <w:rPr>
          <w:rFonts w:asciiTheme="minorBidi" w:hAnsiTheme="minorBidi" w:cstheme="minorBidi"/>
        </w:rPr>
        <w:t xml:space="preserve">regularly </w:t>
      </w:r>
      <w:r w:rsidRPr="00D3201B">
        <w:rPr>
          <w:rFonts w:asciiTheme="minorBidi" w:hAnsiTheme="minorBidi" w:cstheme="minorBidi"/>
          <w:b/>
        </w:rPr>
        <w:t>report to board level.</w:t>
      </w:r>
    </w:p>
    <w:p w14:paraId="41CF7E4E" w14:textId="5464B103" w:rsidR="00D3201B" w:rsidRDefault="00D3201B" w:rsidP="007E01F0">
      <w:pPr>
        <w:spacing w:after="280"/>
        <w:jc w:val="both"/>
        <w:rPr>
          <w:rFonts w:asciiTheme="minorBidi" w:hAnsiTheme="minorBidi" w:cstheme="minorBidi"/>
        </w:rPr>
      </w:pPr>
      <w:r w:rsidRPr="00D3201B">
        <w:rPr>
          <w:rFonts w:asciiTheme="minorBidi" w:hAnsiTheme="minorBidi" w:cstheme="minorBidi"/>
        </w:rPr>
        <w:t xml:space="preserve">Larger companies typically need to decide whether to opt for </w:t>
      </w:r>
      <w:r w:rsidR="005F5DAA">
        <w:rPr>
          <w:rFonts w:asciiTheme="minorBidi" w:hAnsiTheme="minorBidi" w:cstheme="minorBidi"/>
          <w:b/>
        </w:rPr>
        <w:t>centralised</w:t>
      </w:r>
      <w:r w:rsidRPr="00D3201B">
        <w:rPr>
          <w:rFonts w:asciiTheme="minorBidi" w:hAnsiTheme="minorBidi" w:cstheme="minorBidi"/>
          <w:b/>
        </w:rPr>
        <w:t xml:space="preserve"> or country/regional compliance structures</w:t>
      </w:r>
      <w:r w:rsidRPr="00D3201B">
        <w:rPr>
          <w:rFonts w:asciiTheme="minorBidi" w:hAnsiTheme="minorBidi" w:cstheme="minorBidi"/>
        </w:rPr>
        <w:t xml:space="preserve">, taking into account the overall business and </w:t>
      </w:r>
      <w:r w:rsidR="005F5DAA">
        <w:rPr>
          <w:rFonts w:asciiTheme="minorBidi" w:hAnsiTheme="minorBidi" w:cstheme="minorBidi"/>
        </w:rPr>
        <w:t>organisational</w:t>
      </w:r>
      <w:r w:rsidRPr="00D3201B">
        <w:rPr>
          <w:rFonts w:asciiTheme="minorBidi" w:hAnsiTheme="minorBidi" w:cstheme="minorBidi"/>
        </w:rPr>
        <w:t xml:space="preserve"> structure of the company. The </w:t>
      </w:r>
      <w:r w:rsidRPr="00D3201B">
        <w:rPr>
          <w:rFonts w:asciiTheme="minorBidi" w:hAnsiTheme="minorBidi" w:cstheme="minorBidi"/>
          <w:b/>
        </w:rPr>
        <w:t>pros and cons</w:t>
      </w:r>
      <w:r w:rsidRPr="00D3201B">
        <w:rPr>
          <w:rFonts w:asciiTheme="minorBidi" w:hAnsiTheme="minorBidi" w:cstheme="minorBidi"/>
        </w:rPr>
        <w:t xml:space="preserve"> of each option very much depend on the general structure of the company. Very large companies with multiple business lines may even appoint a number of Business Compliance Officers (by business line or by country/region), to track compliance metrics (training completion numbers, incident reporting, investigation management etc.) within the business line. </w:t>
      </w:r>
    </w:p>
    <w:p w14:paraId="18B63A2D" w14:textId="6E82BB39" w:rsidR="00D3201B" w:rsidRPr="00D3201B" w:rsidRDefault="00D3201B" w:rsidP="007D22E9">
      <w:pPr>
        <w:pStyle w:val="OUTLINEAL2"/>
      </w:pPr>
      <w:bookmarkStart w:id="40" w:name="_Toc166512641"/>
      <w:bookmarkStart w:id="41" w:name="_Toc166513099"/>
      <w:bookmarkStart w:id="42" w:name="_Toc166747888"/>
      <w:r w:rsidRPr="00D3201B">
        <w:t>Regular reporting to the Board and other senior management</w:t>
      </w:r>
      <w:bookmarkEnd w:id="40"/>
      <w:bookmarkEnd w:id="41"/>
      <w:bookmarkEnd w:id="42"/>
    </w:p>
    <w:p w14:paraId="0B4C774B" w14:textId="3F94FC88" w:rsidR="00D3201B" w:rsidRPr="00D3201B" w:rsidRDefault="00D3201B" w:rsidP="007E01F0">
      <w:pPr>
        <w:spacing w:after="280"/>
        <w:jc w:val="both"/>
        <w:rPr>
          <w:rFonts w:asciiTheme="minorBidi" w:hAnsiTheme="minorBidi" w:cstheme="minorBidi"/>
        </w:rPr>
      </w:pPr>
      <w:r w:rsidRPr="00D3201B">
        <w:rPr>
          <w:rFonts w:asciiTheme="minorBidi" w:hAnsiTheme="minorBidi" w:cstheme="minorBidi"/>
        </w:rPr>
        <w:t xml:space="preserve">Senior management engagement depends on </w:t>
      </w:r>
      <w:r w:rsidRPr="00D3201B">
        <w:rPr>
          <w:rFonts w:asciiTheme="minorBidi" w:hAnsiTheme="minorBidi" w:cstheme="minorBidi"/>
          <w:b/>
        </w:rPr>
        <w:t>management following and understanding</w:t>
      </w:r>
      <w:r w:rsidRPr="00D3201B">
        <w:rPr>
          <w:rFonts w:asciiTheme="minorBidi" w:hAnsiTheme="minorBidi" w:cstheme="minorBidi"/>
        </w:rPr>
        <w:t xml:space="preserve"> how a compliance programme </w:t>
      </w:r>
      <w:r w:rsidR="00697B91">
        <w:rPr>
          <w:rFonts w:asciiTheme="minorBidi" w:hAnsiTheme="minorBidi" w:cstheme="minorBidi"/>
        </w:rPr>
        <w:t xml:space="preserve">(including antitrust) </w:t>
      </w:r>
      <w:r w:rsidRPr="00D3201B">
        <w:rPr>
          <w:rFonts w:asciiTheme="minorBidi" w:hAnsiTheme="minorBidi" w:cstheme="minorBidi"/>
        </w:rPr>
        <w:t xml:space="preserve">is being implemented, which in turn requires </w:t>
      </w:r>
      <w:r w:rsidRPr="00D3201B">
        <w:rPr>
          <w:rFonts w:asciiTheme="minorBidi" w:hAnsiTheme="minorBidi" w:cstheme="minorBidi"/>
          <w:b/>
        </w:rPr>
        <w:t>regular reporting opportunities</w:t>
      </w:r>
      <w:r w:rsidRPr="00D3201B">
        <w:rPr>
          <w:rFonts w:asciiTheme="minorBidi" w:hAnsiTheme="minorBidi" w:cstheme="minorBidi"/>
        </w:rPr>
        <w:t xml:space="preserve">. In many companies with well-developed compliance programmes, </w:t>
      </w:r>
      <w:r w:rsidRPr="00D3201B">
        <w:rPr>
          <w:rFonts w:asciiTheme="minorBidi" w:hAnsiTheme="minorBidi" w:cstheme="minorBidi"/>
          <w:b/>
        </w:rPr>
        <w:t>an annual report</w:t>
      </w:r>
      <w:r w:rsidRPr="00D3201B">
        <w:rPr>
          <w:rFonts w:asciiTheme="minorBidi" w:hAnsiTheme="minorBidi" w:cstheme="minorBidi"/>
        </w:rPr>
        <w:t xml:space="preserve"> on </w:t>
      </w:r>
      <w:r w:rsidR="00B17A7B">
        <w:rPr>
          <w:rFonts w:asciiTheme="minorBidi" w:hAnsiTheme="minorBidi" w:cstheme="minorBidi"/>
        </w:rPr>
        <w:t>all</w:t>
      </w:r>
      <w:r w:rsidRPr="00D3201B">
        <w:rPr>
          <w:rFonts w:asciiTheme="minorBidi" w:hAnsiTheme="minorBidi" w:cstheme="minorBidi"/>
        </w:rPr>
        <w:t xml:space="preserve"> compliance programme</w:t>
      </w:r>
      <w:r w:rsidR="00B17A7B">
        <w:rPr>
          <w:rFonts w:asciiTheme="minorBidi" w:hAnsiTheme="minorBidi" w:cstheme="minorBidi"/>
        </w:rPr>
        <w:t xml:space="preserve">s (including antitrust) </w:t>
      </w:r>
      <w:r w:rsidRPr="00D3201B">
        <w:rPr>
          <w:rFonts w:asciiTheme="minorBidi" w:hAnsiTheme="minorBidi" w:cstheme="minorBidi"/>
        </w:rPr>
        <w:t>(highlighting past deliverables</w:t>
      </w:r>
      <w:r w:rsidR="00DF112D">
        <w:rPr>
          <w:rFonts w:asciiTheme="minorBidi" w:hAnsiTheme="minorBidi" w:cstheme="minorBidi"/>
        </w:rPr>
        <w:t xml:space="preserve">, potential future issues (such as </w:t>
      </w:r>
      <w:r w:rsidR="00C05A31">
        <w:rPr>
          <w:rFonts w:asciiTheme="minorBidi" w:hAnsiTheme="minorBidi" w:cstheme="minorBidi"/>
        </w:rPr>
        <w:t>algorithmic and AI collusion)</w:t>
      </w:r>
      <w:r w:rsidRPr="00D3201B">
        <w:rPr>
          <w:rFonts w:asciiTheme="minorBidi" w:hAnsiTheme="minorBidi" w:cstheme="minorBidi"/>
        </w:rPr>
        <w:t xml:space="preserve"> and further plans) is often presented to the Board, non-executive directors, and to the Audit committee (and/or Group Risk committee). </w:t>
      </w:r>
    </w:p>
    <w:p w14:paraId="184ADD2F" w14:textId="50CB8642" w:rsidR="00D3201B" w:rsidRPr="00D3201B" w:rsidRDefault="00D3201B" w:rsidP="007E01F0">
      <w:pPr>
        <w:spacing w:after="0"/>
        <w:jc w:val="both"/>
        <w:rPr>
          <w:rFonts w:asciiTheme="minorBidi" w:hAnsiTheme="minorBidi" w:cstheme="minorBidi"/>
        </w:rPr>
      </w:pPr>
      <w:r w:rsidRPr="00D3201B">
        <w:rPr>
          <w:rFonts w:asciiTheme="minorBidi" w:hAnsiTheme="minorBidi" w:cstheme="minorBidi"/>
        </w:rPr>
        <w:t xml:space="preserve">In addition, to ensure that your company’s Board (or other responsible body) is appropriately informed of </w:t>
      </w:r>
      <w:r w:rsidR="00C52C23">
        <w:rPr>
          <w:rFonts w:asciiTheme="minorBidi" w:hAnsiTheme="minorBidi" w:cstheme="minorBidi"/>
        </w:rPr>
        <w:t>–</w:t>
      </w:r>
      <w:r w:rsidRPr="00D3201B">
        <w:rPr>
          <w:rFonts w:asciiTheme="minorBidi" w:hAnsiTheme="minorBidi" w:cstheme="minorBidi"/>
        </w:rPr>
        <w:t xml:space="preserve"> and can react to </w:t>
      </w:r>
      <w:r w:rsidR="00C52C23">
        <w:rPr>
          <w:rFonts w:asciiTheme="minorBidi" w:hAnsiTheme="minorBidi" w:cstheme="minorBidi"/>
        </w:rPr>
        <w:t>–</w:t>
      </w:r>
      <w:r w:rsidRPr="00D3201B">
        <w:rPr>
          <w:rFonts w:asciiTheme="minorBidi" w:hAnsiTheme="minorBidi" w:cstheme="minorBidi"/>
        </w:rPr>
        <w:t xml:space="preserve"> all relevant antitrust law risks, </w:t>
      </w:r>
      <w:r w:rsidRPr="00D3201B">
        <w:rPr>
          <w:rFonts w:asciiTheme="minorBidi" w:hAnsiTheme="minorBidi" w:cstheme="minorBidi"/>
          <w:b/>
        </w:rPr>
        <w:t>regular updates</w:t>
      </w:r>
      <w:r w:rsidRPr="00D3201B">
        <w:rPr>
          <w:rFonts w:asciiTheme="minorBidi" w:hAnsiTheme="minorBidi" w:cstheme="minorBidi"/>
        </w:rPr>
        <w:t xml:space="preserve"> </w:t>
      </w:r>
      <w:r w:rsidR="00E04F29">
        <w:rPr>
          <w:rFonts w:asciiTheme="minorBidi" w:hAnsiTheme="minorBidi" w:cstheme="minorBidi"/>
        </w:rPr>
        <w:t xml:space="preserve">must </w:t>
      </w:r>
      <w:r w:rsidRPr="00D3201B">
        <w:rPr>
          <w:rFonts w:asciiTheme="minorBidi" w:hAnsiTheme="minorBidi" w:cstheme="minorBidi"/>
        </w:rPr>
        <w:t xml:space="preserve">be made to the CEO, business leadership teams and other key stakeholders at all levels of the management chain. Particularly if companies are publicly listed, this may take place on a </w:t>
      </w:r>
      <w:r w:rsidRPr="00D3201B">
        <w:rPr>
          <w:rFonts w:asciiTheme="minorBidi" w:hAnsiTheme="minorBidi" w:cstheme="minorBidi"/>
          <w:b/>
        </w:rPr>
        <w:t>quarterly basis</w:t>
      </w:r>
      <w:r w:rsidRPr="00D3201B">
        <w:rPr>
          <w:rFonts w:asciiTheme="minorBidi" w:hAnsiTheme="minorBidi" w:cstheme="minorBidi"/>
        </w:rPr>
        <w:t xml:space="preserve"> (in accordance with other quarterly reporting requirements), but there should also be a </w:t>
      </w:r>
      <w:r w:rsidRPr="00D3201B">
        <w:rPr>
          <w:rFonts w:asciiTheme="minorBidi" w:hAnsiTheme="minorBidi" w:cstheme="minorBidi"/>
          <w:b/>
        </w:rPr>
        <w:t>process that allows for urgent reporting of developments</w:t>
      </w:r>
      <w:r w:rsidRPr="00D3201B">
        <w:rPr>
          <w:rFonts w:asciiTheme="minorBidi" w:hAnsiTheme="minorBidi" w:cstheme="minorBidi"/>
        </w:rPr>
        <w:t xml:space="preserve"> that create additional material risk for the company, as well as regular dialogue on compliance with management teams. </w:t>
      </w:r>
    </w:p>
    <w:p w14:paraId="34BCC796" w14:textId="77777777" w:rsidR="00D3201B" w:rsidRPr="00D3201B" w:rsidRDefault="00D3201B" w:rsidP="00D3201B">
      <w:pPr>
        <w:spacing w:after="0"/>
        <w:rPr>
          <w:rFonts w:asciiTheme="minorBidi" w:hAnsiTheme="minorBidi" w:cstheme="minorBidi"/>
        </w:rPr>
      </w:pPr>
    </w:p>
    <w:p w14:paraId="4941A03B" w14:textId="77777777" w:rsidR="00D3201B" w:rsidRPr="00D3201B" w:rsidRDefault="00D3201B" w:rsidP="00D3201B">
      <w:pPr>
        <w:spacing w:after="0"/>
        <w:rPr>
          <w:rFonts w:asciiTheme="minorBidi" w:hAnsiTheme="minorBidi" w:cstheme="minorBidi"/>
        </w:rPr>
      </w:pPr>
    </w:p>
    <w:p w14:paraId="75ACCFFF" w14:textId="77777777" w:rsidR="00D3201B" w:rsidRPr="00D3201B" w:rsidRDefault="00D3201B" w:rsidP="007D22E9">
      <w:pPr>
        <w:pStyle w:val="OUTLINEAL2"/>
      </w:pPr>
      <w:bookmarkStart w:id="43" w:name="_Toc166512642"/>
      <w:bookmarkStart w:id="44" w:name="_Toc166513100"/>
      <w:bookmarkStart w:id="45" w:name="_Toc166747889"/>
      <w:r w:rsidRPr="00D3201B">
        <w:lastRenderedPageBreak/>
        <w:t>Adequate resourcing</w:t>
      </w:r>
      <w:bookmarkEnd w:id="43"/>
      <w:bookmarkEnd w:id="44"/>
      <w:bookmarkEnd w:id="45"/>
    </w:p>
    <w:p w14:paraId="13F6868B" w14:textId="2AEA7F39" w:rsidR="00D3201B" w:rsidRPr="00D3201B" w:rsidRDefault="00D3201B" w:rsidP="007E01F0">
      <w:pPr>
        <w:spacing w:after="280"/>
        <w:jc w:val="both"/>
        <w:rPr>
          <w:rFonts w:asciiTheme="minorBidi" w:hAnsiTheme="minorBidi" w:cstheme="minorBidi"/>
        </w:rPr>
      </w:pPr>
      <w:r w:rsidRPr="00D3201B">
        <w:rPr>
          <w:rFonts w:asciiTheme="minorBidi" w:hAnsiTheme="minorBidi" w:cstheme="minorBidi"/>
        </w:rPr>
        <w:t xml:space="preserve">The resources dedicated to the antitrust compliance programme will clearly depend both on the size of your company and the risks your company faces. SMEs do not have the same resources as larger companies. </w:t>
      </w:r>
      <w:r w:rsidRPr="00D3201B">
        <w:rPr>
          <w:rFonts w:asciiTheme="minorBidi" w:hAnsiTheme="minorBidi" w:cstheme="minorBidi"/>
          <w:b/>
        </w:rPr>
        <w:t>Even within very large companies, resources are constrained</w:t>
      </w:r>
      <w:r w:rsidRPr="00D3201B">
        <w:rPr>
          <w:rFonts w:asciiTheme="minorBidi" w:hAnsiTheme="minorBidi" w:cstheme="minorBidi"/>
        </w:rPr>
        <w:t xml:space="preserve"> with significant competing demands, both from other high-profile risk and related compliance areas such as anti-bribery and corruption</w:t>
      </w:r>
      <w:r w:rsidR="008A0A4A">
        <w:rPr>
          <w:rFonts w:asciiTheme="minorBidi" w:hAnsiTheme="minorBidi" w:cstheme="minorBidi"/>
        </w:rPr>
        <w:t xml:space="preserve"> and Data Protection</w:t>
      </w:r>
      <w:r w:rsidR="00AF615F">
        <w:rPr>
          <w:rFonts w:asciiTheme="minorBidi" w:hAnsiTheme="minorBidi" w:cstheme="minorBidi"/>
        </w:rPr>
        <w:t>. W</w:t>
      </w:r>
      <w:r w:rsidRPr="00D3201B">
        <w:rPr>
          <w:rFonts w:asciiTheme="minorBidi" w:hAnsiTheme="minorBidi" w:cstheme="minorBidi"/>
        </w:rPr>
        <w:t>here senior executives see a tangible benefit in dedicating</w:t>
      </w:r>
      <w:r w:rsidR="008C43FF">
        <w:rPr>
          <w:rFonts w:asciiTheme="minorBidi" w:hAnsiTheme="minorBidi" w:cstheme="minorBidi"/>
        </w:rPr>
        <w:t xml:space="preserve"> merely </w:t>
      </w:r>
      <w:r w:rsidRPr="00D3201B">
        <w:rPr>
          <w:rFonts w:asciiTheme="minorBidi" w:hAnsiTheme="minorBidi" w:cstheme="minorBidi"/>
        </w:rPr>
        <w:t xml:space="preserve">“adequate” resources to a given area because having done so </w:t>
      </w:r>
      <w:r w:rsidR="00482F19">
        <w:rPr>
          <w:rFonts w:asciiTheme="minorBidi" w:hAnsiTheme="minorBidi" w:cstheme="minorBidi"/>
        </w:rPr>
        <w:t xml:space="preserve">in other compliance areas </w:t>
      </w:r>
      <w:r w:rsidRPr="00D3201B">
        <w:rPr>
          <w:rFonts w:asciiTheme="minorBidi" w:hAnsiTheme="minorBidi" w:cstheme="minorBidi"/>
        </w:rPr>
        <w:t xml:space="preserve">can – in some jurisdictions – provide a </w:t>
      </w:r>
      <w:r w:rsidRPr="00D3201B">
        <w:rPr>
          <w:rFonts w:asciiTheme="minorBidi" w:hAnsiTheme="minorBidi" w:cstheme="minorBidi"/>
          <w:b/>
        </w:rPr>
        <w:t>complete defence to the company</w:t>
      </w:r>
      <w:r w:rsidRPr="00D3201B">
        <w:rPr>
          <w:rFonts w:asciiTheme="minorBidi" w:hAnsiTheme="minorBidi" w:cstheme="minorBidi"/>
        </w:rPr>
        <w:t>.</w:t>
      </w:r>
      <w:r w:rsidRPr="00D3201B">
        <w:rPr>
          <w:rFonts w:asciiTheme="minorBidi" w:hAnsiTheme="minorBidi" w:cstheme="minorBidi"/>
          <w:vertAlign w:val="superscript"/>
        </w:rPr>
        <w:footnoteReference w:id="12"/>
      </w:r>
    </w:p>
    <w:p w14:paraId="72DE37E3" w14:textId="0DCF11C5" w:rsidR="00D3201B" w:rsidRPr="00D3201B" w:rsidRDefault="00267213" w:rsidP="007E01F0">
      <w:pPr>
        <w:spacing w:after="280"/>
        <w:jc w:val="both"/>
        <w:rPr>
          <w:rFonts w:asciiTheme="minorBidi" w:hAnsiTheme="minorBidi" w:cstheme="minorBidi"/>
        </w:rPr>
      </w:pPr>
      <w:r>
        <w:rPr>
          <w:rFonts w:asciiTheme="minorBidi" w:hAnsiTheme="minorBidi" w:cstheme="minorBidi"/>
        </w:rPr>
        <w:t>I</w:t>
      </w:r>
      <w:r w:rsidR="00D3201B" w:rsidRPr="00D3201B">
        <w:rPr>
          <w:rFonts w:asciiTheme="minorBidi" w:hAnsiTheme="minorBidi" w:cstheme="minorBidi"/>
        </w:rPr>
        <w:t xml:space="preserve">f your company does not have a specialist in-house antitrust lawyer, the larger and medium-sized </w:t>
      </w:r>
      <w:r w:rsidR="00D3201B" w:rsidRPr="00D3201B">
        <w:rPr>
          <w:rFonts w:asciiTheme="minorBidi" w:hAnsiTheme="minorBidi" w:cstheme="minorBidi"/>
          <w:b/>
        </w:rPr>
        <w:t>private practice law firms</w:t>
      </w:r>
      <w:r w:rsidR="00D3201B" w:rsidRPr="00D3201B">
        <w:rPr>
          <w:rFonts w:asciiTheme="minorBidi" w:hAnsiTheme="minorBidi" w:cstheme="minorBidi"/>
        </w:rPr>
        <w:t xml:space="preserve"> now have specialist antitrust departments that your company could turn to for advice in establishing its compliance programme</w:t>
      </w:r>
      <w:r w:rsidR="0018300D">
        <w:rPr>
          <w:rFonts w:asciiTheme="minorBidi" w:hAnsiTheme="minorBidi" w:cstheme="minorBidi"/>
        </w:rPr>
        <w:t>.</w:t>
      </w:r>
      <w:r w:rsidR="00D3201B" w:rsidRPr="00D3201B">
        <w:rPr>
          <w:rFonts w:asciiTheme="minorBidi" w:hAnsiTheme="minorBidi" w:cstheme="minorBidi"/>
        </w:rPr>
        <w:t xml:space="preserve"> </w:t>
      </w:r>
    </w:p>
    <w:p w14:paraId="24275626" w14:textId="21CB18E3" w:rsidR="00D3201B" w:rsidRPr="00D3201B" w:rsidRDefault="00267213" w:rsidP="007E01F0">
      <w:pPr>
        <w:spacing w:after="280"/>
        <w:contextualSpacing/>
        <w:jc w:val="both"/>
        <w:rPr>
          <w:rFonts w:asciiTheme="minorBidi" w:eastAsia="Calibri" w:hAnsiTheme="minorBidi" w:cstheme="minorBidi"/>
          <w:bCs/>
        </w:rPr>
      </w:pPr>
      <w:r w:rsidRPr="00A15E97">
        <w:rPr>
          <w:rFonts w:asciiTheme="minorBidi" w:hAnsiTheme="minorBidi"/>
          <w:b/>
        </w:rPr>
        <w:t>F</w:t>
      </w:r>
      <w:r w:rsidR="00D3201B" w:rsidRPr="00D3201B">
        <w:rPr>
          <w:rFonts w:asciiTheme="minorBidi" w:hAnsiTheme="minorBidi" w:cstheme="minorBidi"/>
          <w:b/>
          <w:bCs/>
        </w:rPr>
        <w:t xml:space="preserve">unding antitrust compliance </w:t>
      </w:r>
      <w:r w:rsidR="00726297">
        <w:rPr>
          <w:rFonts w:asciiTheme="minorBidi" w:hAnsiTheme="minorBidi" w:cstheme="minorBidi"/>
          <w:b/>
          <w:bCs/>
        </w:rPr>
        <w:t xml:space="preserve">must </w:t>
      </w:r>
      <w:r w:rsidR="00D3201B" w:rsidRPr="00D3201B">
        <w:rPr>
          <w:rFonts w:asciiTheme="minorBidi" w:hAnsiTheme="minorBidi" w:cstheme="minorBidi"/>
          <w:b/>
          <w:bCs/>
        </w:rPr>
        <w:t>not be viewed as a “sunk cost”</w:t>
      </w:r>
      <w:r w:rsidR="00726297">
        <w:rPr>
          <w:rFonts w:asciiTheme="minorBidi" w:hAnsiTheme="minorBidi" w:cstheme="minorBidi"/>
          <w:b/>
          <w:bCs/>
        </w:rPr>
        <w:t xml:space="preserve"> </w:t>
      </w:r>
      <w:r w:rsidR="00726297" w:rsidRPr="00460A84">
        <w:rPr>
          <w:rFonts w:asciiTheme="minorBidi" w:hAnsiTheme="minorBidi" w:cstheme="minorBidi"/>
        </w:rPr>
        <w:t xml:space="preserve">given that the fines imposed by competition authorities are </w:t>
      </w:r>
      <w:r w:rsidR="00726297">
        <w:rPr>
          <w:rFonts w:asciiTheme="minorBidi" w:hAnsiTheme="minorBidi" w:cstheme="minorBidi"/>
        </w:rPr>
        <w:t xml:space="preserve">now </w:t>
      </w:r>
      <w:r w:rsidR="00726297" w:rsidRPr="00460A84">
        <w:rPr>
          <w:rFonts w:asciiTheme="minorBidi" w:hAnsiTheme="minorBidi" w:cstheme="minorBidi"/>
        </w:rPr>
        <w:t>reaching millions of euros or often billion of euros in case of repeated infringements</w:t>
      </w:r>
      <w:r w:rsidR="009B3750">
        <w:rPr>
          <w:rFonts w:asciiTheme="minorBidi" w:hAnsiTheme="minorBidi" w:cstheme="minorBidi"/>
        </w:rPr>
        <w:t xml:space="preserve">. In that respect, </w:t>
      </w:r>
      <w:r w:rsidR="009B3750">
        <w:rPr>
          <w:rFonts w:asciiTheme="minorBidi" w:eastAsia="Calibri" w:hAnsiTheme="minorBidi" w:cstheme="minorBidi"/>
          <w:bCs/>
        </w:rPr>
        <w:t>t</w:t>
      </w:r>
      <w:r w:rsidR="009B3750" w:rsidRPr="00D3201B">
        <w:rPr>
          <w:rFonts w:asciiTheme="minorBidi" w:eastAsia="Calibri" w:hAnsiTheme="minorBidi" w:cstheme="minorBidi"/>
          <w:bCs/>
        </w:rPr>
        <w:t>he proper set-up of an antitrust compliance programme could even lead to lower fines in case of infringements.</w:t>
      </w:r>
      <w:r w:rsidR="009B3750" w:rsidRPr="00D3201B">
        <w:rPr>
          <w:rFonts w:asciiTheme="minorBidi" w:eastAsia="Calibri" w:hAnsiTheme="minorBidi" w:cstheme="minorBidi"/>
          <w:bCs/>
          <w:vertAlign w:val="superscript"/>
        </w:rPr>
        <w:footnoteReference w:id="13"/>
      </w:r>
      <w:r w:rsidR="009B3750">
        <w:rPr>
          <w:rFonts w:asciiTheme="minorBidi" w:eastAsia="Calibri" w:hAnsiTheme="minorBidi" w:cstheme="minorBidi"/>
          <w:bCs/>
        </w:rPr>
        <w:t>. In this view, r</w:t>
      </w:r>
      <w:r w:rsidR="009B3750">
        <w:rPr>
          <w:rFonts w:asciiTheme="minorBidi" w:hAnsiTheme="minorBidi" w:cstheme="minorBidi"/>
        </w:rPr>
        <w:t xml:space="preserve">obust compliance measures may also prevent the </w:t>
      </w:r>
      <w:r w:rsidR="009B3750" w:rsidRPr="00AC0B7F">
        <w:rPr>
          <w:rFonts w:eastAsia="Calibri" w:cs="Arial"/>
          <w:lang w:eastAsia="en-US"/>
        </w:rPr>
        <w:t>damage</w:t>
      </w:r>
      <w:r w:rsidR="009B3750">
        <w:rPr>
          <w:rFonts w:eastAsia="Calibri" w:cs="Arial"/>
          <w:lang w:eastAsia="en-US"/>
        </w:rPr>
        <w:t>s</w:t>
      </w:r>
      <w:r w:rsidR="009B3750" w:rsidRPr="00AC0B7F">
        <w:rPr>
          <w:rFonts w:eastAsia="Calibri" w:cs="Arial"/>
          <w:lang w:eastAsia="en-US"/>
        </w:rPr>
        <w:t xml:space="preserve"> </w:t>
      </w:r>
      <w:r w:rsidR="009B3750">
        <w:rPr>
          <w:rFonts w:eastAsia="Calibri" w:cs="Arial"/>
          <w:lang w:eastAsia="en-US"/>
        </w:rPr>
        <w:t xml:space="preserve">caused by antitrust enforcement </w:t>
      </w:r>
      <w:r w:rsidR="009B3750" w:rsidRPr="00AC0B7F">
        <w:rPr>
          <w:rFonts w:eastAsia="Calibri" w:cs="Arial"/>
          <w:lang w:eastAsia="en-US"/>
        </w:rPr>
        <w:t xml:space="preserve">to companies’ reputations </w:t>
      </w:r>
      <w:r w:rsidR="009B3750">
        <w:rPr>
          <w:rFonts w:eastAsia="Calibri" w:cs="Arial"/>
          <w:lang w:eastAsia="en-US"/>
        </w:rPr>
        <w:t>including – for publicly listed companies - the negative effect on share price)</w:t>
      </w:r>
      <w:r w:rsidR="00726297">
        <w:rPr>
          <w:rFonts w:asciiTheme="minorBidi" w:hAnsiTheme="minorBidi" w:cstheme="minorBidi"/>
        </w:rPr>
        <w:t>. F</w:t>
      </w:r>
      <w:r w:rsidR="009B3750">
        <w:rPr>
          <w:rFonts w:asciiTheme="minorBidi" w:hAnsiTheme="minorBidi" w:cstheme="minorBidi"/>
        </w:rPr>
        <w:t>inally, f</w:t>
      </w:r>
      <w:r w:rsidR="00726297">
        <w:rPr>
          <w:rFonts w:asciiTheme="minorBidi" w:hAnsiTheme="minorBidi" w:cstheme="minorBidi"/>
        </w:rPr>
        <w:t>unding antitrust compliance</w:t>
      </w:r>
      <w:r w:rsidR="00726297">
        <w:rPr>
          <w:rFonts w:asciiTheme="minorBidi" w:hAnsiTheme="minorBidi" w:cstheme="minorBidi"/>
          <w:b/>
          <w:bCs/>
        </w:rPr>
        <w:t xml:space="preserve"> </w:t>
      </w:r>
      <w:r w:rsidR="009B3750">
        <w:rPr>
          <w:rFonts w:asciiTheme="minorBidi" w:hAnsiTheme="minorBidi" w:cstheme="minorBidi"/>
          <w:b/>
          <w:bCs/>
        </w:rPr>
        <w:t xml:space="preserve">must </w:t>
      </w:r>
      <w:r w:rsidR="009B3750" w:rsidRPr="00460A84">
        <w:rPr>
          <w:rFonts w:asciiTheme="minorBidi" w:hAnsiTheme="minorBidi" w:cstheme="minorBidi"/>
        </w:rPr>
        <w:t>not be seen as a sunk cost because that more and more national regimes provide for a criminal liability of the managers and employees involved in the antitrust infringements</w:t>
      </w:r>
      <w:r w:rsidR="000C45B6">
        <w:rPr>
          <w:rFonts w:asciiTheme="minorBidi" w:hAnsiTheme="minorBidi" w:cstheme="minorBidi"/>
        </w:rPr>
        <w:t>.</w:t>
      </w:r>
      <w:r w:rsidR="008C7466">
        <w:rPr>
          <w:rStyle w:val="FootnoteReference"/>
          <w:rFonts w:asciiTheme="minorBidi" w:hAnsiTheme="minorBidi" w:cstheme="minorBidi"/>
        </w:rPr>
        <w:footnoteReference w:id="14"/>
      </w:r>
    </w:p>
    <w:p w14:paraId="1420A7C7" w14:textId="77777777" w:rsidR="00D3201B" w:rsidRPr="00D3201B" w:rsidRDefault="00D3201B" w:rsidP="00D3201B">
      <w:pPr>
        <w:spacing w:after="0" w:line="240" w:lineRule="auto"/>
        <w:ind w:left="720"/>
        <w:contextualSpacing/>
        <w:rPr>
          <w:rFonts w:asciiTheme="minorBidi" w:eastAsia="Calibri" w:hAnsiTheme="minorBidi" w:cstheme="minorBidi"/>
          <w:bCs/>
          <w:sz w:val="22"/>
          <w:szCs w:val="22"/>
          <w:lang w:eastAsia="en-GB"/>
        </w:rPr>
      </w:pPr>
    </w:p>
    <w:p w14:paraId="4F39B9D8" w14:textId="3DA0300E" w:rsidR="00D3201B" w:rsidRPr="00D3201B" w:rsidRDefault="00D3201B" w:rsidP="007D22E9">
      <w:pPr>
        <w:pStyle w:val="OUTLINEAL1"/>
      </w:pPr>
      <w:bookmarkStart w:id="47" w:name="_Toc166512643"/>
      <w:bookmarkStart w:id="48" w:name="_Toc166513101"/>
      <w:bookmarkStart w:id="49" w:name="_Toc166747890"/>
      <w:r w:rsidRPr="00D3201B">
        <w:lastRenderedPageBreak/>
        <w:t>Risk identification and assessment</w:t>
      </w:r>
      <w:bookmarkEnd w:id="47"/>
      <w:bookmarkEnd w:id="48"/>
      <w:bookmarkEnd w:id="49"/>
    </w:p>
    <w:p w14:paraId="412F13F3" w14:textId="28F46737" w:rsidR="00D3201B" w:rsidRPr="00D3201B" w:rsidRDefault="00D3201B" w:rsidP="007E01F0">
      <w:pPr>
        <w:spacing w:after="280"/>
        <w:jc w:val="both"/>
        <w:rPr>
          <w:rFonts w:cs="Arial"/>
        </w:rPr>
      </w:pPr>
      <w:r w:rsidRPr="00D3201B">
        <w:rPr>
          <w:rFonts w:cs="Arial"/>
        </w:rPr>
        <w:t xml:space="preserve">The </w:t>
      </w:r>
      <w:r w:rsidRPr="00D3201B">
        <w:rPr>
          <w:rFonts w:cs="Arial"/>
          <w:b/>
        </w:rPr>
        <w:t xml:space="preserve">effectiveness </w:t>
      </w:r>
      <w:r w:rsidRPr="00D3201B">
        <w:rPr>
          <w:rFonts w:cs="Arial"/>
        </w:rPr>
        <w:t xml:space="preserve">of your company’s antitrust compliance programme and related allocation of resources will depend on whether </w:t>
      </w:r>
      <w:r w:rsidRPr="00D3201B">
        <w:rPr>
          <w:rFonts w:cs="Arial"/>
          <w:b/>
        </w:rPr>
        <w:t>resources are deployed in the right areas</w:t>
      </w:r>
      <w:r w:rsidRPr="00D3201B">
        <w:rPr>
          <w:rFonts w:cs="Arial"/>
        </w:rPr>
        <w:t xml:space="preserve">. Understanding the business and </w:t>
      </w:r>
      <w:r w:rsidRPr="00D3201B">
        <w:rPr>
          <w:rFonts w:cs="Arial"/>
          <w:b/>
        </w:rPr>
        <w:t>operational risks</w:t>
      </w:r>
      <w:r w:rsidRPr="00D3201B">
        <w:rPr>
          <w:rFonts w:cs="Arial"/>
        </w:rPr>
        <w:t xml:space="preserve"> your company faces will not only help focus on relevant activities</w:t>
      </w:r>
      <w:r w:rsidR="00650E3F">
        <w:rPr>
          <w:rFonts w:cs="Arial"/>
        </w:rPr>
        <w:t>.</w:t>
      </w:r>
    </w:p>
    <w:p w14:paraId="461D1A2F" w14:textId="62887937" w:rsidR="00D3201B" w:rsidRPr="00D3201B" w:rsidRDefault="00D3201B" w:rsidP="007E01F0">
      <w:pPr>
        <w:spacing w:after="280"/>
        <w:jc w:val="both"/>
        <w:rPr>
          <w:rFonts w:cs="Arial"/>
        </w:rPr>
      </w:pPr>
      <w:r w:rsidRPr="00D3201B">
        <w:rPr>
          <w:rFonts w:cs="Arial"/>
        </w:rPr>
        <w:t xml:space="preserve">To give a couple of simple examples, it may not be relevant to raise awareness of the dangers of </w:t>
      </w:r>
      <w:r w:rsidR="00117FB0">
        <w:rPr>
          <w:rFonts w:cs="Arial"/>
        </w:rPr>
        <w:br/>
      </w:r>
      <w:r w:rsidRPr="00D3201B">
        <w:rPr>
          <w:rFonts w:cs="Arial"/>
        </w:rPr>
        <w:t>bid-rigging within businesses that do not operate in a procurement/tender context</w:t>
      </w:r>
      <w:r w:rsidR="001F0132">
        <w:rPr>
          <w:rFonts w:cs="Arial"/>
        </w:rPr>
        <w:t>.</w:t>
      </w:r>
      <w:r w:rsidRPr="00D3201B">
        <w:rPr>
          <w:rFonts w:cs="Arial"/>
        </w:rPr>
        <w:t xml:space="preserve"> </w:t>
      </w:r>
      <w:r w:rsidR="001F0132">
        <w:rPr>
          <w:rFonts w:cs="Arial"/>
        </w:rPr>
        <w:t>S</w:t>
      </w:r>
      <w:r w:rsidRPr="00D3201B">
        <w:rPr>
          <w:rFonts w:cs="Arial"/>
        </w:rPr>
        <w:t xml:space="preserve">imilarly, it may not be an efficient use of resources to train employees about the risks of abuse of dominance/market power if the company operates in very highly fragmented markets where players all have low market shares. </w:t>
      </w:r>
    </w:p>
    <w:p w14:paraId="3126AB51" w14:textId="3D9C10CF" w:rsidR="00D3201B" w:rsidRPr="00D3201B" w:rsidRDefault="00D3201B" w:rsidP="007E01F0">
      <w:pPr>
        <w:spacing w:after="280"/>
        <w:jc w:val="both"/>
        <w:rPr>
          <w:rFonts w:eastAsia="Calibri" w:cs="Arial"/>
        </w:rPr>
      </w:pPr>
      <w:r w:rsidRPr="00D3201B">
        <w:rPr>
          <w:rFonts w:cs="Arial"/>
        </w:rPr>
        <w:t>Companies should</w:t>
      </w:r>
      <w:r w:rsidR="00650E3F">
        <w:rPr>
          <w:rFonts w:cs="Arial"/>
        </w:rPr>
        <w:t xml:space="preserve"> therefore</w:t>
      </w:r>
      <w:r w:rsidRPr="00D3201B">
        <w:rPr>
          <w:rFonts w:cs="Arial"/>
        </w:rPr>
        <w:t xml:space="preserve"> </w:t>
      </w:r>
      <w:r w:rsidRPr="00D3201B">
        <w:rPr>
          <w:rFonts w:cs="Arial"/>
          <w:b/>
        </w:rPr>
        <w:t>define a risk assessment methodology and process</w:t>
      </w:r>
      <w:r w:rsidR="001A5424">
        <w:rPr>
          <w:rStyle w:val="FootnoteReference"/>
          <w:rFonts w:cs="Arial"/>
          <w:b/>
        </w:rPr>
        <w:footnoteReference w:id="15"/>
      </w:r>
      <w:r w:rsidRPr="00D3201B">
        <w:rPr>
          <w:rFonts w:cs="Arial"/>
        </w:rPr>
        <w:t xml:space="preserve">, so they can tailor their compliance programme to their specific risk profile. According to antitrust agencies a </w:t>
      </w:r>
      <w:r w:rsidRPr="00D3201B">
        <w:rPr>
          <w:rFonts w:cs="Arial"/>
          <w:b/>
        </w:rPr>
        <w:t>credible compliance programme</w:t>
      </w:r>
      <w:r w:rsidRPr="00D3201B">
        <w:rPr>
          <w:rFonts w:cs="Arial"/>
        </w:rPr>
        <w:t xml:space="preserve"> depends, ultimately, on being able to justify the rationale for your company’s chosen approach to risk management, considering risk, likelihood and impact of behaviour infringing antitrust laws.</w:t>
      </w:r>
    </w:p>
    <w:p w14:paraId="33870F01" w14:textId="77777777" w:rsidR="00D3201B" w:rsidRPr="00D3201B" w:rsidRDefault="00D3201B">
      <w:pPr>
        <w:pStyle w:val="OUTLINEAL2"/>
        <w:numPr>
          <w:ilvl w:val="0"/>
          <w:numId w:val="41"/>
        </w:numPr>
      </w:pPr>
      <w:bookmarkStart w:id="50" w:name="_Toc166512644"/>
      <w:bookmarkStart w:id="51" w:name="_Toc166513102"/>
      <w:bookmarkStart w:id="52" w:name="_Toc166747891"/>
      <w:r w:rsidRPr="00D3201B">
        <w:t>Understanding the company’s overall approach to risk management</w:t>
      </w:r>
      <w:bookmarkEnd w:id="50"/>
      <w:bookmarkEnd w:id="51"/>
      <w:bookmarkEnd w:id="52"/>
    </w:p>
    <w:p w14:paraId="1A2E750B" w14:textId="1A872662" w:rsidR="00D3201B" w:rsidRPr="00D3201B" w:rsidRDefault="00D3201B" w:rsidP="007E01F0">
      <w:pPr>
        <w:tabs>
          <w:tab w:val="num" w:pos="720"/>
        </w:tabs>
        <w:autoSpaceDE w:val="0"/>
        <w:autoSpaceDN w:val="0"/>
        <w:adjustRightInd w:val="0"/>
        <w:spacing w:after="280"/>
        <w:jc w:val="both"/>
        <w:rPr>
          <w:rFonts w:cs="Arial"/>
          <w:lang w:eastAsia="en-US"/>
        </w:rPr>
      </w:pPr>
      <w:r w:rsidRPr="00D3201B">
        <w:rPr>
          <w:rFonts w:cs="Arial"/>
          <w:lang w:eastAsia="en-US"/>
        </w:rPr>
        <w:t xml:space="preserve">There is significant merit in aligning your company’s overall approach to (and methodology for) risk management and the risk assessment approach </w:t>
      </w:r>
      <w:r w:rsidRPr="00D3201B">
        <w:rPr>
          <w:rFonts w:cs="Arial"/>
        </w:rPr>
        <w:t>your company</w:t>
      </w:r>
      <w:r w:rsidRPr="00D3201B">
        <w:rPr>
          <w:rFonts w:cs="Arial"/>
          <w:lang w:eastAsia="en-US"/>
        </w:rPr>
        <w:t xml:space="preserve"> decides to use as part of an antitrust compliance programme. In undertaking a risk assessment, it is useful to involve your Finance function (e.g. Group Controllers, Risk and Assurance or the Audit function) and (if at all possible) a specialist antitrust lawyer. </w:t>
      </w:r>
    </w:p>
    <w:p w14:paraId="3B535ECE" w14:textId="43287BB4" w:rsidR="00D3201B" w:rsidRPr="00D3201B" w:rsidRDefault="00D3201B" w:rsidP="007E01F0">
      <w:pPr>
        <w:tabs>
          <w:tab w:val="num" w:pos="720"/>
        </w:tabs>
        <w:autoSpaceDE w:val="0"/>
        <w:autoSpaceDN w:val="0"/>
        <w:adjustRightInd w:val="0"/>
        <w:spacing w:after="280"/>
        <w:jc w:val="both"/>
        <w:rPr>
          <w:rFonts w:cs="Arial"/>
          <w:lang w:eastAsia="en-US"/>
        </w:rPr>
      </w:pPr>
      <w:r w:rsidRPr="00D3201B">
        <w:rPr>
          <w:rFonts w:cs="Arial"/>
          <w:lang w:eastAsia="en-US"/>
        </w:rPr>
        <w:t xml:space="preserve">Finding a meaningful way of </w:t>
      </w:r>
      <w:r w:rsidRPr="00D3201B">
        <w:rPr>
          <w:rFonts w:cs="Arial"/>
          <w:b/>
          <w:bCs/>
          <w:lang w:eastAsia="en-US"/>
        </w:rPr>
        <w:t>taking account of the “human factor”</w:t>
      </w:r>
      <w:r w:rsidRPr="00D3201B">
        <w:rPr>
          <w:rFonts w:cs="Arial"/>
          <w:lang w:eastAsia="en-US"/>
        </w:rPr>
        <w:t xml:space="preserve"> in compliance can be challenging; it may be worth considering what indicators to estimate compliance maturity such as the</w:t>
      </w:r>
      <w:r w:rsidRPr="00E735AF">
        <w:rPr>
          <w:rFonts w:cs="Arial"/>
          <w:lang w:eastAsia="en-US"/>
        </w:rPr>
        <w:t xml:space="preserve"> proportion of employees who complete training</w:t>
      </w:r>
      <w:r w:rsidR="00456302">
        <w:rPr>
          <w:rFonts w:cs="Arial"/>
          <w:lang w:eastAsia="en-US"/>
        </w:rPr>
        <w:t xml:space="preserve"> </w:t>
      </w:r>
      <w:r w:rsidRPr="00E735AF">
        <w:rPr>
          <w:rFonts w:cs="Arial"/>
          <w:lang w:eastAsia="en-US"/>
        </w:rPr>
        <w:t>when first requested</w:t>
      </w:r>
      <w:r w:rsidR="00AF7BB6">
        <w:rPr>
          <w:rFonts w:cs="Arial"/>
          <w:lang w:eastAsia="en-US"/>
        </w:rPr>
        <w:t xml:space="preserve"> and </w:t>
      </w:r>
      <w:r w:rsidRPr="00E735AF">
        <w:rPr>
          <w:rFonts w:cs="Arial"/>
          <w:lang w:eastAsia="en-US"/>
        </w:rPr>
        <w:t>the “</w:t>
      </w:r>
      <w:r w:rsidR="00054CC5">
        <w:rPr>
          <w:rFonts w:cs="Arial"/>
          <w:lang w:eastAsia="en-US"/>
        </w:rPr>
        <w:t>employee turnover</w:t>
      </w:r>
      <w:r w:rsidRPr="00E735AF">
        <w:rPr>
          <w:rFonts w:cs="Arial"/>
          <w:lang w:eastAsia="en-US"/>
        </w:rPr>
        <w:t>” rate within your company.</w:t>
      </w:r>
      <w:r w:rsidRPr="00D3201B" w:rsidDel="00986374">
        <w:rPr>
          <w:rFonts w:eastAsia="Calibri" w:cs="Arial"/>
          <w:lang w:eastAsia="en-US"/>
        </w:rPr>
        <w:t xml:space="preserve"> </w:t>
      </w:r>
    </w:p>
    <w:p w14:paraId="39D488CA" w14:textId="06C78DB4" w:rsidR="00D3201B" w:rsidRPr="00D3201B" w:rsidRDefault="00D3201B" w:rsidP="007E01F0">
      <w:pPr>
        <w:tabs>
          <w:tab w:val="num" w:pos="720"/>
        </w:tabs>
        <w:autoSpaceDE w:val="0"/>
        <w:autoSpaceDN w:val="0"/>
        <w:adjustRightInd w:val="0"/>
        <w:spacing w:after="280"/>
        <w:jc w:val="both"/>
        <w:rPr>
          <w:rFonts w:cs="Arial"/>
          <w:lang w:eastAsia="en-US"/>
        </w:rPr>
      </w:pPr>
      <w:r w:rsidRPr="00D3201B">
        <w:rPr>
          <w:rFonts w:cs="Arial"/>
          <w:lang w:eastAsia="en-US"/>
        </w:rPr>
        <w:t>The validity of taking a risk-based approach in establishing internal compliance standards and procedures for antitrust compliance is acknowledged by a number of agencies.</w:t>
      </w:r>
      <w:r w:rsidRPr="00D3201B">
        <w:rPr>
          <w:rFonts w:cs="Arial"/>
          <w:vertAlign w:val="superscript"/>
          <w:lang w:eastAsia="en-US"/>
        </w:rPr>
        <w:footnoteReference w:id="16"/>
      </w:r>
      <w:r w:rsidRPr="00D3201B">
        <w:rPr>
          <w:rFonts w:cs="Arial"/>
          <w:lang w:eastAsia="en-US"/>
        </w:rPr>
        <w:t xml:space="preserve"> However, your company may legitimately approach antitrust compliance by managing antitrust risks as these are likely to occur in the real world. </w:t>
      </w:r>
    </w:p>
    <w:p w14:paraId="25F1664A" w14:textId="12BAD6EC" w:rsidR="00D3201B" w:rsidRPr="00D3201B" w:rsidRDefault="00D3201B" w:rsidP="00D3201B">
      <w:pPr>
        <w:tabs>
          <w:tab w:val="num" w:pos="720"/>
        </w:tabs>
        <w:autoSpaceDE w:val="0"/>
        <w:autoSpaceDN w:val="0"/>
        <w:adjustRightInd w:val="0"/>
        <w:spacing w:after="280"/>
        <w:rPr>
          <w:rFonts w:cs="Arial"/>
          <w:lang w:eastAsia="en-US"/>
        </w:rPr>
      </w:pPr>
      <w:r w:rsidRPr="00D3201B">
        <w:rPr>
          <w:rFonts w:cs="Arial"/>
          <w:b/>
          <w:lang w:eastAsia="en-US"/>
        </w:rPr>
        <w:t>Typical antitrust risks</w:t>
      </w:r>
      <w:r w:rsidRPr="00D3201B">
        <w:rPr>
          <w:rFonts w:cs="Arial"/>
          <w:lang w:eastAsia="en-US"/>
        </w:rPr>
        <w:t xml:space="preserve"> which are important to consider include:</w:t>
      </w:r>
    </w:p>
    <w:p w14:paraId="2BCF2BC8" w14:textId="3446F4FB" w:rsidR="00AF7BB6" w:rsidRDefault="00D3201B">
      <w:pPr>
        <w:numPr>
          <w:ilvl w:val="0"/>
          <w:numId w:val="6"/>
        </w:numPr>
        <w:autoSpaceDE w:val="0"/>
        <w:autoSpaceDN w:val="0"/>
        <w:adjustRightInd w:val="0"/>
        <w:spacing w:after="280"/>
        <w:ind w:left="851" w:hanging="284"/>
        <w:contextualSpacing/>
        <w:jc w:val="both"/>
        <w:rPr>
          <w:rFonts w:eastAsia="Calibri" w:cs="Arial"/>
          <w:lang w:eastAsia="en-US"/>
        </w:rPr>
      </w:pPr>
      <w:r w:rsidRPr="00D3201B">
        <w:rPr>
          <w:rFonts w:eastAsia="Calibri" w:cs="Arial"/>
          <w:lang w:eastAsia="en-US"/>
        </w:rPr>
        <w:t>Anti</w:t>
      </w:r>
      <w:r w:rsidR="00F45E2A">
        <w:rPr>
          <w:rFonts w:eastAsia="Calibri" w:cs="Arial"/>
          <w:lang w:eastAsia="en-US"/>
        </w:rPr>
        <w:t>-</w:t>
      </w:r>
      <w:r w:rsidRPr="00D3201B">
        <w:rPr>
          <w:rFonts w:eastAsia="Calibri" w:cs="Arial"/>
          <w:lang w:eastAsia="en-US"/>
        </w:rPr>
        <w:t>competitive agreements such as potential cartel activity between competitors, including price-fixing, market sharing, bid-rigging, collective boycotts and production limitation agreements</w:t>
      </w:r>
      <w:r w:rsidR="00AF7BB6">
        <w:rPr>
          <w:rFonts w:eastAsia="Calibri" w:cs="Arial"/>
          <w:lang w:eastAsia="en-US"/>
        </w:rPr>
        <w:t>;</w:t>
      </w:r>
    </w:p>
    <w:p w14:paraId="5D58767C" w14:textId="77777777" w:rsidR="00AF7BB6" w:rsidRDefault="00AF7BB6" w:rsidP="007E01F0">
      <w:pPr>
        <w:autoSpaceDE w:val="0"/>
        <w:autoSpaceDN w:val="0"/>
        <w:adjustRightInd w:val="0"/>
        <w:spacing w:after="280"/>
        <w:ind w:left="851"/>
        <w:contextualSpacing/>
        <w:jc w:val="both"/>
        <w:rPr>
          <w:rFonts w:eastAsia="Calibri" w:cs="Arial"/>
          <w:lang w:eastAsia="en-US"/>
        </w:rPr>
      </w:pPr>
    </w:p>
    <w:p w14:paraId="2C75E8EE" w14:textId="6A9A5FD9" w:rsidR="00F52C37" w:rsidRDefault="00AF7BB6">
      <w:pPr>
        <w:numPr>
          <w:ilvl w:val="0"/>
          <w:numId w:val="6"/>
        </w:numPr>
        <w:autoSpaceDE w:val="0"/>
        <w:autoSpaceDN w:val="0"/>
        <w:adjustRightInd w:val="0"/>
        <w:spacing w:after="280"/>
        <w:ind w:left="851" w:hanging="284"/>
        <w:contextualSpacing/>
        <w:jc w:val="both"/>
        <w:rPr>
          <w:rFonts w:eastAsia="Calibri" w:cs="Arial"/>
          <w:lang w:eastAsia="en-US"/>
        </w:rPr>
      </w:pPr>
      <w:r w:rsidRPr="00D3201B">
        <w:rPr>
          <w:rFonts w:eastAsia="Calibri" w:cs="Arial"/>
          <w:lang w:eastAsia="en-US"/>
        </w:rPr>
        <w:t>Exchanges of commercially/competitively sensitive information that could potentially result in cartel activity</w:t>
      </w:r>
      <w:r w:rsidDel="00AF7BB6">
        <w:rPr>
          <w:rFonts w:eastAsia="Calibri" w:cs="Arial"/>
          <w:lang w:eastAsia="en-US"/>
        </w:rPr>
        <w:t xml:space="preserve"> </w:t>
      </w:r>
      <w:r>
        <w:rPr>
          <w:rFonts w:eastAsia="Calibri" w:cs="Arial"/>
          <w:lang w:eastAsia="en-US"/>
        </w:rPr>
        <w:t xml:space="preserve">which may be seen as </w:t>
      </w:r>
      <w:r w:rsidR="00125DAD">
        <w:rPr>
          <w:rFonts w:eastAsia="Calibri" w:cs="Arial"/>
          <w:lang w:eastAsia="en-US"/>
        </w:rPr>
        <w:t>the biggest risk</w:t>
      </w:r>
      <w:r w:rsidR="007E01F0">
        <w:rPr>
          <w:rFonts w:eastAsia="Calibri" w:cs="Arial"/>
          <w:lang w:eastAsia="en-US"/>
        </w:rPr>
        <w:t xml:space="preserve"> </w:t>
      </w:r>
      <w:r>
        <w:rPr>
          <w:rFonts w:eastAsia="Calibri" w:cs="Arial"/>
          <w:lang w:eastAsia="en-US"/>
        </w:rPr>
        <w:t xml:space="preserve">of </w:t>
      </w:r>
      <w:r w:rsidR="00DC2F24">
        <w:rPr>
          <w:rFonts w:eastAsia="Calibri" w:cs="Arial"/>
          <w:lang w:eastAsia="en-US"/>
        </w:rPr>
        <w:t>illegal cartel activity, even unintentionally</w:t>
      </w:r>
      <w:r w:rsidR="00D3201B" w:rsidRPr="00D3201B">
        <w:rPr>
          <w:rFonts w:eastAsia="Calibri" w:cs="Arial"/>
          <w:lang w:eastAsia="en-US"/>
        </w:rPr>
        <w:t>;</w:t>
      </w:r>
    </w:p>
    <w:p w14:paraId="34103E49" w14:textId="77777777" w:rsidR="009C1242" w:rsidRPr="00D3201B" w:rsidRDefault="009C1242" w:rsidP="007E01F0">
      <w:pPr>
        <w:autoSpaceDE w:val="0"/>
        <w:autoSpaceDN w:val="0"/>
        <w:adjustRightInd w:val="0"/>
        <w:spacing w:after="280"/>
        <w:ind w:left="851"/>
        <w:contextualSpacing/>
        <w:jc w:val="both"/>
        <w:rPr>
          <w:rFonts w:eastAsia="Calibri" w:cs="Arial"/>
          <w:lang w:eastAsia="en-US"/>
        </w:rPr>
      </w:pPr>
    </w:p>
    <w:p w14:paraId="6D0C27E5" w14:textId="3CDF478B" w:rsidR="00D3201B" w:rsidRPr="00D3201B" w:rsidRDefault="00D3201B">
      <w:pPr>
        <w:numPr>
          <w:ilvl w:val="0"/>
          <w:numId w:val="6"/>
        </w:numPr>
        <w:autoSpaceDE w:val="0"/>
        <w:autoSpaceDN w:val="0"/>
        <w:adjustRightInd w:val="0"/>
        <w:spacing w:after="280"/>
        <w:ind w:left="851" w:hanging="284"/>
        <w:contextualSpacing/>
        <w:jc w:val="both"/>
        <w:rPr>
          <w:rFonts w:eastAsia="Calibri" w:cs="Arial"/>
          <w:lang w:eastAsia="en-US"/>
        </w:rPr>
      </w:pPr>
      <w:r w:rsidRPr="00D3201B">
        <w:rPr>
          <w:rFonts w:eastAsia="Calibri" w:cs="Arial"/>
          <w:lang w:eastAsia="en-US"/>
        </w:rPr>
        <w:t xml:space="preserve">Resale price maintenance in jurisdictions where this is prohibited; </w:t>
      </w:r>
    </w:p>
    <w:p w14:paraId="33AEBFF8" w14:textId="77777777" w:rsidR="00D44ABC" w:rsidRDefault="00D44ABC" w:rsidP="00A15E97">
      <w:pPr>
        <w:pStyle w:val="ListParagraph"/>
        <w:rPr>
          <w:rFonts w:cs="Arial"/>
          <w:lang w:eastAsia="en-US"/>
        </w:rPr>
      </w:pPr>
    </w:p>
    <w:p w14:paraId="487460B4" w14:textId="77777777" w:rsidR="00D44ABC" w:rsidRPr="00D3201B" w:rsidRDefault="00D44ABC" w:rsidP="00A15E97">
      <w:pPr>
        <w:autoSpaceDE w:val="0"/>
        <w:autoSpaceDN w:val="0"/>
        <w:adjustRightInd w:val="0"/>
        <w:spacing w:after="280"/>
        <w:contextualSpacing/>
        <w:jc w:val="both"/>
        <w:rPr>
          <w:rFonts w:eastAsia="Calibri" w:cs="Arial"/>
          <w:lang w:eastAsia="en-US"/>
        </w:rPr>
      </w:pPr>
    </w:p>
    <w:p w14:paraId="77742DA3" w14:textId="77777777" w:rsidR="00D3201B" w:rsidRPr="00D3201B" w:rsidRDefault="00D3201B">
      <w:pPr>
        <w:numPr>
          <w:ilvl w:val="0"/>
          <w:numId w:val="29"/>
        </w:numPr>
        <w:autoSpaceDE w:val="0"/>
        <w:autoSpaceDN w:val="0"/>
        <w:adjustRightInd w:val="0"/>
        <w:spacing w:after="280"/>
        <w:ind w:left="851" w:hanging="284"/>
        <w:contextualSpacing/>
        <w:jc w:val="both"/>
        <w:rPr>
          <w:rFonts w:eastAsia="Calibri" w:cs="Arial"/>
          <w:lang w:eastAsia="en-US"/>
        </w:rPr>
      </w:pPr>
      <w:r w:rsidRPr="00D3201B">
        <w:rPr>
          <w:rFonts w:eastAsia="Calibri" w:cs="Arial"/>
          <w:lang w:eastAsia="en-US"/>
        </w:rPr>
        <w:t>Exclusionary conduct by companies with significant market power (e.g. abuses of a dominant position and other prohibited unilateral conduct);</w:t>
      </w:r>
    </w:p>
    <w:p w14:paraId="3F07AEF7" w14:textId="5CC87F07" w:rsidR="00D3201B" w:rsidRPr="00D3201B" w:rsidRDefault="00D3201B" w:rsidP="007E01F0">
      <w:pPr>
        <w:autoSpaceDE w:val="0"/>
        <w:autoSpaceDN w:val="0"/>
        <w:adjustRightInd w:val="0"/>
        <w:spacing w:after="280"/>
        <w:ind w:left="851"/>
        <w:contextualSpacing/>
        <w:jc w:val="both"/>
        <w:rPr>
          <w:rFonts w:cs="Arial"/>
          <w:lang w:eastAsia="en-US"/>
        </w:rPr>
      </w:pPr>
    </w:p>
    <w:p w14:paraId="24D0112C" w14:textId="1E263F91" w:rsidR="00D3201B" w:rsidRPr="00D3201B" w:rsidRDefault="00D3201B">
      <w:pPr>
        <w:numPr>
          <w:ilvl w:val="0"/>
          <w:numId w:val="29"/>
        </w:numPr>
        <w:autoSpaceDE w:val="0"/>
        <w:autoSpaceDN w:val="0"/>
        <w:adjustRightInd w:val="0"/>
        <w:spacing w:after="280"/>
        <w:ind w:left="851" w:hanging="284"/>
        <w:contextualSpacing/>
        <w:jc w:val="both"/>
        <w:rPr>
          <w:rFonts w:eastAsia="Calibri" w:cs="Arial"/>
          <w:lang w:eastAsia="en-US"/>
        </w:rPr>
      </w:pPr>
      <w:r w:rsidRPr="00D3201B">
        <w:rPr>
          <w:rFonts w:eastAsia="Calibri" w:cs="Arial"/>
          <w:lang w:eastAsia="en-US"/>
        </w:rPr>
        <w:t>Emerging risks such as cooperation in the fields of artificial intelligence (“AI”) and sustainability</w:t>
      </w:r>
      <w:r w:rsidR="00F37A3D">
        <w:rPr>
          <w:rFonts w:eastAsia="Calibri" w:cs="Arial"/>
          <w:lang w:eastAsia="en-US"/>
        </w:rPr>
        <w:t xml:space="preserve"> cooperation</w:t>
      </w:r>
      <w:r w:rsidRPr="00D3201B">
        <w:rPr>
          <w:rFonts w:eastAsia="Calibri" w:cs="Arial"/>
          <w:lang w:eastAsia="en-US"/>
        </w:rPr>
        <w:t xml:space="preserve">, human resources related agreements such as discussions on wages and </w:t>
      </w:r>
      <w:r w:rsidR="00F37A3D">
        <w:rPr>
          <w:rFonts w:eastAsia="Calibri" w:cs="Arial"/>
          <w:lang w:eastAsia="en-US"/>
        </w:rPr>
        <w:t>“</w:t>
      </w:r>
      <w:r w:rsidRPr="00D3201B">
        <w:rPr>
          <w:rFonts w:eastAsia="Calibri" w:cs="Arial"/>
          <w:lang w:eastAsia="en-US"/>
        </w:rPr>
        <w:t>no poaching</w:t>
      </w:r>
      <w:r w:rsidR="00F37A3D">
        <w:rPr>
          <w:rFonts w:eastAsia="Calibri" w:cs="Arial"/>
          <w:lang w:eastAsia="en-US"/>
        </w:rPr>
        <w:t>”</w:t>
      </w:r>
      <w:r w:rsidRPr="00D3201B">
        <w:rPr>
          <w:rFonts w:eastAsia="Calibri" w:cs="Arial"/>
          <w:lang w:eastAsia="en-US"/>
        </w:rPr>
        <w:t xml:space="preserve"> agreements with other companies.</w:t>
      </w:r>
      <w:r w:rsidR="00F37A3D">
        <w:rPr>
          <w:rFonts w:eastAsia="Calibri" w:cs="Arial"/>
          <w:lang w:eastAsia="en-US"/>
        </w:rPr>
        <w:t xml:space="preserve"> Human Resou</w:t>
      </w:r>
      <w:r w:rsidR="00D207FC">
        <w:rPr>
          <w:rFonts w:eastAsia="Calibri" w:cs="Arial"/>
          <w:lang w:eastAsia="en-US"/>
        </w:rPr>
        <w:t xml:space="preserve">rces activities are very often underestimated as an antitrust risk by Business, because those </w:t>
      </w:r>
      <w:r w:rsidR="002700EB">
        <w:rPr>
          <w:rFonts w:eastAsia="Calibri" w:cs="Arial"/>
          <w:lang w:eastAsia="en-US"/>
        </w:rPr>
        <w:t>activities</w:t>
      </w:r>
      <w:r w:rsidR="00D207FC">
        <w:rPr>
          <w:rFonts w:eastAsia="Calibri" w:cs="Arial"/>
          <w:lang w:eastAsia="en-US"/>
        </w:rPr>
        <w:t xml:space="preserve"> are often not </w:t>
      </w:r>
      <w:r w:rsidR="002700EB">
        <w:rPr>
          <w:rFonts w:eastAsia="Calibri" w:cs="Arial"/>
          <w:lang w:eastAsia="en-US"/>
        </w:rPr>
        <w:t>viewed</w:t>
      </w:r>
      <w:r w:rsidR="00D207FC">
        <w:rPr>
          <w:rFonts w:eastAsia="Calibri" w:cs="Arial"/>
          <w:lang w:eastAsia="en-US"/>
        </w:rPr>
        <w:t xml:space="preserve"> as “commercial”, but they are </w:t>
      </w:r>
      <w:r w:rsidR="002700EB">
        <w:rPr>
          <w:rFonts w:eastAsia="Calibri" w:cs="Arial"/>
          <w:lang w:eastAsia="en-US"/>
        </w:rPr>
        <w:t xml:space="preserve">becoming an increased focus of antitrust </w:t>
      </w:r>
      <w:r w:rsidR="00AF7BB6">
        <w:rPr>
          <w:rFonts w:eastAsia="Calibri" w:cs="Arial"/>
          <w:lang w:eastAsia="en-US"/>
        </w:rPr>
        <w:t xml:space="preserve">agencies globally </w:t>
      </w:r>
      <w:r w:rsidR="002700EB">
        <w:rPr>
          <w:rFonts w:eastAsia="Calibri" w:cs="Arial"/>
          <w:lang w:eastAsia="en-US"/>
        </w:rPr>
        <w:t>.</w:t>
      </w:r>
    </w:p>
    <w:p w14:paraId="06C77802" w14:textId="77777777" w:rsidR="00D3201B" w:rsidRPr="00D3201B" w:rsidRDefault="00D3201B" w:rsidP="00D3201B">
      <w:pPr>
        <w:autoSpaceDE w:val="0"/>
        <w:autoSpaceDN w:val="0"/>
        <w:adjustRightInd w:val="0"/>
        <w:spacing w:after="280"/>
        <w:ind w:left="851"/>
        <w:contextualSpacing/>
        <w:rPr>
          <w:rFonts w:eastAsia="Calibri" w:cs="Arial"/>
          <w:lang w:eastAsia="en-US"/>
        </w:rPr>
      </w:pPr>
    </w:p>
    <w:p w14:paraId="12D0EE2A" w14:textId="73925261" w:rsidR="00D3201B" w:rsidRPr="00D3201B" w:rsidRDefault="00260320" w:rsidP="007E01F0">
      <w:pPr>
        <w:tabs>
          <w:tab w:val="num" w:pos="720"/>
        </w:tabs>
        <w:autoSpaceDE w:val="0"/>
        <w:autoSpaceDN w:val="0"/>
        <w:adjustRightInd w:val="0"/>
        <w:spacing w:after="280"/>
        <w:jc w:val="both"/>
        <w:rPr>
          <w:rFonts w:cs="Arial"/>
          <w:lang w:eastAsia="en-US"/>
        </w:rPr>
      </w:pPr>
      <w:r>
        <w:rPr>
          <w:rFonts w:cs="Arial"/>
          <w:lang w:eastAsia="en-US"/>
        </w:rPr>
        <w:t xml:space="preserve">A </w:t>
      </w:r>
      <w:r w:rsidR="00D3201B" w:rsidRPr="00D3201B">
        <w:rPr>
          <w:rFonts w:cs="Arial"/>
          <w:lang w:eastAsia="en-US"/>
        </w:rPr>
        <w:t xml:space="preserve">meaningful corporate commitment to </w:t>
      </w:r>
      <w:r>
        <w:rPr>
          <w:rFonts w:cs="Arial"/>
          <w:lang w:eastAsia="en-US"/>
        </w:rPr>
        <w:t xml:space="preserve">antitrust </w:t>
      </w:r>
      <w:r w:rsidR="00D3201B" w:rsidRPr="00D3201B">
        <w:rPr>
          <w:rFonts w:cs="Arial"/>
          <w:lang w:eastAsia="en-US"/>
        </w:rPr>
        <w:t>compliance must include a clear ban on manifestly illegal conduct</w:t>
      </w:r>
      <w:r w:rsidR="00665E12">
        <w:rPr>
          <w:rFonts w:cs="Arial"/>
          <w:lang w:eastAsia="en-US"/>
        </w:rPr>
        <w:t xml:space="preserve"> (such as price fixing and market sharing)</w:t>
      </w:r>
      <w:r w:rsidR="00D3201B" w:rsidRPr="00D3201B">
        <w:rPr>
          <w:rFonts w:cs="Arial"/>
          <w:lang w:eastAsia="en-US"/>
        </w:rPr>
        <w:t xml:space="preserve">. The “likelihood” of enforcement action should never be viewed as a relevant factor in determining risk. </w:t>
      </w:r>
    </w:p>
    <w:p w14:paraId="454163E6" w14:textId="0588E16E" w:rsidR="00D3201B" w:rsidRPr="00D3201B" w:rsidRDefault="00D3201B" w:rsidP="007E01F0">
      <w:pPr>
        <w:tabs>
          <w:tab w:val="num" w:pos="720"/>
        </w:tabs>
        <w:autoSpaceDE w:val="0"/>
        <w:autoSpaceDN w:val="0"/>
        <w:adjustRightInd w:val="0"/>
        <w:spacing w:after="280"/>
        <w:jc w:val="both"/>
        <w:rPr>
          <w:rFonts w:cs="Arial"/>
          <w:lang w:eastAsia="en-US"/>
        </w:rPr>
      </w:pPr>
      <w:r w:rsidRPr="00D3201B">
        <w:rPr>
          <w:rFonts w:cs="Arial"/>
          <w:b/>
          <w:lang w:eastAsia="en-US"/>
        </w:rPr>
        <w:t xml:space="preserve">Assessing the </w:t>
      </w:r>
      <w:r w:rsidRPr="004B5DEF">
        <w:rPr>
          <w:rFonts w:cs="Arial"/>
          <w:b/>
          <w:lang w:eastAsia="en-US"/>
        </w:rPr>
        <w:t>likelihood</w:t>
      </w:r>
      <w:r w:rsidRPr="00D3201B">
        <w:rPr>
          <w:rFonts w:cs="Arial"/>
          <w:b/>
          <w:lang w:eastAsia="en-US"/>
        </w:rPr>
        <w:t xml:space="preserve"> of any of the above activities or risks</w:t>
      </w:r>
      <w:r w:rsidRPr="00D3201B">
        <w:rPr>
          <w:rFonts w:cs="Arial"/>
          <w:lang w:eastAsia="en-US"/>
        </w:rPr>
        <w:t xml:space="preserve"> can be challenging. </w:t>
      </w:r>
      <w:r w:rsidR="003F2C01">
        <w:rPr>
          <w:rFonts w:cs="Arial"/>
          <w:lang w:eastAsia="en-US"/>
        </w:rPr>
        <w:t>So</w:t>
      </w:r>
      <w:r w:rsidRPr="00D3201B">
        <w:rPr>
          <w:rFonts w:cs="Arial"/>
          <w:lang w:eastAsia="en-US"/>
        </w:rPr>
        <w:t>, it will be important for you to involve risk assessment as well as antitrust experts in the risk management process. Relevant considerations might include:</w:t>
      </w:r>
    </w:p>
    <w:p w14:paraId="46141B6A" w14:textId="2F1093E2" w:rsidR="00E760EE" w:rsidRDefault="00E760EE">
      <w:pPr>
        <w:numPr>
          <w:ilvl w:val="0"/>
          <w:numId w:val="7"/>
        </w:numPr>
        <w:autoSpaceDE w:val="0"/>
        <w:autoSpaceDN w:val="0"/>
        <w:adjustRightInd w:val="0"/>
        <w:spacing w:after="280"/>
        <w:ind w:left="851" w:hanging="284"/>
        <w:contextualSpacing/>
        <w:jc w:val="both"/>
        <w:rPr>
          <w:rFonts w:eastAsia="Calibri" w:cs="Arial"/>
          <w:lang w:eastAsia="en-US"/>
        </w:rPr>
      </w:pPr>
      <w:r>
        <w:rPr>
          <w:rFonts w:eastAsia="Calibri" w:cs="Arial"/>
          <w:lang w:eastAsia="en-US"/>
        </w:rPr>
        <w:t>The relevant antitrust laws wherever your company operates;</w:t>
      </w:r>
    </w:p>
    <w:p w14:paraId="5986445B" w14:textId="77777777" w:rsidR="00E760EE" w:rsidRDefault="00E760EE" w:rsidP="007E01F0">
      <w:pPr>
        <w:autoSpaceDE w:val="0"/>
        <w:autoSpaceDN w:val="0"/>
        <w:adjustRightInd w:val="0"/>
        <w:spacing w:after="280"/>
        <w:contextualSpacing/>
        <w:jc w:val="both"/>
        <w:rPr>
          <w:rFonts w:eastAsia="Calibri" w:cs="Arial"/>
          <w:lang w:eastAsia="en-US"/>
        </w:rPr>
      </w:pPr>
    </w:p>
    <w:p w14:paraId="2FA6E2B4" w14:textId="56962BDA" w:rsidR="00D3201B" w:rsidRPr="00C838ED" w:rsidRDefault="00C838ED">
      <w:pPr>
        <w:numPr>
          <w:ilvl w:val="0"/>
          <w:numId w:val="7"/>
        </w:numPr>
        <w:autoSpaceDE w:val="0"/>
        <w:autoSpaceDN w:val="0"/>
        <w:adjustRightInd w:val="0"/>
        <w:spacing w:after="280"/>
        <w:ind w:left="851" w:hanging="284"/>
        <w:contextualSpacing/>
        <w:jc w:val="both"/>
        <w:rPr>
          <w:rFonts w:eastAsia="Calibri" w:cs="Arial"/>
          <w:lang w:eastAsia="en-US"/>
        </w:rPr>
      </w:pPr>
      <w:r w:rsidRPr="00460A84">
        <w:rPr>
          <w:rFonts w:eastAsia="Calibri" w:cs="Arial"/>
          <w:lang w:eastAsia="en-US"/>
        </w:rPr>
        <w:t>F</w:t>
      </w:r>
      <w:r w:rsidR="00D3201B" w:rsidRPr="00C838ED">
        <w:rPr>
          <w:rFonts w:eastAsia="Calibri" w:cs="Arial"/>
          <w:lang w:eastAsia="en-US"/>
        </w:rPr>
        <w:t xml:space="preserve">ocus </w:t>
      </w:r>
      <w:r w:rsidRPr="00460A84">
        <w:rPr>
          <w:rFonts w:eastAsia="Calibri" w:cs="Arial"/>
          <w:lang w:eastAsia="en-US"/>
        </w:rPr>
        <w:t xml:space="preserve">of competition agencies and regulations </w:t>
      </w:r>
      <w:r w:rsidR="00D3201B" w:rsidRPr="00C838ED">
        <w:rPr>
          <w:rFonts w:eastAsia="Calibri" w:cs="Arial"/>
          <w:lang w:eastAsia="en-US"/>
        </w:rPr>
        <w:t xml:space="preserve">on </w:t>
      </w:r>
      <w:r w:rsidRPr="00460A84">
        <w:rPr>
          <w:rFonts w:eastAsia="Calibri" w:cs="Arial"/>
          <w:lang w:eastAsia="en-US"/>
        </w:rPr>
        <w:t xml:space="preserve">certain </w:t>
      </w:r>
      <w:r w:rsidR="00D3201B" w:rsidRPr="00C838ED">
        <w:rPr>
          <w:rFonts w:eastAsia="Calibri" w:cs="Arial"/>
          <w:lang w:eastAsia="en-US"/>
        </w:rPr>
        <w:t>types of conduct or industries, e.g., due to a history of collusion in the industry;</w:t>
      </w:r>
    </w:p>
    <w:p w14:paraId="3053D22F" w14:textId="77777777" w:rsidR="00D3201B" w:rsidRPr="00C838ED" w:rsidRDefault="00D3201B" w:rsidP="007E01F0">
      <w:pPr>
        <w:autoSpaceDE w:val="0"/>
        <w:autoSpaceDN w:val="0"/>
        <w:adjustRightInd w:val="0"/>
        <w:spacing w:after="280"/>
        <w:contextualSpacing/>
        <w:jc w:val="both"/>
        <w:rPr>
          <w:rFonts w:eastAsia="Calibri" w:cs="Arial"/>
          <w:lang w:eastAsia="en-US"/>
        </w:rPr>
      </w:pPr>
    </w:p>
    <w:p w14:paraId="1AB310CB" w14:textId="784FB7D3" w:rsidR="00D3201B" w:rsidRPr="00C838ED" w:rsidRDefault="00D3201B">
      <w:pPr>
        <w:numPr>
          <w:ilvl w:val="0"/>
          <w:numId w:val="7"/>
        </w:numPr>
        <w:autoSpaceDE w:val="0"/>
        <w:autoSpaceDN w:val="0"/>
        <w:adjustRightInd w:val="0"/>
        <w:spacing w:after="280"/>
        <w:ind w:left="851" w:hanging="284"/>
        <w:contextualSpacing/>
        <w:jc w:val="both"/>
        <w:rPr>
          <w:rFonts w:eastAsia="Calibri" w:cs="Arial"/>
          <w:lang w:eastAsia="en-US"/>
        </w:rPr>
      </w:pPr>
      <w:r w:rsidRPr="00C838ED">
        <w:rPr>
          <w:rFonts w:eastAsia="Calibri" w:cs="Arial"/>
          <w:lang w:eastAsia="en-US"/>
        </w:rPr>
        <w:t>Past antitrust compliance</w:t>
      </w:r>
      <w:r w:rsidR="00C838ED" w:rsidRPr="00460A84">
        <w:rPr>
          <w:rFonts w:eastAsia="Calibri" w:cs="Arial"/>
          <w:lang w:eastAsia="en-US"/>
        </w:rPr>
        <w:t xml:space="preserve"> of the company</w:t>
      </w:r>
      <w:r w:rsidRPr="00C838ED">
        <w:rPr>
          <w:rFonts w:eastAsia="Calibri" w:cs="Arial"/>
          <w:lang w:eastAsia="en-US"/>
        </w:rPr>
        <w:t>, skill level and industry standards;</w:t>
      </w:r>
    </w:p>
    <w:p w14:paraId="62980CAB" w14:textId="77777777" w:rsidR="00D3201B" w:rsidRPr="00C838ED" w:rsidRDefault="00D3201B" w:rsidP="007E01F0">
      <w:pPr>
        <w:autoSpaceDE w:val="0"/>
        <w:autoSpaceDN w:val="0"/>
        <w:adjustRightInd w:val="0"/>
        <w:spacing w:after="280"/>
        <w:contextualSpacing/>
        <w:jc w:val="both"/>
        <w:rPr>
          <w:rFonts w:eastAsia="Calibri" w:cs="Arial"/>
          <w:lang w:eastAsia="en-US"/>
        </w:rPr>
      </w:pPr>
    </w:p>
    <w:p w14:paraId="7E2ADC8D" w14:textId="5A1D24EF" w:rsidR="00D3201B" w:rsidRPr="00C838ED" w:rsidRDefault="00D3201B">
      <w:pPr>
        <w:numPr>
          <w:ilvl w:val="0"/>
          <w:numId w:val="7"/>
        </w:numPr>
        <w:autoSpaceDE w:val="0"/>
        <w:autoSpaceDN w:val="0"/>
        <w:adjustRightInd w:val="0"/>
        <w:spacing w:after="280"/>
        <w:ind w:left="851" w:hanging="284"/>
        <w:contextualSpacing/>
        <w:jc w:val="both"/>
        <w:rPr>
          <w:rFonts w:eastAsia="Calibri" w:cs="Arial"/>
          <w:lang w:eastAsia="en-US"/>
        </w:rPr>
      </w:pPr>
      <w:r w:rsidRPr="00C838ED">
        <w:rPr>
          <w:rFonts w:eastAsia="Calibri" w:cs="Arial"/>
          <w:lang w:eastAsia="en-US"/>
        </w:rPr>
        <w:t>Sensitive markets that may be higher risk due to concentration levels as opposed to fragmented markets;</w:t>
      </w:r>
    </w:p>
    <w:p w14:paraId="4D5C04A8" w14:textId="77777777" w:rsidR="00D3201B" w:rsidRPr="00C838ED" w:rsidRDefault="00D3201B" w:rsidP="007E01F0">
      <w:pPr>
        <w:autoSpaceDE w:val="0"/>
        <w:autoSpaceDN w:val="0"/>
        <w:adjustRightInd w:val="0"/>
        <w:spacing w:after="280"/>
        <w:contextualSpacing/>
        <w:jc w:val="both"/>
        <w:rPr>
          <w:rFonts w:eastAsia="Calibri" w:cs="Arial"/>
          <w:lang w:eastAsia="en-US"/>
        </w:rPr>
      </w:pPr>
    </w:p>
    <w:p w14:paraId="5E2B8F8D" w14:textId="2B1EBD64" w:rsidR="00D3201B" w:rsidRPr="00C838ED" w:rsidRDefault="00C838ED">
      <w:pPr>
        <w:numPr>
          <w:ilvl w:val="0"/>
          <w:numId w:val="7"/>
        </w:numPr>
        <w:autoSpaceDE w:val="0"/>
        <w:autoSpaceDN w:val="0"/>
        <w:adjustRightInd w:val="0"/>
        <w:spacing w:after="280"/>
        <w:ind w:left="851" w:hanging="284"/>
        <w:contextualSpacing/>
        <w:jc w:val="both"/>
        <w:rPr>
          <w:rFonts w:eastAsia="Calibri" w:cs="Arial"/>
        </w:rPr>
      </w:pPr>
      <w:r w:rsidRPr="00460A84">
        <w:rPr>
          <w:rFonts w:eastAsia="Calibri" w:cs="Arial"/>
          <w:lang w:eastAsia="en-US"/>
        </w:rPr>
        <w:t xml:space="preserve">Expansion </w:t>
      </w:r>
      <w:r w:rsidR="00D3201B" w:rsidRPr="00C838ED">
        <w:rPr>
          <w:rFonts w:eastAsia="Calibri" w:cs="Arial"/>
          <w:lang w:eastAsia="en-US"/>
        </w:rPr>
        <w:t xml:space="preserve">strategies of the company, such as moving into new business areas, </w:t>
      </w:r>
      <w:r w:rsidRPr="00460A84">
        <w:rPr>
          <w:rFonts w:eastAsia="Calibri" w:cs="Arial"/>
          <w:lang w:eastAsia="en-US"/>
        </w:rPr>
        <w:t xml:space="preserve">aggressive pricing </w:t>
      </w:r>
      <w:r w:rsidR="00D3201B" w:rsidRPr="00C838ED">
        <w:rPr>
          <w:rFonts w:eastAsia="Calibri" w:cs="Arial"/>
          <w:lang w:eastAsia="en-US"/>
        </w:rPr>
        <w:t>or expanding the geographic scope of the business;</w:t>
      </w:r>
    </w:p>
    <w:p w14:paraId="482EEAFD" w14:textId="77777777" w:rsidR="00D3201B" w:rsidRPr="00C838ED" w:rsidRDefault="00D3201B" w:rsidP="007E01F0">
      <w:pPr>
        <w:autoSpaceDE w:val="0"/>
        <w:autoSpaceDN w:val="0"/>
        <w:adjustRightInd w:val="0"/>
        <w:spacing w:after="280"/>
        <w:contextualSpacing/>
        <w:jc w:val="both"/>
        <w:rPr>
          <w:rFonts w:eastAsia="Calibri" w:cs="Arial"/>
        </w:rPr>
      </w:pPr>
    </w:p>
    <w:p w14:paraId="4AF9D2C9" w14:textId="77777777" w:rsidR="00D3201B" w:rsidRPr="00C838ED" w:rsidRDefault="00D3201B">
      <w:pPr>
        <w:numPr>
          <w:ilvl w:val="0"/>
          <w:numId w:val="7"/>
        </w:numPr>
        <w:autoSpaceDE w:val="0"/>
        <w:autoSpaceDN w:val="0"/>
        <w:adjustRightInd w:val="0"/>
        <w:spacing w:after="280"/>
        <w:ind w:left="851" w:hanging="284"/>
        <w:contextualSpacing/>
        <w:jc w:val="both"/>
        <w:rPr>
          <w:rFonts w:eastAsia="Calibri" w:cs="Arial"/>
        </w:rPr>
      </w:pPr>
      <w:r w:rsidRPr="00C838ED">
        <w:rPr>
          <w:rFonts w:eastAsia="Calibri" w:cs="Arial"/>
          <w:lang w:eastAsia="en-US"/>
        </w:rPr>
        <w:t>Staff turnover or recruitment from competing businesses;</w:t>
      </w:r>
    </w:p>
    <w:p w14:paraId="6D1851EB" w14:textId="77777777" w:rsidR="00D3201B" w:rsidRPr="00C838ED" w:rsidRDefault="00D3201B" w:rsidP="007E01F0">
      <w:pPr>
        <w:autoSpaceDE w:val="0"/>
        <w:autoSpaceDN w:val="0"/>
        <w:adjustRightInd w:val="0"/>
        <w:spacing w:after="280"/>
        <w:contextualSpacing/>
        <w:jc w:val="both"/>
        <w:rPr>
          <w:rFonts w:eastAsia="Calibri" w:cs="Arial"/>
        </w:rPr>
      </w:pPr>
    </w:p>
    <w:p w14:paraId="590B8999" w14:textId="555473A1" w:rsidR="00D3201B" w:rsidRPr="00C838ED" w:rsidRDefault="00C838ED">
      <w:pPr>
        <w:numPr>
          <w:ilvl w:val="0"/>
          <w:numId w:val="7"/>
        </w:numPr>
        <w:autoSpaceDE w:val="0"/>
        <w:autoSpaceDN w:val="0"/>
        <w:adjustRightInd w:val="0"/>
        <w:spacing w:after="280"/>
        <w:ind w:left="851" w:hanging="284"/>
        <w:contextualSpacing/>
        <w:jc w:val="both"/>
        <w:rPr>
          <w:rFonts w:eastAsia="Calibri" w:cs="Arial"/>
          <w:lang w:eastAsia="en-US"/>
        </w:rPr>
      </w:pPr>
      <w:r w:rsidRPr="00460A84">
        <w:rPr>
          <w:rFonts w:eastAsia="Calibri" w:cs="Arial"/>
          <w:lang w:eastAsia="en-US"/>
        </w:rPr>
        <w:t>I</w:t>
      </w:r>
      <w:r w:rsidR="00D3201B" w:rsidRPr="00C838ED">
        <w:rPr>
          <w:rFonts w:eastAsia="Calibri" w:cs="Arial"/>
          <w:lang w:eastAsia="en-US"/>
        </w:rPr>
        <w:t xml:space="preserve">nteractions with competitors (such as at trade associations, industry events or through joint ventures);  </w:t>
      </w:r>
    </w:p>
    <w:p w14:paraId="1A53BE5E" w14:textId="77777777" w:rsidR="00D3201B" w:rsidRPr="00D3201B" w:rsidRDefault="00D3201B" w:rsidP="00D3201B">
      <w:pPr>
        <w:tabs>
          <w:tab w:val="num" w:pos="720"/>
        </w:tabs>
        <w:autoSpaceDE w:val="0"/>
        <w:autoSpaceDN w:val="0"/>
        <w:adjustRightInd w:val="0"/>
        <w:spacing w:after="0"/>
        <w:rPr>
          <w:rFonts w:cs="Arial"/>
          <w:b/>
          <w:lang w:eastAsia="en-US"/>
        </w:rPr>
      </w:pPr>
    </w:p>
    <w:p w14:paraId="327F1090" w14:textId="18C8717A" w:rsidR="00D3201B" w:rsidRPr="00E735AF" w:rsidRDefault="00D3201B" w:rsidP="007E01F0">
      <w:pPr>
        <w:tabs>
          <w:tab w:val="num" w:pos="720"/>
        </w:tabs>
        <w:autoSpaceDE w:val="0"/>
        <w:autoSpaceDN w:val="0"/>
        <w:adjustRightInd w:val="0"/>
        <w:spacing w:after="280"/>
        <w:jc w:val="both"/>
        <w:rPr>
          <w:rFonts w:cs="Arial"/>
          <w:lang w:eastAsia="en-US"/>
        </w:rPr>
      </w:pPr>
      <w:r w:rsidRPr="00D3201B">
        <w:rPr>
          <w:rFonts w:cs="Arial"/>
          <w:b/>
          <w:bCs/>
          <w:lang w:eastAsia="en-US"/>
        </w:rPr>
        <w:t xml:space="preserve">The impact </w:t>
      </w:r>
      <w:r w:rsidR="00C838ED">
        <w:rPr>
          <w:rFonts w:cs="Arial"/>
          <w:b/>
          <w:bCs/>
          <w:lang w:eastAsia="en-US"/>
        </w:rPr>
        <w:t xml:space="preserve">and assessment </w:t>
      </w:r>
      <w:r w:rsidRPr="00D3201B">
        <w:rPr>
          <w:rFonts w:cs="Arial"/>
          <w:b/>
          <w:bCs/>
          <w:lang w:eastAsia="en-US"/>
        </w:rPr>
        <w:t>of relevant risks</w:t>
      </w:r>
      <w:r w:rsidRPr="00E735AF">
        <w:rPr>
          <w:rFonts w:cs="Arial"/>
          <w:b/>
          <w:bCs/>
          <w:lang w:eastAsia="en-US"/>
        </w:rPr>
        <w:t xml:space="preserve"> </w:t>
      </w:r>
      <w:r w:rsidR="00C838ED">
        <w:rPr>
          <w:rFonts w:cs="Arial"/>
          <w:lang w:eastAsia="en-US"/>
        </w:rPr>
        <w:t xml:space="preserve">must include </w:t>
      </w:r>
      <w:r w:rsidRPr="00E735AF">
        <w:rPr>
          <w:rFonts w:cs="Arial"/>
          <w:lang w:eastAsia="en-US"/>
        </w:rPr>
        <w:t>negative reputational impact, corporate fines, damages claims, resources bound due to antitrust investigations, legal fees, nullity of anti</w:t>
      </w:r>
      <w:r w:rsidR="003C14DE">
        <w:rPr>
          <w:rFonts w:cs="Arial"/>
          <w:lang w:eastAsia="en-US"/>
        </w:rPr>
        <w:t>-</w:t>
      </w:r>
      <w:r w:rsidRPr="00E735AF">
        <w:rPr>
          <w:rFonts w:cs="Arial"/>
          <w:lang w:eastAsia="en-US"/>
        </w:rPr>
        <w:t>competitive clauses or agreements, and personal sanctions for managers and employees.</w:t>
      </w:r>
    </w:p>
    <w:p w14:paraId="2FE76C2C" w14:textId="77777777" w:rsidR="00D3201B" w:rsidRPr="00D3201B" w:rsidRDefault="00D3201B" w:rsidP="007D22E9">
      <w:pPr>
        <w:pStyle w:val="OUTLINEAL2"/>
      </w:pPr>
      <w:bookmarkStart w:id="53" w:name="_Toc166512645"/>
      <w:bookmarkStart w:id="54" w:name="_Toc166513103"/>
      <w:bookmarkStart w:id="55" w:name="_Toc166747892"/>
      <w:r w:rsidRPr="00D3201B">
        <w:t>Introducing or improving control points</w:t>
      </w:r>
      <w:bookmarkEnd w:id="53"/>
      <w:bookmarkEnd w:id="54"/>
      <w:bookmarkEnd w:id="55"/>
    </w:p>
    <w:p w14:paraId="6A5C56C3" w14:textId="5CB61036" w:rsidR="00D3201B" w:rsidRPr="00D3201B" w:rsidRDefault="00D3201B" w:rsidP="007E01F0">
      <w:pPr>
        <w:autoSpaceDE w:val="0"/>
        <w:autoSpaceDN w:val="0"/>
        <w:adjustRightInd w:val="0"/>
        <w:spacing w:after="280"/>
        <w:contextualSpacing/>
        <w:jc w:val="both"/>
        <w:rPr>
          <w:rFonts w:eastAsia="Calibri" w:cs="Arial"/>
          <w:lang w:eastAsia="en-US"/>
        </w:rPr>
      </w:pPr>
      <w:r w:rsidRPr="00D3201B">
        <w:rPr>
          <w:rFonts w:eastAsia="Calibri" w:cs="Arial"/>
          <w:lang w:eastAsia="en-US"/>
        </w:rPr>
        <w:t xml:space="preserve">Internal controls are processes designed to provide </w:t>
      </w:r>
      <w:r w:rsidRPr="00D3201B">
        <w:rPr>
          <w:rFonts w:eastAsia="Calibri" w:cs="Arial"/>
          <w:b/>
          <w:lang w:eastAsia="en-US"/>
        </w:rPr>
        <w:t>reasonable assurance</w:t>
      </w:r>
      <w:r w:rsidRPr="00D3201B">
        <w:rPr>
          <w:rFonts w:eastAsia="Calibri" w:cs="Arial"/>
          <w:lang w:eastAsia="en-US"/>
        </w:rPr>
        <w:t xml:space="preserve"> for risk mitigation </w:t>
      </w:r>
      <w:r w:rsidR="00AF615F">
        <w:rPr>
          <w:rFonts w:eastAsia="Calibri" w:cs="Arial"/>
          <w:lang w:eastAsia="en-US"/>
        </w:rPr>
        <w:t>and</w:t>
      </w:r>
      <w:r w:rsidRPr="00D3201B">
        <w:rPr>
          <w:rFonts w:eastAsia="Calibri" w:cs="Arial"/>
          <w:lang w:eastAsia="en-US"/>
        </w:rPr>
        <w:t xml:space="preserve"> compliance with applicable antitrust laws.  They involve </w:t>
      </w:r>
      <w:r w:rsidRPr="00D3201B">
        <w:rPr>
          <w:rFonts w:eastAsia="Calibri" w:cs="Arial"/>
          <w:b/>
        </w:rPr>
        <w:t>ongoing</w:t>
      </w:r>
      <w:r w:rsidRPr="00D3201B">
        <w:rPr>
          <w:rFonts w:eastAsia="Calibri" w:cs="Arial"/>
          <w:b/>
          <w:lang w:eastAsia="en-US"/>
        </w:rPr>
        <w:t xml:space="preserve"> tasks and activities (controls)</w:t>
      </w:r>
      <w:r w:rsidRPr="00D3201B">
        <w:rPr>
          <w:rFonts w:eastAsia="Calibri" w:cs="Arial"/>
          <w:lang w:eastAsia="en-US"/>
        </w:rPr>
        <w:t xml:space="preserve">, implemented by a company’s employees at various levels and designed meaningfully to reduce the likelihood of problematic conduct, but are unlikely to eliminate risks completely. </w:t>
      </w:r>
    </w:p>
    <w:p w14:paraId="72AF07C7" w14:textId="77777777" w:rsidR="00D3201B" w:rsidRPr="00D3201B" w:rsidRDefault="00D3201B" w:rsidP="007E01F0">
      <w:pPr>
        <w:autoSpaceDE w:val="0"/>
        <w:autoSpaceDN w:val="0"/>
        <w:adjustRightInd w:val="0"/>
        <w:spacing w:after="280"/>
        <w:contextualSpacing/>
        <w:jc w:val="both"/>
        <w:rPr>
          <w:rFonts w:eastAsia="Calibri" w:cs="Arial"/>
          <w:i/>
          <w:lang w:eastAsia="en-US"/>
        </w:rPr>
      </w:pPr>
    </w:p>
    <w:p w14:paraId="3FCA413F" w14:textId="17328D50" w:rsidR="00D3201B" w:rsidRPr="00D3201B" w:rsidRDefault="00AF615F" w:rsidP="007E01F0">
      <w:pPr>
        <w:autoSpaceDE w:val="0"/>
        <w:autoSpaceDN w:val="0"/>
        <w:adjustRightInd w:val="0"/>
        <w:spacing w:after="280"/>
        <w:contextualSpacing/>
        <w:jc w:val="both"/>
        <w:rPr>
          <w:rFonts w:eastAsia="Calibri" w:cs="Arial"/>
        </w:rPr>
      </w:pPr>
      <w:r>
        <w:rPr>
          <w:rFonts w:eastAsia="Calibri" w:cs="Arial"/>
          <w:lang w:eastAsia="en-US"/>
        </w:rPr>
        <w:t>In this view</w:t>
      </w:r>
      <w:r w:rsidR="009450BE">
        <w:rPr>
          <w:rFonts w:eastAsia="Calibri" w:cs="Arial"/>
        </w:rPr>
        <w:t xml:space="preserve">, </w:t>
      </w:r>
      <w:r w:rsidR="00D3201B" w:rsidRPr="00D3201B">
        <w:rPr>
          <w:rFonts w:eastAsia="Calibri" w:cs="Arial"/>
        </w:rPr>
        <w:t xml:space="preserve">employees </w:t>
      </w:r>
      <w:r>
        <w:rPr>
          <w:rFonts w:eastAsia="Calibri" w:cs="Arial"/>
        </w:rPr>
        <w:t xml:space="preserve">should be </w:t>
      </w:r>
      <w:r w:rsidR="00D3201B" w:rsidRPr="00D3201B">
        <w:rPr>
          <w:rFonts w:eastAsia="Calibri" w:cs="Arial"/>
        </w:rPr>
        <w:t xml:space="preserve">exposed to a combination of compliance handbooks, training courses, awareness actions for top management and employees, business alerts, internal checks or registers and other business partnering activities of consultancy in direct contact with the business. </w:t>
      </w:r>
    </w:p>
    <w:p w14:paraId="4D35F3B7" w14:textId="77777777" w:rsidR="00D3201B" w:rsidRPr="00D3201B" w:rsidRDefault="00D3201B" w:rsidP="00D3201B">
      <w:pPr>
        <w:autoSpaceDE w:val="0"/>
        <w:autoSpaceDN w:val="0"/>
        <w:adjustRightInd w:val="0"/>
        <w:spacing w:after="280"/>
        <w:contextualSpacing/>
        <w:rPr>
          <w:rFonts w:eastAsia="Calibri" w:cs="Arial"/>
        </w:rPr>
      </w:pPr>
      <w:r w:rsidRPr="00D3201B">
        <w:rPr>
          <w:rFonts w:eastAsia="Calibri" w:cs="Arial"/>
        </w:rPr>
        <w:t xml:space="preserve"> </w:t>
      </w:r>
    </w:p>
    <w:p w14:paraId="29D3878D" w14:textId="77777777" w:rsidR="00D3201B" w:rsidRPr="00D3201B" w:rsidRDefault="00D3201B" w:rsidP="007E01F0">
      <w:pPr>
        <w:spacing w:after="280"/>
        <w:jc w:val="both"/>
        <w:rPr>
          <w:rFonts w:cs="Arial"/>
        </w:rPr>
      </w:pPr>
      <w:r w:rsidRPr="00D3201B">
        <w:rPr>
          <w:rFonts w:cs="Arial"/>
        </w:rPr>
        <w:t xml:space="preserve">For example, if your company wishes to introduce </w:t>
      </w:r>
      <w:r w:rsidRPr="00D3201B">
        <w:rPr>
          <w:rFonts w:cs="Arial"/>
          <w:b/>
        </w:rPr>
        <w:t>controls specifically designed</w:t>
      </w:r>
      <w:r w:rsidRPr="00D3201B">
        <w:rPr>
          <w:rFonts w:cs="Arial"/>
        </w:rPr>
        <w:t xml:space="preserve"> to address risks associated with </w:t>
      </w:r>
      <w:r w:rsidRPr="00D3201B">
        <w:rPr>
          <w:rFonts w:cs="Arial"/>
          <w:b/>
        </w:rPr>
        <w:t xml:space="preserve">taking part in industry events </w:t>
      </w:r>
      <w:r w:rsidRPr="00D3201B">
        <w:rPr>
          <w:rFonts w:cs="Arial"/>
        </w:rPr>
        <w:t>(such as trade associations, industry conferences and other events), these may involve:</w:t>
      </w:r>
    </w:p>
    <w:p w14:paraId="3303FE6C" w14:textId="031E7BC1" w:rsidR="00D3201B" w:rsidRPr="00D3201B" w:rsidRDefault="00D3201B">
      <w:pPr>
        <w:numPr>
          <w:ilvl w:val="0"/>
          <w:numId w:val="8"/>
        </w:numPr>
        <w:spacing w:after="280"/>
        <w:ind w:left="851" w:hanging="284"/>
        <w:contextualSpacing/>
        <w:jc w:val="both"/>
        <w:rPr>
          <w:rFonts w:eastAsia="Calibri" w:cs="Arial"/>
        </w:rPr>
      </w:pPr>
      <w:r w:rsidRPr="00D3201B">
        <w:rPr>
          <w:rFonts w:eastAsia="Calibri" w:cs="Arial"/>
        </w:rPr>
        <w:lastRenderedPageBreak/>
        <w:t>Guidance materials in the form of antitrust policies, standards, training leaflets or e-learning</w:t>
      </w:r>
      <w:r w:rsidR="00A93B4B">
        <w:rPr>
          <w:rFonts w:eastAsia="Calibri" w:cs="Arial"/>
        </w:rPr>
        <w:t>s</w:t>
      </w:r>
      <w:r w:rsidRPr="00D3201B">
        <w:rPr>
          <w:rFonts w:eastAsia="Calibri" w:cs="Arial"/>
        </w:rPr>
        <w:t>;</w:t>
      </w:r>
    </w:p>
    <w:p w14:paraId="3B4432AD" w14:textId="77777777" w:rsidR="00D3201B" w:rsidRPr="00D3201B" w:rsidRDefault="00D3201B" w:rsidP="007E01F0">
      <w:pPr>
        <w:spacing w:after="280"/>
        <w:ind w:left="851" w:hanging="284"/>
        <w:contextualSpacing/>
        <w:jc w:val="both"/>
        <w:rPr>
          <w:rFonts w:eastAsia="Calibri" w:cs="Arial"/>
        </w:rPr>
      </w:pPr>
    </w:p>
    <w:p w14:paraId="4258EE97" w14:textId="77777777" w:rsidR="00D3201B" w:rsidRPr="00D3201B" w:rsidRDefault="00D3201B">
      <w:pPr>
        <w:numPr>
          <w:ilvl w:val="0"/>
          <w:numId w:val="8"/>
        </w:numPr>
        <w:spacing w:after="280"/>
        <w:ind w:left="851" w:hanging="284"/>
        <w:contextualSpacing/>
        <w:jc w:val="both"/>
        <w:rPr>
          <w:rFonts w:eastAsia="Calibri" w:cs="Arial"/>
        </w:rPr>
      </w:pPr>
      <w:r w:rsidRPr="00D3201B">
        <w:rPr>
          <w:rFonts w:eastAsia="Calibri" w:cs="Arial"/>
        </w:rPr>
        <w:t>Specific procedures and controls such as requirements to secure prior line manager approval (and perhaps even to register attendance in an internal database);</w:t>
      </w:r>
    </w:p>
    <w:p w14:paraId="68C5E53A" w14:textId="77777777" w:rsidR="00D3201B" w:rsidRPr="00D3201B" w:rsidRDefault="00D3201B" w:rsidP="007E01F0">
      <w:pPr>
        <w:spacing w:after="280"/>
        <w:ind w:left="851" w:hanging="284"/>
        <w:contextualSpacing/>
        <w:jc w:val="both"/>
        <w:rPr>
          <w:rFonts w:eastAsia="Calibri" w:cs="Arial"/>
        </w:rPr>
      </w:pPr>
    </w:p>
    <w:p w14:paraId="0AF7E220" w14:textId="77777777" w:rsidR="00D3201B" w:rsidRPr="00D3201B" w:rsidRDefault="00D3201B">
      <w:pPr>
        <w:numPr>
          <w:ilvl w:val="0"/>
          <w:numId w:val="8"/>
        </w:numPr>
        <w:spacing w:after="280"/>
        <w:ind w:left="851" w:hanging="284"/>
        <w:contextualSpacing/>
        <w:jc w:val="both"/>
        <w:rPr>
          <w:rFonts w:eastAsia="Calibri" w:cs="Arial"/>
        </w:rPr>
      </w:pPr>
      <w:r w:rsidRPr="00D3201B">
        <w:rPr>
          <w:rFonts w:eastAsia="Calibri" w:cs="Arial"/>
        </w:rPr>
        <w:t>Record-keeping duties around meetings (for example, keeping records of agendas and minutes, if relevant).</w:t>
      </w:r>
    </w:p>
    <w:p w14:paraId="62AAA95C" w14:textId="77777777" w:rsidR="00D3201B" w:rsidRPr="00D3201B" w:rsidRDefault="00D3201B" w:rsidP="00D3201B">
      <w:pPr>
        <w:spacing w:after="280"/>
        <w:contextualSpacing/>
        <w:rPr>
          <w:rFonts w:eastAsia="Calibri" w:cs="Arial"/>
        </w:rPr>
      </w:pPr>
    </w:p>
    <w:p w14:paraId="76E4B68F" w14:textId="77777777" w:rsidR="00D3201B" w:rsidRPr="00D3201B" w:rsidRDefault="00D3201B" w:rsidP="007D22E9">
      <w:pPr>
        <w:pStyle w:val="OUTLINEAL2"/>
      </w:pPr>
      <w:bookmarkStart w:id="56" w:name="_Toc166512646"/>
      <w:bookmarkStart w:id="57" w:name="_Toc166513104"/>
      <w:bookmarkStart w:id="58" w:name="_Toc166747893"/>
      <w:r w:rsidRPr="00D3201B">
        <w:t>Effectiveness of control points</w:t>
      </w:r>
      <w:bookmarkEnd w:id="56"/>
      <w:bookmarkEnd w:id="57"/>
      <w:bookmarkEnd w:id="58"/>
    </w:p>
    <w:p w14:paraId="0FCB5213" w14:textId="77777777" w:rsidR="00D3201B" w:rsidRPr="00D3201B" w:rsidRDefault="00D3201B" w:rsidP="007E01F0">
      <w:pPr>
        <w:spacing w:after="280"/>
        <w:jc w:val="both"/>
        <w:rPr>
          <w:rFonts w:cs="Arial"/>
        </w:rPr>
      </w:pPr>
      <w:r w:rsidRPr="00D3201B">
        <w:rPr>
          <w:rFonts w:cs="Arial"/>
        </w:rPr>
        <w:t>A robust antitrust compliance programme that successfully embeds a strong company culture to “do the right thing” should significantly reduce or mitigate antitrust risks through:</w:t>
      </w:r>
    </w:p>
    <w:p w14:paraId="061860A6" w14:textId="5D2A0498" w:rsidR="00D3201B" w:rsidRPr="00D3201B" w:rsidRDefault="00D3201B">
      <w:pPr>
        <w:numPr>
          <w:ilvl w:val="1"/>
          <w:numId w:val="9"/>
        </w:numPr>
        <w:spacing w:after="280"/>
        <w:ind w:left="851" w:hanging="284"/>
        <w:jc w:val="both"/>
        <w:rPr>
          <w:rFonts w:cs="Arial"/>
        </w:rPr>
      </w:pPr>
      <w:r w:rsidRPr="00D3201B">
        <w:rPr>
          <w:rFonts w:cs="Arial"/>
        </w:rPr>
        <w:t xml:space="preserve">Raised awareness of </w:t>
      </w:r>
      <w:r w:rsidR="00C84BFE">
        <w:rPr>
          <w:rFonts w:cs="Arial"/>
        </w:rPr>
        <w:t>unlawful</w:t>
      </w:r>
      <w:r w:rsidR="00B76877">
        <w:rPr>
          <w:rFonts w:cs="Arial"/>
        </w:rPr>
        <w:t xml:space="preserve"> antitrust</w:t>
      </w:r>
      <w:r w:rsidR="00C84BFE">
        <w:rPr>
          <w:rFonts w:cs="Arial"/>
        </w:rPr>
        <w:t xml:space="preserve"> </w:t>
      </w:r>
      <w:r w:rsidRPr="00D3201B">
        <w:rPr>
          <w:rFonts w:cs="Arial"/>
        </w:rPr>
        <w:t>behaviour;</w:t>
      </w:r>
    </w:p>
    <w:p w14:paraId="70406731" w14:textId="77777777" w:rsidR="00D3201B" w:rsidRPr="00D3201B" w:rsidRDefault="00D3201B">
      <w:pPr>
        <w:numPr>
          <w:ilvl w:val="1"/>
          <w:numId w:val="9"/>
        </w:numPr>
        <w:spacing w:after="280"/>
        <w:ind w:left="851" w:hanging="284"/>
        <w:jc w:val="both"/>
        <w:rPr>
          <w:rFonts w:cs="Arial"/>
        </w:rPr>
      </w:pPr>
      <w:r w:rsidRPr="00D3201B">
        <w:rPr>
          <w:rFonts w:cs="Arial"/>
        </w:rPr>
        <w:t>Early detection and resolution of antitrust issues;</w:t>
      </w:r>
    </w:p>
    <w:p w14:paraId="71C3A70D" w14:textId="593F8216" w:rsidR="00D3201B" w:rsidRPr="00D3201B" w:rsidRDefault="00D3201B">
      <w:pPr>
        <w:numPr>
          <w:ilvl w:val="1"/>
          <w:numId w:val="9"/>
        </w:numPr>
        <w:spacing w:after="280"/>
        <w:ind w:left="851" w:hanging="284"/>
        <w:jc w:val="both"/>
        <w:rPr>
          <w:rFonts w:cs="Arial"/>
        </w:rPr>
      </w:pPr>
      <w:r w:rsidRPr="00D3201B">
        <w:rPr>
          <w:rFonts w:cs="Arial"/>
        </w:rPr>
        <w:t>Potentially lower fines and reduced adverse reputational impact (bad publicity</w:t>
      </w:r>
      <w:r w:rsidR="00B76877">
        <w:rPr>
          <w:rFonts w:cs="Arial"/>
        </w:rPr>
        <w:t xml:space="preserve"> and negative effect on share price / loss of investor confidence</w:t>
      </w:r>
      <w:r w:rsidRPr="00D3201B">
        <w:rPr>
          <w:rFonts w:cs="Arial"/>
        </w:rPr>
        <w:t xml:space="preserve">) in the event of non-compliance; </w:t>
      </w:r>
    </w:p>
    <w:p w14:paraId="79EC9F6C" w14:textId="746E7BED" w:rsidR="00D3201B" w:rsidRDefault="00D3201B">
      <w:pPr>
        <w:numPr>
          <w:ilvl w:val="1"/>
          <w:numId w:val="9"/>
        </w:numPr>
        <w:spacing w:after="280"/>
        <w:ind w:left="851" w:hanging="284"/>
        <w:jc w:val="both"/>
        <w:rPr>
          <w:rFonts w:cs="Arial"/>
        </w:rPr>
      </w:pPr>
      <w:r w:rsidRPr="00D3201B">
        <w:rPr>
          <w:rFonts w:cs="Arial"/>
        </w:rPr>
        <w:t>Increased opportunities to benefit from antitrust (agency) leniency programmes</w:t>
      </w:r>
      <w:r w:rsidR="00454FEC">
        <w:rPr>
          <w:rFonts w:cs="Arial"/>
        </w:rPr>
        <w:t xml:space="preserve"> </w:t>
      </w:r>
      <w:r w:rsidR="00C737D6">
        <w:rPr>
          <w:rFonts w:cs="Arial"/>
        </w:rPr>
        <w:t>and</w:t>
      </w:r>
    </w:p>
    <w:p w14:paraId="65186021" w14:textId="56790D7F" w:rsidR="00454FEC" w:rsidRPr="00D3201B" w:rsidRDefault="00454FEC">
      <w:pPr>
        <w:numPr>
          <w:ilvl w:val="1"/>
          <w:numId w:val="9"/>
        </w:numPr>
        <w:spacing w:after="280"/>
        <w:ind w:left="851" w:hanging="284"/>
        <w:jc w:val="both"/>
        <w:rPr>
          <w:rFonts w:cs="Arial"/>
        </w:rPr>
      </w:pPr>
      <w:r>
        <w:rPr>
          <w:rFonts w:cs="Arial"/>
        </w:rPr>
        <w:t>The ability to recruit and retain talented staff that want to work for an ethical company</w:t>
      </w:r>
      <w:r w:rsidR="00F173DB">
        <w:rPr>
          <w:rFonts w:cs="Arial"/>
        </w:rPr>
        <w:t>.</w:t>
      </w:r>
    </w:p>
    <w:p w14:paraId="05ACDC43" w14:textId="4D952F8E" w:rsidR="00D3201B" w:rsidRPr="00D3201B" w:rsidRDefault="00D3201B" w:rsidP="007E01F0">
      <w:pPr>
        <w:spacing w:after="280"/>
        <w:jc w:val="both"/>
        <w:rPr>
          <w:rFonts w:cs="Arial"/>
        </w:rPr>
      </w:pPr>
      <w:r w:rsidRPr="00D3201B">
        <w:rPr>
          <w:rFonts w:cs="Arial"/>
        </w:rPr>
        <w:t xml:space="preserve">To measure this and take stock of </w:t>
      </w:r>
      <w:r w:rsidR="0006099E">
        <w:rPr>
          <w:rFonts w:cs="Arial"/>
        </w:rPr>
        <w:t>potential</w:t>
      </w:r>
      <w:r w:rsidRPr="00D3201B">
        <w:rPr>
          <w:rFonts w:cs="Arial"/>
        </w:rPr>
        <w:t xml:space="preserve"> risk, you can consider the following:</w:t>
      </w:r>
    </w:p>
    <w:p w14:paraId="538AAAB7" w14:textId="26087C8F" w:rsidR="00D3201B" w:rsidRPr="00D3201B" w:rsidRDefault="00D3201B">
      <w:pPr>
        <w:numPr>
          <w:ilvl w:val="0"/>
          <w:numId w:val="10"/>
        </w:numPr>
        <w:spacing w:after="280"/>
        <w:ind w:left="851" w:hanging="284"/>
        <w:contextualSpacing/>
        <w:jc w:val="both"/>
        <w:rPr>
          <w:rFonts w:eastAsia="Calibri" w:cs="Arial"/>
        </w:rPr>
      </w:pPr>
      <w:r w:rsidRPr="00D3201B">
        <w:rPr>
          <w:rFonts w:eastAsia="Calibri" w:cs="Arial"/>
        </w:rPr>
        <w:t>Does a</w:t>
      </w:r>
      <w:r w:rsidR="0006099E">
        <w:rPr>
          <w:rFonts w:eastAsia="Calibri" w:cs="Arial"/>
        </w:rPr>
        <w:t>n appropriate</w:t>
      </w:r>
      <w:r w:rsidRPr="00D3201B">
        <w:rPr>
          <w:rFonts w:eastAsia="Calibri" w:cs="Arial"/>
        </w:rPr>
        <w:t xml:space="preserve"> control exist?</w:t>
      </w:r>
      <w:r w:rsidR="0004564B">
        <w:rPr>
          <w:rFonts w:eastAsia="Calibri" w:cs="Arial"/>
        </w:rPr>
        <w:t xml:space="preserve"> (this could include a Code of Conduct, messages from ma</w:t>
      </w:r>
      <w:r w:rsidR="00187049">
        <w:rPr>
          <w:rFonts w:eastAsia="Calibri" w:cs="Arial"/>
        </w:rPr>
        <w:t>na</w:t>
      </w:r>
      <w:r w:rsidR="0004564B">
        <w:rPr>
          <w:rFonts w:eastAsia="Calibri" w:cs="Arial"/>
        </w:rPr>
        <w:t>gement, a</w:t>
      </w:r>
      <w:r w:rsidR="00187049">
        <w:rPr>
          <w:rFonts w:eastAsia="Calibri" w:cs="Arial"/>
        </w:rPr>
        <w:t xml:space="preserve"> properly executed and documented training plan etc);</w:t>
      </w:r>
    </w:p>
    <w:p w14:paraId="3764971E" w14:textId="77777777" w:rsidR="00D3201B" w:rsidRPr="00D3201B" w:rsidRDefault="00D3201B" w:rsidP="007E01F0">
      <w:pPr>
        <w:ind w:left="851" w:hanging="284"/>
        <w:contextualSpacing/>
        <w:jc w:val="both"/>
        <w:rPr>
          <w:rFonts w:eastAsia="Calibri" w:cs="Arial"/>
        </w:rPr>
      </w:pPr>
    </w:p>
    <w:p w14:paraId="290621C2" w14:textId="77777777" w:rsidR="00D3201B" w:rsidRPr="00D3201B" w:rsidRDefault="00D3201B">
      <w:pPr>
        <w:numPr>
          <w:ilvl w:val="0"/>
          <w:numId w:val="10"/>
        </w:numPr>
        <w:spacing w:after="280"/>
        <w:ind w:left="851" w:hanging="284"/>
        <w:contextualSpacing/>
        <w:jc w:val="both"/>
        <w:rPr>
          <w:rFonts w:eastAsia="Calibri" w:cs="Arial"/>
        </w:rPr>
      </w:pPr>
      <w:r w:rsidRPr="00D3201B">
        <w:rPr>
          <w:rFonts w:eastAsia="Calibri" w:cs="Arial"/>
        </w:rPr>
        <w:t>How is the control articulated (is it clear and unambiguous)?</w:t>
      </w:r>
    </w:p>
    <w:p w14:paraId="6B49CA5E" w14:textId="77777777" w:rsidR="00D3201B" w:rsidRPr="00D3201B" w:rsidRDefault="00D3201B" w:rsidP="00D3201B">
      <w:pPr>
        <w:spacing w:after="280"/>
        <w:ind w:left="851" w:hanging="284"/>
        <w:contextualSpacing/>
        <w:rPr>
          <w:rFonts w:eastAsia="Calibri" w:cs="Arial"/>
        </w:rPr>
      </w:pPr>
    </w:p>
    <w:p w14:paraId="08E56F83" w14:textId="77777777" w:rsidR="00D3201B" w:rsidRPr="00D3201B" w:rsidRDefault="00D3201B">
      <w:pPr>
        <w:numPr>
          <w:ilvl w:val="0"/>
          <w:numId w:val="10"/>
        </w:numPr>
        <w:spacing w:after="280"/>
        <w:ind w:left="851" w:hanging="284"/>
        <w:contextualSpacing/>
        <w:jc w:val="both"/>
        <w:rPr>
          <w:rFonts w:eastAsia="Calibri" w:cs="Arial"/>
        </w:rPr>
      </w:pPr>
      <w:r w:rsidRPr="00D3201B">
        <w:rPr>
          <w:rFonts w:eastAsia="Calibri" w:cs="Arial"/>
        </w:rPr>
        <w:t>Is control documentation readily available and regularly updated?</w:t>
      </w:r>
    </w:p>
    <w:p w14:paraId="64F3B5B3" w14:textId="77777777" w:rsidR="00D3201B" w:rsidRPr="00D3201B" w:rsidRDefault="00D3201B" w:rsidP="007E01F0">
      <w:pPr>
        <w:spacing w:after="280"/>
        <w:ind w:left="851" w:hanging="284"/>
        <w:contextualSpacing/>
        <w:jc w:val="both"/>
        <w:rPr>
          <w:rFonts w:eastAsia="Calibri" w:cs="Arial"/>
        </w:rPr>
      </w:pPr>
    </w:p>
    <w:p w14:paraId="748E8E4F" w14:textId="77777777" w:rsidR="00D3201B" w:rsidRPr="00D3201B" w:rsidRDefault="00D3201B">
      <w:pPr>
        <w:numPr>
          <w:ilvl w:val="0"/>
          <w:numId w:val="10"/>
        </w:numPr>
        <w:spacing w:after="280"/>
        <w:ind w:left="851" w:hanging="284"/>
        <w:contextualSpacing/>
        <w:jc w:val="both"/>
        <w:rPr>
          <w:rFonts w:eastAsia="Calibri" w:cs="Arial"/>
        </w:rPr>
      </w:pPr>
      <w:r w:rsidRPr="00D3201B">
        <w:rPr>
          <w:rFonts w:eastAsia="Calibri" w:cs="Arial"/>
        </w:rPr>
        <w:t>How are individuals made aware of the control?</w:t>
      </w:r>
    </w:p>
    <w:p w14:paraId="1BF65753" w14:textId="77777777" w:rsidR="00D3201B" w:rsidRPr="00D3201B" w:rsidRDefault="00D3201B" w:rsidP="007E01F0">
      <w:pPr>
        <w:ind w:left="851" w:hanging="284"/>
        <w:contextualSpacing/>
        <w:jc w:val="both"/>
        <w:rPr>
          <w:rFonts w:eastAsia="Calibri" w:cs="Arial"/>
        </w:rPr>
      </w:pPr>
    </w:p>
    <w:p w14:paraId="5480D0E9" w14:textId="592343BF" w:rsidR="00D3201B" w:rsidRPr="00D3201B" w:rsidRDefault="00D3201B">
      <w:pPr>
        <w:numPr>
          <w:ilvl w:val="0"/>
          <w:numId w:val="10"/>
        </w:numPr>
        <w:spacing w:after="280"/>
        <w:ind w:left="851" w:hanging="284"/>
        <w:contextualSpacing/>
        <w:jc w:val="both"/>
        <w:rPr>
          <w:rFonts w:eastAsia="Calibri" w:cs="Arial"/>
        </w:rPr>
      </w:pPr>
      <w:r w:rsidRPr="00D3201B">
        <w:rPr>
          <w:rFonts w:eastAsia="Calibri" w:cs="Arial"/>
        </w:rPr>
        <w:t>What is the “hit rate” (for example the percentage of target audience successfully trained)?</w:t>
      </w:r>
      <w:r w:rsidR="0014541D">
        <w:rPr>
          <w:rFonts w:eastAsia="Calibri" w:cs="Arial"/>
        </w:rPr>
        <w:t xml:space="preserve"> It should also track those not trained and find out why not.</w:t>
      </w:r>
    </w:p>
    <w:p w14:paraId="6CDB589A" w14:textId="77777777" w:rsidR="00D3201B" w:rsidRPr="00D3201B" w:rsidRDefault="00D3201B" w:rsidP="007E01F0">
      <w:pPr>
        <w:spacing w:after="280"/>
        <w:ind w:left="851" w:hanging="284"/>
        <w:contextualSpacing/>
        <w:jc w:val="both"/>
        <w:rPr>
          <w:rFonts w:eastAsia="Calibri" w:cs="Arial"/>
        </w:rPr>
      </w:pPr>
    </w:p>
    <w:p w14:paraId="35E3039B" w14:textId="71D2C75E" w:rsidR="00D3201B" w:rsidRPr="00D3201B" w:rsidRDefault="00D3201B">
      <w:pPr>
        <w:numPr>
          <w:ilvl w:val="0"/>
          <w:numId w:val="10"/>
        </w:numPr>
        <w:spacing w:after="280"/>
        <w:ind w:left="851" w:hanging="284"/>
        <w:contextualSpacing/>
        <w:jc w:val="both"/>
        <w:rPr>
          <w:rFonts w:eastAsia="Calibri" w:cs="Arial"/>
        </w:rPr>
      </w:pPr>
      <w:r w:rsidRPr="00D3201B">
        <w:rPr>
          <w:rFonts w:eastAsia="Calibri" w:cs="Arial"/>
        </w:rPr>
        <w:t>What structure exists to track awareness and compliance with control?</w:t>
      </w:r>
      <w:r w:rsidR="00F46DC3">
        <w:rPr>
          <w:rFonts w:eastAsia="Calibri" w:cs="Arial"/>
        </w:rPr>
        <w:t xml:space="preserve"> (For example, many larger companies now run regular tests or “quizzes” for employees – these can be made “fun” by awarding minor prizes (</w:t>
      </w:r>
      <w:r w:rsidR="006413FD">
        <w:rPr>
          <w:rFonts w:eastAsia="Calibri" w:cs="Arial"/>
        </w:rPr>
        <w:t xml:space="preserve">a bar of chocolate or modest bonus) to those who </w:t>
      </w:r>
      <w:r w:rsidR="00973F4F">
        <w:rPr>
          <w:rFonts w:eastAsia="Calibri" w:cs="Arial"/>
        </w:rPr>
        <w:t>demonstrate</w:t>
      </w:r>
      <w:r w:rsidR="006413FD">
        <w:rPr>
          <w:rFonts w:eastAsia="Calibri" w:cs="Arial"/>
        </w:rPr>
        <w:t xml:space="preserve"> the best understanding of th</w:t>
      </w:r>
      <w:r w:rsidR="00973F4F">
        <w:rPr>
          <w:rFonts w:eastAsia="Calibri" w:cs="Arial"/>
        </w:rPr>
        <w:t>e programme and requirements of antitrust law)</w:t>
      </w:r>
    </w:p>
    <w:p w14:paraId="610E2E4B" w14:textId="77777777" w:rsidR="00D3201B" w:rsidRPr="00D3201B" w:rsidRDefault="00D3201B" w:rsidP="007E01F0">
      <w:pPr>
        <w:spacing w:after="280"/>
        <w:ind w:left="851" w:hanging="284"/>
        <w:contextualSpacing/>
        <w:jc w:val="both"/>
        <w:rPr>
          <w:rFonts w:eastAsia="Calibri" w:cs="Arial"/>
        </w:rPr>
      </w:pPr>
    </w:p>
    <w:p w14:paraId="7812DD0B" w14:textId="77777777" w:rsidR="00D3201B" w:rsidRPr="00D3201B" w:rsidRDefault="00D3201B">
      <w:pPr>
        <w:numPr>
          <w:ilvl w:val="0"/>
          <w:numId w:val="10"/>
        </w:numPr>
        <w:spacing w:after="280"/>
        <w:ind w:left="851" w:hanging="284"/>
        <w:contextualSpacing/>
        <w:jc w:val="both"/>
        <w:rPr>
          <w:rFonts w:eastAsia="Calibri" w:cs="Arial"/>
        </w:rPr>
      </w:pPr>
      <w:r w:rsidRPr="00D3201B">
        <w:rPr>
          <w:rFonts w:eastAsia="Calibri" w:cs="Arial"/>
        </w:rPr>
        <w:t>What sanctions exist for failure to operate the control?</w:t>
      </w:r>
    </w:p>
    <w:p w14:paraId="06B6DB1F" w14:textId="77777777" w:rsidR="00D3201B" w:rsidRPr="00D3201B" w:rsidRDefault="00D3201B" w:rsidP="00D3201B">
      <w:pPr>
        <w:spacing w:after="280"/>
        <w:ind w:left="720"/>
        <w:contextualSpacing/>
        <w:rPr>
          <w:rFonts w:eastAsia="Calibri" w:cs="Arial"/>
        </w:rPr>
      </w:pPr>
    </w:p>
    <w:p w14:paraId="00DC4F38" w14:textId="3313EF44" w:rsidR="00FD413B" w:rsidRPr="00F55CCC" w:rsidRDefault="00FD413B" w:rsidP="007D22E9">
      <w:pPr>
        <w:pStyle w:val="OUTLINEAL1"/>
      </w:pPr>
      <w:bookmarkStart w:id="59" w:name="_Toc166512647"/>
      <w:bookmarkStart w:id="60" w:name="_Toc166513105"/>
      <w:bookmarkStart w:id="61" w:name="_Toc166747894"/>
      <w:r w:rsidRPr="00F55CCC">
        <w:lastRenderedPageBreak/>
        <w:t>Antitrust compliance know-how</w:t>
      </w:r>
      <w:bookmarkEnd w:id="59"/>
      <w:bookmarkEnd w:id="60"/>
      <w:bookmarkEnd w:id="61"/>
    </w:p>
    <w:p w14:paraId="55D1FFE1" w14:textId="77777777" w:rsidR="00FD413B" w:rsidRPr="00F55CCC" w:rsidRDefault="00FD413B" w:rsidP="00456302">
      <w:pPr>
        <w:autoSpaceDE w:val="0"/>
        <w:autoSpaceDN w:val="0"/>
        <w:adjustRightInd w:val="0"/>
        <w:spacing w:after="280"/>
        <w:jc w:val="both"/>
        <w:rPr>
          <w:rFonts w:cs="Arial"/>
          <w:lang w:eastAsia="en-US"/>
        </w:rPr>
      </w:pPr>
      <w:r w:rsidRPr="00F55CCC">
        <w:rPr>
          <w:rFonts w:cs="Arial"/>
          <w:lang w:eastAsia="en-US"/>
        </w:rPr>
        <w:t>The next step after identifying the antitrust risks and their geographic spread is to determine the required antitrust training and supporting documentation to increase employee awareness and minimise the risk of antitrust violations.</w:t>
      </w:r>
    </w:p>
    <w:p w14:paraId="74522E18" w14:textId="77777777" w:rsidR="00FD413B" w:rsidRPr="00F55CCC" w:rsidRDefault="00FD413B" w:rsidP="00456302">
      <w:pPr>
        <w:autoSpaceDE w:val="0"/>
        <w:autoSpaceDN w:val="0"/>
        <w:adjustRightInd w:val="0"/>
        <w:spacing w:after="280"/>
        <w:jc w:val="both"/>
        <w:rPr>
          <w:rFonts w:cs="Arial"/>
          <w:lang w:eastAsia="en-US"/>
        </w:rPr>
      </w:pPr>
      <w:r w:rsidRPr="00F55CCC">
        <w:rPr>
          <w:rFonts w:cs="Arial"/>
          <w:lang w:eastAsia="en-US"/>
        </w:rPr>
        <w:t xml:space="preserve">Even with excellent antitrust compliance training, some individuals may still ignore company policy. Therefore, antitrust compliance should be a proactive ongoing discussion, and legal advisers should be involved in projects and daily business decisions. In this regard, </w:t>
      </w:r>
      <w:r>
        <w:rPr>
          <w:rFonts w:cs="Arial"/>
          <w:lang w:eastAsia="en-US"/>
        </w:rPr>
        <w:t>a</w:t>
      </w:r>
      <w:r w:rsidRPr="00F55CCC">
        <w:rPr>
          <w:rFonts w:cs="Arial"/>
          <w:lang w:eastAsia="en-US"/>
        </w:rPr>
        <w:t>ntitrust compliance should not be viewed as a standalone process or a checkbox exercise.</w:t>
      </w:r>
    </w:p>
    <w:p w14:paraId="0FBF3EAA" w14:textId="77777777" w:rsidR="00FD413B" w:rsidRPr="00F55CCC" w:rsidRDefault="00FD413B" w:rsidP="00456302">
      <w:pPr>
        <w:autoSpaceDE w:val="0"/>
        <w:autoSpaceDN w:val="0"/>
        <w:adjustRightInd w:val="0"/>
        <w:spacing w:after="280"/>
        <w:jc w:val="both"/>
        <w:rPr>
          <w:rFonts w:cs="Arial"/>
          <w:lang w:eastAsia="en-US"/>
        </w:rPr>
      </w:pPr>
      <w:r w:rsidRPr="00F55CCC">
        <w:rPr>
          <w:rFonts w:cs="Arial"/>
          <w:lang w:eastAsia="en-US"/>
        </w:rPr>
        <w:t>In larger companies, there is consideration given to training third parties</w:t>
      </w:r>
      <w:r w:rsidRPr="00F55CCC">
        <w:rPr>
          <w:rFonts w:cs="Arial"/>
          <w:vertAlign w:val="superscript"/>
          <w:lang w:eastAsia="en-US"/>
        </w:rPr>
        <w:footnoteReference w:id="17"/>
      </w:r>
      <w:r w:rsidRPr="00F55CCC">
        <w:rPr>
          <w:rFonts w:cs="Arial"/>
          <w:lang w:eastAsia="en-US"/>
        </w:rPr>
        <w:t xml:space="preserve">  such as joint ventures, distributors, and trade associations, in addition to the company's own employees. </w:t>
      </w:r>
      <w:r w:rsidRPr="00324C44">
        <w:rPr>
          <w:rFonts w:cs="Arial"/>
          <w:lang w:eastAsia="en-US"/>
        </w:rPr>
        <w:t>This should not</w:t>
      </w:r>
      <w:r w:rsidRPr="00F55CCC">
        <w:rPr>
          <w:rFonts w:cs="Arial"/>
          <w:lang w:eastAsia="en-US"/>
        </w:rPr>
        <w:t xml:space="preserve">, however, </w:t>
      </w:r>
      <w:r w:rsidRPr="00324C44">
        <w:rPr>
          <w:rFonts w:cs="Arial"/>
          <w:lang w:eastAsia="en-US"/>
        </w:rPr>
        <w:t xml:space="preserve">evade </w:t>
      </w:r>
      <w:r w:rsidRPr="00F55CCC">
        <w:rPr>
          <w:rFonts w:cs="Arial"/>
          <w:lang w:eastAsia="en-US"/>
        </w:rPr>
        <w:t>liability issues, and the company should</w:t>
      </w:r>
      <w:r w:rsidRPr="00324C44">
        <w:rPr>
          <w:rFonts w:cs="Arial"/>
          <w:lang w:eastAsia="en-US"/>
        </w:rPr>
        <w:t xml:space="preserve"> not neglect to</w:t>
      </w:r>
      <w:r w:rsidRPr="00F55CCC">
        <w:rPr>
          <w:rFonts w:cs="Arial"/>
          <w:lang w:eastAsia="en-US"/>
        </w:rPr>
        <w:t xml:space="preserve"> train its own employees in antitrust risk management, </w:t>
      </w:r>
      <w:r w:rsidRPr="00324C44">
        <w:rPr>
          <w:rFonts w:cs="Arial"/>
          <w:lang w:eastAsia="en-US"/>
        </w:rPr>
        <w:t xml:space="preserve">not least by </w:t>
      </w:r>
      <w:r w:rsidRPr="00F55CCC">
        <w:rPr>
          <w:rFonts w:cs="Arial"/>
          <w:lang w:eastAsia="en-US"/>
        </w:rPr>
        <w:t xml:space="preserve">providing </w:t>
      </w:r>
      <w:r w:rsidRPr="00324C44">
        <w:rPr>
          <w:rFonts w:cs="Arial"/>
          <w:lang w:eastAsia="en-US"/>
        </w:rPr>
        <w:t xml:space="preserve">them with </w:t>
      </w:r>
      <w:r w:rsidRPr="00F55CCC">
        <w:rPr>
          <w:rFonts w:cs="Arial"/>
          <w:lang w:eastAsia="en-US"/>
        </w:rPr>
        <w:t>simple guidelines for behaviour (</w:t>
      </w:r>
      <w:r w:rsidRPr="00324C44">
        <w:rPr>
          <w:rFonts w:cs="Arial"/>
          <w:lang w:eastAsia="en-US"/>
        </w:rPr>
        <w:t xml:space="preserve">including </w:t>
      </w:r>
      <w:r w:rsidRPr="00F55CCC">
        <w:rPr>
          <w:rFonts w:cs="Arial"/>
          <w:lang w:eastAsia="en-US"/>
        </w:rPr>
        <w:t>“Do’s and Don’ts” in industry events or when competitors raise sensitive issues).</w:t>
      </w:r>
    </w:p>
    <w:p w14:paraId="74B7BDA3" w14:textId="77777777" w:rsidR="00FD413B" w:rsidRPr="00F55CCC" w:rsidRDefault="00FD413B">
      <w:pPr>
        <w:pStyle w:val="OUTLINEAL2"/>
        <w:numPr>
          <w:ilvl w:val="0"/>
          <w:numId w:val="42"/>
        </w:numPr>
      </w:pPr>
      <w:bookmarkStart w:id="62" w:name="_Toc166512648"/>
      <w:bookmarkStart w:id="63" w:name="_Toc166513106"/>
      <w:bookmarkStart w:id="64" w:name="_Toc166747895"/>
      <w:r w:rsidRPr="00F55CCC">
        <w:t>Antitrust know-how: manuals, handbooks, guides</w:t>
      </w:r>
      <w:bookmarkEnd w:id="62"/>
      <w:bookmarkEnd w:id="63"/>
      <w:bookmarkEnd w:id="64"/>
      <w:r w:rsidRPr="00F55CCC">
        <w:t xml:space="preserve"> </w:t>
      </w:r>
    </w:p>
    <w:p w14:paraId="5006C2C7" w14:textId="77777777" w:rsidR="00FD413B" w:rsidRPr="00F55CCC" w:rsidRDefault="00FD413B" w:rsidP="00456302">
      <w:pPr>
        <w:tabs>
          <w:tab w:val="left" w:pos="0"/>
        </w:tabs>
        <w:autoSpaceDE w:val="0"/>
        <w:autoSpaceDN w:val="0"/>
        <w:adjustRightInd w:val="0"/>
        <w:spacing w:after="280"/>
        <w:jc w:val="both"/>
        <w:rPr>
          <w:rFonts w:cs="Arial"/>
          <w:lang w:eastAsia="en-US"/>
        </w:rPr>
      </w:pPr>
      <w:r w:rsidRPr="00F55CCC">
        <w:rPr>
          <w:rFonts w:cs="Arial"/>
          <w:lang w:eastAsia="en-US"/>
        </w:rPr>
        <w:t xml:space="preserve">Whatever the size of your company, it is unreasonable to expect your company’s employees to understand what constitutes antitrust-compliant and ethical behaviour if they have not received some guidance or simple, “jargon” free, “Do’s and Don’ts” on antitrust.  </w:t>
      </w:r>
    </w:p>
    <w:p w14:paraId="2E6B2D67" w14:textId="77777777" w:rsidR="00FD413B" w:rsidRPr="00F55CCC" w:rsidRDefault="00FD413B" w:rsidP="00456302">
      <w:pPr>
        <w:tabs>
          <w:tab w:val="left" w:pos="0"/>
        </w:tabs>
        <w:autoSpaceDE w:val="0"/>
        <w:autoSpaceDN w:val="0"/>
        <w:adjustRightInd w:val="0"/>
        <w:spacing w:after="280"/>
        <w:jc w:val="both"/>
        <w:rPr>
          <w:rFonts w:cs="Arial"/>
          <w:lang w:eastAsia="en-US"/>
        </w:rPr>
      </w:pPr>
      <w:r w:rsidRPr="00F55CCC">
        <w:rPr>
          <w:rFonts w:cs="Arial"/>
          <w:lang w:eastAsia="en-US"/>
        </w:rPr>
        <w:t>Whether through</w:t>
      </w:r>
      <w:r w:rsidRPr="00F55CCC">
        <w:t xml:space="preserve"> </w:t>
      </w:r>
      <w:r w:rsidRPr="00F55CCC">
        <w:rPr>
          <w:rFonts w:cs="Arial"/>
          <w:lang w:eastAsia="en-US"/>
        </w:rPr>
        <w:t>guidance documents provided by in-house lawyers or external law firms</w:t>
      </w:r>
      <w:r w:rsidRPr="00F55CCC">
        <w:t xml:space="preserve">, </w:t>
      </w:r>
      <w:r w:rsidRPr="00F55CCC">
        <w:rPr>
          <w:rFonts w:cs="Arial"/>
          <w:lang w:eastAsia="en-US"/>
        </w:rPr>
        <w:t>antitrust training materials should be relevant to the company's activities</w:t>
      </w:r>
      <w:r>
        <w:rPr>
          <w:rFonts w:cs="Arial"/>
          <w:lang w:eastAsia="en-US"/>
        </w:rPr>
        <w:t xml:space="preserve">, </w:t>
      </w:r>
      <w:r w:rsidRPr="003F020C">
        <w:rPr>
          <w:rFonts w:cs="Arial"/>
          <w:lang w:eastAsia="en-US"/>
        </w:rPr>
        <w:t>different business units</w:t>
      </w:r>
      <w:r w:rsidRPr="00F55CCC">
        <w:rPr>
          <w:rFonts w:cs="Arial"/>
          <w:lang w:eastAsia="en-US"/>
        </w:rPr>
        <w:t xml:space="preserve"> and specific antitrust risks.</w:t>
      </w:r>
    </w:p>
    <w:p w14:paraId="60B98B7A" w14:textId="77777777" w:rsidR="00FD413B" w:rsidRPr="00204472" w:rsidRDefault="00FD413B" w:rsidP="00456302">
      <w:pPr>
        <w:tabs>
          <w:tab w:val="left" w:pos="0"/>
        </w:tabs>
        <w:autoSpaceDE w:val="0"/>
        <w:autoSpaceDN w:val="0"/>
        <w:adjustRightInd w:val="0"/>
        <w:spacing w:after="280"/>
        <w:jc w:val="both"/>
        <w:rPr>
          <w:rFonts w:cs="Arial"/>
          <w:lang w:eastAsia="en-US"/>
        </w:rPr>
      </w:pPr>
      <w:r w:rsidRPr="00204472">
        <w:rPr>
          <w:rFonts w:cs="Arial"/>
          <w:lang w:eastAsia="en-US"/>
        </w:rPr>
        <w:t xml:space="preserve">Some </w:t>
      </w:r>
      <w:r w:rsidRPr="00204472">
        <w:rPr>
          <w:rFonts w:cs="Arial"/>
          <w:b/>
          <w:lang w:eastAsia="en-US"/>
        </w:rPr>
        <w:t>key concepts and issues</w:t>
      </w:r>
      <w:r w:rsidRPr="00204472">
        <w:rPr>
          <w:rFonts w:cs="Arial"/>
          <w:lang w:eastAsia="en-US"/>
        </w:rPr>
        <w:t xml:space="preserve"> that you may wish to consider include:</w:t>
      </w:r>
    </w:p>
    <w:p w14:paraId="4928B6F7" w14:textId="77777777" w:rsidR="00FD413B" w:rsidRPr="00204472" w:rsidRDefault="00FD413B">
      <w:pPr>
        <w:numPr>
          <w:ilvl w:val="0"/>
          <w:numId w:val="11"/>
        </w:numPr>
        <w:autoSpaceDE w:val="0"/>
        <w:autoSpaceDN w:val="0"/>
        <w:adjustRightInd w:val="0"/>
        <w:spacing w:after="280"/>
        <w:ind w:left="851" w:hanging="284"/>
        <w:jc w:val="both"/>
        <w:rPr>
          <w:rFonts w:eastAsia="Calibri" w:cs="Arial"/>
          <w:lang w:eastAsia="en-US"/>
        </w:rPr>
      </w:pPr>
      <w:r w:rsidRPr="00204472">
        <w:rPr>
          <w:rFonts w:eastAsia="Calibri" w:cs="Arial"/>
          <w:lang w:eastAsia="en-US"/>
        </w:rPr>
        <w:t>Have clear, simple and concise rules - use plain business language, without legalistic jargon or detailed references to law</w:t>
      </w:r>
      <w:r w:rsidRPr="00324C44">
        <w:rPr>
          <w:rFonts w:eastAsia="Calibri" w:cs="Arial"/>
          <w:lang w:eastAsia="en-US"/>
        </w:rPr>
        <w:t xml:space="preserve">s, and avoid </w:t>
      </w:r>
      <w:r w:rsidRPr="00204472">
        <w:rPr>
          <w:rFonts w:eastAsia="Calibri" w:cs="Arial"/>
          <w:lang w:eastAsia="en-US"/>
        </w:rPr>
        <w:t>lengthy</w:t>
      </w:r>
      <w:r w:rsidRPr="00204472" w:rsidDel="00E9537B">
        <w:rPr>
          <w:rFonts w:eastAsia="Calibri" w:cs="Arial"/>
          <w:lang w:eastAsia="en-US"/>
        </w:rPr>
        <w:t xml:space="preserve"> </w:t>
      </w:r>
      <w:r w:rsidRPr="00204472">
        <w:rPr>
          <w:rFonts w:eastAsia="Calibri" w:cs="Arial"/>
          <w:lang w:eastAsia="en-US"/>
        </w:rPr>
        <w:t>antitrust guidance notes.</w:t>
      </w:r>
    </w:p>
    <w:p w14:paraId="39FFEDEF" w14:textId="77777777" w:rsidR="00FD413B" w:rsidRPr="00204472" w:rsidRDefault="00FD413B">
      <w:pPr>
        <w:numPr>
          <w:ilvl w:val="0"/>
          <w:numId w:val="11"/>
        </w:numPr>
        <w:autoSpaceDE w:val="0"/>
        <w:autoSpaceDN w:val="0"/>
        <w:adjustRightInd w:val="0"/>
        <w:spacing w:after="280"/>
        <w:ind w:left="851" w:hanging="284"/>
        <w:jc w:val="both"/>
        <w:rPr>
          <w:rFonts w:eastAsia="Calibri" w:cs="Arial"/>
          <w:lang w:eastAsia="en-US"/>
        </w:rPr>
      </w:pPr>
      <w:r w:rsidRPr="00204472">
        <w:rPr>
          <w:rFonts w:eastAsia="Calibri" w:cs="Arial"/>
          <w:lang w:eastAsia="en-US"/>
        </w:rPr>
        <w:t xml:space="preserve">Tailor guidelines to the needs of different business units and situations, and consider the use of short notes for specific topics or risks; </w:t>
      </w:r>
    </w:p>
    <w:p w14:paraId="2A57B940" w14:textId="77777777" w:rsidR="00FD413B" w:rsidRPr="00204472" w:rsidRDefault="00FD413B">
      <w:pPr>
        <w:numPr>
          <w:ilvl w:val="0"/>
          <w:numId w:val="11"/>
        </w:numPr>
        <w:autoSpaceDE w:val="0"/>
        <w:autoSpaceDN w:val="0"/>
        <w:adjustRightInd w:val="0"/>
        <w:spacing w:after="280"/>
        <w:ind w:left="851" w:hanging="284"/>
        <w:jc w:val="both"/>
        <w:rPr>
          <w:rFonts w:eastAsia="Calibri" w:cs="Arial"/>
          <w:lang w:eastAsia="en-US"/>
        </w:rPr>
      </w:pPr>
      <w:r w:rsidRPr="00204472">
        <w:rPr>
          <w:rFonts w:eastAsia="Calibri" w:cs="Arial"/>
          <w:lang w:eastAsia="en-US"/>
        </w:rPr>
        <w:t>Present the guidance in ways that makes sense from a business perspective - confirm what is possible, perhaps where necessary subject to certain limits or thresholds (reflecting “safe harbours”);</w:t>
      </w:r>
    </w:p>
    <w:p w14:paraId="026A9469" w14:textId="77777777" w:rsidR="00FD413B" w:rsidRDefault="00FD413B">
      <w:pPr>
        <w:numPr>
          <w:ilvl w:val="0"/>
          <w:numId w:val="11"/>
        </w:numPr>
        <w:autoSpaceDE w:val="0"/>
        <w:autoSpaceDN w:val="0"/>
        <w:adjustRightInd w:val="0"/>
        <w:spacing w:after="280"/>
        <w:ind w:left="851" w:hanging="284"/>
        <w:jc w:val="both"/>
        <w:rPr>
          <w:rFonts w:eastAsia="Calibri" w:cs="Arial"/>
          <w:lang w:eastAsia="en-US"/>
        </w:rPr>
      </w:pPr>
      <w:r w:rsidRPr="00204472">
        <w:rPr>
          <w:rFonts w:eastAsia="Calibri" w:cs="Arial"/>
          <w:lang w:eastAsia="en-US"/>
        </w:rPr>
        <w:t>Think about how to achieve maximum reach (method and language of delivery</w:t>
      </w:r>
      <w:r>
        <w:rPr>
          <w:rFonts w:eastAsia="Calibri" w:cs="Arial"/>
          <w:lang w:eastAsia="en-US"/>
        </w:rPr>
        <w:t xml:space="preserve">, </w:t>
      </w:r>
      <w:r w:rsidRPr="00204472">
        <w:rPr>
          <w:rFonts w:eastAsia="Calibri" w:cs="Arial"/>
          <w:lang w:eastAsia="en-US"/>
        </w:rPr>
        <w:t>etc.).</w:t>
      </w:r>
    </w:p>
    <w:p w14:paraId="2D6F51BD" w14:textId="77777777" w:rsidR="00FD413B" w:rsidRPr="00F55CCC" w:rsidRDefault="00FD413B" w:rsidP="007D22E9">
      <w:pPr>
        <w:pStyle w:val="OUTLINEAL2"/>
      </w:pPr>
      <w:bookmarkStart w:id="65" w:name="_Toc166512649"/>
      <w:bookmarkStart w:id="66" w:name="_Toc166513107"/>
      <w:bookmarkStart w:id="67" w:name="_Toc166747896"/>
      <w:r w:rsidRPr="00F55CCC">
        <w:t>Antitrust training</w:t>
      </w:r>
      <w:bookmarkEnd w:id="65"/>
      <w:bookmarkEnd w:id="66"/>
      <w:bookmarkEnd w:id="67"/>
    </w:p>
    <w:p w14:paraId="5FC515B0" w14:textId="77777777" w:rsidR="00FD413B" w:rsidRPr="00F55CCC" w:rsidRDefault="00FD413B" w:rsidP="00456302">
      <w:pPr>
        <w:spacing w:after="280"/>
        <w:jc w:val="both"/>
        <w:rPr>
          <w:rFonts w:cs="Arial"/>
        </w:rPr>
      </w:pPr>
      <w:r w:rsidRPr="00F55CCC">
        <w:rPr>
          <w:rFonts w:cs="Arial"/>
        </w:rPr>
        <w:t>Antitrust training remains a fundamental part of an effective antitrust compliance programme, whether organized by outside counsel or in-house departments.</w:t>
      </w:r>
    </w:p>
    <w:p w14:paraId="26DDEAD0" w14:textId="77777777" w:rsidR="00FD413B" w:rsidRPr="00F55CCC" w:rsidRDefault="00FD413B" w:rsidP="00456302">
      <w:pPr>
        <w:spacing w:after="280"/>
        <w:jc w:val="both"/>
        <w:rPr>
          <w:rFonts w:cs="Arial"/>
        </w:rPr>
      </w:pPr>
      <w:r w:rsidRPr="00F55CCC">
        <w:rPr>
          <w:rFonts w:cs="Arial"/>
        </w:rPr>
        <w:t>You should ensure that your company’s antitrust training is designed to provide practical (business-specific) examples. It should explain the aims and reasons for your company's antitrust compliance policies and procedures</w:t>
      </w:r>
      <w:r w:rsidR="00521658">
        <w:rPr>
          <w:rFonts w:cs="Arial"/>
        </w:rPr>
        <w:t>,</w:t>
      </w:r>
      <w:r w:rsidRPr="00F55CCC">
        <w:rPr>
          <w:rFonts w:cs="Arial"/>
        </w:rPr>
        <w:t xml:space="preserve"> and the consequences if these are not followed.</w:t>
      </w:r>
    </w:p>
    <w:p w14:paraId="2A85FA4A" w14:textId="77777777" w:rsidR="00FD413B" w:rsidRPr="00F55CCC" w:rsidRDefault="00FD413B" w:rsidP="00456302">
      <w:pPr>
        <w:spacing w:after="280"/>
        <w:jc w:val="both"/>
        <w:rPr>
          <w:rFonts w:cs="Arial"/>
          <w:lang w:eastAsia="en-US"/>
        </w:rPr>
      </w:pPr>
      <w:r w:rsidRPr="00F55CCC">
        <w:rPr>
          <w:rFonts w:cs="Arial"/>
          <w:lang w:eastAsia="en-US"/>
        </w:rPr>
        <w:lastRenderedPageBreak/>
        <w:t>Practical considerations you may wish to take into account when setting up antitrust training include:</w:t>
      </w:r>
    </w:p>
    <w:p w14:paraId="70DFC2B8" w14:textId="77777777" w:rsidR="00FD413B" w:rsidRPr="00F55CCC" w:rsidRDefault="00FD413B">
      <w:pPr>
        <w:numPr>
          <w:ilvl w:val="0"/>
          <w:numId w:val="12"/>
        </w:numPr>
        <w:autoSpaceDE w:val="0"/>
        <w:autoSpaceDN w:val="0"/>
        <w:adjustRightInd w:val="0"/>
        <w:spacing w:after="280"/>
        <w:ind w:left="851" w:hanging="284"/>
        <w:jc w:val="both"/>
        <w:rPr>
          <w:rFonts w:eastAsia="Calibri" w:cs="Arial"/>
          <w:lang w:eastAsia="en-US"/>
        </w:rPr>
      </w:pPr>
      <w:r w:rsidRPr="00F55CCC">
        <w:rPr>
          <w:rFonts w:eastAsia="Calibri" w:cs="Arial"/>
          <w:b/>
          <w:lang w:eastAsia="en-US"/>
        </w:rPr>
        <w:t>Identifying employees to be trained</w:t>
      </w:r>
      <w:r w:rsidRPr="00F55CCC">
        <w:rPr>
          <w:rFonts w:eastAsia="Calibri" w:cs="Arial"/>
          <w:lang w:eastAsia="en-US"/>
        </w:rPr>
        <w:t xml:space="preserve">. The requirement to be trained, as well as the methods and frequency of antitrust training should be suitable for the antitrust risk profile of the business activities of those employees whose roles are deemed to be higher risk, such as sales </w:t>
      </w:r>
      <w:r w:rsidRPr="00500F0C">
        <w:rPr>
          <w:rFonts w:eastAsia="Calibri" w:cs="Arial"/>
          <w:lang w:eastAsia="en-US"/>
        </w:rPr>
        <w:t>personnel or those who attend trade or industry meetings and business networks with competitors (as opposed</w:t>
      </w:r>
      <w:r w:rsidRPr="003F020C">
        <w:rPr>
          <w:rFonts w:eastAsia="Calibri" w:cs="Arial"/>
          <w:lang w:eastAsia="en-US"/>
        </w:rPr>
        <w:t xml:space="preserve"> </w:t>
      </w:r>
      <w:r>
        <w:rPr>
          <w:rFonts w:eastAsia="Calibri" w:cs="Arial"/>
          <w:lang w:eastAsia="en-US"/>
        </w:rPr>
        <w:t>to</w:t>
      </w:r>
      <w:r w:rsidRPr="00F55CCC">
        <w:rPr>
          <w:rFonts w:eastAsia="Calibri" w:cs="Arial"/>
          <w:lang w:eastAsia="en-US"/>
        </w:rPr>
        <w:t xml:space="preserve"> those who do </w:t>
      </w:r>
      <w:r w:rsidRPr="00324C44">
        <w:rPr>
          <w:rFonts w:eastAsia="Calibri" w:cs="Arial"/>
          <w:b/>
          <w:bCs/>
          <w:u w:val="single"/>
          <w:lang w:eastAsia="en-US"/>
        </w:rPr>
        <w:t>not</w:t>
      </w:r>
      <w:r w:rsidRPr="00F55CCC">
        <w:rPr>
          <w:rFonts w:eastAsia="Calibri" w:cs="Arial"/>
          <w:lang w:eastAsia="en-US"/>
        </w:rPr>
        <w:t xml:space="preserve"> have a sales / procurement or management role);</w:t>
      </w:r>
    </w:p>
    <w:p w14:paraId="533E04E1" w14:textId="77777777" w:rsidR="00FD413B" w:rsidRPr="00F55CCC" w:rsidRDefault="00FD413B" w:rsidP="00456302">
      <w:pPr>
        <w:autoSpaceDE w:val="0"/>
        <w:autoSpaceDN w:val="0"/>
        <w:adjustRightInd w:val="0"/>
        <w:spacing w:after="280"/>
        <w:ind w:left="851"/>
        <w:jc w:val="both"/>
        <w:rPr>
          <w:rFonts w:eastAsia="Calibri" w:cs="Arial"/>
          <w:lang w:eastAsia="en-US"/>
        </w:rPr>
      </w:pPr>
      <w:r w:rsidRPr="00F55CCC">
        <w:rPr>
          <w:rFonts w:eastAsia="Calibri" w:cs="Arial"/>
          <w:lang w:eastAsia="en-US"/>
        </w:rPr>
        <w:t>New employees should receive antitrust training as required by their job's risk profile during their induction/on-boarding. The same applies when employees move from a lower risk role to a higher risk role at the company or economic agent.;</w:t>
      </w:r>
    </w:p>
    <w:p w14:paraId="0D4E0548" w14:textId="77777777" w:rsidR="00FD413B" w:rsidRPr="00F55CCC" w:rsidRDefault="00FD413B">
      <w:pPr>
        <w:numPr>
          <w:ilvl w:val="0"/>
          <w:numId w:val="12"/>
        </w:numPr>
        <w:autoSpaceDE w:val="0"/>
        <w:autoSpaceDN w:val="0"/>
        <w:adjustRightInd w:val="0"/>
        <w:spacing w:after="280"/>
        <w:ind w:left="851" w:hanging="284"/>
        <w:jc w:val="both"/>
        <w:rPr>
          <w:rFonts w:eastAsia="Calibri" w:cs="Arial"/>
          <w:lang w:eastAsia="en-US"/>
        </w:rPr>
      </w:pPr>
      <w:r w:rsidRPr="00F55CCC">
        <w:rPr>
          <w:rFonts w:eastAsia="Calibri" w:cs="Arial"/>
          <w:lang w:eastAsia="en-US"/>
        </w:rPr>
        <w:t xml:space="preserve">Ensuring the </w:t>
      </w:r>
      <w:r w:rsidRPr="00BA5210">
        <w:rPr>
          <w:rFonts w:eastAsia="Calibri" w:cs="Arial"/>
          <w:b/>
          <w:lang w:eastAsia="en-US"/>
        </w:rPr>
        <w:t xml:space="preserve">style </w:t>
      </w:r>
      <w:r w:rsidRPr="00324C44">
        <w:rPr>
          <w:rFonts w:eastAsia="Calibri" w:cs="Arial"/>
          <w:b/>
          <w:lang w:eastAsia="en-US"/>
        </w:rPr>
        <w:t xml:space="preserve">and content </w:t>
      </w:r>
      <w:r w:rsidRPr="00BA5210">
        <w:rPr>
          <w:rFonts w:eastAsia="Calibri" w:cs="Arial"/>
          <w:b/>
          <w:lang w:eastAsia="en-US"/>
        </w:rPr>
        <w:t>of training</w:t>
      </w:r>
      <w:r w:rsidRPr="00F55CCC">
        <w:rPr>
          <w:rFonts w:eastAsia="Calibri" w:cs="Arial"/>
          <w:lang w:eastAsia="en-US"/>
        </w:rPr>
        <w:t xml:space="preserve"> reflects your company’s antitrust needs and risk profile. Considering whether your company needs online training, face-to-face (“FTF”) training, “virtual” training (a mixture of computer-based training and a webcast/conference call with an antitrust trainer), or a combination:</w:t>
      </w:r>
    </w:p>
    <w:p w14:paraId="052D50F5" w14:textId="77777777" w:rsidR="00FD413B" w:rsidRPr="00F55CCC" w:rsidRDefault="00FD413B">
      <w:pPr>
        <w:numPr>
          <w:ilvl w:val="1"/>
          <w:numId w:val="31"/>
        </w:numPr>
        <w:autoSpaceDE w:val="0"/>
        <w:autoSpaceDN w:val="0"/>
        <w:adjustRightInd w:val="0"/>
        <w:spacing w:after="280"/>
        <w:ind w:left="1843" w:hanging="425"/>
        <w:jc w:val="both"/>
        <w:rPr>
          <w:rFonts w:eastAsia="Calibri" w:cs="Arial"/>
          <w:lang w:eastAsia="en-US"/>
        </w:rPr>
      </w:pPr>
      <w:r w:rsidRPr="00F55CCC">
        <w:rPr>
          <w:rFonts w:eastAsia="Calibri" w:cs="Arial"/>
          <w:lang w:eastAsia="en-US"/>
        </w:rPr>
        <w:t xml:space="preserve">Online and virtual training is useful for global reach and for employees who are remotely located. </w:t>
      </w:r>
      <w:r w:rsidRPr="00BA5210">
        <w:rPr>
          <w:rFonts w:eastAsia="Calibri" w:cs="Arial"/>
          <w:lang w:eastAsia="en-US"/>
        </w:rPr>
        <w:t>The COVID-19 pandemic made online training essential.</w:t>
      </w:r>
      <w:r w:rsidRPr="00F55CCC">
        <w:rPr>
          <w:rFonts w:eastAsia="Calibri" w:cs="Arial"/>
          <w:lang w:eastAsia="en-US"/>
        </w:rPr>
        <w:t xml:space="preserve"> However, online training on its own is probably not adequate for roles that are deemed to be higher risk, as employees in such roles need to be able to ask questions and receive immediate answers. In such cases</w:t>
      </w:r>
      <w:r>
        <w:rPr>
          <w:rFonts w:eastAsia="Calibri" w:cs="Arial"/>
          <w:lang w:eastAsia="en-US"/>
        </w:rPr>
        <w:t>,</w:t>
      </w:r>
      <w:r w:rsidRPr="00F55CCC">
        <w:rPr>
          <w:rFonts w:eastAsia="Calibri" w:cs="Arial"/>
          <w:lang w:eastAsia="en-US"/>
        </w:rPr>
        <w:t xml:space="preserve"> you may want to consider a “virtual” antitrust training module, as it combines the reach of online training with the ability to ask questions (such as “Zoom” or “Outlook Meetings” calls or similar platforms)</w:t>
      </w:r>
      <w:r>
        <w:rPr>
          <w:rFonts w:eastAsia="Calibri" w:cs="Arial"/>
          <w:lang w:eastAsia="en-US"/>
        </w:rPr>
        <w:t>.</w:t>
      </w:r>
    </w:p>
    <w:p w14:paraId="36878A84" w14:textId="77777777" w:rsidR="00FD413B" w:rsidRPr="00F55CCC" w:rsidRDefault="00FD413B">
      <w:pPr>
        <w:numPr>
          <w:ilvl w:val="1"/>
          <w:numId w:val="31"/>
        </w:numPr>
        <w:autoSpaceDE w:val="0"/>
        <w:autoSpaceDN w:val="0"/>
        <w:adjustRightInd w:val="0"/>
        <w:spacing w:after="280"/>
        <w:ind w:left="1843" w:hanging="425"/>
        <w:jc w:val="both"/>
        <w:rPr>
          <w:rFonts w:eastAsia="Calibri" w:cs="Arial"/>
          <w:lang w:eastAsia="en-US"/>
        </w:rPr>
      </w:pPr>
      <w:r w:rsidRPr="00F55CCC">
        <w:rPr>
          <w:rFonts w:eastAsia="Calibri" w:cs="Arial"/>
          <w:lang w:eastAsia="en-US"/>
        </w:rPr>
        <w:t xml:space="preserve">Many off-the-shelf online training products are available from third-party providers, but some may be too generic or legalistic, covering all antitrust issues, whether relevant to the company's business or not. </w:t>
      </w:r>
      <w:r w:rsidRPr="00443A29">
        <w:rPr>
          <w:rFonts w:eastAsia="Calibri" w:cs="Arial"/>
          <w:lang w:eastAsia="en-US"/>
        </w:rPr>
        <w:t>Therefore, some multinational companies have developed their own specific online or virtual computer-based antitrust training.</w:t>
      </w:r>
    </w:p>
    <w:p w14:paraId="08D9B6AF" w14:textId="72791259" w:rsidR="00FD413B" w:rsidRPr="00F55CCC" w:rsidRDefault="00FD413B">
      <w:pPr>
        <w:numPr>
          <w:ilvl w:val="1"/>
          <w:numId w:val="31"/>
        </w:numPr>
        <w:autoSpaceDE w:val="0"/>
        <w:autoSpaceDN w:val="0"/>
        <w:adjustRightInd w:val="0"/>
        <w:spacing w:after="280"/>
        <w:ind w:left="1843" w:hanging="425"/>
        <w:jc w:val="both"/>
        <w:rPr>
          <w:rFonts w:eastAsia="Calibri" w:cs="Arial"/>
          <w:lang w:eastAsia="en-US"/>
        </w:rPr>
      </w:pPr>
      <w:r w:rsidRPr="00F55CCC">
        <w:rPr>
          <w:rFonts w:eastAsia="Calibri" w:cs="Arial"/>
          <w:lang w:eastAsia="en-US"/>
        </w:rPr>
        <w:t xml:space="preserve">Today, a useful approach to apply is “Gamification”, which means using computer based game design and system processes to encourage learning </w:t>
      </w:r>
      <w:r w:rsidR="00A263D3">
        <w:rPr>
          <w:rFonts w:eastAsia="Calibri" w:cs="Arial"/>
          <w:lang w:eastAsia="en-US"/>
        </w:rPr>
        <w:t xml:space="preserve">in a user-friendly and </w:t>
      </w:r>
      <w:r w:rsidR="00BF00FA">
        <w:rPr>
          <w:rFonts w:eastAsia="Calibri" w:cs="Arial"/>
          <w:lang w:eastAsia="en-US"/>
        </w:rPr>
        <w:t>pleasant</w:t>
      </w:r>
      <w:r w:rsidR="00A263D3">
        <w:rPr>
          <w:rFonts w:eastAsia="Calibri" w:cs="Arial"/>
          <w:lang w:eastAsia="en-US"/>
        </w:rPr>
        <w:t xml:space="preserve"> way</w:t>
      </w:r>
      <w:r w:rsidRPr="00F55CCC">
        <w:rPr>
          <w:rFonts w:eastAsia="Calibri" w:cs="Arial"/>
          <w:lang w:eastAsia="en-US"/>
        </w:rPr>
        <w:t>”</w:t>
      </w:r>
      <w:r>
        <w:rPr>
          <w:rFonts w:eastAsia="Calibri" w:cs="Arial"/>
          <w:lang w:eastAsia="en-US"/>
        </w:rPr>
        <w:t>.</w:t>
      </w:r>
      <w:r w:rsidRPr="00F55CCC">
        <w:rPr>
          <w:rFonts w:eastAsia="Calibri" w:cs="Arial"/>
          <w:vertAlign w:val="superscript"/>
          <w:lang w:eastAsia="en-US"/>
        </w:rPr>
        <w:footnoteReference w:id="18"/>
      </w:r>
      <w:r w:rsidRPr="00F55CCC">
        <w:rPr>
          <w:rFonts w:eastAsia="Calibri" w:cs="Arial"/>
          <w:lang w:eastAsia="en-US"/>
        </w:rPr>
        <w:t xml:space="preserve"> </w:t>
      </w:r>
      <w:r>
        <w:rPr>
          <w:rFonts w:eastAsia="Calibri" w:cs="Arial"/>
          <w:lang w:eastAsia="en-US"/>
        </w:rPr>
        <w:t>T</w:t>
      </w:r>
      <w:r w:rsidRPr="00F55CCC">
        <w:rPr>
          <w:rFonts w:eastAsia="Calibri" w:cs="Arial"/>
          <w:lang w:eastAsia="en-US"/>
        </w:rPr>
        <w:t xml:space="preserve">his can be used to help employees understand complex antitrust concept through challenges that simulate real-life situation, including elements like rewards, leaderboards and badges to incentivise employees to complete training and help companies create a compliance culture. It also helps companies approach compliance in a holistic way, since the “game” can include many compliance challenges, including not just antitrust but also ABC, AML (anti-Money Laundering), Data Protection and so forth. </w:t>
      </w:r>
    </w:p>
    <w:p w14:paraId="23420B0D" w14:textId="77777777" w:rsidR="00FD413B" w:rsidRPr="00F55CCC" w:rsidRDefault="00FD413B">
      <w:pPr>
        <w:numPr>
          <w:ilvl w:val="0"/>
          <w:numId w:val="12"/>
        </w:numPr>
        <w:autoSpaceDE w:val="0"/>
        <w:autoSpaceDN w:val="0"/>
        <w:adjustRightInd w:val="0"/>
        <w:spacing w:after="280"/>
        <w:ind w:left="851" w:hanging="284"/>
        <w:jc w:val="both"/>
        <w:rPr>
          <w:rFonts w:eastAsia="Calibri" w:cs="Arial"/>
          <w:lang w:eastAsia="en-US"/>
        </w:rPr>
      </w:pPr>
      <w:r w:rsidRPr="00F55CCC">
        <w:rPr>
          <w:rFonts w:eastAsia="Calibri" w:cs="Arial"/>
          <w:b/>
          <w:lang w:eastAsia="en-US"/>
        </w:rPr>
        <w:t>Identifying appropriate trainers</w:t>
      </w:r>
      <w:r w:rsidRPr="00F55CCC">
        <w:rPr>
          <w:rFonts w:eastAsia="Calibri" w:cs="Arial"/>
          <w:lang w:eastAsia="en-US"/>
        </w:rPr>
        <w:t xml:space="preserve"> for antitrust training:</w:t>
      </w:r>
    </w:p>
    <w:p w14:paraId="37AEC365" w14:textId="29C1C9C2" w:rsidR="00FD413B" w:rsidRPr="00F55CCC" w:rsidRDefault="00FD413B" w:rsidP="00A15E97">
      <w:pPr>
        <w:numPr>
          <w:ilvl w:val="1"/>
          <w:numId w:val="31"/>
        </w:numPr>
        <w:autoSpaceDE w:val="0"/>
        <w:autoSpaceDN w:val="0"/>
        <w:adjustRightInd w:val="0"/>
        <w:spacing w:after="280"/>
        <w:ind w:left="1843" w:hanging="425"/>
        <w:jc w:val="both"/>
        <w:rPr>
          <w:rFonts w:eastAsia="Calibri" w:cs="Arial"/>
          <w:lang w:eastAsia="en-US"/>
        </w:rPr>
      </w:pPr>
      <w:r w:rsidRPr="00F55CCC">
        <w:rPr>
          <w:rFonts w:eastAsia="Calibri" w:cs="Arial"/>
          <w:lang w:eastAsia="en-US"/>
        </w:rPr>
        <w:t xml:space="preserve">The </w:t>
      </w:r>
      <w:r w:rsidRPr="00443A29">
        <w:rPr>
          <w:rFonts w:eastAsia="Calibri" w:cs="Arial"/>
          <w:lang w:eastAsia="en-US"/>
        </w:rPr>
        <w:t>trainers selected to conduct your company’s antitrust compliance training</w:t>
      </w:r>
      <w:r w:rsidRPr="00F55CCC">
        <w:rPr>
          <w:rFonts w:eastAsia="Calibri" w:cs="Arial"/>
          <w:lang w:eastAsia="en-US"/>
        </w:rPr>
        <w:t xml:space="preserve"> must be knowledgeable in antitrust laws. However, if resources are limited, your company may need to consider developing a “train the trainer” course. This is more suitable for larger companies with a legal department, but may not be feasible for SMEs, which may have to rely on external trainers;</w:t>
      </w:r>
    </w:p>
    <w:p w14:paraId="468AD315" w14:textId="77777777" w:rsidR="00FD413B" w:rsidRPr="00F55CCC" w:rsidRDefault="00FD413B" w:rsidP="00A15E97">
      <w:pPr>
        <w:numPr>
          <w:ilvl w:val="1"/>
          <w:numId w:val="31"/>
        </w:numPr>
        <w:autoSpaceDE w:val="0"/>
        <w:autoSpaceDN w:val="0"/>
        <w:adjustRightInd w:val="0"/>
        <w:spacing w:after="280"/>
        <w:ind w:left="1843" w:hanging="425"/>
        <w:rPr>
          <w:rFonts w:eastAsia="Calibri" w:cs="Arial"/>
          <w:lang w:eastAsia="en-US"/>
        </w:rPr>
      </w:pPr>
      <w:r w:rsidRPr="00F55CCC">
        <w:rPr>
          <w:rFonts w:eastAsia="Calibri" w:cs="Arial"/>
          <w:lang w:eastAsia="en-US"/>
        </w:rPr>
        <w:lastRenderedPageBreak/>
        <w:t>In larger companies, it may be helpful to provide additional guidance on antitrust to</w:t>
      </w:r>
      <w:r w:rsidRPr="00F55CCC" w:rsidDel="00F76BA8">
        <w:rPr>
          <w:rFonts w:eastAsia="Calibri" w:cs="Arial"/>
          <w:lang w:eastAsia="en-US"/>
        </w:rPr>
        <w:t xml:space="preserve"> </w:t>
      </w:r>
      <w:r w:rsidRPr="00F55CCC">
        <w:rPr>
          <w:rFonts w:eastAsia="Calibri" w:cs="Arial"/>
          <w:lang w:eastAsia="en-US"/>
        </w:rPr>
        <w:t>in-house lawyers who are not proficient in this area, as part of an ongoing professional education programme. External counsel can offer antitrust newsletter, publications, and webinars that provide high-quality updates on recent developments. Suitable conferences are also a useful way of finding out more about topical antitrust issues and trends</w:t>
      </w:r>
      <w:r>
        <w:rPr>
          <w:rFonts w:eastAsia="Calibri" w:cs="Arial"/>
          <w:lang w:eastAsia="en-US"/>
        </w:rPr>
        <w:t>.</w:t>
      </w:r>
    </w:p>
    <w:p w14:paraId="56D09ADA" w14:textId="77777777" w:rsidR="00FD413B" w:rsidRPr="00324C44" w:rsidRDefault="00FD413B" w:rsidP="00A15E97">
      <w:pPr>
        <w:numPr>
          <w:ilvl w:val="0"/>
          <w:numId w:val="12"/>
        </w:numPr>
        <w:autoSpaceDE w:val="0"/>
        <w:autoSpaceDN w:val="0"/>
        <w:adjustRightInd w:val="0"/>
        <w:spacing w:after="280"/>
        <w:ind w:left="851" w:hanging="284"/>
        <w:rPr>
          <w:rFonts w:eastAsia="Calibri" w:cs="Arial"/>
          <w:lang w:eastAsia="en-US"/>
        </w:rPr>
      </w:pPr>
      <w:r w:rsidRPr="00324C44">
        <w:rPr>
          <w:rFonts w:eastAsia="Calibri" w:cs="Arial"/>
          <w:lang w:eastAsia="en-US"/>
        </w:rPr>
        <w:t xml:space="preserve">Deciding on the </w:t>
      </w:r>
      <w:r w:rsidRPr="00324C44">
        <w:rPr>
          <w:rFonts w:eastAsia="Calibri" w:cs="Arial"/>
          <w:b/>
          <w:lang w:eastAsia="en-US"/>
        </w:rPr>
        <w:t>size of the group to be trained</w:t>
      </w:r>
      <w:r w:rsidRPr="00324C44">
        <w:rPr>
          <w:rFonts w:eastAsia="Calibri" w:cs="Arial"/>
          <w:lang w:eastAsia="en-US"/>
        </w:rPr>
        <w:t>, whether FTF or online, is of critical importance. There may be short-term cost savings in “training” a large group in a lecture-style format. However, this may be less effective in getting employee engagement since large groups are less likely to be interactive and lively.</w:t>
      </w:r>
    </w:p>
    <w:p w14:paraId="1BD18F50" w14:textId="77777777" w:rsidR="00FD413B" w:rsidRPr="00F55CCC" w:rsidRDefault="00FD413B" w:rsidP="00A15E97">
      <w:pPr>
        <w:numPr>
          <w:ilvl w:val="0"/>
          <w:numId w:val="12"/>
        </w:numPr>
        <w:autoSpaceDE w:val="0"/>
        <w:autoSpaceDN w:val="0"/>
        <w:adjustRightInd w:val="0"/>
        <w:spacing w:after="280"/>
        <w:ind w:left="851" w:hanging="284"/>
        <w:rPr>
          <w:rFonts w:eastAsia="Calibri" w:cs="Arial"/>
          <w:lang w:eastAsia="en-US"/>
        </w:rPr>
      </w:pPr>
      <w:r w:rsidRPr="00F55CCC">
        <w:rPr>
          <w:rFonts w:eastAsia="Calibri" w:cs="Arial"/>
          <w:lang w:eastAsia="en-US"/>
        </w:rPr>
        <w:t>Incorporating senior management or team leaders into antitrust training will help reinforce the importance of the company's culture of ethics and compliance, which it expects employees to embrace and demonstrate;</w:t>
      </w:r>
    </w:p>
    <w:p w14:paraId="5173BC0A" w14:textId="0A65E0D6" w:rsidR="00FD413B" w:rsidRDefault="00FD413B" w:rsidP="00A15E97">
      <w:pPr>
        <w:numPr>
          <w:ilvl w:val="0"/>
          <w:numId w:val="12"/>
        </w:numPr>
        <w:autoSpaceDE w:val="0"/>
        <w:autoSpaceDN w:val="0"/>
        <w:adjustRightInd w:val="0"/>
        <w:spacing w:after="280"/>
        <w:ind w:left="851" w:hanging="284"/>
        <w:rPr>
          <w:rFonts w:eastAsia="Calibri" w:cs="Arial"/>
          <w:lang w:eastAsia="en-US"/>
        </w:rPr>
      </w:pPr>
      <w:r w:rsidRPr="00F55CCC">
        <w:rPr>
          <w:rFonts w:eastAsia="Calibri" w:cs="Arial"/>
          <w:lang w:eastAsia="en-US"/>
        </w:rPr>
        <w:t xml:space="preserve">Ensuring </w:t>
      </w:r>
      <w:r w:rsidRPr="00F55CCC">
        <w:rPr>
          <w:rFonts w:eastAsia="Calibri" w:cs="Arial"/>
          <w:b/>
          <w:lang w:eastAsia="en-US"/>
        </w:rPr>
        <w:t xml:space="preserve">suitable </w:t>
      </w:r>
      <w:r w:rsidR="00F16196" w:rsidRPr="00F55CCC">
        <w:rPr>
          <w:rFonts w:eastAsia="Calibri" w:cs="Arial"/>
          <w:lang w:eastAsia="en-US"/>
        </w:rPr>
        <w:t>attendance</w:t>
      </w:r>
      <w:r w:rsidRPr="00F55CCC">
        <w:rPr>
          <w:rFonts w:eastAsia="Calibri" w:cs="Arial"/>
          <w:b/>
          <w:lang w:eastAsia="en-US"/>
        </w:rPr>
        <w:t xml:space="preserve"> records</w:t>
      </w:r>
      <w:r w:rsidRPr="00F55CCC">
        <w:rPr>
          <w:rFonts w:eastAsia="Calibri" w:cs="Arial"/>
          <w:lang w:eastAsia="en-US"/>
        </w:rPr>
        <w:t xml:space="preserve"> are made and retained of at all trainings is important when it comes to measuring the effectiveness of controls and improving the programme (see Chapter </w:t>
      </w:r>
      <w:r w:rsidR="009545E1">
        <w:rPr>
          <w:rFonts w:eastAsia="Calibri" w:cs="Arial"/>
          <w:lang w:eastAsia="en-US"/>
        </w:rPr>
        <w:t>10</w:t>
      </w:r>
      <w:r w:rsidRPr="00F55CCC">
        <w:rPr>
          <w:rFonts w:eastAsia="Calibri" w:cs="Arial"/>
          <w:lang w:eastAsia="en-US"/>
        </w:rPr>
        <w:t>: “Monitoring and continuous improvement”).</w:t>
      </w:r>
    </w:p>
    <w:p w14:paraId="3B441879" w14:textId="77777777" w:rsidR="00FD413B" w:rsidRPr="00F55CCC" w:rsidRDefault="00FD413B" w:rsidP="00A51E32">
      <w:pPr>
        <w:pStyle w:val="OUTLINEAL2"/>
      </w:pPr>
      <w:bookmarkStart w:id="68" w:name="_Toc166512650"/>
      <w:bookmarkStart w:id="69" w:name="_Toc166513108"/>
      <w:bookmarkStart w:id="70" w:name="_Toc166747897"/>
      <w:r w:rsidRPr="00F55CCC">
        <w:t>Find ways to stimulate positive employee engagement</w:t>
      </w:r>
      <w:bookmarkEnd w:id="68"/>
      <w:bookmarkEnd w:id="69"/>
      <w:bookmarkEnd w:id="70"/>
    </w:p>
    <w:p w14:paraId="443C7206" w14:textId="77777777" w:rsidR="00FD413B" w:rsidRPr="00F55CCC" w:rsidRDefault="00FD413B" w:rsidP="00456302">
      <w:pPr>
        <w:spacing w:after="280"/>
        <w:jc w:val="both"/>
        <w:rPr>
          <w:rFonts w:cs="Arial"/>
        </w:rPr>
      </w:pPr>
      <w:r w:rsidRPr="00F55CCC">
        <w:rPr>
          <w:rFonts w:cs="Arial"/>
        </w:rPr>
        <w:t xml:space="preserve">To be effective, mechanisms for raising awareness of antitrust compliance guidance should include the following clear and concise </w:t>
      </w:r>
      <w:r w:rsidRPr="00F55CCC">
        <w:rPr>
          <w:rFonts w:cs="Arial"/>
          <w:b/>
        </w:rPr>
        <w:t>reminders and reference materials</w:t>
      </w:r>
      <w:r w:rsidRPr="00F55CCC">
        <w:rPr>
          <w:rFonts w:cs="Arial"/>
        </w:rPr>
        <w:t xml:space="preserve"> that communicate messages in ways that stimulate employee </w:t>
      </w:r>
      <w:r w:rsidRPr="00500F0C">
        <w:rPr>
          <w:rFonts w:cs="Arial"/>
        </w:rPr>
        <w:t>engagement:</w:t>
      </w:r>
    </w:p>
    <w:p w14:paraId="4697A27A" w14:textId="77777777" w:rsidR="00A51E32" w:rsidRDefault="00FD413B">
      <w:pPr>
        <w:numPr>
          <w:ilvl w:val="0"/>
          <w:numId w:val="12"/>
        </w:numPr>
        <w:autoSpaceDE w:val="0"/>
        <w:autoSpaceDN w:val="0"/>
        <w:adjustRightInd w:val="0"/>
        <w:spacing w:after="280"/>
        <w:ind w:left="851" w:hanging="284"/>
        <w:rPr>
          <w:rFonts w:eastAsia="Calibri" w:cs="Arial"/>
          <w:lang w:eastAsia="en-US"/>
        </w:rPr>
      </w:pPr>
      <w:r w:rsidRPr="00324C44">
        <w:rPr>
          <w:rFonts w:cs="Arial"/>
        </w:rPr>
        <w:t xml:space="preserve">Wallet cards and /or </w:t>
      </w:r>
      <w:r>
        <w:rPr>
          <w:rFonts w:cs="Arial"/>
        </w:rPr>
        <w:t>p</w:t>
      </w:r>
      <w:r w:rsidRPr="00324C44">
        <w:rPr>
          <w:rFonts w:cs="Arial"/>
        </w:rPr>
        <w:t>osters</w:t>
      </w:r>
      <w:r>
        <w:rPr>
          <w:rFonts w:cs="Arial"/>
        </w:rPr>
        <w:t>;</w:t>
      </w:r>
    </w:p>
    <w:p w14:paraId="5880B8A7" w14:textId="77777777" w:rsidR="00A51E32" w:rsidRDefault="00FD413B">
      <w:pPr>
        <w:numPr>
          <w:ilvl w:val="0"/>
          <w:numId w:val="12"/>
        </w:numPr>
        <w:autoSpaceDE w:val="0"/>
        <w:autoSpaceDN w:val="0"/>
        <w:adjustRightInd w:val="0"/>
        <w:spacing w:after="280"/>
        <w:ind w:left="851" w:hanging="284"/>
        <w:rPr>
          <w:rFonts w:eastAsia="Calibri" w:cs="Arial"/>
          <w:lang w:eastAsia="en-US"/>
        </w:rPr>
      </w:pPr>
      <w:r w:rsidRPr="00324C44">
        <w:rPr>
          <w:rFonts w:cs="Arial"/>
        </w:rPr>
        <w:t>Newsletters and brochures;</w:t>
      </w:r>
    </w:p>
    <w:p w14:paraId="6603810E" w14:textId="77777777" w:rsidR="00A51E32" w:rsidRDefault="00FD413B">
      <w:pPr>
        <w:numPr>
          <w:ilvl w:val="0"/>
          <w:numId w:val="12"/>
        </w:numPr>
        <w:autoSpaceDE w:val="0"/>
        <w:autoSpaceDN w:val="0"/>
        <w:adjustRightInd w:val="0"/>
        <w:spacing w:after="280"/>
        <w:ind w:left="851" w:hanging="284"/>
        <w:rPr>
          <w:rFonts w:eastAsia="Calibri" w:cs="Arial"/>
          <w:lang w:eastAsia="en-US"/>
        </w:rPr>
      </w:pPr>
      <w:r w:rsidRPr="00324C44">
        <w:rPr>
          <w:rFonts w:cs="Arial"/>
        </w:rPr>
        <w:t>Compliance “games” (as discussed above)</w:t>
      </w:r>
      <w:r>
        <w:rPr>
          <w:rFonts w:cs="Arial"/>
        </w:rPr>
        <w:t>;</w:t>
      </w:r>
    </w:p>
    <w:p w14:paraId="758685F0" w14:textId="77777777" w:rsidR="00A51E32" w:rsidRDefault="00FD413B">
      <w:pPr>
        <w:numPr>
          <w:ilvl w:val="0"/>
          <w:numId w:val="12"/>
        </w:numPr>
        <w:autoSpaceDE w:val="0"/>
        <w:autoSpaceDN w:val="0"/>
        <w:adjustRightInd w:val="0"/>
        <w:spacing w:after="280"/>
        <w:ind w:left="851" w:hanging="284"/>
        <w:rPr>
          <w:rFonts w:eastAsia="Calibri" w:cs="Arial"/>
          <w:lang w:eastAsia="en-US"/>
        </w:rPr>
      </w:pPr>
      <w:r w:rsidRPr="00324C44">
        <w:rPr>
          <w:rFonts w:cs="Arial"/>
        </w:rPr>
        <w:t>Intranet and Internet (such as a dedicated antitrust - or at least an ethics and compliance -  internal website);</w:t>
      </w:r>
    </w:p>
    <w:p w14:paraId="68C3FEFA" w14:textId="77777777" w:rsidR="00A51E32" w:rsidRDefault="00FD413B">
      <w:pPr>
        <w:numPr>
          <w:ilvl w:val="0"/>
          <w:numId w:val="12"/>
        </w:numPr>
        <w:autoSpaceDE w:val="0"/>
        <w:autoSpaceDN w:val="0"/>
        <w:adjustRightInd w:val="0"/>
        <w:spacing w:after="280"/>
        <w:ind w:left="851" w:hanging="284"/>
        <w:rPr>
          <w:rFonts w:eastAsia="Calibri" w:cs="Arial"/>
          <w:lang w:eastAsia="en-US"/>
        </w:rPr>
      </w:pPr>
      <w:r w:rsidRPr="00324C44">
        <w:rPr>
          <w:rFonts w:cs="Arial"/>
        </w:rPr>
        <w:t>Promotional giveaways (</w:t>
      </w:r>
      <w:r w:rsidRPr="00324C44">
        <w:rPr>
          <w:rFonts w:cs="Arial"/>
          <w:i/>
          <w:iCs/>
        </w:rPr>
        <w:t>i.e.</w:t>
      </w:r>
      <w:r w:rsidRPr="00324C44">
        <w:rPr>
          <w:rFonts w:cs="Arial"/>
        </w:rPr>
        <w:t xml:space="preserve"> pens, memo pads, calendars, mugs)</w:t>
      </w:r>
      <w:r>
        <w:rPr>
          <w:rFonts w:cs="Arial"/>
        </w:rPr>
        <w:t>;</w:t>
      </w:r>
    </w:p>
    <w:p w14:paraId="5BD9CD30" w14:textId="77777777" w:rsidR="00FD413B" w:rsidRPr="00324C44" w:rsidRDefault="00FD413B">
      <w:pPr>
        <w:pStyle w:val="ListParagraph"/>
        <w:numPr>
          <w:ilvl w:val="0"/>
          <w:numId w:val="37"/>
        </w:numPr>
        <w:jc w:val="both"/>
        <w:rPr>
          <w:rFonts w:ascii="Arial" w:hAnsi="Arial" w:cs="Arial"/>
          <w:sz w:val="20"/>
          <w:szCs w:val="20"/>
        </w:rPr>
      </w:pPr>
      <w:r w:rsidRPr="00324C44">
        <w:rPr>
          <w:rFonts w:ascii="Arial" w:hAnsi="Arial" w:cs="Arial"/>
          <w:sz w:val="20"/>
          <w:szCs w:val="20"/>
        </w:rPr>
        <w:t>Frequent encouraging messages from management about the importance of antitrust compliance and the importance of seeking guidance.</w:t>
      </w:r>
    </w:p>
    <w:p w14:paraId="4DA186D3" w14:textId="77777777" w:rsidR="00FD413B" w:rsidRPr="00F55CCC" w:rsidRDefault="00FD413B" w:rsidP="00456302">
      <w:pPr>
        <w:spacing w:after="0"/>
        <w:jc w:val="both"/>
        <w:rPr>
          <w:rFonts w:cs="Arial"/>
        </w:rPr>
      </w:pPr>
    </w:p>
    <w:p w14:paraId="48BE2511" w14:textId="77777777" w:rsidR="00FD413B" w:rsidRPr="00F55CCC" w:rsidRDefault="00FD413B" w:rsidP="00456302">
      <w:pPr>
        <w:spacing w:after="280"/>
        <w:jc w:val="both"/>
        <w:rPr>
          <w:rFonts w:cs="Arial"/>
        </w:rPr>
      </w:pPr>
      <w:r w:rsidRPr="00F55CCC">
        <w:rPr>
          <w:rFonts w:cs="Arial"/>
        </w:rPr>
        <w:t>To achieve positive employee engagement, an antitrust compliance programme should focus on empowering employees and providing clarity, on what they can do lawfully (the “Do’s”), what they cannot do (the “don’ts” – and importantly – when to ask for help).</w:t>
      </w:r>
    </w:p>
    <w:p w14:paraId="41A0E3E7" w14:textId="2AE82720" w:rsidR="00FD413B" w:rsidRPr="00F55CCC" w:rsidRDefault="00FD413B" w:rsidP="00456302">
      <w:pPr>
        <w:spacing w:after="280"/>
        <w:jc w:val="both"/>
        <w:rPr>
          <w:rFonts w:cs="Arial"/>
        </w:rPr>
      </w:pPr>
      <w:r w:rsidRPr="00F55CCC">
        <w:rPr>
          <w:rFonts w:cs="Arial"/>
        </w:rPr>
        <w:t xml:space="preserve">Some companies celebrate “compliance heroes” (and heroines) as a means of encouraging a positive image for compliance (see Chapter </w:t>
      </w:r>
      <w:r w:rsidR="009545E1">
        <w:rPr>
          <w:rFonts w:cs="Arial"/>
        </w:rPr>
        <w:t>9</w:t>
      </w:r>
      <w:r w:rsidRPr="00F55CCC">
        <w:rPr>
          <w:rFonts w:cs="Arial"/>
        </w:rPr>
        <w:t>: “</w:t>
      </w:r>
      <w:r w:rsidRPr="00F55CCC">
        <w:rPr>
          <w:rFonts w:cs="Arial"/>
          <w:iCs/>
        </w:rPr>
        <w:t>Compliance incentives</w:t>
      </w:r>
      <w:r w:rsidRPr="00F55CCC">
        <w:rPr>
          <w:rFonts w:cs="Arial"/>
          <w:i/>
        </w:rPr>
        <w:t>”</w:t>
      </w:r>
      <w:r w:rsidRPr="00F55CCC">
        <w:rPr>
          <w:rFonts w:cs="Arial"/>
        </w:rPr>
        <w:t>).</w:t>
      </w:r>
    </w:p>
    <w:p w14:paraId="5453EFE1" w14:textId="77777777" w:rsidR="00FD413B" w:rsidRPr="00F55CCC" w:rsidRDefault="00FD413B" w:rsidP="00FD413B">
      <w:pPr>
        <w:spacing w:after="0"/>
        <w:jc w:val="both"/>
        <w:rPr>
          <w:rFonts w:cs="Arial"/>
        </w:rPr>
      </w:pPr>
    </w:p>
    <w:p w14:paraId="33267836" w14:textId="77777777" w:rsidR="00FD413B" w:rsidRPr="00F55CCC" w:rsidRDefault="00FD413B" w:rsidP="00A51E32">
      <w:pPr>
        <w:pStyle w:val="OUTLINEAL2"/>
      </w:pPr>
      <w:bookmarkStart w:id="71" w:name="_Toc166512651"/>
      <w:bookmarkStart w:id="72" w:name="_Toc166513109"/>
      <w:bookmarkStart w:id="73" w:name="_Toc166747898"/>
      <w:r w:rsidRPr="00F55CCC">
        <w:t>Information about antitrust investigations</w:t>
      </w:r>
      <w:bookmarkEnd w:id="71"/>
      <w:bookmarkEnd w:id="72"/>
      <w:bookmarkEnd w:id="73"/>
    </w:p>
    <w:p w14:paraId="21B7286F" w14:textId="77777777" w:rsidR="00FD413B" w:rsidRPr="00F55CCC" w:rsidRDefault="00FD413B" w:rsidP="00456302">
      <w:pPr>
        <w:spacing w:after="280"/>
        <w:jc w:val="both"/>
        <w:rPr>
          <w:rFonts w:cs="Arial"/>
          <w:lang w:eastAsia="en-US"/>
        </w:rPr>
      </w:pPr>
      <w:r w:rsidRPr="00F55CCC">
        <w:rPr>
          <w:rFonts w:cs="Arial"/>
        </w:rPr>
        <w:t xml:space="preserve">It </w:t>
      </w:r>
      <w:r w:rsidRPr="00F55CCC">
        <w:rPr>
          <w:rFonts w:cs="Arial"/>
          <w:lang w:eastAsia="en-US"/>
        </w:rPr>
        <w:t xml:space="preserve">is obviously important for your company’s employees and management to </w:t>
      </w:r>
      <w:r w:rsidRPr="00F55CCC">
        <w:rPr>
          <w:rFonts w:cs="Arial"/>
          <w:b/>
          <w:lang w:eastAsia="en-US"/>
        </w:rPr>
        <w:t>understand what happens in an antitrust investigation</w:t>
      </w:r>
      <w:r w:rsidRPr="00F55CCC">
        <w:rPr>
          <w:rFonts w:cs="Arial"/>
          <w:lang w:eastAsia="en-US"/>
        </w:rPr>
        <w:t>, and in particular to understand the duty of cooperation</w:t>
      </w:r>
      <w:r w:rsidRPr="004D40A8">
        <w:rPr>
          <w:rFonts w:eastAsia="Calibri" w:cs="Arial"/>
        </w:rPr>
        <w:t xml:space="preserve"> </w:t>
      </w:r>
      <w:r w:rsidRPr="004D40A8">
        <w:rPr>
          <w:rFonts w:cs="Arial"/>
          <w:lang w:eastAsia="en-US"/>
        </w:rPr>
        <w:t xml:space="preserve">in the event of an inspection and that any form of obstruction during the investigation (whether it involves seal breaking or </w:t>
      </w:r>
      <w:r w:rsidRPr="004D40A8">
        <w:rPr>
          <w:rFonts w:cs="Arial"/>
          <w:lang w:eastAsia="en-US"/>
        </w:rPr>
        <w:lastRenderedPageBreak/>
        <w:t>otherwise) will be treated seriously by the company and may result in disciplinary action</w:t>
      </w:r>
      <w:r w:rsidRPr="00F55CCC">
        <w:rPr>
          <w:rFonts w:cs="Arial"/>
          <w:lang w:eastAsia="en-US"/>
        </w:rPr>
        <w:t>. Training employees about what happens in antitrust investigations or “dawn raids” in the event that a real investigation takes place may be useful in certain cases, for example:</w:t>
      </w:r>
    </w:p>
    <w:p w14:paraId="0A96E79F" w14:textId="77777777" w:rsidR="00FD413B" w:rsidRPr="00F55CCC" w:rsidRDefault="00FD413B">
      <w:pPr>
        <w:numPr>
          <w:ilvl w:val="0"/>
          <w:numId w:val="30"/>
        </w:numPr>
        <w:spacing w:after="280"/>
        <w:ind w:left="851" w:hanging="284"/>
        <w:jc w:val="both"/>
        <w:rPr>
          <w:rFonts w:ascii="Calibri" w:eastAsia="Calibri" w:hAnsi="Calibri" w:cs="Arial"/>
          <w:sz w:val="22"/>
          <w:szCs w:val="22"/>
        </w:rPr>
      </w:pPr>
      <w:r w:rsidRPr="00F55CCC">
        <w:rPr>
          <w:rFonts w:eastAsia="Calibri" w:cs="Arial"/>
          <w:b/>
        </w:rPr>
        <w:t>IT colleagues</w:t>
      </w:r>
      <w:r w:rsidRPr="00F55CCC">
        <w:rPr>
          <w:rFonts w:eastAsia="Calibri" w:cs="Arial"/>
        </w:rPr>
        <w:t xml:space="preserve"> are now critical in any antitrust investigation, as much – perhaps most - of the investigation and document searches are conducted digitally using forensic IT tools. </w:t>
      </w:r>
    </w:p>
    <w:p w14:paraId="5A406234" w14:textId="77777777" w:rsidR="00FD413B" w:rsidRPr="00F55CCC" w:rsidRDefault="00FD413B">
      <w:pPr>
        <w:numPr>
          <w:ilvl w:val="0"/>
          <w:numId w:val="30"/>
        </w:numPr>
        <w:spacing w:after="280"/>
        <w:ind w:left="851" w:hanging="284"/>
        <w:jc w:val="both"/>
        <w:rPr>
          <w:rFonts w:ascii="Calibri" w:eastAsia="Calibri" w:hAnsi="Calibri" w:cs="Arial"/>
          <w:sz w:val="22"/>
          <w:szCs w:val="22"/>
        </w:rPr>
      </w:pPr>
      <w:r w:rsidRPr="00F55CCC">
        <w:rPr>
          <w:rFonts w:eastAsia="Calibri" w:cs="Arial"/>
        </w:rPr>
        <w:t xml:space="preserve">For </w:t>
      </w:r>
      <w:r w:rsidRPr="00F55CCC">
        <w:rPr>
          <w:rFonts w:eastAsia="Calibri" w:cs="Arial"/>
          <w:b/>
        </w:rPr>
        <w:t>employees on reception/in security</w:t>
      </w:r>
      <w:r w:rsidRPr="00F55CCC">
        <w:rPr>
          <w:rFonts w:eastAsia="Calibri" w:cs="Arial"/>
        </w:rPr>
        <w:t xml:space="preserve"> in your company’s facilities, they need to understand how to handle investigators </w:t>
      </w:r>
      <w:r w:rsidRPr="00F55CCC">
        <w:rPr>
          <w:rFonts w:eastAsia="Calibri" w:cs="Arial"/>
          <w:lang w:eastAsia="en-US"/>
        </w:rPr>
        <w:t>courteously, expeditiously</w:t>
      </w:r>
      <w:r w:rsidRPr="00F55CCC">
        <w:rPr>
          <w:rFonts w:eastAsia="Calibri" w:cs="Arial"/>
        </w:rPr>
        <w:t xml:space="preserve"> and appropriately, in order to minimise the risk that an antitrust agency alleges obstruction or a failure to cooperate by your company;</w:t>
      </w:r>
    </w:p>
    <w:p w14:paraId="73043B81" w14:textId="77777777" w:rsidR="00FD413B" w:rsidRPr="00F55CCC" w:rsidRDefault="00FD413B" w:rsidP="00456302">
      <w:pPr>
        <w:spacing w:after="280"/>
        <w:jc w:val="both"/>
        <w:rPr>
          <w:rFonts w:cs="Arial"/>
          <w:lang w:eastAsia="en-US"/>
        </w:rPr>
      </w:pPr>
      <w:r w:rsidRPr="00500F0C">
        <w:rPr>
          <w:rFonts w:cs="Arial"/>
          <w:lang w:eastAsia="en-US"/>
        </w:rPr>
        <w:t xml:space="preserve">Some companies use “mock” dawn raids that mimic surprise inspections, although opinion is divided on the merits and the problems associated with employing “mock” raids. </w:t>
      </w:r>
    </w:p>
    <w:p w14:paraId="352B137A" w14:textId="37153900" w:rsidR="00FD413B" w:rsidRPr="00F55CCC" w:rsidRDefault="00FD413B" w:rsidP="00966F29">
      <w:pPr>
        <w:pStyle w:val="OUTLINEAL1"/>
      </w:pPr>
      <w:bookmarkStart w:id="74" w:name="_Toc166512652"/>
      <w:bookmarkStart w:id="75" w:name="_Toc166513110"/>
      <w:bookmarkStart w:id="76" w:name="_Toc166747899"/>
      <w:r w:rsidRPr="00F55CCC">
        <w:lastRenderedPageBreak/>
        <w:t>Antitrust concerns-handling systems</w:t>
      </w:r>
      <w:bookmarkEnd w:id="74"/>
      <w:bookmarkEnd w:id="75"/>
      <w:bookmarkEnd w:id="76"/>
    </w:p>
    <w:p w14:paraId="5096F467" w14:textId="77777777" w:rsidR="00FD413B" w:rsidRPr="00F55CCC" w:rsidRDefault="00FD413B" w:rsidP="00456302">
      <w:pPr>
        <w:spacing w:after="280"/>
        <w:jc w:val="both"/>
        <w:rPr>
          <w:rFonts w:cs="Arial"/>
        </w:rPr>
      </w:pPr>
      <w:r w:rsidRPr="00F55CCC">
        <w:rPr>
          <w:rFonts w:cs="Arial"/>
        </w:rPr>
        <w:t xml:space="preserve">When your company has “tone from the top” that </w:t>
      </w:r>
      <w:r w:rsidRPr="00F55CCC">
        <w:rPr>
          <w:rFonts w:cs="Arial"/>
          <w:b/>
          <w:bCs/>
        </w:rPr>
        <w:t>actively</w:t>
      </w:r>
      <w:r w:rsidRPr="00F55CCC">
        <w:rPr>
          <w:rFonts w:cs="Arial"/>
        </w:rPr>
        <w:t xml:space="preserve"> encourages and stimulates employees to behave ethically, your company’s employees will (most likely) be more vigilant and willing to raise concerns when they are uncomfortable about certain forms of conduct.  To facilitate this, it is important to have well-publicised mechanisms that allow employees to “speak up”, outside normal reporting lines, and be protected against possible retaliation</w:t>
      </w:r>
      <w:r w:rsidRPr="00F55CCC">
        <w:rPr>
          <w:rFonts w:cs="Arial"/>
          <w:vertAlign w:val="superscript"/>
        </w:rPr>
        <w:footnoteReference w:id="19"/>
      </w:r>
      <w:r w:rsidRPr="00F55CCC">
        <w:rPr>
          <w:rFonts w:cs="Arial"/>
        </w:rPr>
        <w:t xml:space="preserve">. </w:t>
      </w:r>
    </w:p>
    <w:p w14:paraId="4A2AFF64" w14:textId="77777777" w:rsidR="00FD413B" w:rsidRPr="00F55CCC" w:rsidRDefault="00FD413B" w:rsidP="00456302">
      <w:pPr>
        <w:spacing w:after="280"/>
        <w:jc w:val="both"/>
        <w:rPr>
          <w:rFonts w:cs="Arial"/>
        </w:rPr>
      </w:pPr>
      <w:r w:rsidRPr="00F55CCC">
        <w:rPr>
          <w:rFonts w:cs="Arial"/>
        </w:rPr>
        <w:t xml:space="preserve">Corporate social responsibility, ESG, and business ethics have led to the development of increasingly sophisticated compliance strategies, including the adoption of </w:t>
      </w:r>
      <w:r w:rsidRPr="00F55CCC">
        <w:rPr>
          <w:rFonts w:cs="Arial"/>
          <w:b/>
        </w:rPr>
        <w:t>internal whistleblower procedures</w:t>
      </w:r>
      <w:r w:rsidRPr="00F55CCC">
        <w:rPr>
          <w:rFonts w:cs="Arial"/>
        </w:rPr>
        <w:t xml:space="preserve">, reporting channel, “help lines” or hotlines. These mechanisms allow individuals – both inside and outside the company </w:t>
      </w:r>
      <w:r>
        <w:rPr>
          <w:rFonts w:cs="Arial"/>
        </w:rPr>
        <w:t xml:space="preserve">- </w:t>
      </w:r>
      <w:r w:rsidRPr="00F55CCC">
        <w:rPr>
          <w:rFonts w:cs="Arial"/>
        </w:rPr>
        <w:t xml:space="preserve">to report compliance concerns, enabling management and their lawyers to uncover and deal with corporate crimes, antitrust violations, corruption, and other compliance problems. These concerns-handling mechanisms may also serve as a deterrent for employees who may be tempted to circumvent controls and violate your company’s Code of Conduct.  </w:t>
      </w:r>
    </w:p>
    <w:p w14:paraId="6E946F59" w14:textId="77777777" w:rsidR="00FD413B" w:rsidRPr="00F55CCC" w:rsidRDefault="00FD413B">
      <w:pPr>
        <w:pStyle w:val="OUTLINEAL2"/>
        <w:numPr>
          <w:ilvl w:val="0"/>
          <w:numId w:val="43"/>
        </w:numPr>
      </w:pPr>
      <w:bookmarkStart w:id="77" w:name="_Toc166512653"/>
      <w:bookmarkStart w:id="78" w:name="_Toc166513111"/>
      <w:bookmarkStart w:id="79" w:name="_Toc166747900"/>
      <w:r w:rsidRPr="00F55CCC">
        <w:t>Different kinds of internal reporting systems</w:t>
      </w:r>
      <w:bookmarkEnd w:id="77"/>
      <w:bookmarkEnd w:id="78"/>
      <w:bookmarkEnd w:id="79"/>
    </w:p>
    <w:p w14:paraId="15E93F09" w14:textId="77777777" w:rsidR="00FD413B" w:rsidRPr="00F55CCC" w:rsidRDefault="00FD413B" w:rsidP="00456302">
      <w:pPr>
        <w:spacing w:after="280"/>
        <w:jc w:val="both"/>
        <w:rPr>
          <w:rFonts w:cs="Arial"/>
        </w:rPr>
      </w:pPr>
      <w:r w:rsidRPr="00F55CCC">
        <w:rPr>
          <w:rFonts w:cs="Arial"/>
        </w:rPr>
        <w:t xml:space="preserve">There are </w:t>
      </w:r>
      <w:r w:rsidRPr="00F55CCC">
        <w:rPr>
          <w:rFonts w:cs="Arial"/>
          <w:b/>
        </w:rPr>
        <w:t>a variety of internal reporting systems</w:t>
      </w:r>
      <w:r w:rsidRPr="00F55CCC">
        <w:rPr>
          <w:rFonts w:cs="Arial"/>
        </w:rPr>
        <w:t xml:space="preserve"> that you can choose from to enable your company’s employees to raise compliance concerns or report suspected misconduct:</w:t>
      </w:r>
    </w:p>
    <w:p w14:paraId="302406C0" w14:textId="77777777" w:rsidR="00FD413B" w:rsidRPr="00F55CCC" w:rsidRDefault="00FD413B">
      <w:pPr>
        <w:numPr>
          <w:ilvl w:val="0"/>
          <w:numId w:val="13"/>
        </w:numPr>
        <w:spacing w:after="280"/>
        <w:ind w:left="851" w:hanging="284"/>
        <w:jc w:val="both"/>
        <w:rPr>
          <w:rFonts w:eastAsia="Calibri" w:cs="Arial"/>
        </w:rPr>
      </w:pPr>
      <w:r w:rsidRPr="00F55CCC">
        <w:rPr>
          <w:rFonts w:eastAsia="Calibri" w:cs="Arial"/>
        </w:rPr>
        <w:t>One approach to r</w:t>
      </w:r>
      <w:r>
        <w:rPr>
          <w:rFonts w:eastAsia="Calibri" w:cs="Arial"/>
        </w:rPr>
        <w:t>a</w:t>
      </w:r>
      <w:r w:rsidRPr="00F55CCC">
        <w:rPr>
          <w:rFonts w:eastAsia="Calibri" w:cs="Arial"/>
        </w:rPr>
        <w:t>ising compliance concerns is the informal “open door” approach, which allows concerns to be raised directly with management at any time. While this approach is simple, it does not provide anonymity and relies on the existence of an environment where employees feel comfortable speaking up. This becomes problematic if the line manager is involved in the allegation the employee wishes to discuss. Even if the Line Manager is not involved, many employees feel embarrassed to be seen “complaining” about another.</w:t>
      </w:r>
    </w:p>
    <w:p w14:paraId="7123BC5A" w14:textId="77777777" w:rsidR="00FD413B" w:rsidRPr="00F55CCC" w:rsidRDefault="00FD413B">
      <w:pPr>
        <w:numPr>
          <w:ilvl w:val="0"/>
          <w:numId w:val="13"/>
        </w:numPr>
        <w:spacing w:after="280"/>
        <w:ind w:left="851" w:hanging="284"/>
        <w:jc w:val="both"/>
        <w:rPr>
          <w:rFonts w:eastAsia="Calibri" w:cs="Arial"/>
        </w:rPr>
      </w:pPr>
      <w:r w:rsidRPr="00F55CCC">
        <w:rPr>
          <w:rFonts w:eastAsia="Calibri" w:cs="Arial"/>
        </w:rPr>
        <w:t xml:space="preserve">The compliance programme should encourage managers and employees to ask for help. Depending whether you work for a large company or an SME, help and advice could be obtained from in-house Legal, the Compliance Officer or another appropriate function such as Finance, Audit, or HR. </w:t>
      </w:r>
    </w:p>
    <w:p w14:paraId="02FDC947" w14:textId="77777777" w:rsidR="00FD413B" w:rsidRPr="00F55CCC" w:rsidRDefault="00FD413B">
      <w:pPr>
        <w:numPr>
          <w:ilvl w:val="0"/>
          <w:numId w:val="13"/>
        </w:numPr>
        <w:spacing w:after="280"/>
        <w:ind w:left="851" w:hanging="284"/>
        <w:jc w:val="both"/>
        <w:rPr>
          <w:rFonts w:cs="Arial"/>
        </w:rPr>
      </w:pPr>
      <w:r w:rsidRPr="00F55CCC">
        <w:rPr>
          <w:rFonts w:eastAsia="Calibri" w:cs="Arial"/>
        </w:rPr>
        <w:t xml:space="preserve">Companies can also establish a formal whistleblower weblink or telephone line sometimes known as helpline/hotline or </w:t>
      </w:r>
      <w:r>
        <w:rPr>
          <w:rFonts w:eastAsia="Calibri" w:cs="Arial"/>
        </w:rPr>
        <w:t>C</w:t>
      </w:r>
      <w:r w:rsidRPr="00F55CCC">
        <w:rPr>
          <w:rFonts w:eastAsia="Calibri" w:cs="Arial"/>
        </w:rPr>
        <w:t>ode of conduct reporting line. Whether a formal helpline is necessary depends on the risks the company faces and its size, scope and geographic reach.</w:t>
      </w:r>
      <w:r w:rsidRPr="00F55CCC">
        <w:rPr>
          <w:rFonts w:cs="Arial"/>
        </w:rPr>
        <w:t xml:space="preserve"> Many companies operate some form of </w:t>
      </w:r>
      <w:r w:rsidRPr="00F55CCC">
        <w:rPr>
          <w:rFonts w:cs="Arial"/>
          <w:b/>
        </w:rPr>
        <w:t>internal helpline system</w:t>
      </w:r>
      <w:r w:rsidRPr="00F55CCC">
        <w:rPr>
          <w:rFonts w:cs="Arial"/>
        </w:rPr>
        <w:t xml:space="preserve"> (often in addition to a formal “whistle blower” line) designed to answer employees’ questions about ethics, company policies and compliance matters, providing answers to everyday compliance dilemmas. </w:t>
      </w:r>
    </w:p>
    <w:p w14:paraId="156328EB" w14:textId="77777777" w:rsidR="00FD413B" w:rsidRPr="00F55CCC" w:rsidRDefault="00FD413B" w:rsidP="00456302">
      <w:pPr>
        <w:spacing w:after="280"/>
        <w:jc w:val="both"/>
        <w:rPr>
          <w:rFonts w:cs="Arial"/>
        </w:rPr>
      </w:pPr>
      <w:r w:rsidRPr="00F55CCC">
        <w:rPr>
          <w:rFonts w:cs="Arial"/>
        </w:rPr>
        <w:t xml:space="preserve">Antitrust agencies now encourage individuals to contact them directly when they become aware of problematic conduct, sometimes offering financial rewards. This creates a tension between your company’s internal efforts to prevent and detect non-compliance and the antitrust agencies’ focus on effective deterrence. For this reason also, it is in your company’s interest to foster an environment where concerns are raised internally first, to address them promptly, investigate matters and potentially prepare a corporate leniency application if appropriate. </w:t>
      </w:r>
    </w:p>
    <w:p w14:paraId="1825801D" w14:textId="77777777" w:rsidR="00FD413B" w:rsidRDefault="00FD413B" w:rsidP="00456302">
      <w:pPr>
        <w:spacing w:after="280"/>
        <w:jc w:val="both"/>
        <w:rPr>
          <w:rFonts w:cs="Arial"/>
        </w:rPr>
      </w:pPr>
      <w:r w:rsidRPr="00C70F76">
        <w:rPr>
          <w:rFonts w:cs="Arial"/>
        </w:rPr>
        <w:lastRenderedPageBreak/>
        <w:t xml:space="preserve">Implementing a </w:t>
      </w:r>
      <w:r w:rsidRPr="00C70F76">
        <w:rPr>
          <w:rFonts w:cs="Arial"/>
          <w:b/>
        </w:rPr>
        <w:t>confidential and anonymous reporting system</w:t>
      </w:r>
      <w:r w:rsidRPr="00C70F76">
        <w:rPr>
          <w:rFonts w:cs="Arial"/>
        </w:rPr>
        <w:t xml:space="preserve"> is crucial for companies committed to stronger and more effective governance practices. </w:t>
      </w:r>
    </w:p>
    <w:p w14:paraId="71B0899C" w14:textId="77777777" w:rsidR="00FD413B" w:rsidRPr="004758F9" w:rsidRDefault="00FD413B" w:rsidP="00456302">
      <w:pPr>
        <w:spacing w:after="280"/>
        <w:jc w:val="both"/>
        <w:rPr>
          <w:rFonts w:cs="Arial"/>
        </w:rPr>
      </w:pPr>
      <w:r w:rsidRPr="00315F12">
        <w:rPr>
          <w:rFonts w:cs="Arial"/>
        </w:rPr>
        <w:t>Workplace whistleblower hotlines/help lines</w:t>
      </w:r>
      <w:r>
        <w:t xml:space="preserve"> </w:t>
      </w:r>
      <w:r w:rsidRPr="004758F9">
        <w:rPr>
          <w:rFonts w:cs="Arial"/>
        </w:rPr>
        <w:t>take many forms</w:t>
      </w:r>
      <w:r>
        <w:rPr>
          <w:rFonts w:cs="Arial"/>
        </w:rPr>
        <w:t xml:space="preserve"> and </w:t>
      </w:r>
      <w:r w:rsidRPr="002B00EF">
        <w:rPr>
          <w:rFonts w:cs="Arial"/>
          <w:lang w:eastAsia="en-US"/>
        </w:rPr>
        <w:t>is very much dependent on the availability of resources</w:t>
      </w:r>
      <w:r>
        <w:rPr>
          <w:rFonts w:cs="Arial"/>
        </w:rPr>
        <w:t xml:space="preserve">. </w:t>
      </w:r>
      <w:r w:rsidRPr="004758F9">
        <w:rPr>
          <w:rFonts w:eastAsia="Calibri" w:cs="Arial"/>
        </w:rPr>
        <w:t>Some companies run their hotline in-house while others are outsourced. Some combine in-house resourcing (for investigations purposes) and external (independent) management and recording of the complaint to ensure anonymity</w:t>
      </w:r>
      <w:r>
        <w:rPr>
          <w:rFonts w:eastAsia="Calibri" w:cs="Arial"/>
        </w:rPr>
        <w:t>.</w:t>
      </w:r>
    </w:p>
    <w:p w14:paraId="1C9C24E7" w14:textId="77777777" w:rsidR="00FD413B" w:rsidRPr="00F55CCC" w:rsidRDefault="00FD413B" w:rsidP="00456302">
      <w:pPr>
        <w:spacing w:after="280"/>
        <w:jc w:val="both"/>
        <w:rPr>
          <w:rFonts w:cs="Arial"/>
        </w:rPr>
      </w:pPr>
      <w:r w:rsidRPr="002B00EF">
        <w:rPr>
          <w:rFonts w:cs="Arial"/>
        </w:rPr>
        <w:t xml:space="preserve">Where genuinely problematic anti-competitive conduct (such as price fixing) is uncovered, it is usually necessary to involve specialist (antitrust) external legal advisors without delay, to assist with follow-on investigations and provide advice on a </w:t>
      </w:r>
      <w:r w:rsidRPr="00324C44">
        <w:rPr>
          <w:rFonts w:cs="Arial"/>
          <w:b/>
          <w:bCs/>
        </w:rPr>
        <w:t>legally-privileged</w:t>
      </w:r>
      <w:r w:rsidRPr="002B00EF">
        <w:rPr>
          <w:rFonts w:cs="Arial"/>
        </w:rPr>
        <w:t xml:space="preserve"> basis, and to determine whether an application for </w:t>
      </w:r>
      <w:r w:rsidRPr="00324C44">
        <w:rPr>
          <w:rFonts w:cs="Arial"/>
          <w:b/>
          <w:bCs/>
        </w:rPr>
        <w:t>immunity or leniency</w:t>
      </w:r>
      <w:r w:rsidRPr="002B00EF">
        <w:rPr>
          <w:rFonts w:cs="Arial"/>
        </w:rPr>
        <w:t xml:space="preserve"> is appropriate (or even possible).</w:t>
      </w:r>
      <w:r w:rsidRPr="00F55CCC">
        <w:rPr>
          <w:rFonts w:cs="Arial"/>
        </w:rPr>
        <w:t xml:space="preserve">  </w:t>
      </w:r>
    </w:p>
    <w:p w14:paraId="2D4075E1" w14:textId="5F9E7CA7" w:rsidR="00FD413B" w:rsidRPr="00F55CCC" w:rsidRDefault="00FD413B" w:rsidP="00456302">
      <w:pPr>
        <w:spacing w:after="280"/>
        <w:jc w:val="both"/>
        <w:rPr>
          <w:rFonts w:cs="Arial"/>
        </w:rPr>
      </w:pPr>
      <w:r w:rsidRPr="00F55CCC">
        <w:rPr>
          <w:rFonts w:cs="Arial"/>
        </w:rPr>
        <w:t xml:space="preserve">A </w:t>
      </w:r>
      <w:r w:rsidRPr="00F55CCC">
        <w:rPr>
          <w:rFonts w:cs="Arial"/>
          <w:b/>
        </w:rPr>
        <w:t xml:space="preserve">hotline/whistleblower line system should evolve to meet new needs </w:t>
      </w:r>
      <w:r w:rsidRPr="00F55CCC">
        <w:rPr>
          <w:rFonts w:cs="Arial"/>
          <w:bCs/>
        </w:rPr>
        <w:t>as</w:t>
      </w:r>
      <w:r w:rsidRPr="00F55CCC">
        <w:rPr>
          <w:rFonts w:cs="Arial"/>
          <w:b/>
        </w:rPr>
        <w:t xml:space="preserve"> </w:t>
      </w:r>
      <w:r w:rsidRPr="00F55CCC">
        <w:rPr>
          <w:rFonts w:cs="Arial"/>
        </w:rPr>
        <w:t>compliance requirements and companies grow and change (for example, the recent focus on AI and Human Resources issues by agencies has changed the focus of compliance programmes). This may include adding risk categories as new areas of the business emerge, adding locations, business units as you</w:t>
      </w:r>
      <w:r w:rsidR="00BA28B6">
        <w:rPr>
          <w:rFonts w:cs="Arial"/>
        </w:rPr>
        <w:t>r</w:t>
      </w:r>
      <w:r w:rsidRPr="00F55CCC">
        <w:rPr>
          <w:rFonts w:cs="Arial"/>
        </w:rPr>
        <w:t xml:space="preserve"> company grows, and providing reports or capturing new data points from individuals reporting compliance concerns as compliance requirements dictate.</w:t>
      </w:r>
    </w:p>
    <w:p w14:paraId="1CF708EA" w14:textId="77777777" w:rsidR="00FD413B" w:rsidRPr="00F55CCC" w:rsidRDefault="00FD413B" w:rsidP="00966F29">
      <w:pPr>
        <w:pStyle w:val="OUTLINEAL2"/>
      </w:pPr>
      <w:bookmarkStart w:id="80" w:name="_Toc166512654"/>
      <w:bookmarkStart w:id="81" w:name="_Toc166513112"/>
      <w:bookmarkStart w:id="82" w:name="_Toc166747901"/>
      <w:r w:rsidRPr="00F55CCC">
        <w:t>Communicate, educate and create a culture of speaking up</w:t>
      </w:r>
      <w:bookmarkEnd w:id="80"/>
      <w:bookmarkEnd w:id="81"/>
      <w:bookmarkEnd w:id="82"/>
      <w:r w:rsidRPr="00F55CCC">
        <w:t xml:space="preserve"> </w:t>
      </w:r>
    </w:p>
    <w:p w14:paraId="2B7A0B2F" w14:textId="77777777" w:rsidR="00FD413B" w:rsidRPr="0069321A" w:rsidRDefault="00FD413B" w:rsidP="00456302">
      <w:pPr>
        <w:tabs>
          <w:tab w:val="left" w:pos="851"/>
        </w:tabs>
        <w:spacing w:after="280"/>
        <w:contextualSpacing/>
        <w:jc w:val="both"/>
        <w:rPr>
          <w:rFonts w:eastAsia="Calibri" w:cs="Arial"/>
        </w:rPr>
      </w:pPr>
      <w:r w:rsidRPr="00F55CCC">
        <w:rPr>
          <w:rFonts w:eastAsia="Calibri" w:cs="Arial"/>
        </w:rPr>
        <w:t>Whatever the size of your company, it is important to recognise that it is not enough to establish a compliance concerns-handling system and expect employees to start asking questions or making reports. To be effective, employees need to know the hotline/whistleblower line is available and why and when they should use it, and how they will be safeguarded if they use it</w:t>
      </w:r>
      <w:r w:rsidRPr="0069321A">
        <w:rPr>
          <w:rFonts w:eastAsia="Calibri" w:cs="Arial"/>
        </w:rPr>
        <w:t xml:space="preserve">. </w:t>
      </w:r>
    </w:p>
    <w:p w14:paraId="040BCE56" w14:textId="77777777" w:rsidR="00FD413B" w:rsidRPr="0069321A" w:rsidRDefault="00FD413B" w:rsidP="00456302">
      <w:pPr>
        <w:tabs>
          <w:tab w:val="left" w:pos="851"/>
        </w:tabs>
        <w:spacing w:after="280"/>
        <w:contextualSpacing/>
        <w:jc w:val="both"/>
        <w:rPr>
          <w:rFonts w:eastAsia="Calibri" w:cs="Arial"/>
        </w:rPr>
      </w:pPr>
    </w:p>
    <w:p w14:paraId="53F77EED" w14:textId="77777777" w:rsidR="00FD413B" w:rsidRPr="00F55CCC" w:rsidRDefault="00FD413B" w:rsidP="00456302">
      <w:pPr>
        <w:tabs>
          <w:tab w:val="left" w:pos="851"/>
        </w:tabs>
        <w:spacing w:after="280"/>
        <w:contextualSpacing/>
        <w:jc w:val="both"/>
        <w:rPr>
          <w:rFonts w:eastAsia="Calibri" w:cs="Arial"/>
        </w:rPr>
      </w:pPr>
      <w:r w:rsidRPr="0069321A">
        <w:rPr>
          <w:rFonts w:eastAsia="Calibri" w:cs="Arial"/>
        </w:rPr>
        <w:t xml:space="preserve">Companies should promote the use of the hotline/whistleblower line through a broad communication and education programme throughout the company – and indeed, for a public company, through it various Disclosures and Reports. </w:t>
      </w:r>
    </w:p>
    <w:p w14:paraId="58CD2117" w14:textId="77777777" w:rsidR="00FD413B" w:rsidRPr="00F55CCC" w:rsidRDefault="00FD413B" w:rsidP="00456302">
      <w:pPr>
        <w:tabs>
          <w:tab w:val="left" w:pos="851"/>
        </w:tabs>
        <w:spacing w:after="280"/>
        <w:contextualSpacing/>
        <w:jc w:val="both"/>
        <w:rPr>
          <w:rFonts w:eastAsia="Calibri" w:cs="Arial"/>
        </w:rPr>
      </w:pPr>
    </w:p>
    <w:p w14:paraId="507B44C6" w14:textId="77777777" w:rsidR="00FD413B" w:rsidRPr="00F55CCC" w:rsidRDefault="00FD413B" w:rsidP="00456302">
      <w:pPr>
        <w:keepNext/>
        <w:keepLines/>
        <w:numPr>
          <w:ilvl w:val="2"/>
          <w:numId w:val="0"/>
        </w:numPr>
        <w:spacing w:after="280"/>
        <w:jc w:val="both"/>
        <w:outlineLvl w:val="2"/>
        <w:rPr>
          <w:rFonts w:cs="Arial"/>
          <w:bCs/>
        </w:rPr>
      </w:pPr>
      <w:r w:rsidRPr="00F55CCC">
        <w:rPr>
          <w:rFonts w:cs="Arial"/>
          <w:bCs/>
        </w:rPr>
        <w:t xml:space="preserve">Cultural sensitivities should be considered when implementing a whistleblower line system, as some employees may react negatively to the concept of whistleblowing associating it with spying on colleagues. In some countries, there may also be reticence to report issues using lines associated with head office instead of local operations.  It is important to be sensitive of these considerations to avoid an ineffective structure that generates scepticism and acrimony instead of support. </w:t>
      </w:r>
    </w:p>
    <w:p w14:paraId="240A3C78" w14:textId="77777777" w:rsidR="00FD413B" w:rsidRPr="00F55CCC" w:rsidRDefault="00FD413B" w:rsidP="00456302">
      <w:pPr>
        <w:keepNext/>
        <w:keepLines/>
        <w:numPr>
          <w:ilvl w:val="2"/>
          <w:numId w:val="0"/>
        </w:numPr>
        <w:spacing w:after="280"/>
        <w:jc w:val="both"/>
        <w:outlineLvl w:val="2"/>
        <w:rPr>
          <w:rFonts w:cs="Arial"/>
          <w:bCs/>
        </w:rPr>
      </w:pPr>
      <w:r w:rsidRPr="00F55CCC">
        <w:rPr>
          <w:rFonts w:cs="Arial"/>
          <w:bCs/>
        </w:rPr>
        <w:t xml:space="preserve">Ultimately, the goal is for all your company’s employees to know that they have a way of reporting compliance concerns and are encouraged to speak up in the knowledge that their report will be treated confidentially and that they will not suffer retaliation. </w:t>
      </w:r>
    </w:p>
    <w:p w14:paraId="37BE8795" w14:textId="77777777" w:rsidR="00FD413B" w:rsidRPr="00F55CCC" w:rsidRDefault="00FD413B" w:rsidP="00966F29">
      <w:pPr>
        <w:pStyle w:val="OUTLINEAL2"/>
      </w:pPr>
      <w:bookmarkStart w:id="83" w:name="_Toc166512655"/>
      <w:bookmarkStart w:id="84" w:name="_Toc166513113"/>
      <w:bookmarkStart w:id="85" w:name="_Toc166747902"/>
      <w:r w:rsidRPr="00F55CCC">
        <w:t>Non-retaliation and confidentiality</w:t>
      </w:r>
      <w:bookmarkEnd w:id="83"/>
      <w:bookmarkEnd w:id="84"/>
      <w:bookmarkEnd w:id="85"/>
    </w:p>
    <w:p w14:paraId="579C8BBF" w14:textId="77777777" w:rsidR="00FD413B" w:rsidRDefault="00FD413B" w:rsidP="00456302">
      <w:pPr>
        <w:spacing w:after="240" w:line="276" w:lineRule="auto"/>
        <w:jc w:val="both"/>
        <w:rPr>
          <w:rFonts w:cs="Arial"/>
          <w:lang w:eastAsia="en-US"/>
        </w:rPr>
      </w:pPr>
      <w:r w:rsidRPr="00E718B4">
        <w:rPr>
          <w:rFonts w:cs="Arial"/>
        </w:rPr>
        <w:t xml:space="preserve">Maybe even more important than communicating the availability of different concerns-handling systems are measures taken within your company to create </w:t>
      </w:r>
      <w:r w:rsidRPr="00E718B4">
        <w:rPr>
          <w:rFonts w:cs="Arial"/>
          <w:b/>
          <w:bCs/>
        </w:rPr>
        <w:t>a non-retaliatory work environment</w:t>
      </w:r>
      <w:r w:rsidRPr="00E718B4">
        <w:rPr>
          <w:rFonts w:cs="Arial"/>
        </w:rPr>
        <w:t xml:space="preserve"> in which employees feel comfortable and are encouraged to raise concerns. A key step in creating this environment is ensuring that your </w:t>
      </w:r>
      <w:r w:rsidRPr="00F55CCC">
        <w:rPr>
          <w:rFonts w:cs="Arial"/>
        </w:rPr>
        <w:t>company’s compliance concerns-handling system include</w:t>
      </w:r>
      <w:r>
        <w:rPr>
          <w:rFonts w:cs="Arial"/>
        </w:rPr>
        <w:t>s</w:t>
      </w:r>
      <w:r w:rsidRPr="00F55CCC">
        <w:rPr>
          <w:rFonts w:cs="Arial"/>
        </w:rPr>
        <w:t xml:space="preserve"> appropriate whistleblower protection safeguards. </w:t>
      </w:r>
      <w:r w:rsidRPr="00F55CCC">
        <w:rPr>
          <w:rFonts w:cs="Arial"/>
          <w:lang w:eastAsia="en-US"/>
        </w:rPr>
        <w:t>All employees should be in a position to report serious occurrences without fear of retaliation or of discriminatory or disciplinary action. Therefore, the whistleblower’s employment, remuneration and career opportunities should be protected by your compan</w:t>
      </w:r>
      <w:r w:rsidRPr="00FD598E">
        <w:rPr>
          <w:rFonts w:cs="Arial"/>
          <w:lang w:eastAsia="en-US"/>
        </w:rPr>
        <w:t>y.</w:t>
      </w:r>
    </w:p>
    <w:p w14:paraId="2BAA04D1" w14:textId="77777777" w:rsidR="00FD413B" w:rsidRPr="00F55CCC" w:rsidRDefault="00FD413B" w:rsidP="00A15E97">
      <w:pPr>
        <w:spacing w:after="240"/>
        <w:rPr>
          <w:rFonts w:cs="Arial"/>
          <w:lang w:eastAsia="en-US"/>
        </w:rPr>
      </w:pPr>
      <w:r w:rsidRPr="00F55CCC">
        <w:rPr>
          <w:rFonts w:cs="Arial"/>
          <w:lang w:eastAsia="en-US"/>
        </w:rPr>
        <w:lastRenderedPageBreak/>
        <w:t>You should try to maintain, to the fullest extent possible, the confidentiality of the data revealed through whistleblowing and the identity of the whistleblower, subject to overriding legal requirements necessitating disclosure, and should protect such data with the most appropriate means.</w:t>
      </w:r>
    </w:p>
    <w:p w14:paraId="34878504" w14:textId="77777777" w:rsidR="00FD413B" w:rsidRPr="00F55CCC" w:rsidRDefault="00FD413B" w:rsidP="00966F29">
      <w:pPr>
        <w:pStyle w:val="OUTLINEAL2"/>
      </w:pPr>
      <w:bookmarkStart w:id="86" w:name="_Toc166512656"/>
      <w:bookmarkStart w:id="87" w:name="_Toc166513114"/>
      <w:bookmarkStart w:id="88" w:name="_Toc166747903"/>
      <w:r w:rsidRPr="00F55CCC">
        <w:t>The company’s prompt and fair response to a concern</w:t>
      </w:r>
      <w:bookmarkEnd w:id="86"/>
      <w:bookmarkEnd w:id="87"/>
      <w:bookmarkEnd w:id="88"/>
      <w:r w:rsidRPr="00F55CCC">
        <w:t xml:space="preserve"> </w:t>
      </w:r>
    </w:p>
    <w:p w14:paraId="744F06CB" w14:textId="77777777" w:rsidR="00FD413B" w:rsidRPr="00F55CCC" w:rsidRDefault="00FD413B" w:rsidP="00456302">
      <w:pPr>
        <w:spacing w:after="280"/>
        <w:jc w:val="both"/>
        <w:rPr>
          <w:rFonts w:cs="Arial"/>
        </w:rPr>
      </w:pPr>
      <w:r w:rsidRPr="00F55CCC">
        <w:rPr>
          <w:rFonts w:cs="Arial"/>
        </w:rPr>
        <w:t>A slow or non-existent response to a compliance concern raised by an employee can undermine their trust in your company’s compliance concerns-handling system. Therefore, it is crucial that your company provides enough and qualified resources to respond appropriately to concerns raised through the system. Regarding reports about compliance concerns, your antitrust compliance programme should make clear that:</w:t>
      </w:r>
    </w:p>
    <w:p w14:paraId="16C4A20B" w14:textId="77777777" w:rsidR="00FD413B" w:rsidRPr="00F55CCC" w:rsidRDefault="00FD413B">
      <w:pPr>
        <w:numPr>
          <w:ilvl w:val="0"/>
          <w:numId w:val="14"/>
        </w:numPr>
        <w:spacing w:after="280"/>
        <w:ind w:left="851" w:hanging="284"/>
        <w:jc w:val="both"/>
        <w:rPr>
          <w:rFonts w:eastAsia="Calibri" w:cs="Arial"/>
        </w:rPr>
      </w:pPr>
      <w:r w:rsidRPr="00F55CCC">
        <w:rPr>
          <w:rFonts w:eastAsia="Calibri" w:cs="Arial"/>
        </w:rPr>
        <w:t>Managers have an obligation to take seriously any compliance concerns that are raised with them;</w:t>
      </w:r>
    </w:p>
    <w:p w14:paraId="1089430F" w14:textId="77777777" w:rsidR="00FD413B" w:rsidRPr="00F55CCC" w:rsidRDefault="00FD413B">
      <w:pPr>
        <w:numPr>
          <w:ilvl w:val="0"/>
          <w:numId w:val="14"/>
        </w:numPr>
        <w:spacing w:after="280"/>
        <w:ind w:left="851" w:hanging="284"/>
        <w:jc w:val="both"/>
        <w:rPr>
          <w:rFonts w:eastAsia="Calibri" w:cs="Arial"/>
        </w:rPr>
      </w:pPr>
      <w:r w:rsidRPr="00F55CCC">
        <w:rPr>
          <w:rFonts w:eastAsia="Calibri" w:cs="Arial"/>
        </w:rPr>
        <w:t xml:space="preserve">The </w:t>
      </w:r>
      <w:r w:rsidRPr="00F55CCC">
        <w:rPr>
          <w:rFonts w:eastAsia="Calibri" w:cs="Arial"/>
          <w:lang w:eastAsia="en-US"/>
        </w:rPr>
        <w:t>company</w:t>
      </w:r>
      <w:r w:rsidRPr="00F55CCC">
        <w:rPr>
          <w:rFonts w:eastAsia="Calibri" w:cs="Arial"/>
        </w:rPr>
        <w:t xml:space="preserve"> will investigate any </w:t>
      </w:r>
      <w:r w:rsidRPr="00F55CCC">
        <w:rPr>
          <w:rFonts w:eastAsia="Calibri" w:cs="Arial"/>
          <w:i/>
          <w:iCs/>
        </w:rPr>
        <w:t>bona fide</w:t>
      </w:r>
      <w:r w:rsidRPr="00F55CCC">
        <w:rPr>
          <w:rFonts w:eastAsia="Calibri" w:cs="Arial"/>
        </w:rPr>
        <w:t xml:space="preserve"> report or genuine concerns of rules being broken;</w:t>
      </w:r>
    </w:p>
    <w:p w14:paraId="7CDE5FBA" w14:textId="77777777" w:rsidR="00FD413B" w:rsidRPr="00F55CCC" w:rsidRDefault="00FD413B">
      <w:pPr>
        <w:numPr>
          <w:ilvl w:val="0"/>
          <w:numId w:val="14"/>
        </w:numPr>
        <w:spacing w:after="280"/>
        <w:ind w:left="851" w:hanging="284"/>
        <w:jc w:val="both"/>
        <w:rPr>
          <w:rFonts w:eastAsia="Calibri" w:cs="Arial"/>
        </w:rPr>
      </w:pPr>
      <w:r w:rsidRPr="00F55CCC">
        <w:rPr>
          <w:rFonts w:eastAsia="Calibri" w:cs="Arial"/>
        </w:rPr>
        <w:t>Appropriate action will be taken to prevent similar incidents again (if the rules have been broken);</w:t>
      </w:r>
    </w:p>
    <w:p w14:paraId="7A0B5522" w14:textId="77777777" w:rsidR="00FD413B" w:rsidRPr="00F55CCC" w:rsidRDefault="00FD413B">
      <w:pPr>
        <w:numPr>
          <w:ilvl w:val="0"/>
          <w:numId w:val="14"/>
        </w:numPr>
        <w:spacing w:after="280"/>
        <w:ind w:left="851" w:hanging="284"/>
        <w:jc w:val="both"/>
        <w:rPr>
          <w:rFonts w:eastAsia="Calibri" w:cs="Arial"/>
        </w:rPr>
      </w:pPr>
      <w:r w:rsidRPr="00F55CCC">
        <w:rPr>
          <w:rFonts w:eastAsia="Calibri" w:cs="Arial"/>
        </w:rPr>
        <w:t xml:space="preserve">The investigation process will be full and fair for everyone involved (see </w:t>
      </w:r>
      <w:r w:rsidRPr="00BE55BE">
        <w:rPr>
          <w:rFonts w:eastAsia="Calibri" w:cs="Arial"/>
          <w:color w:val="000000" w:themeColor="text1"/>
        </w:rPr>
        <w:t xml:space="preserve">Chapter 6: “Handling </w:t>
      </w:r>
      <w:r w:rsidRPr="00F55CCC">
        <w:rPr>
          <w:rFonts w:eastAsia="Calibri" w:cs="Arial"/>
        </w:rPr>
        <w:t xml:space="preserve">internal investigations”); </w:t>
      </w:r>
    </w:p>
    <w:p w14:paraId="1FCDEF37" w14:textId="77777777" w:rsidR="00FD413B" w:rsidRPr="00F55CCC" w:rsidRDefault="00FD413B">
      <w:pPr>
        <w:numPr>
          <w:ilvl w:val="0"/>
          <w:numId w:val="14"/>
        </w:numPr>
        <w:spacing w:after="280"/>
        <w:ind w:left="851" w:hanging="284"/>
        <w:jc w:val="both"/>
        <w:rPr>
          <w:rFonts w:eastAsia="Calibri" w:cs="Arial"/>
        </w:rPr>
      </w:pPr>
      <w:r w:rsidRPr="00F55CCC">
        <w:rPr>
          <w:rFonts w:eastAsia="Calibri" w:cs="Arial"/>
        </w:rPr>
        <w:t>Action will not be taken against anyone before an accusation/concern has been appropriately investigated; and</w:t>
      </w:r>
    </w:p>
    <w:p w14:paraId="3A5EE02E" w14:textId="77777777" w:rsidR="00FD413B" w:rsidRPr="00F55CCC" w:rsidRDefault="00FD413B">
      <w:pPr>
        <w:numPr>
          <w:ilvl w:val="0"/>
          <w:numId w:val="14"/>
        </w:numPr>
        <w:spacing w:after="280"/>
        <w:ind w:left="851" w:hanging="284"/>
        <w:jc w:val="both"/>
        <w:rPr>
          <w:rFonts w:eastAsia="Calibri" w:cs="Arial"/>
        </w:rPr>
      </w:pPr>
      <w:r w:rsidRPr="00F55CCC">
        <w:rPr>
          <w:rFonts w:eastAsia="Calibri" w:cs="Arial"/>
        </w:rPr>
        <w:t>Non-retaliation and confidentiality will be guaranteed.</w:t>
      </w:r>
    </w:p>
    <w:p w14:paraId="64CB1E53" w14:textId="77777777" w:rsidR="00FD413B" w:rsidRPr="00736125" w:rsidRDefault="00FD413B" w:rsidP="00456302">
      <w:pPr>
        <w:spacing w:after="280"/>
        <w:jc w:val="both"/>
        <w:rPr>
          <w:rFonts w:eastAsia="Calibri" w:cs="Arial"/>
        </w:rPr>
      </w:pPr>
      <w:r w:rsidRPr="00B24720">
        <w:rPr>
          <w:rFonts w:cs="Arial"/>
        </w:rPr>
        <w:t>Your company’s employees will be interested to know and to have confirmation that your company’s compliance concerns-handling system is effective and produces fair results, so you should also consider communicating  the effectiveness of your company’s chosen approach.</w:t>
      </w:r>
    </w:p>
    <w:p w14:paraId="303D64E9" w14:textId="3F202C7C" w:rsidR="00FD413B" w:rsidRPr="00F55CCC" w:rsidRDefault="00FD413B" w:rsidP="00966F29">
      <w:pPr>
        <w:pStyle w:val="OUTLINEAL1"/>
      </w:pPr>
      <w:bookmarkStart w:id="89" w:name="_Toc166512657"/>
      <w:bookmarkStart w:id="90" w:name="_Toc166513115"/>
      <w:bookmarkStart w:id="91" w:name="_Toc166747904"/>
      <w:r w:rsidRPr="00F55CCC">
        <w:lastRenderedPageBreak/>
        <w:t>Handling of internal investigations</w:t>
      </w:r>
      <w:bookmarkEnd w:id="89"/>
      <w:bookmarkEnd w:id="90"/>
      <w:bookmarkEnd w:id="91"/>
    </w:p>
    <w:p w14:paraId="5FB074B4" w14:textId="77777777" w:rsidR="00FD413B" w:rsidRPr="00F55CCC" w:rsidRDefault="00FD413B" w:rsidP="00456302">
      <w:pPr>
        <w:spacing w:after="280"/>
        <w:jc w:val="both"/>
        <w:rPr>
          <w:rFonts w:cs="Arial"/>
        </w:rPr>
      </w:pPr>
      <w:r>
        <w:rPr>
          <w:rFonts w:cs="Arial"/>
        </w:rPr>
        <w:t>C</w:t>
      </w:r>
      <w:r w:rsidRPr="00F55CCC">
        <w:rPr>
          <w:rFonts w:cs="Arial"/>
        </w:rPr>
        <w:t xml:space="preserve">ompanies are often challenged by the need to conduct internal compliance investigations to examine allegations of wrongdoing. This applies not only to antitrust but also to other compliance areas. </w:t>
      </w:r>
    </w:p>
    <w:p w14:paraId="0F7A00D3" w14:textId="77777777" w:rsidR="00FD413B" w:rsidRPr="00F55CCC" w:rsidRDefault="00FD413B" w:rsidP="00456302">
      <w:pPr>
        <w:spacing w:after="280"/>
        <w:jc w:val="both"/>
        <w:rPr>
          <w:rFonts w:cs="Arial"/>
        </w:rPr>
      </w:pPr>
      <w:r w:rsidRPr="00B35CFA">
        <w:rPr>
          <w:rFonts w:cs="Arial"/>
        </w:rPr>
        <w:t>In order to investigate any allegation of non-compliance (</w:t>
      </w:r>
      <w:r w:rsidRPr="00324C44">
        <w:rPr>
          <w:rFonts w:cs="Arial"/>
        </w:rPr>
        <w:t>whether the allegation is made externally, internally</w:t>
      </w:r>
      <w:r>
        <w:rPr>
          <w:rFonts w:cs="Arial"/>
        </w:rPr>
        <w:t>,</w:t>
      </w:r>
      <w:r w:rsidRPr="00324C44">
        <w:rPr>
          <w:rFonts w:cs="Arial"/>
        </w:rPr>
        <w:t xml:space="preserve"> through the hotline/whistleblower line or internal helpline</w:t>
      </w:r>
      <w:r w:rsidRPr="00B35CFA">
        <w:rPr>
          <w:rFonts w:cs="Arial"/>
        </w:rPr>
        <w:t>),</w:t>
      </w:r>
      <w:r w:rsidRPr="00F55CCC">
        <w:rPr>
          <w:rFonts w:cs="Arial"/>
        </w:rPr>
        <w:t xml:space="preserve"> your company’s management should consider putting in place an efficient, reliable, and properly-funded process for investigating the allegation and documenting your company’s response, including any disciplinary or remediation measures taken. </w:t>
      </w:r>
    </w:p>
    <w:p w14:paraId="567E538D" w14:textId="608BB4C8" w:rsidR="00FD413B" w:rsidRPr="00F55CCC" w:rsidRDefault="00FD413B" w:rsidP="00456302">
      <w:pPr>
        <w:spacing w:after="280"/>
        <w:jc w:val="both"/>
        <w:rPr>
          <w:rFonts w:cs="Arial"/>
        </w:rPr>
      </w:pPr>
      <w:r w:rsidRPr="00F55CCC">
        <w:rPr>
          <w:rFonts w:cs="Arial"/>
        </w:rPr>
        <w:t xml:space="preserve">Your company will want to consider taking “lessons learned” from any reported compliance violations or concerns and the outcome of any resulting investigation, and updating your company’s internal controls and your antitrust compliance programme (see Chapter </w:t>
      </w:r>
      <w:r w:rsidR="009545E1">
        <w:rPr>
          <w:rFonts w:cs="Arial"/>
        </w:rPr>
        <w:t>10</w:t>
      </w:r>
      <w:r w:rsidRPr="00F55CCC">
        <w:rPr>
          <w:rFonts w:cs="Arial"/>
        </w:rPr>
        <w:t xml:space="preserve">: </w:t>
      </w:r>
      <w:r w:rsidRPr="00F55CCC">
        <w:rPr>
          <w:rFonts w:cs="Arial"/>
          <w:i/>
        </w:rPr>
        <w:t>“</w:t>
      </w:r>
      <w:r w:rsidRPr="00F55CCC">
        <w:rPr>
          <w:rFonts w:cs="Arial"/>
        </w:rPr>
        <w:t>Monitoring and continuous improvement</w:t>
      </w:r>
      <w:r w:rsidRPr="00F55CCC">
        <w:rPr>
          <w:rFonts w:cs="Arial"/>
          <w:i/>
        </w:rPr>
        <w:t>”</w:t>
      </w:r>
      <w:r w:rsidRPr="00F55CCC">
        <w:rPr>
          <w:rFonts w:cs="Arial"/>
        </w:rPr>
        <w:t xml:space="preserve">). </w:t>
      </w:r>
    </w:p>
    <w:p w14:paraId="47582B34" w14:textId="77777777" w:rsidR="00FD413B" w:rsidRPr="00F55CCC" w:rsidRDefault="00FD413B">
      <w:pPr>
        <w:pStyle w:val="OUTLINEAL2"/>
        <w:numPr>
          <w:ilvl w:val="0"/>
          <w:numId w:val="44"/>
        </w:numPr>
      </w:pPr>
      <w:bookmarkStart w:id="92" w:name="_Toc166512658"/>
      <w:bookmarkStart w:id="93" w:name="_Toc166513116"/>
      <w:bookmarkStart w:id="94" w:name="_Toc166747905"/>
      <w:r w:rsidRPr="00F55CCC">
        <w:t>Types of internal investigations</w:t>
      </w:r>
      <w:bookmarkEnd w:id="92"/>
      <w:bookmarkEnd w:id="93"/>
      <w:bookmarkEnd w:id="94"/>
    </w:p>
    <w:p w14:paraId="32AB9219" w14:textId="77777777" w:rsidR="00FD413B" w:rsidRPr="00F55CCC" w:rsidRDefault="00FD413B" w:rsidP="00456302">
      <w:pPr>
        <w:spacing w:after="280"/>
        <w:jc w:val="both"/>
        <w:rPr>
          <w:rFonts w:cs="Arial"/>
          <w:lang w:eastAsia="en-US"/>
        </w:rPr>
      </w:pPr>
      <w:r w:rsidRPr="00F55CCC">
        <w:rPr>
          <w:rFonts w:cs="Arial"/>
        </w:rPr>
        <w:t xml:space="preserve">There are many types of internal compliance investigations, some of which may be (and often are) triggered by external events such as an investigation by an external agency. </w:t>
      </w:r>
      <w:r w:rsidRPr="00F55CCC">
        <w:rPr>
          <w:rFonts w:cs="Arial"/>
          <w:lang w:eastAsia="en-US"/>
        </w:rPr>
        <w:t xml:space="preserve">Internal investigations help your company understand what </w:t>
      </w:r>
      <w:r>
        <w:rPr>
          <w:rFonts w:cs="Arial"/>
          <w:lang w:eastAsia="en-US"/>
        </w:rPr>
        <w:t xml:space="preserve">happened </w:t>
      </w:r>
      <w:r w:rsidRPr="00F55CCC">
        <w:rPr>
          <w:rFonts w:cs="Arial"/>
          <w:lang w:eastAsia="en-US"/>
        </w:rPr>
        <w:t xml:space="preserve">and </w:t>
      </w:r>
      <w:r>
        <w:rPr>
          <w:rFonts w:cs="Arial"/>
          <w:lang w:eastAsia="en-US"/>
        </w:rPr>
        <w:t xml:space="preserve">determine </w:t>
      </w:r>
      <w:r w:rsidRPr="00F55CCC">
        <w:rPr>
          <w:rFonts w:cs="Arial"/>
          <w:lang w:eastAsia="en-US"/>
        </w:rPr>
        <w:t xml:space="preserve">appropriate courses of action (and help you update and improve your company’s antitrust compliance programme). </w:t>
      </w:r>
      <w:r w:rsidRPr="00DA5949">
        <w:rPr>
          <w:rFonts w:cs="Arial"/>
          <w:lang w:eastAsia="en-US"/>
        </w:rPr>
        <w:t xml:space="preserve">In many jurisdictions, it is critical to retain outside counsel to assist the company in these internal investigations and to ensure that communications are protected by </w:t>
      </w:r>
      <w:r>
        <w:rPr>
          <w:rFonts w:cs="Arial"/>
          <w:lang w:eastAsia="en-US"/>
        </w:rPr>
        <w:t>L</w:t>
      </w:r>
      <w:r w:rsidRPr="00DA5949">
        <w:rPr>
          <w:rFonts w:cs="Arial"/>
          <w:lang w:eastAsia="en-US"/>
        </w:rPr>
        <w:t xml:space="preserve">egal </w:t>
      </w:r>
      <w:r>
        <w:rPr>
          <w:rFonts w:cs="Arial"/>
          <w:lang w:eastAsia="en-US"/>
        </w:rPr>
        <w:t>Professional P</w:t>
      </w:r>
      <w:r w:rsidRPr="00DA5949">
        <w:rPr>
          <w:rFonts w:cs="Arial"/>
          <w:lang w:eastAsia="en-US"/>
        </w:rPr>
        <w:t>rivilege.</w:t>
      </w:r>
    </w:p>
    <w:p w14:paraId="7B109EA6" w14:textId="77777777" w:rsidR="00FD413B" w:rsidRPr="00F55CCC" w:rsidRDefault="00FD413B" w:rsidP="00456302">
      <w:pPr>
        <w:spacing w:after="280"/>
        <w:jc w:val="both"/>
        <w:rPr>
          <w:rFonts w:cs="Arial"/>
          <w:lang w:eastAsia="en-US"/>
        </w:rPr>
      </w:pPr>
      <w:r w:rsidRPr="00F55CCC">
        <w:rPr>
          <w:rFonts w:cs="Arial"/>
        </w:rPr>
        <w:t xml:space="preserve">The </w:t>
      </w:r>
      <w:r w:rsidRPr="00F55CCC">
        <w:rPr>
          <w:rFonts w:cs="Arial"/>
          <w:b/>
        </w:rPr>
        <w:t xml:space="preserve">types of </w:t>
      </w:r>
      <w:bookmarkStart w:id="95" w:name="_Hlk163812456"/>
      <w:r w:rsidRPr="00F55CCC">
        <w:rPr>
          <w:rFonts w:cs="Arial"/>
          <w:b/>
        </w:rPr>
        <w:t>internal compliance investigations</w:t>
      </w:r>
      <w:r w:rsidRPr="00F55CCC">
        <w:rPr>
          <w:rFonts w:cs="Arial"/>
        </w:rPr>
        <w:t xml:space="preserve"> </w:t>
      </w:r>
      <w:bookmarkEnd w:id="95"/>
      <w:r w:rsidRPr="00F55CCC">
        <w:rPr>
          <w:rFonts w:cs="Arial"/>
        </w:rPr>
        <w:t>that you could consider include:</w:t>
      </w:r>
    </w:p>
    <w:p w14:paraId="47A330C7" w14:textId="77777777" w:rsidR="00FD413B" w:rsidRPr="00F55CCC" w:rsidRDefault="00FD413B">
      <w:pPr>
        <w:numPr>
          <w:ilvl w:val="0"/>
          <w:numId w:val="17"/>
        </w:numPr>
        <w:spacing w:after="280"/>
        <w:ind w:left="851" w:hanging="284"/>
        <w:jc w:val="both"/>
        <w:rPr>
          <w:rFonts w:cs="Arial"/>
        </w:rPr>
      </w:pPr>
      <w:r w:rsidRPr="00F55CCC">
        <w:rPr>
          <w:rFonts w:cs="Arial"/>
        </w:rPr>
        <w:t>Ad hoc “screening” using AI (</w:t>
      </w:r>
      <w:r w:rsidRPr="008D502A">
        <w:rPr>
          <w:rFonts w:cs="Arial"/>
        </w:rPr>
        <w:t>see below for more detail</w:t>
      </w:r>
      <w:r>
        <w:rPr>
          <w:rFonts w:cs="Arial"/>
        </w:rPr>
        <w:t>s</w:t>
      </w:r>
      <w:r w:rsidRPr="00F55CCC">
        <w:rPr>
          <w:rFonts w:cs="Arial"/>
        </w:rPr>
        <w:t>);</w:t>
      </w:r>
    </w:p>
    <w:p w14:paraId="5A93207A" w14:textId="77777777" w:rsidR="00FD413B" w:rsidRPr="00F55CCC" w:rsidRDefault="00FD413B">
      <w:pPr>
        <w:numPr>
          <w:ilvl w:val="0"/>
          <w:numId w:val="17"/>
        </w:numPr>
        <w:spacing w:after="280"/>
        <w:ind w:left="851" w:hanging="284"/>
        <w:jc w:val="both"/>
        <w:rPr>
          <w:rFonts w:cs="Arial"/>
        </w:rPr>
      </w:pPr>
      <w:r w:rsidRPr="00F55CCC">
        <w:rPr>
          <w:rFonts w:cs="Arial"/>
        </w:rPr>
        <w:t>In-depth legal assessments (using a combination of internal and external legal resources);</w:t>
      </w:r>
    </w:p>
    <w:p w14:paraId="5951CE85" w14:textId="77777777" w:rsidR="00FD413B" w:rsidRPr="00F55CCC" w:rsidRDefault="00FD413B">
      <w:pPr>
        <w:numPr>
          <w:ilvl w:val="0"/>
          <w:numId w:val="17"/>
        </w:numPr>
        <w:spacing w:after="280"/>
        <w:ind w:left="851" w:hanging="284"/>
        <w:jc w:val="both"/>
        <w:rPr>
          <w:rFonts w:cs="Arial"/>
        </w:rPr>
      </w:pPr>
      <w:r w:rsidRPr="00F55CCC">
        <w:rPr>
          <w:rFonts w:cs="Arial"/>
        </w:rPr>
        <w:t>Internal compliance process audits and substantive forensic compliance investigations</w:t>
      </w:r>
      <w:r w:rsidRPr="00F55CCC">
        <w:rPr>
          <w:rFonts w:cs="Arial"/>
          <w:vertAlign w:val="superscript"/>
        </w:rPr>
        <w:footnoteReference w:id="20"/>
      </w:r>
      <w:r w:rsidRPr="00F55CCC">
        <w:rPr>
          <w:rFonts w:cs="Arial"/>
        </w:rPr>
        <w:t xml:space="preserve"> to address whistleblower allegations or other compliance concerns or complaints; </w:t>
      </w:r>
    </w:p>
    <w:p w14:paraId="326CBB3B" w14:textId="77777777" w:rsidR="00FD413B" w:rsidRPr="00F55CCC" w:rsidRDefault="00FD413B">
      <w:pPr>
        <w:numPr>
          <w:ilvl w:val="0"/>
          <w:numId w:val="17"/>
        </w:numPr>
        <w:spacing w:after="280"/>
        <w:ind w:left="851" w:hanging="284"/>
        <w:jc w:val="both"/>
        <w:rPr>
          <w:rFonts w:cs="Arial"/>
        </w:rPr>
      </w:pPr>
      <w:r w:rsidRPr="00F55CCC">
        <w:rPr>
          <w:rFonts w:cs="Arial"/>
        </w:rPr>
        <w:t>Due diligence investigations to detect inappropriate conduct by officers, directors or employees;</w:t>
      </w:r>
      <w:r w:rsidRPr="00F55CCC">
        <w:rPr>
          <w:rFonts w:cs="Arial"/>
          <w:vertAlign w:val="superscript"/>
        </w:rPr>
        <w:footnoteReference w:id="21"/>
      </w:r>
    </w:p>
    <w:p w14:paraId="10578407" w14:textId="77777777" w:rsidR="00FD413B" w:rsidRPr="00F55CCC" w:rsidRDefault="00FD413B">
      <w:pPr>
        <w:numPr>
          <w:ilvl w:val="0"/>
          <w:numId w:val="17"/>
        </w:numPr>
        <w:spacing w:after="280"/>
        <w:ind w:left="851" w:hanging="284"/>
        <w:jc w:val="both"/>
        <w:rPr>
          <w:rFonts w:cs="Arial"/>
        </w:rPr>
      </w:pPr>
      <w:r w:rsidRPr="00F55CCC">
        <w:rPr>
          <w:rFonts w:cs="Arial"/>
        </w:rPr>
        <w:t xml:space="preserve">Special litigation and other Board committees designed to investigate and address allegations of potential wrongdoing. </w:t>
      </w:r>
    </w:p>
    <w:p w14:paraId="0870BFDC" w14:textId="77777777" w:rsidR="00FD413B" w:rsidRDefault="00FD413B" w:rsidP="00456302">
      <w:pPr>
        <w:spacing w:after="280"/>
        <w:jc w:val="both"/>
        <w:rPr>
          <w:rFonts w:cs="Arial"/>
          <w:lang w:eastAsia="en-US"/>
        </w:rPr>
      </w:pPr>
      <w:r w:rsidRPr="000D1842">
        <w:rPr>
          <w:rFonts w:cs="Arial"/>
          <w:lang w:eastAsia="en-US"/>
        </w:rPr>
        <w:t>As many laws around the world emphasize,</w:t>
      </w:r>
      <w:r w:rsidRPr="00F55CCC">
        <w:rPr>
          <w:rFonts w:cs="Arial"/>
          <w:lang w:eastAsia="en-US"/>
        </w:rPr>
        <w:t xml:space="preserve"> a frank assessment of the scope and nature of the conduct and evaluation of the possible advantages and disadvantages of self-disclosure to relevant Government (or supra-national) agencies of wrongdoing are essential to achieve the best outcome for the company.</w:t>
      </w:r>
    </w:p>
    <w:p w14:paraId="2A40D2E1" w14:textId="77777777" w:rsidR="00C24857" w:rsidRDefault="00C24857" w:rsidP="00456302">
      <w:pPr>
        <w:spacing w:after="280"/>
        <w:jc w:val="both"/>
        <w:rPr>
          <w:rFonts w:cs="Arial"/>
          <w:lang w:eastAsia="en-US"/>
        </w:rPr>
      </w:pPr>
    </w:p>
    <w:p w14:paraId="31AFD889" w14:textId="77777777" w:rsidR="00C24857" w:rsidRDefault="00C24857" w:rsidP="00456302">
      <w:pPr>
        <w:spacing w:after="280"/>
        <w:jc w:val="both"/>
        <w:rPr>
          <w:rFonts w:cs="Arial"/>
          <w:lang w:eastAsia="en-US"/>
        </w:rPr>
      </w:pPr>
    </w:p>
    <w:p w14:paraId="687D210D" w14:textId="77777777" w:rsidR="00FD413B" w:rsidRPr="00F55CCC" w:rsidRDefault="00FD413B" w:rsidP="00966F29">
      <w:pPr>
        <w:pStyle w:val="OUTLINEAL2"/>
      </w:pPr>
      <w:bookmarkStart w:id="96" w:name="_Toc166512659"/>
      <w:bookmarkStart w:id="97" w:name="_Toc166513117"/>
      <w:bookmarkStart w:id="98" w:name="_Toc166747906"/>
      <w:bookmarkStart w:id="99" w:name="_Hlk164087410"/>
      <w:r w:rsidRPr="00F55CCC">
        <w:lastRenderedPageBreak/>
        <w:t>Things to consider/practical tools and tips</w:t>
      </w:r>
      <w:bookmarkEnd w:id="96"/>
      <w:bookmarkEnd w:id="97"/>
      <w:bookmarkEnd w:id="98"/>
    </w:p>
    <w:bookmarkEnd w:id="99"/>
    <w:p w14:paraId="6F2A3614" w14:textId="0E511D37" w:rsidR="00FD413B" w:rsidRPr="00F55CCC" w:rsidRDefault="00FD413B" w:rsidP="00456302">
      <w:pPr>
        <w:spacing w:after="280"/>
        <w:jc w:val="both"/>
        <w:rPr>
          <w:rFonts w:cs="Arial"/>
        </w:rPr>
      </w:pPr>
      <w:r>
        <w:rPr>
          <w:rFonts w:cs="Arial"/>
        </w:rPr>
        <w:t>I</w:t>
      </w:r>
      <w:r w:rsidRPr="00324C44">
        <w:rPr>
          <w:rFonts w:cs="Arial"/>
        </w:rPr>
        <w:t>nternal investigations can pose serious risks to companies and your company’s employees, damaging your company’s reputation, interfering with your company’s business operations, and exposing your company to heightened antitrust agency and public scrutiny, as well as to potential criminal, civil and regulatory liability.</w:t>
      </w:r>
    </w:p>
    <w:p w14:paraId="416994DA" w14:textId="77777777" w:rsidR="00FD413B" w:rsidRPr="00F55CCC" w:rsidRDefault="00FD413B" w:rsidP="00456302">
      <w:pPr>
        <w:spacing w:after="280"/>
        <w:jc w:val="both"/>
        <w:rPr>
          <w:rFonts w:cs="Arial"/>
          <w:lang w:eastAsia="en-US"/>
        </w:rPr>
      </w:pPr>
      <w:r w:rsidRPr="00F55CCC">
        <w:rPr>
          <w:rFonts w:cs="Arial"/>
          <w:lang w:eastAsia="en-US"/>
        </w:rPr>
        <w:t>The range of considerations that you may wish to bear in mind includes:</w:t>
      </w:r>
    </w:p>
    <w:p w14:paraId="0A804524" w14:textId="77777777" w:rsidR="00FD413B" w:rsidRPr="00F55CCC" w:rsidRDefault="00FD413B">
      <w:pPr>
        <w:numPr>
          <w:ilvl w:val="0"/>
          <w:numId w:val="30"/>
        </w:numPr>
        <w:spacing w:after="280"/>
        <w:ind w:left="851" w:hanging="284"/>
        <w:contextualSpacing/>
        <w:jc w:val="both"/>
        <w:rPr>
          <w:rFonts w:eastAsia="Calibri" w:cs="Arial"/>
          <w:lang w:eastAsia="en-US"/>
        </w:rPr>
      </w:pPr>
      <w:r w:rsidRPr="00F55CCC">
        <w:rPr>
          <w:rFonts w:eastAsia="Calibri" w:cs="Arial"/>
          <w:lang w:eastAsia="en-US"/>
        </w:rPr>
        <w:t>Formulating the best possible defence to accusations of antitrust misconduct;</w:t>
      </w:r>
    </w:p>
    <w:p w14:paraId="75E936AA" w14:textId="77777777" w:rsidR="00FD413B" w:rsidRPr="00F55CCC" w:rsidRDefault="00FD413B" w:rsidP="00456302">
      <w:pPr>
        <w:spacing w:after="280"/>
        <w:ind w:left="851"/>
        <w:contextualSpacing/>
        <w:jc w:val="both"/>
        <w:rPr>
          <w:rFonts w:eastAsia="Calibri" w:cs="Arial"/>
          <w:lang w:eastAsia="en-US"/>
        </w:rPr>
      </w:pPr>
    </w:p>
    <w:p w14:paraId="0EE307A1" w14:textId="77777777" w:rsidR="00FD413B" w:rsidRPr="00F55CCC" w:rsidRDefault="00FD413B">
      <w:pPr>
        <w:numPr>
          <w:ilvl w:val="0"/>
          <w:numId w:val="30"/>
        </w:numPr>
        <w:spacing w:after="280"/>
        <w:ind w:left="851" w:hanging="284"/>
        <w:contextualSpacing/>
        <w:jc w:val="both"/>
        <w:rPr>
          <w:rFonts w:eastAsia="Calibri" w:cs="Arial"/>
          <w:lang w:eastAsia="en-US"/>
        </w:rPr>
      </w:pPr>
      <w:r w:rsidRPr="00F55CCC">
        <w:rPr>
          <w:rFonts w:eastAsia="Calibri" w:cs="Arial"/>
          <w:lang w:eastAsia="en-US"/>
        </w:rPr>
        <w:t xml:space="preserve">Deciding whether and how to disclose </w:t>
      </w:r>
      <w:r>
        <w:rPr>
          <w:rFonts w:eastAsia="Calibri" w:cs="Arial"/>
          <w:lang w:eastAsia="en-US"/>
        </w:rPr>
        <w:t>(</w:t>
      </w:r>
      <w:r w:rsidRPr="00F55CCC">
        <w:rPr>
          <w:rFonts w:eastAsia="Calibri" w:cs="Arial"/>
          <w:lang w:eastAsia="en-US"/>
        </w:rPr>
        <w:t>criminal</w:t>
      </w:r>
      <w:r>
        <w:rPr>
          <w:rFonts w:eastAsia="Calibri" w:cs="Arial"/>
          <w:lang w:eastAsia="en-US"/>
        </w:rPr>
        <w:t>)</w:t>
      </w:r>
      <w:r w:rsidRPr="00F55CCC">
        <w:rPr>
          <w:rFonts w:eastAsia="Calibri" w:cs="Arial"/>
          <w:lang w:eastAsia="en-US"/>
        </w:rPr>
        <w:t xml:space="preserve"> antitrust conduct voluntarily to relevant antitrust agencies;</w:t>
      </w:r>
    </w:p>
    <w:p w14:paraId="36A8664F" w14:textId="77777777" w:rsidR="00FD413B" w:rsidRPr="00F55CCC" w:rsidRDefault="00FD413B" w:rsidP="00456302">
      <w:pPr>
        <w:spacing w:after="280"/>
        <w:contextualSpacing/>
        <w:jc w:val="both"/>
        <w:rPr>
          <w:rFonts w:eastAsia="Calibri" w:cs="Arial"/>
          <w:lang w:eastAsia="en-US"/>
        </w:rPr>
      </w:pPr>
    </w:p>
    <w:p w14:paraId="7569AEBA" w14:textId="77777777" w:rsidR="00FD413B" w:rsidRPr="00F55CCC" w:rsidRDefault="00FD413B">
      <w:pPr>
        <w:numPr>
          <w:ilvl w:val="0"/>
          <w:numId w:val="30"/>
        </w:numPr>
        <w:spacing w:after="280"/>
        <w:ind w:left="851" w:hanging="284"/>
        <w:contextualSpacing/>
        <w:jc w:val="both"/>
        <w:rPr>
          <w:rFonts w:eastAsia="Calibri" w:cs="Arial"/>
          <w:lang w:eastAsia="en-US"/>
        </w:rPr>
      </w:pPr>
      <w:r w:rsidRPr="00F55CCC">
        <w:rPr>
          <w:rFonts w:eastAsia="Calibri" w:cs="Arial"/>
          <w:lang w:eastAsia="en-US"/>
        </w:rPr>
        <w:t>Deciding whether to discipline those responsible in your company;</w:t>
      </w:r>
    </w:p>
    <w:p w14:paraId="72610117" w14:textId="77777777" w:rsidR="00FD413B" w:rsidRPr="00F55CCC" w:rsidRDefault="00FD413B" w:rsidP="00456302">
      <w:pPr>
        <w:spacing w:after="280"/>
        <w:contextualSpacing/>
        <w:jc w:val="both"/>
        <w:rPr>
          <w:rFonts w:eastAsia="Calibri" w:cs="Arial"/>
          <w:lang w:eastAsia="en-US"/>
        </w:rPr>
      </w:pPr>
    </w:p>
    <w:p w14:paraId="0E73C260" w14:textId="77777777" w:rsidR="00FD413B" w:rsidRPr="00F55CCC" w:rsidRDefault="00FD413B">
      <w:pPr>
        <w:numPr>
          <w:ilvl w:val="0"/>
          <w:numId w:val="30"/>
        </w:numPr>
        <w:spacing w:after="280"/>
        <w:ind w:left="851" w:hanging="284"/>
        <w:contextualSpacing/>
        <w:jc w:val="both"/>
        <w:rPr>
          <w:rFonts w:eastAsia="Calibri" w:cs="Arial"/>
          <w:lang w:eastAsia="en-US"/>
        </w:rPr>
      </w:pPr>
      <w:r w:rsidRPr="00F55CCC">
        <w:rPr>
          <w:rFonts w:eastAsia="Calibri" w:cs="Arial"/>
          <w:lang w:eastAsia="en-US"/>
        </w:rPr>
        <w:t>Deciding whether to waive or retain any Legal Professional Privilege with respect to antitrust matters under investigation;</w:t>
      </w:r>
    </w:p>
    <w:p w14:paraId="09F48976" w14:textId="77777777" w:rsidR="00FD413B" w:rsidRPr="00F55CCC" w:rsidRDefault="00FD413B" w:rsidP="00456302">
      <w:pPr>
        <w:spacing w:after="280"/>
        <w:contextualSpacing/>
        <w:jc w:val="both"/>
        <w:rPr>
          <w:rFonts w:eastAsia="Calibri" w:cs="Arial"/>
          <w:lang w:eastAsia="en-US"/>
        </w:rPr>
      </w:pPr>
    </w:p>
    <w:p w14:paraId="054A2A45" w14:textId="77777777" w:rsidR="00FD413B" w:rsidRPr="00F55CCC" w:rsidRDefault="00FD413B">
      <w:pPr>
        <w:numPr>
          <w:ilvl w:val="0"/>
          <w:numId w:val="30"/>
        </w:numPr>
        <w:spacing w:after="280"/>
        <w:ind w:left="851" w:hanging="284"/>
        <w:contextualSpacing/>
        <w:jc w:val="both"/>
        <w:rPr>
          <w:rFonts w:eastAsia="Calibri" w:cs="Arial"/>
          <w:lang w:eastAsia="en-US"/>
        </w:rPr>
      </w:pPr>
      <w:r w:rsidRPr="00F55CCC">
        <w:rPr>
          <w:rFonts w:eastAsia="Calibri" w:cs="Arial"/>
          <w:lang w:eastAsia="en-US"/>
        </w:rPr>
        <w:t xml:space="preserve">Determining how to conduct interviews of </w:t>
      </w:r>
      <w:r w:rsidRPr="00F55CCC">
        <w:rPr>
          <w:rFonts w:cs="Arial"/>
        </w:rPr>
        <w:t xml:space="preserve">your company’s </w:t>
      </w:r>
      <w:r w:rsidRPr="00F55CCC">
        <w:rPr>
          <w:rFonts w:eastAsia="Calibri" w:cs="Arial"/>
          <w:lang w:eastAsia="en-US"/>
        </w:rPr>
        <w:t>management and employees as well as who to interview;</w:t>
      </w:r>
    </w:p>
    <w:p w14:paraId="0944479A" w14:textId="77777777" w:rsidR="00FD413B" w:rsidRPr="00F55CCC" w:rsidRDefault="00FD413B" w:rsidP="00456302">
      <w:pPr>
        <w:spacing w:after="280"/>
        <w:contextualSpacing/>
        <w:jc w:val="both"/>
        <w:rPr>
          <w:rFonts w:eastAsia="Calibri" w:cs="Arial"/>
          <w:lang w:eastAsia="en-US"/>
        </w:rPr>
      </w:pPr>
    </w:p>
    <w:p w14:paraId="1B7B8AB5" w14:textId="77777777" w:rsidR="00FD413B" w:rsidRPr="00F55CCC" w:rsidRDefault="00FD413B">
      <w:pPr>
        <w:numPr>
          <w:ilvl w:val="0"/>
          <w:numId w:val="30"/>
        </w:numPr>
        <w:spacing w:after="280"/>
        <w:ind w:left="851" w:hanging="284"/>
        <w:contextualSpacing/>
        <w:jc w:val="both"/>
        <w:rPr>
          <w:rFonts w:eastAsia="Calibri" w:cs="Arial"/>
          <w:lang w:eastAsia="en-US"/>
        </w:rPr>
      </w:pPr>
      <w:r w:rsidRPr="00F55CCC">
        <w:rPr>
          <w:rFonts w:eastAsia="Calibri" w:cs="Arial"/>
          <w:lang w:eastAsia="en-US"/>
        </w:rPr>
        <w:t xml:space="preserve">Determining how to investigate former employees (if legally and practically possible); </w:t>
      </w:r>
    </w:p>
    <w:p w14:paraId="6D84F839" w14:textId="77777777" w:rsidR="00FD413B" w:rsidRPr="00F55CCC" w:rsidRDefault="00FD413B" w:rsidP="00456302">
      <w:pPr>
        <w:spacing w:after="280"/>
        <w:contextualSpacing/>
        <w:jc w:val="both"/>
        <w:rPr>
          <w:rFonts w:eastAsia="Calibri" w:cs="Arial"/>
          <w:lang w:eastAsia="en-US"/>
        </w:rPr>
      </w:pPr>
    </w:p>
    <w:p w14:paraId="2133A4EF" w14:textId="77777777" w:rsidR="00FD413B" w:rsidRPr="00F55CCC" w:rsidRDefault="00FD413B">
      <w:pPr>
        <w:numPr>
          <w:ilvl w:val="0"/>
          <w:numId w:val="30"/>
        </w:numPr>
        <w:spacing w:after="280"/>
        <w:ind w:left="851" w:hanging="284"/>
        <w:contextualSpacing/>
        <w:jc w:val="both"/>
        <w:rPr>
          <w:rFonts w:eastAsia="Calibri" w:cs="Arial"/>
          <w:lang w:eastAsia="en-US"/>
        </w:rPr>
      </w:pPr>
      <w:r w:rsidRPr="00F55CCC">
        <w:rPr>
          <w:rFonts w:eastAsia="Calibri" w:cs="Arial"/>
          <w:lang w:eastAsia="en-US"/>
        </w:rPr>
        <w:t xml:space="preserve">Determining how to treat whistleblowers (your company should have a clear policy of non-retaliation - see </w:t>
      </w:r>
      <w:r w:rsidRPr="00BE55BE">
        <w:rPr>
          <w:rFonts w:eastAsia="Calibri" w:cs="Arial"/>
          <w:lang w:eastAsia="en-US"/>
        </w:rPr>
        <w:t>Chapter 5: “Antitrust</w:t>
      </w:r>
      <w:r w:rsidRPr="00F55CCC">
        <w:rPr>
          <w:rFonts w:eastAsia="Calibri" w:cs="Arial"/>
          <w:lang w:eastAsia="en-US"/>
        </w:rPr>
        <w:t xml:space="preserve"> concerns-handling systems”) and cooperating witnesses, as well as a process for filing complaints and requesting information anonymously and confidentially;</w:t>
      </w:r>
    </w:p>
    <w:p w14:paraId="554B32F9" w14:textId="77777777" w:rsidR="00FD413B" w:rsidRPr="00F55CCC" w:rsidRDefault="00FD413B" w:rsidP="00456302">
      <w:pPr>
        <w:spacing w:after="280"/>
        <w:ind w:left="851"/>
        <w:contextualSpacing/>
        <w:jc w:val="both"/>
        <w:rPr>
          <w:rFonts w:eastAsia="Calibri" w:cs="Arial"/>
          <w:lang w:eastAsia="en-US"/>
        </w:rPr>
      </w:pPr>
    </w:p>
    <w:p w14:paraId="40EF659B" w14:textId="77777777" w:rsidR="00FD413B" w:rsidRPr="00F55CCC" w:rsidRDefault="00FD413B">
      <w:pPr>
        <w:numPr>
          <w:ilvl w:val="0"/>
          <w:numId w:val="30"/>
        </w:numPr>
        <w:spacing w:after="280"/>
        <w:ind w:left="851" w:hanging="284"/>
        <w:contextualSpacing/>
        <w:jc w:val="both"/>
        <w:rPr>
          <w:rFonts w:eastAsia="Calibri" w:cs="Arial"/>
          <w:lang w:eastAsia="en-US"/>
        </w:rPr>
      </w:pPr>
      <w:r w:rsidRPr="00F55CCC">
        <w:rPr>
          <w:rFonts w:eastAsia="Calibri" w:cs="Arial"/>
          <w:lang w:eastAsia="en-US"/>
        </w:rPr>
        <w:t>Determining which types of complaints and “red flags” require an internal in-depth investigation;</w:t>
      </w:r>
    </w:p>
    <w:p w14:paraId="3B19BB68" w14:textId="77777777" w:rsidR="00FD413B" w:rsidRPr="00F55CCC" w:rsidRDefault="00FD413B" w:rsidP="00456302">
      <w:pPr>
        <w:spacing w:after="280"/>
        <w:contextualSpacing/>
        <w:jc w:val="both"/>
        <w:rPr>
          <w:rFonts w:eastAsia="Calibri" w:cs="Arial"/>
          <w:lang w:eastAsia="en-US"/>
        </w:rPr>
      </w:pPr>
    </w:p>
    <w:p w14:paraId="65376549" w14:textId="77777777" w:rsidR="00FD413B" w:rsidRPr="00F55CCC" w:rsidRDefault="00FD413B">
      <w:pPr>
        <w:numPr>
          <w:ilvl w:val="0"/>
          <w:numId w:val="30"/>
        </w:numPr>
        <w:spacing w:after="280"/>
        <w:ind w:left="851" w:hanging="284"/>
        <w:contextualSpacing/>
        <w:jc w:val="both"/>
        <w:rPr>
          <w:rFonts w:eastAsia="Calibri" w:cs="Arial"/>
          <w:lang w:eastAsia="en-US"/>
        </w:rPr>
      </w:pPr>
      <w:r w:rsidRPr="00F55CCC">
        <w:rPr>
          <w:rFonts w:eastAsia="Calibri" w:cs="Arial"/>
          <w:lang w:eastAsia="en-US"/>
        </w:rPr>
        <w:t>Determining how to document the internal antitrust investigation;</w:t>
      </w:r>
    </w:p>
    <w:p w14:paraId="19359FED" w14:textId="77777777" w:rsidR="00FD413B" w:rsidRPr="00F55CCC" w:rsidRDefault="00FD413B" w:rsidP="00456302">
      <w:pPr>
        <w:spacing w:after="280"/>
        <w:contextualSpacing/>
        <w:jc w:val="both"/>
        <w:rPr>
          <w:rFonts w:eastAsia="Calibri" w:cs="Arial"/>
          <w:lang w:eastAsia="en-US"/>
        </w:rPr>
      </w:pPr>
    </w:p>
    <w:p w14:paraId="39450AFC" w14:textId="77777777" w:rsidR="00FD413B" w:rsidRPr="00F55CCC" w:rsidRDefault="00FD413B">
      <w:pPr>
        <w:numPr>
          <w:ilvl w:val="0"/>
          <w:numId w:val="30"/>
        </w:numPr>
        <w:spacing w:after="280"/>
        <w:ind w:left="851" w:hanging="284"/>
        <w:contextualSpacing/>
        <w:jc w:val="both"/>
        <w:rPr>
          <w:rFonts w:eastAsia="Calibri" w:cs="Arial"/>
          <w:lang w:eastAsia="en-US"/>
        </w:rPr>
      </w:pPr>
      <w:r w:rsidRPr="00F55CCC">
        <w:rPr>
          <w:rFonts w:eastAsia="Calibri" w:cs="Arial"/>
          <w:lang w:eastAsia="en-US"/>
        </w:rPr>
        <w:t>Establishing safeguards to ensure privacy, data and employees’ rights protection during the internal investigation process;</w:t>
      </w:r>
    </w:p>
    <w:p w14:paraId="28C32EC1" w14:textId="77777777" w:rsidR="00FD413B" w:rsidRPr="00F55CCC" w:rsidRDefault="00FD413B" w:rsidP="00456302">
      <w:pPr>
        <w:spacing w:after="280"/>
        <w:contextualSpacing/>
        <w:jc w:val="both"/>
        <w:rPr>
          <w:rFonts w:eastAsia="Calibri" w:cs="Arial"/>
          <w:lang w:eastAsia="en-US"/>
        </w:rPr>
      </w:pPr>
    </w:p>
    <w:p w14:paraId="62E56758" w14:textId="77777777" w:rsidR="00FD413B" w:rsidRDefault="00FD413B">
      <w:pPr>
        <w:numPr>
          <w:ilvl w:val="0"/>
          <w:numId w:val="30"/>
        </w:numPr>
        <w:spacing w:after="280"/>
        <w:ind w:left="851" w:hanging="284"/>
        <w:contextualSpacing/>
        <w:jc w:val="both"/>
        <w:rPr>
          <w:rFonts w:eastAsia="Calibri" w:cs="Arial"/>
          <w:lang w:eastAsia="en-US"/>
        </w:rPr>
      </w:pPr>
      <w:r w:rsidRPr="00F55CCC">
        <w:rPr>
          <w:rFonts w:eastAsia="Calibri" w:cs="Arial"/>
          <w:lang w:eastAsia="en-US"/>
        </w:rPr>
        <w:t>Assessing learnings and identifying measures to be implemented to prevent (or at least reduce the chances of) a recurrence.</w:t>
      </w:r>
    </w:p>
    <w:p w14:paraId="34C2190A" w14:textId="77777777" w:rsidR="00087D23" w:rsidRDefault="00087D23" w:rsidP="00456302">
      <w:pPr>
        <w:pStyle w:val="ListParagraph"/>
        <w:jc w:val="both"/>
        <w:rPr>
          <w:rFonts w:cs="Arial"/>
          <w:lang w:eastAsia="en-US"/>
        </w:rPr>
      </w:pPr>
    </w:p>
    <w:p w14:paraId="15BA94E1" w14:textId="77777777" w:rsidR="00FD413B" w:rsidRPr="00F55CCC" w:rsidRDefault="00FD413B" w:rsidP="00FD413B">
      <w:pPr>
        <w:tabs>
          <w:tab w:val="left" w:pos="567"/>
        </w:tabs>
        <w:spacing w:after="280"/>
        <w:jc w:val="both"/>
        <w:rPr>
          <w:rFonts w:cs="Arial"/>
          <w:b/>
          <w:iCs/>
        </w:rPr>
      </w:pPr>
      <w:r w:rsidRPr="00F55CCC">
        <w:rPr>
          <w:rFonts w:cs="Arial"/>
          <w:b/>
          <w:iCs/>
        </w:rPr>
        <w:t>Overall responsibility for the</w:t>
      </w:r>
      <w:r>
        <w:rPr>
          <w:rFonts w:cs="Arial"/>
          <w:b/>
          <w:iCs/>
        </w:rPr>
        <w:t xml:space="preserve"> internal</w:t>
      </w:r>
      <w:r w:rsidRPr="00F55CCC">
        <w:rPr>
          <w:rFonts w:cs="Arial"/>
          <w:b/>
          <w:iCs/>
        </w:rPr>
        <w:t xml:space="preserve"> investigation</w:t>
      </w:r>
    </w:p>
    <w:p w14:paraId="31EE4385" w14:textId="77777777" w:rsidR="00FD413B" w:rsidRPr="00F55CCC" w:rsidRDefault="00FD413B" w:rsidP="00A15E97">
      <w:pPr>
        <w:spacing w:after="280"/>
        <w:rPr>
          <w:rFonts w:cs="Arial"/>
          <w:lang w:eastAsia="en-US"/>
        </w:rPr>
      </w:pPr>
      <w:r w:rsidRPr="00F55CCC">
        <w:rPr>
          <w:rFonts w:cs="Arial"/>
          <w:lang w:eastAsia="en-US"/>
        </w:rPr>
        <w:t xml:space="preserve">Generally, if your company has a Chief Ethics and Compliance Officer (CECO), operation of the </w:t>
      </w:r>
      <w:r>
        <w:rPr>
          <w:rFonts w:cs="Arial"/>
          <w:lang w:eastAsia="en-US"/>
        </w:rPr>
        <w:t xml:space="preserve">internal </w:t>
      </w:r>
      <w:r w:rsidRPr="00F55CCC">
        <w:rPr>
          <w:rFonts w:cs="Arial"/>
          <w:lang w:eastAsia="en-US"/>
        </w:rPr>
        <w:t>investigation would usually be delegated to that person or to other functions working with the CECO. If your company does not have this capability in-house, you may wish to outsource all or part of the investigation.</w:t>
      </w:r>
    </w:p>
    <w:p w14:paraId="1CA11F9C" w14:textId="77777777" w:rsidR="00FD413B" w:rsidRPr="00F55CCC" w:rsidRDefault="00FD413B" w:rsidP="00A15E97">
      <w:pPr>
        <w:spacing w:after="280"/>
        <w:rPr>
          <w:rFonts w:cs="Arial"/>
          <w:lang w:eastAsia="en-US"/>
        </w:rPr>
      </w:pPr>
      <w:r w:rsidRPr="00F55CCC">
        <w:rPr>
          <w:rFonts w:cs="Arial"/>
          <w:lang w:eastAsia="en-US"/>
        </w:rPr>
        <w:t xml:space="preserve">Even if you work in a very large company with your own in-house forensic capability, you may still choose to outsource all or part of the internal antitrust investigation, either for Legal Professional Privilege reasons, or to demonstrate the impartiality of the investigatory methods. </w:t>
      </w:r>
    </w:p>
    <w:p w14:paraId="6C46526D" w14:textId="77777777" w:rsidR="00FD413B" w:rsidRPr="00F55CCC" w:rsidRDefault="00FD413B" w:rsidP="00456302">
      <w:pPr>
        <w:spacing w:after="280"/>
        <w:jc w:val="both"/>
        <w:rPr>
          <w:rFonts w:cs="Arial"/>
          <w:lang w:eastAsia="en-US"/>
        </w:rPr>
      </w:pPr>
      <w:r w:rsidRPr="00F55CCC">
        <w:rPr>
          <w:rFonts w:cs="Arial"/>
          <w:lang w:eastAsia="en-US"/>
        </w:rPr>
        <w:lastRenderedPageBreak/>
        <w:t xml:space="preserve">However, regardless of the size of your company, it would be common for the CECO (or similar person with overall responsibility for the compliance programme) to retain ultimate supervision and responsibility for </w:t>
      </w:r>
      <w:r>
        <w:rPr>
          <w:rFonts w:cs="Arial"/>
          <w:lang w:eastAsia="en-US"/>
        </w:rPr>
        <w:t xml:space="preserve">internal </w:t>
      </w:r>
      <w:r w:rsidRPr="00F55CCC">
        <w:rPr>
          <w:rFonts w:cs="Arial"/>
          <w:lang w:eastAsia="en-US"/>
        </w:rPr>
        <w:t>Code of Conduct</w:t>
      </w:r>
      <w:r>
        <w:rPr>
          <w:rFonts w:cs="Arial"/>
          <w:lang w:eastAsia="en-US"/>
        </w:rPr>
        <w:t>/Compliance</w:t>
      </w:r>
      <w:r w:rsidRPr="00F55CCC">
        <w:rPr>
          <w:rFonts w:cs="Arial"/>
          <w:lang w:eastAsia="en-US"/>
        </w:rPr>
        <w:t xml:space="preserve"> investigations. </w:t>
      </w:r>
    </w:p>
    <w:p w14:paraId="60D5069F" w14:textId="77777777" w:rsidR="00FD413B" w:rsidRPr="00F55CCC" w:rsidRDefault="00FD413B" w:rsidP="00456302">
      <w:pPr>
        <w:autoSpaceDE w:val="0"/>
        <w:autoSpaceDN w:val="0"/>
        <w:adjustRightInd w:val="0"/>
        <w:spacing w:after="280"/>
        <w:jc w:val="both"/>
        <w:rPr>
          <w:rFonts w:cs="Arial"/>
          <w:b/>
          <w:iCs/>
        </w:rPr>
      </w:pPr>
      <w:r w:rsidRPr="00F55CCC">
        <w:rPr>
          <w:rFonts w:cs="Arial"/>
          <w:b/>
          <w:iCs/>
        </w:rPr>
        <w:t xml:space="preserve">Establishing </w:t>
      </w:r>
      <w:r>
        <w:rPr>
          <w:rFonts w:cs="Arial"/>
          <w:b/>
          <w:iCs/>
        </w:rPr>
        <w:t xml:space="preserve">general </w:t>
      </w:r>
      <w:r w:rsidRPr="00F55CCC">
        <w:rPr>
          <w:rFonts w:cs="Arial"/>
          <w:b/>
          <w:iCs/>
        </w:rPr>
        <w:t>investigation principles</w:t>
      </w:r>
    </w:p>
    <w:p w14:paraId="676BF8AC" w14:textId="77777777" w:rsidR="00FD413B" w:rsidRPr="00F55CCC" w:rsidRDefault="00FD413B" w:rsidP="00456302">
      <w:pPr>
        <w:spacing w:after="280"/>
        <w:jc w:val="both"/>
        <w:rPr>
          <w:rFonts w:cs="Arial"/>
          <w:bCs/>
          <w:lang w:eastAsia="en-US"/>
        </w:rPr>
      </w:pPr>
      <w:r w:rsidRPr="00F55CCC">
        <w:rPr>
          <w:rFonts w:cs="Arial"/>
          <w:lang w:eastAsia="en-US"/>
        </w:rPr>
        <w:t>It is important - for the sake of transparency - for your company to establish and make available to your company’s employees the principles that your company (and its advisers) will observe when undertaking internal Code of Conduct/Compliance investigations (including into alleged antitrust violations). These principles would commonly include rules on</w:t>
      </w:r>
      <w:r w:rsidRPr="00F55CCC">
        <w:rPr>
          <w:rFonts w:eastAsia="Calibri" w:cs="Arial"/>
          <w:lang w:eastAsia="en-US"/>
        </w:rPr>
        <w:t xml:space="preserve"> confidentiality</w:t>
      </w:r>
      <w:r w:rsidRPr="00F55CCC">
        <w:rPr>
          <w:rFonts w:eastAsia="Calibri" w:cs="Arial"/>
          <w:bCs/>
          <w:lang w:eastAsia="en-US"/>
        </w:rPr>
        <w:t>, impartiality of investigators, timelines</w:t>
      </w:r>
      <w:r>
        <w:rPr>
          <w:rFonts w:eastAsia="Calibri" w:cs="Arial"/>
          <w:bCs/>
          <w:lang w:eastAsia="en-US"/>
        </w:rPr>
        <w:t xml:space="preserve">, </w:t>
      </w:r>
      <w:r w:rsidRPr="00F55CCC">
        <w:rPr>
          <w:rFonts w:eastAsia="Calibri" w:cs="Arial"/>
          <w:bCs/>
          <w:lang w:eastAsia="en-US"/>
        </w:rPr>
        <w:t>scope of investigation</w:t>
      </w:r>
      <w:r>
        <w:rPr>
          <w:rFonts w:eastAsia="Calibri" w:cs="Arial"/>
          <w:bCs/>
          <w:lang w:eastAsia="en-US"/>
        </w:rPr>
        <w:t xml:space="preserve"> and p</w:t>
      </w:r>
      <w:r w:rsidRPr="00F55CCC">
        <w:rPr>
          <w:rFonts w:eastAsia="Calibri" w:cs="Arial"/>
          <w:bCs/>
          <w:lang w:eastAsia="en-US"/>
        </w:rPr>
        <w:t>rotection from retaliation.</w:t>
      </w:r>
    </w:p>
    <w:p w14:paraId="342FC271" w14:textId="77777777" w:rsidR="00FD413B" w:rsidRPr="00F55CCC" w:rsidRDefault="00FD413B" w:rsidP="00456302">
      <w:pPr>
        <w:spacing w:after="280"/>
        <w:jc w:val="both"/>
        <w:rPr>
          <w:rFonts w:cs="Arial"/>
          <w:b/>
          <w:iCs/>
        </w:rPr>
      </w:pPr>
      <w:r w:rsidRPr="00F55CCC">
        <w:rPr>
          <w:rFonts w:cs="Arial"/>
          <w:b/>
          <w:iCs/>
        </w:rPr>
        <w:t>Speci</w:t>
      </w:r>
      <w:r>
        <w:rPr>
          <w:rFonts w:cs="Arial"/>
          <w:b/>
          <w:iCs/>
        </w:rPr>
        <w:t>fic</w:t>
      </w:r>
      <w:r w:rsidRPr="00F55CCC">
        <w:rPr>
          <w:rFonts w:cs="Arial"/>
          <w:b/>
          <w:iCs/>
        </w:rPr>
        <w:t xml:space="preserve"> antitrust investigation</w:t>
      </w:r>
      <w:r>
        <w:rPr>
          <w:rFonts w:cs="Arial"/>
          <w:b/>
          <w:iCs/>
        </w:rPr>
        <w:t xml:space="preserve"> principles</w:t>
      </w:r>
      <w:r w:rsidRPr="00F55CCC">
        <w:rPr>
          <w:rFonts w:cs="Arial"/>
          <w:b/>
          <w:iCs/>
          <w:vertAlign w:val="superscript"/>
          <w:lang w:eastAsia="en-US"/>
        </w:rPr>
        <w:footnoteReference w:id="22"/>
      </w:r>
      <w:r w:rsidRPr="00F55CCC">
        <w:rPr>
          <w:rFonts w:cs="Arial"/>
          <w:b/>
          <w:iCs/>
        </w:rPr>
        <w:t xml:space="preserve"> </w:t>
      </w:r>
    </w:p>
    <w:p w14:paraId="2743285E" w14:textId="77777777" w:rsidR="00FD413B" w:rsidRPr="00F55CCC" w:rsidRDefault="00FD413B" w:rsidP="00456302">
      <w:pPr>
        <w:spacing w:after="280"/>
        <w:jc w:val="both"/>
        <w:rPr>
          <w:rFonts w:cs="Arial"/>
          <w:lang w:eastAsia="en-US"/>
        </w:rPr>
      </w:pPr>
      <w:r w:rsidRPr="00F55CCC">
        <w:rPr>
          <w:rFonts w:cs="Arial"/>
          <w:lang w:eastAsia="en-US"/>
        </w:rPr>
        <w:t xml:space="preserve">In addition to general investigation principles that could apply to the </w:t>
      </w:r>
      <w:r>
        <w:rPr>
          <w:rFonts w:cs="Arial"/>
          <w:lang w:eastAsia="en-US"/>
        </w:rPr>
        <w:t xml:space="preserve">internal </w:t>
      </w:r>
      <w:r w:rsidRPr="00F55CCC">
        <w:rPr>
          <w:rFonts w:cs="Arial"/>
          <w:lang w:eastAsia="en-US"/>
        </w:rPr>
        <w:t>investigation of any potential Code of Conduct/</w:t>
      </w:r>
      <w:r>
        <w:rPr>
          <w:rFonts w:cs="Arial"/>
          <w:lang w:eastAsia="en-US"/>
        </w:rPr>
        <w:t>C</w:t>
      </w:r>
      <w:r w:rsidRPr="00F55CCC">
        <w:rPr>
          <w:rFonts w:cs="Arial"/>
          <w:lang w:eastAsia="en-US"/>
        </w:rPr>
        <w:t xml:space="preserve">ompliance violation, depending on the risks faced by your company (in particular if your company has had previous antitrust investigations), you may like to consider preparing specific antitrust investigation principles. The purpose of these is to account for the peculiarity of </w:t>
      </w:r>
      <w:r>
        <w:rPr>
          <w:rFonts w:cs="Arial"/>
          <w:lang w:eastAsia="en-US"/>
        </w:rPr>
        <w:t xml:space="preserve">internal </w:t>
      </w:r>
      <w:r w:rsidRPr="00F55CCC">
        <w:rPr>
          <w:rFonts w:cs="Arial"/>
          <w:lang w:eastAsia="en-US"/>
        </w:rPr>
        <w:t xml:space="preserve">antitrust investigations, where one issue that may need to be considered is an application for immunity/leniency. </w:t>
      </w:r>
    </w:p>
    <w:p w14:paraId="56706448" w14:textId="77777777" w:rsidR="00FD413B" w:rsidRPr="00F55CCC" w:rsidRDefault="00FD413B" w:rsidP="00456302">
      <w:pPr>
        <w:spacing w:after="280"/>
        <w:jc w:val="both"/>
        <w:rPr>
          <w:rFonts w:cs="Arial"/>
          <w:lang w:eastAsia="en-US"/>
        </w:rPr>
      </w:pPr>
      <w:r w:rsidRPr="00F55CCC">
        <w:rPr>
          <w:rFonts w:cs="Arial"/>
          <w:lang w:eastAsia="en-US"/>
        </w:rPr>
        <w:t>These antitrust investigation principles could cover an explanation of:</w:t>
      </w:r>
    </w:p>
    <w:p w14:paraId="30C3F899" w14:textId="77777777" w:rsidR="00FD413B" w:rsidRPr="00F55CCC" w:rsidRDefault="00FD413B">
      <w:pPr>
        <w:numPr>
          <w:ilvl w:val="0"/>
          <w:numId w:val="15"/>
        </w:numPr>
        <w:autoSpaceDE w:val="0"/>
        <w:autoSpaceDN w:val="0"/>
        <w:adjustRightInd w:val="0"/>
        <w:spacing w:after="280"/>
        <w:ind w:left="851" w:hanging="284"/>
        <w:jc w:val="both"/>
        <w:rPr>
          <w:rFonts w:cs="Arial"/>
          <w:lang w:eastAsia="en-US"/>
        </w:rPr>
      </w:pPr>
      <w:r w:rsidRPr="00F55CCC">
        <w:rPr>
          <w:rFonts w:cs="Arial"/>
          <w:lang w:eastAsia="en-US"/>
        </w:rPr>
        <w:t>Who will be on the investigations team (in-house Legal, external counsel, others who may need to be involved);</w:t>
      </w:r>
    </w:p>
    <w:p w14:paraId="6924C246" w14:textId="77777777" w:rsidR="00FD413B" w:rsidRPr="00F55CCC" w:rsidRDefault="00FD413B">
      <w:pPr>
        <w:numPr>
          <w:ilvl w:val="0"/>
          <w:numId w:val="15"/>
        </w:numPr>
        <w:autoSpaceDE w:val="0"/>
        <w:autoSpaceDN w:val="0"/>
        <w:adjustRightInd w:val="0"/>
        <w:spacing w:after="280"/>
        <w:ind w:left="851" w:hanging="284"/>
        <w:jc w:val="both"/>
        <w:rPr>
          <w:rFonts w:cs="Arial"/>
          <w:lang w:eastAsia="en-US"/>
        </w:rPr>
      </w:pPr>
      <w:r w:rsidRPr="00F55CCC">
        <w:rPr>
          <w:rFonts w:cs="Arial"/>
          <w:lang w:eastAsia="en-US"/>
        </w:rPr>
        <w:t>The roles of other internal functions which may be involved in the investigation (i.e., internal/external forensic investigators, IT, Audit, HR, External Affairs as applicable);</w:t>
      </w:r>
    </w:p>
    <w:p w14:paraId="423DD637" w14:textId="77777777" w:rsidR="00FD413B" w:rsidRPr="00F55CCC" w:rsidRDefault="00FD413B">
      <w:pPr>
        <w:numPr>
          <w:ilvl w:val="0"/>
          <w:numId w:val="15"/>
        </w:numPr>
        <w:autoSpaceDE w:val="0"/>
        <w:autoSpaceDN w:val="0"/>
        <w:adjustRightInd w:val="0"/>
        <w:spacing w:after="280"/>
        <w:ind w:left="851" w:hanging="284"/>
        <w:jc w:val="both"/>
        <w:rPr>
          <w:rFonts w:cs="Arial"/>
          <w:lang w:eastAsia="en-US"/>
        </w:rPr>
      </w:pPr>
      <w:r w:rsidRPr="00F55CCC">
        <w:rPr>
          <w:rFonts w:cs="Arial"/>
          <w:lang w:eastAsia="en-US"/>
        </w:rPr>
        <w:t xml:space="preserve">Confidentiality and the need for/importance of Legal Professional Privilege (if relevant in the jurisdiction); </w:t>
      </w:r>
    </w:p>
    <w:p w14:paraId="594FCD34" w14:textId="77777777" w:rsidR="00FD413B" w:rsidRPr="00F55CCC" w:rsidRDefault="00FD413B">
      <w:pPr>
        <w:numPr>
          <w:ilvl w:val="0"/>
          <w:numId w:val="15"/>
        </w:numPr>
        <w:autoSpaceDE w:val="0"/>
        <w:autoSpaceDN w:val="0"/>
        <w:adjustRightInd w:val="0"/>
        <w:spacing w:after="280"/>
        <w:ind w:left="851" w:hanging="284"/>
        <w:jc w:val="both"/>
        <w:rPr>
          <w:rFonts w:cs="Arial"/>
          <w:lang w:eastAsia="en-US"/>
        </w:rPr>
      </w:pPr>
      <w:r w:rsidRPr="00F55CCC">
        <w:rPr>
          <w:rFonts w:cs="Arial"/>
          <w:lang w:eastAsia="en-US"/>
        </w:rPr>
        <w:t>The importance of the preservation of documents and electronic records (as well as the integrity of the chain of evidence);</w:t>
      </w:r>
      <w:r w:rsidRPr="00F55CCC">
        <w:rPr>
          <w:rStyle w:val="FootnoteReference"/>
          <w:rFonts w:cs="Arial"/>
          <w:lang w:eastAsia="en-US"/>
        </w:rPr>
        <w:footnoteReference w:id="23"/>
      </w:r>
    </w:p>
    <w:p w14:paraId="658019D5" w14:textId="77777777" w:rsidR="00FD413B" w:rsidRPr="00F55CCC" w:rsidRDefault="00FD413B">
      <w:pPr>
        <w:numPr>
          <w:ilvl w:val="0"/>
          <w:numId w:val="15"/>
        </w:numPr>
        <w:autoSpaceDE w:val="0"/>
        <w:autoSpaceDN w:val="0"/>
        <w:adjustRightInd w:val="0"/>
        <w:spacing w:after="280"/>
        <w:ind w:left="851" w:hanging="284"/>
        <w:jc w:val="both"/>
        <w:rPr>
          <w:rFonts w:cs="Arial"/>
          <w:lang w:eastAsia="en-US"/>
        </w:rPr>
      </w:pPr>
      <w:r w:rsidRPr="00F55CCC">
        <w:rPr>
          <w:rFonts w:cs="Arial"/>
          <w:lang w:eastAsia="en-US"/>
        </w:rPr>
        <w:t>The point in time when the individuals being investigated are informed about the investigation (a delay in informing employees might be desirable - if legally possible - to avoid the possible risk of destruction of evidence. However, it is also important to avoid employees hearing about the investigation through internal leaks or rumours - see below);</w:t>
      </w:r>
    </w:p>
    <w:p w14:paraId="7E6BE754" w14:textId="77777777" w:rsidR="00FD413B" w:rsidRPr="00F55CCC" w:rsidRDefault="00FD413B">
      <w:pPr>
        <w:numPr>
          <w:ilvl w:val="0"/>
          <w:numId w:val="15"/>
        </w:numPr>
        <w:autoSpaceDE w:val="0"/>
        <w:autoSpaceDN w:val="0"/>
        <w:adjustRightInd w:val="0"/>
        <w:spacing w:after="280"/>
        <w:ind w:left="851" w:hanging="284"/>
        <w:jc w:val="both"/>
        <w:rPr>
          <w:rFonts w:cs="Arial"/>
          <w:lang w:eastAsia="en-US"/>
        </w:rPr>
      </w:pPr>
      <w:r w:rsidRPr="00F55CCC">
        <w:rPr>
          <w:rFonts w:cs="Arial"/>
          <w:lang w:eastAsia="en-US"/>
        </w:rPr>
        <w:t>How (in what manner) interviews will be conducted and who will be present;</w:t>
      </w:r>
    </w:p>
    <w:p w14:paraId="0C967163" w14:textId="77777777" w:rsidR="00FD413B" w:rsidRPr="00F55CCC" w:rsidRDefault="00FD413B">
      <w:pPr>
        <w:numPr>
          <w:ilvl w:val="0"/>
          <w:numId w:val="15"/>
        </w:numPr>
        <w:autoSpaceDE w:val="0"/>
        <w:autoSpaceDN w:val="0"/>
        <w:adjustRightInd w:val="0"/>
        <w:spacing w:after="280"/>
        <w:ind w:left="851" w:hanging="284"/>
        <w:jc w:val="both"/>
        <w:rPr>
          <w:rFonts w:cs="Arial"/>
          <w:lang w:eastAsia="en-US"/>
        </w:rPr>
      </w:pPr>
      <w:r w:rsidRPr="00F55CCC">
        <w:rPr>
          <w:rFonts w:cs="Arial"/>
          <w:lang w:eastAsia="en-US"/>
        </w:rPr>
        <w:t>How electronic searches will be conducted, by whom and by what means, including addressing data privacy concerns;</w:t>
      </w:r>
    </w:p>
    <w:p w14:paraId="02889DCA" w14:textId="77777777" w:rsidR="00FD413B" w:rsidRPr="00F55CCC" w:rsidRDefault="00FD413B">
      <w:pPr>
        <w:numPr>
          <w:ilvl w:val="0"/>
          <w:numId w:val="15"/>
        </w:numPr>
        <w:autoSpaceDE w:val="0"/>
        <w:autoSpaceDN w:val="0"/>
        <w:adjustRightInd w:val="0"/>
        <w:spacing w:after="280"/>
        <w:ind w:left="851" w:hanging="284"/>
        <w:jc w:val="both"/>
        <w:rPr>
          <w:rFonts w:cs="Arial"/>
          <w:lang w:eastAsia="en-US"/>
        </w:rPr>
      </w:pPr>
      <w:r w:rsidRPr="00F55CCC">
        <w:rPr>
          <w:rFonts w:cs="Arial"/>
          <w:lang w:eastAsia="en-US"/>
        </w:rPr>
        <w:t>What is the scope of the investigation (and how it is delimited) and which communication channels will be controlled;</w:t>
      </w:r>
      <w:r w:rsidRPr="00F55CCC">
        <w:rPr>
          <w:rStyle w:val="FootnoteReference"/>
          <w:rFonts w:cs="Arial"/>
          <w:lang w:eastAsia="en-US"/>
        </w:rPr>
        <w:footnoteReference w:id="24"/>
      </w:r>
    </w:p>
    <w:p w14:paraId="4E19F20C" w14:textId="77777777" w:rsidR="00FD413B" w:rsidRPr="00324C44" w:rsidRDefault="00FD413B">
      <w:pPr>
        <w:numPr>
          <w:ilvl w:val="0"/>
          <w:numId w:val="15"/>
        </w:numPr>
        <w:autoSpaceDE w:val="0"/>
        <w:autoSpaceDN w:val="0"/>
        <w:adjustRightInd w:val="0"/>
        <w:spacing w:after="280"/>
        <w:ind w:left="851" w:hanging="284"/>
        <w:jc w:val="both"/>
        <w:rPr>
          <w:rFonts w:cs="Arial"/>
          <w:lang w:eastAsia="en-US"/>
        </w:rPr>
      </w:pPr>
      <w:r w:rsidRPr="00F55CCC">
        <w:rPr>
          <w:rFonts w:cs="Arial"/>
          <w:lang w:eastAsia="en-US"/>
        </w:rPr>
        <w:lastRenderedPageBreak/>
        <w:t>Whether and how AI will be used during the internal investigation (</w:t>
      </w:r>
      <w:r w:rsidRPr="00511088">
        <w:rPr>
          <w:rFonts w:cs="Arial"/>
          <w:lang w:eastAsia="en-US"/>
        </w:rPr>
        <w:t xml:space="preserve">see </w:t>
      </w:r>
      <w:r>
        <w:rPr>
          <w:rFonts w:cs="Arial"/>
          <w:lang w:eastAsia="en-US"/>
        </w:rPr>
        <w:t>below</w:t>
      </w:r>
      <w:r w:rsidRPr="00406319">
        <w:rPr>
          <w:rFonts w:cs="Arial"/>
          <w:lang w:eastAsia="en-US"/>
        </w:rPr>
        <w:t xml:space="preserve"> </w:t>
      </w:r>
      <w:r w:rsidRPr="00511088">
        <w:rPr>
          <w:rFonts w:cs="Arial"/>
          <w:lang w:eastAsia="en-US"/>
        </w:rPr>
        <w:t xml:space="preserve">for </w:t>
      </w:r>
      <w:r>
        <w:rPr>
          <w:rFonts w:cs="Arial"/>
          <w:lang w:eastAsia="en-US"/>
        </w:rPr>
        <w:t xml:space="preserve">more </w:t>
      </w:r>
      <w:r w:rsidRPr="00511088">
        <w:rPr>
          <w:rFonts w:cs="Arial"/>
          <w:lang w:eastAsia="en-US"/>
        </w:rPr>
        <w:t>details</w:t>
      </w:r>
      <w:r w:rsidRPr="00F55CCC">
        <w:rPr>
          <w:rFonts w:cs="Arial"/>
          <w:lang w:eastAsia="en-US"/>
        </w:rPr>
        <w:t xml:space="preserve">); </w:t>
      </w:r>
    </w:p>
    <w:p w14:paraId="5467A1E2" w14:textId="77777777" w:rsidR="00FD413B" w:rsidRPr="00F55CCC" w:rsidRDefault="00FD413B">
      <w:pPr>
        <w:numPr>
          <w:ilvl w:val="0"/>
          <w:numId w:val="15"/>
        </w:numPr>
        <w:autoSpaceDE w:val="0"/>
        <w:autoSpaceDN w:val="0"/>
        <w:adjustRightInd w:val="0"/>
        <w:spacing w:after="280"/>
        <w:ind w:left="851" w:hanging="284"/>
        <w:jc w:val="both"/>
        <w:rPr>
          <w:rFonts w:cs="Arial"/>
          <w:lang w:eastAsia="en-US"/>
        </w:rPr>
      </w:pPr>
      <w:r w:rsidRPr="00F55CCC">
        <w:rPr>
          <w:rFonts w:cs="Arial"/>
          <w:lang w:eastAsia="en-US"/>
        </w:rPr>
        <w:t>The individual’s right to separate counsel (in the event of a potential conflict, and in particular in jurisdictions with individual criminal liability) and your company’s policy on paying legal fees;</w:t>
      </w:r>
    </w:p>
    <w:p w14:paraId="26BA3EAF" w14:textId="77777777" w:rsidR="00FD413B" w:rsidRPr="00F55CCC" w:rsidRDefault="00FD413B">
      <w:pPr>
        <w:numPr>
          <w:ilvl w:val="0"/>
          <w:numId w:val="15"/>
        </w:numPr>
        <w:autoSpaceDE w:val="0"/>
        <w:autoSpaceDN w:val="0"/>
        <w:adjustRightInd w:val="0"/>
        <w:spacing w:after="280"/>
        <w:ind w:left="851" w:hanging="284"/>
        <w:jc w:val="both"/>
        <w:rPr>
          <w:rFonts w:cs="Arial"/>
          <w:lang w:eastAsia="en-US"/>
        </w:rPr>
      </w:pPr>
      <w:r w:rsidRPr="00F55CCC">
        <w:rPr>
          <w:rFonts w:cs="Arial"/>
          <w:lang w:eastAsia="en-US"/>
        </w:rPr>
        <w:t>The next steps in the investigation and (insofar as it is possible to predict) the likely future timeline of the investigation.</w:t>
      </w:r>
    </w:p>
    <w:p w14:paraId="52038269" w14:textId="77777777" w:rsidR="00FD413B" w:rsidRPr="00F55CCC" w:rsidRDefault="00FD413B" w:rsidP="00FD413B">
      <w:pPr>
        <w:autoSpaceDE w:val="0"/>
        <w:autoSpaceDN w:val="0"/>
        <w:adjustRightInd w:val="0"/>
        <w:spacing w:after="280"/>
        <w:jc w:val="both"/>
        <w:rPr>
          <w:rFonts w:cs="Arial"/>
          <w:b/>
          <w:iCs/>
        </w:rPr>
      </w:pPr>
      <w:r w:rsidRPr="00F55CCC">
        <w:rPr>
          <w:rFonts w:cs="Arial"/>
          <w:b/>
          <w:iCs/>
        </w:rPr>
        <w:t xml:space="preserve">Other items to manage during an </w:t>
      </w:r>
      <w:r>
        <w:rPr>
          <w:rFonts w:cs="Arial"/>
          <w:b/>
          <w:iCs/>
        </w:rPr>
        <w:t xml:space="preserve">internal </w:t>
      </w:r>
      <w:r w:rsidRPr="00F55CCC">
        <w:rPr>
          <w:rFonts w:cs="Arial"/>
          <w:b/>
          <w:iCs/>
        </w:rPr>
        <w:t>antitrust investigation</w:t>
      </w:r>
    </w:p>
    <w:p w14:paraId="6BAED0E1" w14:textId="77777777" w:rsidR="00FD413B" w:rsidRPr="00F55CCC" w:rsidRDefault="00FD413B">
      <w:pPr>
        <w:numPr>
          <w:ilvl w:val="0"/>
          <w:numId w:val="16"/>
        </w:numPr>
        <w:autoSpaceDE w:val="0"/>
        <w:autoSpaceDN w:val="0"/>
        <w:adjustRightInd w:val="0"/>
        <w:spacing w:after="280"/>
        <w:ind w:left="851" w:hanging="284"/>
        <w:jc w:val="both"/>
        <w:rPr>
          <w:rFonts w:cs="Arial"/>
        </w:rPr>
      </w:pPr>
      <w:r w:rsidRPr="00F55CCC">
        <w:rPr>
          <w:rFonts w:cs="Arial"/>
          <w:lang w:eastAsia="en-US"/>
        </w:rPr>
        <w:t xml:space="preserve">If your company is conducting an </w:t>
      </w:r>
      <w:r>
        <w:rPr>
          <w:rFonts w:cs="Arial"/>
          <w:lang w:eastAsia="en-US"/>
        </w:rPr>
        <w:t xml:space="preserve">internal </w:t>
      </w:r>
      <w:r w:rsidRPr="00F55CCC">
        <w:rPr>
          <w:rFonts w:cs="Arial"/>
          <w:lang w:eastAsia="en-US"/>
        </w:rPr>
        <w:t>antitrust investigation, it would be wise to consider (with the assistance of external antitrust counsel as appropriate) your company’s approach to applying for immunity/leniency (including liabilities that may arise in relation to follow-on damages claims).</w:t>
      </w:r>
    </w:p>
    <w:p w14:paraId="2C9046AB" w14:textId="77777777" w:rsidR="00FD413B" w:rsidRPr="00F55CCC" w:rsidRDefault="00FD413B">
      <w:pPr>
        <w:numPr>
          <w:ilvl w:val="0"/>
          <w:numId w:val="16"/>
        </w:numPr>
        <w:autoSpaceDE w:val="0"/>
        <w:autoSpaceDN w:val="0"/>
        <w:adjustRightInd w:val="0"/>
        <w:spacing w:after="280"/>
        <w:ind w:left="851" w:hanging="284"/>
        <w:jc w:val="both"/>
        <w:rPr>
          <w:rFonts w:cs="Arial"/>
        </w:rPr>
      </w:pPr>
      <w:r w:rsidRPr="00F55CCC">
        <w:rPr>
          <w:rFonts w:cs="Arial"/>
          <w:lang w:eastAsia="en-US"/>
        </w:rPr>
        <w:t xml:space="preserve">Equally important will be controlling rumours/leaks within all your company’s business teams, in order to ensure that business continues during the </w:t>
      </w:r>
      <w:r>
        <w:rPr>
          <w:rFonts w:cs="Arial"/>
          <w:lang w:eastAsia="en-US"/>
        </w:rPr>
        <w:t xml:space="preserve">internal </w:t>
      </w:r>
      <w:r w:rsidRPr="00F55CCC">
        <w:rPr>
          <w:rFonts w:cs="Arial"/>
          <w:lang w:eastAsia="en-US"/>
        </w:rPr>
        <w:t xml:space="preserve">antitrust investigation without tipping off third parties (the risk is that other parties may apply for immunity/leniency before your company and/or that the antitrust agencies conclude that your company is actively trying to obstruct their investigation). </w:t>
      </w:r>
    </w:p>
    <w:p w14:paraId="35F3DC92" w14:textId="77777777" w:rsidR="00FD413B" w:rsidRPr="00F55CCC" w:rsidRDefault="00FD413B">
      <w:pPr>
        <w:numPr>
          <w:ilvl w:val="0"/>
          <w:numId w:val="16"/>
        </w:numPr>
        <w:autoSpaceDE w:val="0"/>
        <w:autoSpaceDN w:val="0"/>
        <w:adjustRightInd w:val="0"/>
        <w:spacing w:after="280"/>
        <w:ind w:left="851" w:hanging="284"/>
        <w:jc w:val="both"/>
        <w:rPr>
          <w:rFonts w:cs="Arial"/>
          <w:b/>
        </w:rPr>
      </w:pPr>
      <w:r w:rsidRPr="00F55CCC">
        <w:rPr>
          <w:rFonts w:cs="Arial"/>
        </w:rPr>
        <w:t>All documents obtained during the</w:t>
      </w:r>
      <w:r>
        <w:rPr>
          <w:rFonts w:cs="Arial"/>
        </w:rPr>
        <w:t xml:space="preserve"> internal</w:t>
      </w:r>
      <w:r w:rsidRPr="00F55CCC">
        <w:rPr>
          <w:rFonts w:cs="Arial"/>
        </w:rPr>
        <w:t xml:space="preserve"> investigation must be appropriately itemised and controlled indicating the provenance of the document, and the identity of the person in the company (or within your external advisers) who has taken and is keeping control of the document(s). These steps are essential to preserve the chain of evidence. </w:t>
      </w:r>
    </w:p>
    <w:p w14:paraId="6761ADB2" w14:textId="77777777" w:rsidR="00FD413B" w:rsidRDefault="00FD413B">
      <w:pPr>
        <w:numPr>
          <w:ilvl w:val="0"/>
          <w:numId w:val="16"/>
        </w:numPr>
        <w:autoSpaceDE w:val="0"/>
        <w:autoSpaceDN w:val="0"/>
        <w:adjustRightInd w:val="0"/>
        <w:spacing w:after="280"/>
        <w:ind w:left="851" w:hanging="284"/>
        <w:jc w:val="both"/>
        <w:rPr>
          <w:rFonts w:cs="Arial"/>
          <w:lang w:eastAsia="en-US"/>
        </w:rPr>
      </w:pPr>
      <w:r w:rsidRPr="00F55CCC">
        <w:rPr>
          <w:rFonts w:cs="Arial"/>
          <w:lang w:eastAsia="en-US"/>
        </w:rPr>
        <w:t xml:space="preserve">Depending upon the outcome of the </w:t>
      </w:r>
      <w:r>
        <w:rPr>
          <w:rFonts w:cs="Arial"/>
          <w:lang w:eastAsia="en-US"/>
        </w:rPr>
        <w:t xml:space="preserve">internal </w:t>
      </w:r>
      <w:r w:rsidRPr="00F55CCC">
        <w:rPr>
          <w:rFonts w:cs="Arial"/>
          <w:lang w:eastAsia="en-US"/>
        </w:rPr>
        <w:t>investigation, if your company is listed on any Stock Exchange you will need to consider (with your advisers) whether a disclosure will need to be made to any relevant Stock Exchange or to any other relevant body (e.g., US Securities and Exchange Commission). If your company is regulated by any Financial Authority (such as the Financial Conduct Authority in the UK) your company may have a legal duty to report the outcome of the investigation to the regulator (if the investigation identifies wrongdoing).</w:t>
      </w:r>
    </w:p>
    <w:p w14:paraId="29516BA5" w14:textId="77777777" w:rsidR="00FD413B" w:rsidRPr="00C03C7B" w:rsidRDefault="00FD413B" w:rsidP="00456302">
      <w:pPr>
        <w:tabs>
          <w:tab w:val="left" w:pos="567"/>
        </w:tabs>
        <w:spacing w:after="280"/>
        <w:jc w:val="both"/>
        <w:rPr>
          <w:rFonts w:cs="Arial"/>
          <w:b/>
          <w:iCs/>
        </w:rPr>
      </w:pPr>
      <w:r w:rsidRPr="00C03C7B">
        <w:rPr>
          <w:rFonts w:cs="Arial"/>
          <w:b/>
          <w:iCs/>
        </w:rPr>
        <w:t xml:space="preserve">Use of AI in </w:t>
      </w:r>
      <w:bookmarkStart w:id="100" w:name="_Hlk163812623"/>
      <w:r>
        <w:rPr>
          <w:rFonts w:cs="Arial"/>
          <w:b/>
          <w:iCs/>
        </w:rPr>
        <w:t>i</w:t>
      </w:r>
      <w:r w:rsidRPr="00C03C7B">
        <w:rPr>
          <w:rFonts w:cs="Arial"/>
          <w:b/>
          <w:iCs/>
        </w:rPr>
        <w:t xml:space="preserve">nternal </w:t>
      </w:r>
      <w:r>
        <w:rPr>
          <w:rFonts w:cs="Arial"/>
          <w:b/>
          <w:iCs/>
        </w:rPr>
        <w:t>c</w:t>
      </w:r>
      <w:r w:rsidRPr="00C03C7B">
        <w:rPr>
          <w:rFonts w:cs="Arial"/>
          <w:b/>
          <w:iCs/>
        </w:rPr>
        <w:t xml:space="preserve">ompliance </w:t>
      </w:r>
      <w:r>
        <w:rPr>
          <w:rFonts w:cs="Arial"/>
          <w:b/>
          <w:iCs/>
        </w:rPr>
        <w:t>i</w:t>
      </w:r>
      <w:r w:rsidRPr="00C03C7B">
        <w:rPr>
          <w:rFonts w:cs="Arial"/>
          <w:b/>
          <w:iCs/>
        </w:rPr>
        <w:t>nvestigations</w:t>
      </w:r>
      <w:bookmarkEnd w:id="100"/>
    </w:p>
    <w:p w14:paraId="339B5496" w14:textId="77777777" w:rsidR="00FD413B" w:rsidRPr="00C03C7B" w:rsidRDefault="00FD413B" w:rsidP="00456302">
      <w:pPr>
        <w:jc w:val="both"/>
        <w:rPr>
          <w:rFonts w:cs="Arial"/>
        </w:rPr>
      </w:pPr>
      <w:r w:rsidRPr="00324C44">
        <w:rPr>
          <w:rFonts w:cs="Arial"/>
        </w:rPr>
        <w:t>With the development of digital technologies and algorithms, direct evidence of practices infringing antitrust law</w:t>
      </w:r>
      <w:r>
        <w:rPr>
          <w:rFonts w:cs="Arial"/>
        </w:rPr>
        <w:t>s</w:t>
      </w:r>
      <w:r w:rsidRPr="00324C44">
        <w:rPr>
          <w:rFonts w:cs="Arial"/>
        </w:rPr>
        <w:t xml:space="preserve"> is increasingly complex to detect, intensifying the need for active in-house screening.</w:t>
      </w:r>
    </w:p>
    <w:p w14:paraId="6908C872" w14:textId="77777777" w:rsidR="00FD413B" w:rsidRPr="00C03C7B" w:rsidRDefault="00FD413B" w:rsidP="00456302">
      <w:pPr>
        <w:jc w:val="both"/>
        <w:rPr>
          <w:rFonts w:cs="Arial"/>
        </w:rPr>
      </w:pPr>
      <w:r w:rsidRPr="00C03C7B">
        <w:rPr>
          <w:rFonts w:cs="Arial"/>
        </w:rPr>
        <w:t>The use of artificial intelligence (</w:t>
      </w:r>
      <w:r>
        <w:rPr>
          <w:rFonts w:cs="Arial"/>
        </w:rPr>
        <w:t>“</w:t>
      </w:r>
      <w:r w:rsidRPr="00C03C7B">
        <w:rPr>
          <w:rFonts w:cs="Arial"/>
        </w:rPr>
        <w:t>AI</w:t>
      </w:r>
      <w:r>
        <w:rPr>
          <w:rFonts w:cs="Arial"/>
        </w:rPr>
        <w:t>”</w:t>
      </w:r>
      <w:r w:rsidRPr="00C03C7B">
        <w:rPr>
          <w:rFonts w:cs="Arial"/>
        </w:rPr>
        <w:t>) in internal compliance investigations forms a complementary tool to support companies in their monitoring, prevention, and detection of anti-competitive practices.</w:t>
      </w:r>
    </w:p>
    <w:p w14:paraId="10FEA1F9" w14:textId="77777777" w:rsidR="00FD413B" w:rsidRPr="00C03C7B" w:rsidRDefault="00FD413B" w:rsidP="00456302">
      <w:pPr>
        <w:jc w:val="both"/>
        <w:rPr>
          <w:rFonts w:cs="Arial"/>
        </w:rPr>
      </w:pPr>
      <w:r w:rsidRPr="00C03C7B">
        <w:rPr>
          <w:rFonts w:cs="Arial"/>
        </w:rPr>
        <w:t xml:space="preserve">Through screening programmes, AI will allow companies to be proactive in the detection of potential infringements, </w:t>
      </w:r>
      <w:r w:rsidRPr="00324C44">
        <w:rPr>
          <w:rFonts w:cs="Arial"/>
        </w:rPr>
        <w:t>which can be particularly interesting in the context of leniency applications</w:t>
      </w:r>
      <w:r w:rsidRPr="00C03C7B">
        <w:rPr>
          <w:rFonts w:cs="Arial"/>
        </w:rPr>
        <w:t>.</w:t>
      </w:r>
      <w:r w:rsidRPr="00324C44">
        <w:rPr>
          <w:rFonts w:cs="Arial"/>
          <w:vertAlign w:val="superscript"/>
        </w:rPr>
        <w:footnoteReference w:id="25"/>
      </w:r>
      <w:r w:rsidRPr="00C03C7B">
        <w:rPr>
          <w:rFonts w:cs="Arial"/>
        </w:rPr>
        <w:t xml:space="preserve"> More specifically, the benefits of data-based compliance include:</w:t>
      </w:r>
    </w:p>
    <w:p w14:paraId="139877CB" w14:textId="77777777" w:rsidR="00FD413B" w:rsidRPr="00324C44" w:rsidRDefault="00FD413B">
      <w:pPr>
        <w:numPr>
          <w:ilvl w:val="0"/>
          <w:numId w:val="36"/>
        </w:numPr>
        <w:contextualSpacing/>
        <w:jc w:val="both"/>
        <w:rPr>
          <w:rFonts w:eastAsia="Calibri" w:cs="Arial"/>
          <w:lang w:eastAsia="en-GB"/>
        </w:rPr>
      </w:pPr>
      <w:r w:rsidRPr="00324C44">
        <w:rPr>
          <w:rFonts w:eastAsia="Calibri" w:cs="Arial"/>
          <w:lang w:eastAsia="en-GB"/>
        </w:rPr>
        <w:t>Simplified monitoring of anti-competitive behaviour, with keyword-based searches for suspicious signs in internal communications and with competitors;</w:t>
      </w:r>
    </w:p>
    <w:p w14:paraId="5B387246" w14:textId="77777777" w:rsidR="00FD413B" w:rsidRPr="00324C44" w:rsidRDefault="00FD413B" w:rsidP="00456302">
      <w:pPr>
        <w:spacing w:after="0" w:line="240" w:lineRule="auto"/>
        <w:ind w:left="720"/>
        <w:contextualSpacing/>
        <w:jc w:val="both"/>
        <w:rPr>
          <w:rFonts w:eastAsia="Calibri" w:cs="Arial"/>
          <w:lang w:eastAsia="en-GB"/>
        </w:rPr>
      </w:pPr>
    </w:p>
    <w:p w14:paraId="1F84C4DE" w14:textId="77777777" w:rsidR="00FD413B" w:rsidRPr="00324C44" w:rsidRDefault="00FD413B">
      <w:pPr>
        <w:numPr>
          <w:ilvl w:val="0"/>
          <w:numId w:val="36"/>
        </w:numPr>
        <w:contextualSpacing/>
        <w:jc w:val="both"/>
        <w:rPr>
          <w:rFonts w:eastAsia="Calibri" w:cs="Arial"/>
          <w:lang w:eastAsia="en-GB"/>
        </w:rPr>
      </w:pPr>
      <w:r w:rsidRPr="00324C44">
        <w:rPr>
          <w:rFonts w:eastAsia="Calibri" w:cs="Arial"/>
          <w:lang w:eastAsia="en-GB"/>
        </w:rPr>
        <w:t>Faster detection of anti-competitive behaviour and easier gathering of evidence, with the ability to report harmful acts to competition authorities at an early stage as part of a leniency procedure;</w:t>
      </w:r>
    </w:p>
    <w:p w14:paraId="43813F88" w14:textId="77777777" w:rsidR="00FD413B" w:rsidRPr="00324C44" w:rsidRDefault="00FD413B" w:rsidP="00FD413B">
      <w:pPr>
        <w:spacing w:after="0" w:line="240" w:lineRule="auto"/>
        <w:ind w:left="720"/>
        <w:contextualSpacing/>
        <w:jc w:val="both"/>
        <w:rPr>
          <w:rFonts w:eastAsia="Calibri" w:cs="Arial"/>
          <w:lang w:eastAsia="en-GB"/>
        </w:rPr>
      </w:pPr>
    </w:p>
    <w:p w14:paraId="506F17CD" w14:textId="77777777" w:rsidR="00FD413B" w:rsidRPr="00324C44" w:rsidRDefault="00FD413B" w:rsidP="00A15E97">
      <w:pPr>
        <w:numPr>
          <w:ilvl w:val="0"/>
          <w:numId w:val="36"/>
        </w:numPr>
        <w:contextualSpacing/>
        <w:rPr>
          <w:rFonts w:eastAsia="Calibri" w:cs="Arial"/>
          <w:lang w:eastAsia="en-GB"/>
        </w:rPr>
      </w:pPr>
      <w:r w:rsidRPr="00324C44">
        <w:rPr>
          <w:rFonts w:eastAsia="Calibri" w:cs="Arial"/>
          <w:lang w:eastAsia="en-GB"/>
        </w:rPr>
        <w:t>A dissuasive effect on employees, who are aware that it is more difficult to dissimulate illegal behaviour;</w:t>
      </w:r>
    </w:p>
    <w:p w14:paraId="50F0F3AE" w14:textId="77777777" w:rsidR="00FD413B" w:rsidRPr="00324C44" w:rsidRDefault="00FD413B" w:rsidP="00A15E97">
      <w:pPr>
        <w:spacing w:after="0" w:line="240" w:lineRule="auto"/>
        <w:ind w:left="720"/>
        <w:contextualSpacing/>
        <w:rPr>
          <w:rFonts w:eastAsia="Calibri" w:cs="Arial"/>
          <w:lang w:eastAsia="en-GB"/>
        </w:rPr>
      </w:pPr>
    </w:p>
    <w:p w14:paraId="46C13CBE" w14:textId="77777777" w:rsidR="00FD413B" w:rsidRPr="00324C44" w:rsidRDefault="00FD413B" w:rsidP="00A15E97">
      <w:pPr>
        <w:numPr>
          <w:ilvl w:val="0"/>
          <w:numId w:val="36"/>
        </w:numPr>
        <w:contextualSpacing/>
        <w:rPr>
          <w:rFonts w:eastAsia="Calibri" w:cs="Arial"/>
          <w:lang w:eastAsia="en-GB"/>
        </w:rPr>
      </w:pPr>
      <w:r w:rsidRPr="00324C44">
        <w:rPr>
          <w:rFonts w:eastAsia="Calibri" w:cs="Arial"/>
          <w:lang w:eastAsia="en-GB"/>
        </w:rPr>
        <w:t>A better allocation of resources, as the use of empirical screens improves the identification of high-risk areas and enables audits to be targeted at these areas.</w:t>
      </w:r>
    </w:p>
    <w:p w14:paraId="7E441964" w14:textId="77777777" w:rsidR="00FD413B" w:rsidRPr="00324C44" w:rsidRDefault="00FD413B" w:rsidP="00A15E97">
      <w:pPr>
        <w:contextualSpacing/>
        <w:rPr>
          <w:rFonts w:eastAsia="Calibri" w:cs="Arial"/>
          <w:lang w:eastAsia="en-GB"/>
        </w:rPr>
      </w:pPr>
    </w:p>
    <w:p w14:paraId="158EFF67" w14:textId="77777777" w:rsidR="00FD413B" w:rsidRPr="00324C44" w:rsidRDefault="00FD413B" w:rsidP="00A15E97">
      <w:pPr>
        <w:rPr>
          <w:rFonts w:cs="Arial"/>
          <w:bCs/>
          <w:iCs/>
        </w:rPr>
      </w:pPr>
      <w:r w:rsidRPr="00370A7A">
        <w:rPr>
          <w:rFonts w:cs="Arial"/>
        </w:rPr>
        <w:t>The company must also be aware of the risks associated with using AI for business purposes, especially when pricing algorithms and similar tools are used. In both compliance programmes and business processes, AI and algorithms must be employed responsibly. Use must be transparent, continually risk-assessed, and allow for full accountability.</w:t>
      </w:r>
    </w:p>
    <w:p w14:paraId="564D6435" w14:textId="77777777" w:rsidR="005C66BF" w:rsidRPr="00F55CCC" w:rsidRDefault="005C66BF" w:rsidP="00A15E97">
      <w:pPr>
        <w:spacing w:after="0" w:line="240" w:lineRule="auto"/>
        <w:rPr>
          <w:rFonts w:cs="Arial"/>
        </w:rPr>
      </w:pPr>
    </w:p>
    <w:p w14:paraId="2AE56C14" w14:textId="780E4413" w:rsidR="00FD413B" w:rsidRPr="00F55CCC" w:rsidRDefault="00FD413B" w:rsidP="005847BA">
      <w:pPr>
        <w:pStyle w:val="OUTLINEAL1"/>
      </w:pPr>
      <w:bookmarkStart w:id="101" w:name="_Toc166512660"/>
      <w:bookmarkStart w:id="102" w:name="_Toc166513118"/>
      <w:bookmarkStart w:id="103" w:name="_Toc166747907"/>
      <w:r w:rsidRPr="00F55CCC">
        <w:lastRenderedPageBreak/>
        <w:t>Disciplinary action</w:t>
      </w:r>
      <w:bookmarkEnd w:id="101"/>
      <w:bookmarkEnd w:id="102"/>
      <w:bookmarkEnd w:id="103"/>
    </w:p>
    <w:p w14:paraId="6C14A7EB" w14:textId="77777777" w:rsidR="00FD413B" w:rsidRPr="00F55CCC" w:rsidRDefault="00FD413B" w:rsidP="002C0A1C">
      <w:pPr>
        <w:spacing w:after="280"/>
        <w:jc w:val="both"/>
        <w:rPr>
          <w:rFonts w:asciiTheme="minorBidi" w:eastAsia="Calibri" w:hAnsiTheme="minorBidi" w:cstheme="minorBidi"/>
          <w:lang w:eastAsia="en-US"/>
        </w:rPr>
      </w:pPr>
      <w:r w:rsidRPr="00F55CCC">
        <w:rPr>
          <w:rFonts w:asciiTheme="minorBidi" w:eastAsia="Calibri" w:hAnsiTheme="minorBidi" w:cstheme="minorBidi"/>
          <w:lang w:eastAsia="en-US"/>
        </w:rPr>
        <w:t xml:space="preserve">It is essential for your company to develop an </w:t>
      </w:r>
      <w:r w:rsidRPr="00F55CCC">
        <w:rPr>
          <w:rFonts w:asciiTheme="minorBidi" w:eastAsia="Calibri" w:hAnsiTheme="minorBidi" w:cstheme="minorBidi"/>
          <w:b/>
          <w:lang w:eastAsia="en-US"/>
        </w:rPr>
        <w:t>internal disciplinary code</w:t>
      </w:r>
      <w:r w:rsidRPr="00F55CCC">
        <w:rPr>
          <w:rFonts w:asciiTheme="minorBidi" w:eastAsia="Calibri" w:hAnsiTheme="minorBidi" w:cstheme="minorBidi"/>
          <w:lang w:eastAsia="en-US"/>
        </w:rPr>
        <w:t xml:space="preserve"> or policy addressing employees and company officers who initiate or participate in conduct that is in breach of your company’s Code of Conduct (including </w:t>
      </w:r>
      <w:r w:rsidRPr="00F55CCC">
        <w:rPr>
          <w:rFonts w:eastAsia="Calibri" w:cs="Arial"/>
          <w:lang w:eastAsia="en-US"/>
        </w:rPr>
        <w:t>antitrust</w:t>
      </w:r>
      <w:r w:rsidRPr="00F55CCC">
        <w:rPr>
          <w:rFonts w:asciiTheme="minorBidi" w:eastAsia="Calibri" w:hAnsiTheme="minorBidi" w:cstheme="minorBidi"/>
          <w:lang w:eastAsia="en-US"/>
        </w:rPr>
        <w:t xml:space="preserve"> compliance). This is important not only for deterrence purposes, but also as a reflection of your company’s real commitment to embedding and fostering a compliance culture. </w:t>
      </w:r>
    </w:p>
    <w:p w14:paraId="6F7ADC0D" w14:textId="77777777" w:rsidR="00FD413B" w:rsidRPr="00F55CCC" w:rsidRDefault="00FD413B" w:rsidP="002C0A1C">
      <w:pPr>
        <w:spacing w:after="280"/>
        <w:jc w:val="both"/>
        <w:rPr>
          <w:rFonts w:asciiTheme="minorBidi" w:hAnsiTheme="minorBidi" w:cstheme="minorBidi"/>
          <w:iCs/>
          <w:lang w:eastAsia="en-US"/>
        </w:rPr>
      </w:pPr>
      <w:r w:rsidRPr="0095745C">
        <w:rPr>
          <w:rFonts w:asciiTheme="minorBidi" w:hAnsiTheme="minorBidi" w:cstheme="minorBidi"/>
          <w:lang w:eastAsia="en-US"/>
        </w:rPr>
        <w:t>A credible antitrust compliance programme should make clear that disciplinary action (</w:t>
      </w:r>
      <w:r w:rsidRPr="00324C44">
        <w:rPr>
          <w:rFonts w:asciiTheme="minorBidi" w:hAnsiTheme="minorBidi" w:cstheme="minorBidi"/>
          <w:lang w:eastAsia="en-US"/>
        </w:rPr>
        <w:t>up to and including suspension, demotion, dismissal or even legal action against an employee or former employee – if the latter is possible under applicable local law</w:t>
      </w:r>
      <w:r w:rsidRPr="0095745C">
        <w:rPr>
          <w:rFonts w:asciiTheme="minorBidi" w:hAnsiTheme="minorBidi" w:cstheme="minorBidi"/>
          <w:lang w:eastAsia="en-US"/>
        </w:rPr>
        <w:t xml:space="preserve">) will be taken if anyone in your company contravenes antitrust law. It is important that the disciplinary policy is applied consistently throughout your company and, in particular, that senior employees/managers are not shielded from disciplinary action in the event that they violate the rules. </w:t>
      </w:r>
    </w:p>
    <w:p w14:paraId="5758DE53" w14:textId="77777777" w:rsidR="00FD413B" w:rsidRPr="00F55CCC" w:rsidRDefault="00FD413B" w:rsidP="00FD413B">
      <w:pPr>
        <w:spacing w:after="280"/>
        <w:jc w:val="both"/>
        <w:rPr>
          <w:rFonts w:asciiTheme="minorBidi" w:hAnsiTheme="minorBidi" w:cstheme="minorBidi"/>
          <w:lang w:eastAsia="en-US"/>
        </w:rPr>
      </w:pPr>
      <w:r w:rsidRPr="00F55CCC">
        <w:rPr>
          <w:rFonts w:asciiTheme="minorBidi" w:hAnsiTheme="minorBidi" w:cstheme="minorBidi"/>
          <w:lang w:eastAsia="en-US"/>
        </w:rPr>
        <w:t>Enforcement agencies (including antitrust agencies) increasingly expect companies to show they are serious about compliance by building antitrust compliance programmes that include provisions for appropriate disciplinary action or “Consequence Management” as this is seen as fundamental to the programme’s effectiveness.</w:t>
      </w:r>
      <w:r>
        <w:rPr>
          <w:rStyle w:val="FootnoteReference"/>
          <w:rFonts w:asciiTheme="minorBidi" w:hAnsiTheme="minorBidi" w:cstheme="minorBidi"/>
          <w:lang w:eastAsia="en-US"/>
        </w:rPr>
        <w:footnoteReference w:id="26"/>
      </w:r>
      <w:r w:rsidRPr="00F55CCC">
        <w:rPr>
          <w:rFonts w:asciiTheme="minorBidi" w:hAnsiTheme="minorBidi" w:cstheme="minorBidi"/>
          <w:lang w:eastAsia="en-US"/>
        </w:rPr>
        <w:t xml:space="preserve"> </w:t>
      </w:r>
    </w:p>
    <w:p w14:paraId="08D31EB4" w14:textId="77777777" w:rsidR="00FD413B" w:rsidRPr="00F55CCC" w:rsidRDefault="00FD413B">
      <w:pPr>
        <w:pStyle w:val="OUTLINEAL2"/>
        <w:numPr>
          <w:ilvl w:val="0"/>
          <w:numId w:val="45"/>
        </w:numPr>
      </w:pPr>
      <w:bookmarkStart w:id="104" w:name="_Toc166512661"/>
      <w:bookmarkStart w:id="105" w:name="_Toc166513119"/>
      <w:bookmarkStart w:id="106" w:name="_Toc166747908"/>
      <w:bookmarkStart w:id="107" w:name="_Hlk144115557"/>
      <w:r w:rsidRPr="00F55CCC">
        <w:t>General requirements for disciplinary proceedings</w:t>
      </w:r>
      <w:bookmarkEnd w:id="104"/>
      <w:bookmarkEnd w:id="105"/>
      <w:bookmarkEnd w:id="106"/>
    </w:p>
    <w:bookmarkEnd w:id="107"/>
    <w:p w14:paraId="0BF93E71" w14:textId="77777777" w:rsidR="00FD413B" w:rsidRPr="00F55CCC" w:rsidRDefault="00FD413B" w:rsidP="00FD413B">
      <w:pPr>
        <w:spacing w:after="280"/>
        <w:jc w:val="both"/>
        <w:rPr>
          <w:rFonts w:asciiTheme="minorBidi" w:hAnsiTheme="minorBidi" w:cstheme="minorBidi"/>
        </w:rPr>
      </w:pPr>
      <w:r w:rsidRPr="00F55CCC">
        <w:rPr>
          <w:rFonts w:asciiTheme="minorBidi" w:hAnsiTheme="minorBidi" w:cstheme="minorBidi"/>
        </w:rPr>
        <w:t xml:space="preserve">Your company will need to develop its own </w:t>
      </w:r>
      <w:r w:rsidRPr="00F55CCC">
        <w:rPr>
          <w:rFonts w:asciiTheme="minorBidi" w:hAnsiTheme="minorBidi" w:cstheme="minorBidi"/>
          <w:b/>
        </w:rPr>
        <w:t>disciplinary policy</w:t>
      </w:r>
      <w:r w:rsidRPr="00F55CCC">
        <w:rPr>
          <w:rFonts w:asciiTheme="minorBidi" w:hAnsiTheme="minorBidi" w:cstheme="minorBidi"/>
        </w:rPr>
        <w:t xml:space="preserve"> in a way that is best suited to your company’s needs and takes into account all applicable employment laws (</w:t>
      </w:r>
      <w:r w:rsidRPr="00F55CCC">
        <w:rPr>
          <w:rFonts w:asciiTheme="minorBidi" w:hAnsiTheme="minorBidi" w:cstheme="minorBidi"/>
          <w:i/>
          <w:iCs/>
        </w:rPr>
        <w:t>i.e.,</w:t>
      </w:r>
      <w:r w:rsidRPr="00F55CCC">
        <w:rPr>
          <w:rFonts w:asciiTheme="minorBidi" w:hAnsiTheme="minorBidi" w:cstheme="minorBidi"/>
        </w:rPr>
        <w:t xml:space="preserve"> the employment laws in every country in which your company has employees) and other fairness and human rights considerations. In this respect, it is essential that any disciplinary measures envisaged are reviewed by a local advisor specialising in labour law, to ensure their compatibility with local practices.</w:t>
      </w:r>
    </w:p>
    <w:p w14:paraId="73DD2288" w14:textId="77777777" w:rsidR="00FD413B" w:rsidRPr="00F55CCC" w:rsidRDefault="00FD413B" w:rsidP="00FD413B">
      <w:pPr>
        <w:spacing w:after="280"/>
        <w:jc w:val="both"/>
        <w:rPr>
          <w:rFonts w:asciiTheme="minorBidi" w:hAnsiTheme="minorBidi" w:cstheme="minorBidi"/>
        </w:rPr>
      </w:pPr>
      <w:r w:rsidRPr="00F55CCC">
        <w:rPr>
          <w:rFonts w:asciiTheme="minorBidi" w:hAnsiTheme="minorBidi" w:cstheme="minorBidi"/>
        </w:rPr>
        <w:t xml:space="preserve">To ensure the credibility of your company’s compliance programme, it is important that any disciplinary measures taken are fully and consistently applied. The company must not be perceived as “turning a blind eye” </w:t>
      </w:r>
      <w:r w:rsidRPr="00F55CCC">
        <w:rPr>
          <w:rFonts w:asciiTheme="minorBidi" w:eastAsia="Calibri" w:hAnsiTheme="minorBidi" w:cstheme="minorBidi"/>
        </w:rPr>
        <w:t>to Code of Conduct violations</w:t>
      </w:r>
      <w:r w:rsidRPr="00F55CCC">
        <w:rPr>
          <w:rFonts w:asciiTheme="minorBidi" w:hAnsiTheme="minorBidi" w:cstheme="minorBidi"/>
        </w:rPr>
        <w:t>.</w:t>
      </w:r>
    </w:p>
    <w:p w14:paraId="05829F11" w14:textId="77777777" w:rsidR="00FD413B" w:rsidRPr="00F55CCC" w:rsidRDefault="00FD413B" w:rsidP="00FD413B">
      <w:pPr>
        <w:spacing w:after="280"/>
        <w:jc w:val="both"/>
        <w:rPr>
          <w:rFonts w:asciiTheme="minorBidi" w:hAnsiTheme="minorBidi" w:cstheme="minorBidi"/>
        </w:rPr>
      </w:pPr>
      <w:r w:rsidRPr="00F55CCC">
        <w:rPr>
          <w:rFonts w:asciiTheme="minorBidi" w:hAnsiTheme="minorBidi" w:cstheme="minorBidi"/>
        </w:rPr>
        <w:t>In addition, a clear and transparent disciplinary policy in its design and implementation strengthens the legitimacy of the compliance programme. To properly integrate risks, employers must have visibility and knowledge of existing disciplinary measures.</w:t>
      </w:r>
    </w:p>
    <w:p w14:paraId="7F1CF2C3" w14:textId="77777777" w:rsidR="00FD413B" w:rsidRPr="00F55CCC" w:rsidRDefault="00FD413B" w:rsidP="00FD413B">
      <w:pPr>
        <w:spacing w:after="280"/>
        <w:jc w:val="both"/>
        <w:rPr>
          <w:rFonts w:asciiTheme="minorBidi" w:hAnsiTheme="minorBidi" w:cstheme="minorBidi"/>
        </w:rPr>
      </w:pPr>
      <w:r w:rsidRPr="00F55CCC">
        <w:rPr>
          <w:rFonts w:asciiTheme="minorBidi" w:hAnsiTheme="minorBidi" w:cstheme="minorBidi"/>
        </w:rPr>
        <w:t>In preparing your company’s disciplinary policy, you may wish to address various general points,</w:t>
      </w:r>
      <w:r w:rsidRPr="00F55CCC">
        <w:rPr>
          <w:rFonts w:asciiTheme="minorBidi" w:hAnsiTheme="minorBidi" w:cstheme="minorBidi"/>
          <w:vertAlign w:val="superscript"/>
        </w:rPr>
        <w:footnoteReference w:id="27"/>
      </w:r>
      <w:r w:rsidRPr="00F55CCC">
        <w:rPr>
          <w:rFonts w:asciiTheme="minorBidi" w:hAnsiTheme="minorBidi" w:cstheme="minorBidi"/>
        </w:rPr>
        <w:t xml:space="preserve"> such as:</w:t>
      </w:r>
    </w:p>
    <w:p w14:paraId="149A2DC3" w14:textId="77777777" w:rsidR="00FD413B" w:rsidRPr="00F55CCC" w:rsidRDefault="00FD413B">
      <w:pPr>
        <w:numPr>
          <w:ilvl w:val="0"/>
          <w:numId w:val="18"/>
        </w:numPr>
        <w:spacing w:after="280"/>
        <w:ind w:left="851" w:hanging="284"/>
        <w:jc w:val="both"/>
        <w:rPr>
          <w:rFonts w:asciiTheme="minorBidi" w:eastAsia="Calibri" w:hAnsiTheme="minorBidi" w:cstheme="minorBidi"/>
        </w:rPr>
      </w:pPr>
      <w:r w:rsidRPr="00324C44">
        <w:rPr>
          <w:rFonts w:asciiTheme="minorBidi" w:eastAsia="Calibri" w:hAnsiTheme="minorBidi" w:cstheme="minorBidi"/>
          <w:bCs/>
        </w:rPr>
        <w:t xml:space="preserve">Who in your company will make the decision </w:t>
      </w:r>
      <w:r w:rsidRPr="00F55CCC">
        <w:rPr>
          <w:rFonts w:asciiTheme="minorBidi" w:eastAsia="Calibri" w:hAnsiTheme="minorBidi" w:cstheme="minorBidi"/>
        </w:rPr>
        <w:t xml:space="preserve">about whether to impose disciplinary measures and which measures to impose? As a general recommendation, it is suggested that disciplinary measures for Code of Conduct violations should not be left to one individual. Disciplinary decisions would be better taken (for consistency reasons) by a panel of individuals, including from Compliance, Legal and HR, as well as senior management in the business line concerned. </w:t>
      </w:r>
    </w:p>
    <w:p w14:paraId="79DA3C52" w14:textId="77777777" w:rsidR="00FD413B" w:rsidRPr="00F55CCC" w:rsidRDefault="00FD413B">
      <w:pPr>
        <w:numPr>
          <w:ilvl w:val="0"/>
          <w:numId w:val="18"/>
        </w:numPr>
        <w:spacing w:after="280"/>
        <w:ind w:left="851" w:hanging="284"/>
        <w:rPr>
          <w:rFonts w:asciiTheme="minorBidi" w:eastAsia="Calibri" w:hAnsiTheme="minorBidi" w:cstheme="minorBidi"/>
        </w:rPr>
      </w:pPr>
      <w:r w:rsidRPr="00F55CCC">
        <w:rPr>
          <w:rFonts w:asciiTheme="minorBidi" w:eastAsia="Calibri" w:hAnsiTheme="minorBidi" w:cstheme="minorBidi"/>
        </w:rPr>
        <w:t>If a panel in your company will take the decision on disciplinary measures, how will the panel be structured?</w:t>
      </w:r>
    </w:p>
    <w:p w14:paraId="4449159E" w14:textId="77777777" w:rsidR="00FD413B" w:rsidRPr="00F55CCC" w:rsidRDefault="00FD413B">
      <w:pPr>
        <w:numPr>
          <w:ilvl w:val="0"/>
          <w:numId w:val="18"/>
        </w:numPr>
        <w:spacing w:after="280"/>
        <w:ind w:left="851" w:hanging="284"/>
        <w:rPr>
          <w:rFonts w:asciiTheme="minorBidi" w:eastAsia="Calibri" w:hAnsiTheme="minorBidi" w:cstheme="minorBidi"/>
        </w:rPr>
      </w:pPr>
      <w:r w:rsidRPr="00F55CCC">
        <w:rPr>
          <w:rFonts w:asciiTheme="minorBidi" w:eastAsia="Calibri" w:hAnsiTheme="minorBidi" w:cstheme="minorBidi"/>
        </w:rPr>
        <w:lastRenderedPageBreak/>
        <w:t>What notice of concerns and rights of defence/representation should affected employees be given?</w:t>
      </w:r>
    </w:p>
    <w:p w14:paraId="42CF23BE" w14:textId="77777777" w:rsidR="00FD413B" w:rsidRPr="00F55CCC" w:rsidRDefault="00FD413B">
      <w:pPr>
        <w:numPr>
          <w:ilvl w:val="0"/>
          <w:numId w:val="18"/>
        </w:numPr>
        <w:spacing w:after="280"/>
        <w:ind w:left="851" w:hanging="284"/>
        <w:rPr>
          <w:rFonts w:asciiTheme="minorBidi" w:eastAsia="Calibri" w:hAnsiTheme="minorBidi" w:cstheme="minorBidi"/>
        </w:rPr>
      </w:pPr>
      <w:r w:rsidRPr="00F55CCC">
        <w:rPr>
          <w:rFonts w:asciiTheme="minorBidi" w:eastAsia="Calibri" w:hAnsiTheme="minorBidi" w:cstheme="minorBidi"/>
        </w:rPr>
        <w:t>What potential aggravating or mitigating circumstances should you take into account?</w:t>
      </w:r>
    </w:p>
    <w:p w14:paraId="1F9B0598" w14:textId="77777777" w:rsidR="00FD413B" w:rsidRPr="00F55CCC" w:rsidRDefault="00FD413B">
      <w:pPr>
        <w:numPr>
          <w:ilvl w:val="0"/>
          <w:numId w:val="18"/>
        </w:numPr>
        <w:spacing w:after="280"/>
        <w:ind w:left="851" w:hanging="284"/>
        <w:rPr>
          <w:rFonts w:asciiTheme="minorBidi" w:eastAsia="Calibri" w:hAnsiTheme="minorBidi" w:cstheme="minorBidi"/>
        </w:rPr>
      </w:pPr>
      <w:r w:rsidRPr="00F55CCC">
        <w:rPr>
          <w:rFonts w:asciiTheme="minorBidi" w:eastAsia="Calibri" w:hAnsiTheme="minorBidi" w:cstheme="minorBidi"/>
        </w:rPr>
        <w:t>What action should your company take against line managers who fail to take reasonable steps to prevent (or even worse, who encourage or tolerate) misconduct?</w:t>
      </w:r>
    </w:p>
    <w:p w14:paraId="19325C55" w14:textId="77777777" w:rsidR="00FD413B" w:rsidRPr="00F55CCC" w:rsidRDefault="00FD413B">
      <w:pPr>
        <w:numPr>
          <w:ilvl w:val="0"/>
          <w:numId w:val="18"/>
        </w:numPr>
        <w:spacing w:after="280"/>
        <w:ind w:left="851" w:hanging="284"/>
        <w:rPr>
          <w:rFonts w:asciiTheme="minorBidi" w:eastAsia="Calibri" w:hAnsiTheme="minorBidi" w:cstheme="minorBidi"/>
        </w:rPr>
      </w:pPr>
      <w:r w:rsidRPr="00F55CCC">
        <w:rPr>
          <w:rFonts w:asciiTheme="minorBidi" w:eastAsia="Calibri" w:hAnsiTheme="minorBidi" w:cstheme="minorBidi"/>
        </w:rPr>
        <w:t xml:space="preserve">How will you balance the </w:t>
      </w:r>
      <w:r w:rsidRPr="00BE2DD3">
        <w:rPr>
          <w:rFonts w:asciiTheme="minorBidi" w:eastAsia="Calibri" w:hAnsiTheme="minorBidi" w:cstheme="minorBidi"/>
        </w:rPr>
        <w:t>need</w:t>
      </w:r>
      <w:r w:rsidRPr="00F55CCC">
        <w:rPr>
          <w:rFonts w:asciiTheme="minorBidi" w:eastAsia="Calibri" w:hAnsiTheme="minorBidi" w:cstheme="minorBidi"/>
        </w:rPr>
        <w:t xml:space="preserve"> for confidentiality (and in some situations Legal Professional Privilege around the circumstances of the case) and the need to document disciplinary actions and procedures fully against employees who violate antitrust laws?</w:t>
      </w:r>
    </w:p>
    <w:p w14:paraId="3C0CE0A0" w14:textId="77777777" w:rsidR="00FD413B" w:rsidRPr="00F55CCC" w:rsidRDefault="00FD413B" w:rsidP="005847BA">
      <w:pPr>
        <w:pStyle w:val="OUTLINEAL2"/>
      </w:pPr>
      <w:bookmarkStart w:id="108" w:name="_Toc166512662"/>
      <w:bookmarkStart w:id="109" w:name="_Toc166513120"/>
      <w:bookmarkStart w:id="110" w:name="_Toc166747909"/>
      <w:r w:rsidRPr="00F55CCC">
        <w:t>Possible disciplinary measures</w:t>
      </w:r>
      <w:bookmarkEnd w:id="108"/>
      <w:bookmarkEnd w:id="109"/>
      <w:bookmarkEnd w:id="110"/>
    </w:p>
    <w:p w14:paraId="372F5317" w14:textId="77777777" w:rsidR="00FD413B" w:rsidRPr="00F55CCC" w:rsidRDefault="00FD413B" w:rsidP="002C0A1C">
      <w:pPr>
        <w:spacing w:after="280"/>
        <w:jc w:val="both"/>
        <w:rPr>
          <w:rFonts w:asciiTheme="minorBidi" w:eastAsia="Calibri" w:hAnsiTheme="minorBidi" w:cstheme="minorBidi"/>
        </w:rPr>
      </w:pPr>
      <w:r w:rsidRPr="00F55CCC">
        <w:rPr>
          <w:rFonts w:asciiTheme="minorBidi" w:eastAsia="Calibri" w:hAnsiTheme="minorBidi" w:cstheme="minorBidi"/>
        </w:rPr>
        <w:t xml:space="preserve">To establish a consistent and fair disciplinary policy, your company can draw up a scale of possible </w:t>
      </w:r>
      <w:r w:rsidRPr="009269C3">
        <w:rPr>
          <w:rFonts w:asciiTheme="minorBidi" w:eastAsia="Calibri" w:hAnsiTheme="minorBidi" w:cstheme="minorBidi"/>
        </w:rPr>
        <w:t xml:space="preserve">sanctions, depending on the gravity of the employer’s misconduct. This will help determine the most </w:t>
      </w:r>
      <w:r w:rsidRPr="009269C3">
        <w:rPr>
          <w:rFonts w:asciiTheme="minorBidi" w:eastAsia="Calibri" w:hAnsiTheme="minorBidi" w:cstheme="minorBidi"/>
          <w:lang w:val="en-US"/>
        </w:rPr>
        <w:t>appropriate and</w:t>
      </w:r>
      <w:r w:rsidRPr="009269C3">
        <w:rPr>
          <w:rFonts w:asciiTheme="minorBidi" w:eastAsia="Calibri" w:hAnsiTheme="minorBidi" w:cstheme="minorBidi"/>
        </w:rPr>
        <w:t xml:space="preserve"> proportionate sanction </w:t>
      </w:r>
      <w:r w:rsidRPr="009269C3">
        <w:rPr>
          <w:rFonts w:asciiTheme="minorBidi" w:eastAsia="Calibri" w:hAnsiTheme="minorBidi" w:cstheme="minorBidi"/>
          <w:lang w:val="en-US"/>
        </w:rPr>
        <w:t>in each case (subject to local employment law advice). It will also</w:t>
      </w:r>
      <w:r w:rsidRPr="009269C3">
        <w:rPr>
          <w:rFonts w:asciiTheme="minorBidi" w:eastAsia="Calibri" w:hAnsiTheme="minorBidi" w:cstheme="minorBidi"/>
        </w:rPr>
        <w:t xml:space="preserve"> prevent similar misconduct from being treated in a disparate manner.</w:t>
      </w:r>
    </w:p>
    <w:p w14:paraId="2D937CF0" w14:textId="77777777" w:rsidR="00FD413B" w:rsidRPr="00F55CCC" w:rsidRDefault="00FD413B" w:rsidP="002C0A1C">
      <w:pPr>
        <w:spacing w:after="280"/>
        <w:jc w:val="both"/>
        <w:rPr>
          <w:rFonts w:asciiTheme="minorBidi" w:eastAsia="Calibri" w:hAnsiTheme="minorBidi" w:cstheme="minorBidi"/>
        </w:rPr>
      </w:pPr>
      <w:r w:rsidRPr="00F55CCC">
        <w:rPr>
          <w:rFonts w:asciiTheme="minorBidi" w:eastAsia="Calibri" w:hAnsiTheme="minorBidi" w:cstheme="minorBidi"/>
        </w:rPr>
        <w:t>The scale of graduation can be defined as follows:</w:t>
      </w:r>
    </w:p>
    <w:p w14:paraId="0E2CC607" w14:textId="77777777" w:rsidR="00FD413B" w:rsidRPr="00F55CCC" w:rsidRDefault="00FD413B">
      <w:pPr>
        <w:numPr>
          <w:ilvl w:val="1"/>
          <w:numId w:val="34"/>
        </w:numPr>
        <w:autoSpaceDE w:val="0"/>
        <w:autoSpaceDN w:val="0"/>
        <w:adjustRightInd w:val="0"/>
        <w:spacing w:after="280"/>
        <w:ind w:left="851" w:hanging="284"/>
        <w:jc w:val="both"/>
        <w:rPr>
          <w:rFonts w:eastAsia="Calibri" w:cs="Arial"/>
          <w:lang w:eastAsia="en-US"/>
        </w:rPr>
      </w:pPr>
      <w:r w:rsidRPr="00F55CCC">
        <w:rPr>
          <w:rFonts w:eastAsia="Calibri" w:cs="Arial"/>
          <w:lang w:eastAsia="en-US"/>
        </w:rPr>
        <w:t>Use of an internal “compliance score”/tracker as part of performance evaluations;</w:t>
      </w:r>
      <w:r w:rsidRPr="00F55CCC">
        <w:rPr>
          <w:rStyle w:val="FootnoteReference"/>
          <w:rFonts w:eastAsia="Calibri" w:cs="Arial"/>
          <w:lang w:eastAsia="en-US"/>
        </w:rPr>
        <w:footnoteReference w:id="28"/>
      </w:r>
    </w:p>
    <w:p w14:paraId="66B5AEEA" w14:textId="77777777" w:rsidR="00FD413B" w:rsidRPr="00F55CCC" w:rsidRDefault="00FD413B">
      <w:pPr>
        <w:numPr>
          <w:ilvl w:val="1"/>
          <w:numId w:val="34"/>
        </w:numPr>
        <w:autoSpaceDE w:val="0"/>
        <w:autoSpaceDN w:val="0"/>
        <w:adjustRightInd w:val="0"/>
        <w:spacing w:after="280"/>
        <w:ind w:left="851" w:hanging="284"/>
        <w:jc w:val="both"/>
        <w:rPr>
          <w:rFonts w:eastAsia="Calibri" w:cs="Arial"/>
          <w:lang w:eastAsia="en-US"/>
        </w:rPr>
      </w:pPr>
      <w:r w:rsidRPr="00F55CCC">
        <w:rPr>
          <w:rFonts w:eastAsia="Calibri" w:cs="Arial"/>
          <w:lang w:eastAsia="en-US"/>
        </w:rPr>
        <w:t>Informal warning plus a required course of antitrust training and counselling;</w:t>
      </w:r>
    </w:p>
    <w:p w14:paraId="630445EF" w14:textId="77777777" w:rsidR="00FD413B" w:rsidRPr="00F55CCC" w:rsidRDefault="00FD413B">
      <w:pPr>
        <w:numPr>
          <w:ilvl w:val="1"/>
          <w:numId w:val="34"/>
        </w:numPr>
        <w:autoSpaceDE w:val="0"/>
        <w:autoSpaceDN w:val="0"/>
        <w:adjustRightInd w:val="0"/>
        <w:spacing w:after="280"/>
        <w:ind w:left="851" w:hanging="284"/>
        <w:jc w:val="both"/>
        <w:rPr>
          <w:rFonts w:eastAsia="Calibri" w:cs="Arial"/>
          <w:lang w:eastAsia="en-US"/>
        </w:rPr>
      </w:pPr>
      <w:r w:rsidRPr="00F55CCC">
        <w:rPr>
          <w:rFonts w:eastAsia="Calibri" w:cs="Arial"/>
          <w:lang w:eastAsia="en-US"/>
        </w:rPr>
        <w:t>Formal written warning plus a required course of antitrust training and counselling;</w:t>
      </w:r>
    </w:p>
    <w:p w14:paraId="35FBD67D" w14:textId="77777777" w:rsidR="00FD413B" w:rsidRPr="00F55CCC" w:rsidRDefault="00FD413B">
      <w:pPr>
        <w:numPr>
          <w:ilvl w:val="1"/>
          <w:numId w:val="34"/>
        </w:numPr>
        <w:autoSpaceDE w:val="0"/>
        <w:autoSpaceDN w:val="0"/>
        <w:adjustRightInd w:val="0"/>
        <w:spacing w:after="280"/>
        <w:ind w:left="851" w:hanging="284"/>
        <w:jc w:val="both"/>
        <w:rPr>
          <w:rFonts w:eastAsia="Calibri" w:cs="Arial"/>
          <w:lang w:eastAsia="en-US"/>
        </w:rPr>
      </w:pPr>
      <w:r w:rsidRPr="00F55CCC">
        <w:rPr>
          <w:rFonts w:eastAsia="Calibri" w:cs="Arial"/>
          <w:lang w:eastAsia="en-US"/>
        </w:rPr>
        <w:t>Demotion or non-promotion plus a required course of antitrust training and counselling;</w:t>
      </w:r>
    </w:p>
    <w:p w14:paraId="19604C22" w14:textId="77777777" w:rsidR="00FD413B" w:rsidRPr="00F55CCC" w:rsidRDefault="00FD413B">
      <w:pPr>
        <w:numPr>
          <w:ilvl w:val="1"/>
          <w:numId w:val="34"/>
        </w:numPr>
        <w:autoSpaceDE w:val="0"/>
        <w:autoSpaceDN w:val="0"/>
        <w:adjustRightInd w:val="0"/>
        <w:spacing w:after="280"/>
        <w:ind w:left="851" w:hanging="284"/>
        <w:jc w:val="both"/>
        <w:rPr>
          <w:rFonts w:eastAsia="Calibri" w:cs="Arial"/>
          <w:lang w:eastAsia="en-US"/>
        </w:rPr>
      </w:pPr>
      <w:r w:rsidRPr="00F55CCC">
        <w:rPr>
          <w:rFonts w:eastAsia="Calibri" w:cs="Arial"/>
          <w:lang w:eastAsia="en-US"/>
        </w:rPr>
        <w:t xml:space="preserve">Forfeiture of compensation components (deferred bonus, loss of bonus, stock options or other pay elements); </w:t>
      </w:r>
    </w:p>
    <w:p w14:paraId="1E557C36" w14:textId="77777777" w:rsidR="00FD413B" w:rsidRPr="00F55CCC" w:rsidRDefault="00FD413B">
      <w:pPr>
        <w:numPr>
          <w:ilvl w:val="1"/>
          <w:numId w:val="34"/>
        </w:numPr>
        <w:autoSpaceDE w:val="0"/>
        <w:autoSpaceDN w:val="0"/>
        <w:adjustRightInd w:val="0"/>
        <w:spacing w:after="280"/>
        <w:ind w:left="851" w:hanging="284"/>
        <w:jc w:val="both"/>
        <w:rPr>
          <w:rFonts w:eastAsia="Calibri" w:cs="Arial"/>
          <w:lang w:eastAsia="en-US"/>
        </w:rPr>
      </w:pPr>
      <w:r w:rsidRPr="00F55CCC">
        <w:rPr>
          <w:rFonts w:eastAsia="Calibri" w:cs="Arial"/>
          <w:lang w:eastAsia="en-US"/>
        </w:rPr>
        <w:t>Dismissal with or without notice (as appropriate under the applicable local law);</w:t>
      </w:r>
    </w:p>
    <w:p w14:paraId="508ADE83" w14:textId="77777777" w:rsidR="00FD413B" w:rsidRPr="00F55CCC" w:rsidRDefault="00FD413B">
      <w:pPr>
        <w:numPr>
          <w:ilvl w:val="1"/>
          <w:numId w:val="34"/>
        </w:numPr>
        <w:autoSpaceDE w:val="0"/>
        <w:autoSpaceDN w:val="0"/>
        <w:adjustRightInd w:val="0"/>
        <w:spacing w:after="280"/>
        <w:ind w:left="851" w:hanging="284"/>
        <w:jc w:val="both"/>
        <w:rPr>
          <w:rFonts w:eastAsia="Calibri" w:cs="Arial"/>
          <w:lang w:eastAsia="en-US"/>
        </w:rPr>
      </w:pPr>
      <w:r w:rsidRPr="00F55CCC">
        <w:rPr>
          <w:rFonts w:eastAsia="Calibri" w:cs="Arial"/>
          <w:lang w:eastAsia="en-US"/>
        </w:rPr>
        <w:t xml:space="preserve">Other actions may be considered in appropriate cases (action for damages/withdrawal of bonus/pension benefits) subject to local legal considerations.  </w:t>
      </w:r>
    </w:p>
    <w:p w14:paraId="7A871896" w14:textId="77777777" w:rsidR="00FD413B" w:rsidRDefault="00FD413B" w:rsidP="002C0A1C">
      <w:pPr>
        <w:spacing w:after="280"/>
        <w:jc w:val="both"/>
        <w:rPr>
          <w:rFonts w:asciiTheme="minorBidi" w:hAnsiTheme="minorBidi" w:cstheme="minorBidi"/>
        </w:rPr>
      </w:pPr>
      <w:r w:rsidRPr="00F55CCC">
        <w:rPr>
          <w:rFonts w:asciiTheme="minorBidi" w:hAnsiTheme="minorBidi" w:cstheme="minorBidi"/>
        </w:rPr>
        <w:t>Your company’s disciplinary policy for Code of Conduct violations should be clearly articulated and should be distributed to/made known to all your company’s employees and managers. However, it will be important not to suggest a pre-determined outcome to disciplinary proceedings that would interfere with a full and fair review of available facts relating to the employee’s involvement in conduct prohibited under the Code.</w:t>
      </w:r>
    </w:p>
    <w:p w14:paraId="10393325" w14:textId="77777777" w:rsidR="00FD413B" w:rsidRPr="00F55CCC" w:rsidRDefault="00FD413B" w:rsidP="005847BA">
      <w:pPr>
        <w:pStyle w:val="OUTLINEAL2"/>
      </w:pPr>
      <w:bookmarkStart w:id="111" w:name="_Toc166512663"/>
      <w:bookmarkStart w:id="112" w:name="_Toc166513121"/>
      <w:bookmarkStart w:id="113" w:name="_Toc166747910"/>
      <w:r w:rsidRPr="00F55CCC">
        <w:t>Potential aggravating and mitigating factors</w:t>
      </w:r>
      <w:bookmarkEnd w:id="111"/>
      <w:bookmarkEnd w:id="112"/>
      <w:bookmarkEnd w:id="113"/>
    </w:p>
    <w:p w14:paraId="2DB695F6" w14:textId="77777777" w:rsidR="00FD413B" w:rsidRPr="00F55CCC" w:rsidRDefault="00FD413B" w:rsidP="002C0A1C">
      <w:pPr>
        <w:spacing w:after="280"/>
        <w:jc w:val="both"/>
        <w:rPr>
          <w:rFonts w:asciiTheme="minorBidi" w:hAnsiTheme="minorBidi" w:cstheme="minorBidi"/>
        </w:rPr>
      </w:pPr>
      <w:r w:rsidRPr="00F55CCC">
        <w:rPr>
          <w:rFonts w:asciiTheme="minorBidi" w:hAnsiTheme="minorBidi" w:cstheme="minorBidi"/>
        </w:rPr>
        <w:t xml:space="preserve">First, you may wish to decide, when developing your company’s policy, whether a progressive approach to disciplinary sanctions is needed. If your company previously has had a culture of not taking appropriate disciplinary action against employees, a fair amount of warning (perhaps coupled with an </w:t>
      </w:r>
      <w:r w:rsidRPr="00F55CCC">
        <w:rPr>
          <w:rFonts w:asciiTheme="minorBidi" w:hAnsiTheme="minorBidi" w:cstheme="minorBidi"/>
        </w:rPr>
        <w:lastRenderedPageBreak/>
        <w:t>opportunity for employees to come forward voluntarily)</w:t>
      </w:r>
      <w:r w:rsidRPr="00F55CCC">
        <w:rPr>
          <w:rFonts w:asciiTheme="minorBidi" w:hAnsiTheme="minorBidi" w:cstheme="minorBidi"/>
          <w:vertAlign w:val="superscript"/>
        </w:rPr>
        <w:footnoteReference w:id="29"/>
      </w:r>
      <w:r w:rsidRPr="00F55CCC">
        <w:rPr>
          <w:rFonts w:asciiTheme="minorBidi" w:hAnsiTheme="minorBidi" w:cstheme="minorBidi"/>
        </w:rPr>
        <w:t xml:space="preserve"> might offer a less dramatic transition towards “zero tolerance”.  </w:t>
      </w:r>
    </w:p>
    <w:p w14:paraId="50A3D8F4" w14:textId="77777777" w:rsidR="00FD413B" w:rsidRPr="00F55CCC" w:rsidRDefault="00FD413B" w:rsidP="002C0A1C">
      <w:pPr>
        <w:spacing w:after="280"/>
        <w:jc w:val="both"/>
        <w:rPr>
          <w:rFonts w:asciiTheme="minorBidi" w:hAnsiTheme="minorBidi" w:cstheme="minorBidi"/>
        </w:rPr>
      </w:pPr>
      <w:r w:rsidRPr="00113BE2">
        <w:rPr>
          <w:rFonts w:asciiTheme="minorBidi" w:hAnsiTheme="minorBidi" w:cstheme="minorBidi"/>
        </w:rPr>
        <w:t>Second</w:t>
      </w:r>
      <w:r>
        <w:rPr>
          <w:rFonts w:asciiTheme="minorBidi" w:hAnsiTheme="minorBidi" w:cstheme="minorBidi"/>
        </w:rPr>
        <w:t>ly</w:t>
      </w:r>
      <w:r w:rsidRPr="00113BE2">
        <w:rPr>
          <w:rFonts w:asciiTheme="minorBidi" w:hAnsiTheme="minorBidi" w:cstheme="minorBidi"/>
        </w:rPr>
        <w:t>, mitigating and aggravating factors may be considered in order to properly assess the most appropriate sanction for the</w:t>
      </w:r>
      <w:r>
        <w:rPr>
          <w:rFonts w:asciiTheme="minorBidi" w:hAnsiTheme="minorBidi" w:cstheme="minorBidi"/>
        </w:rPr>
        <w:t xml:space="preserve"> situation. </w:t>
      </w:r>
      <w:r w:rsidRPr="00F55CCC">
        <w:rPr>
          <w:rFonts w:asciiTheme="minorBidi" w:hAnsiTheme="minorBidi" w:cstheme="minorBidi"/>
        </w:rPr>
        <w:t xml:space="preserve">The </w:t>
      </w:r>
      <w:r w:rsidRPr="00F55CCC">
        <w:rPr>
          <w:rFonts w:asciiTheme="minorBidi" w:hAnsiTheme="minorBidi" w:cstheme="minorBidi"/>
          <w:b/>
        </w:rPr>
        <w:t>mitigating factors</w:t>
      </w:r>
      <w:r w:rsidRPr="00F55CCC">
        <w:rPr>
          <w:rFonts w:asciiTheme="minorBidi" w:hAnsiTheme="minorBidi" w:cstheme="minorBidi"/>
        </w:rPr>
        <w:t xml:space="preserve"> that may be considered by your company during disciplinary proceedings against an employee for antitrust violations include the following:</w:t>
      </w:r>
      <w:r w:rsidRPr="00F55CCC">
        <w:t xml:space="preserve"> </w:t>
      </w:r>
      <w:r>
        <w:t>(</w:t>
      </w:r>
      <w:proofErr w:type="spellStart"/>
      <w:r>
        <w:t>i</w:t>
      </w:r>
      <w:proofErr w:type="spellEnd"/>
      <w:r>
        <w:t xml:space="preserve">) the employee’s full </w:t>
      </w:r>
      <w:r w:rsidRPr="00F55CCC">
        <w:rPr>
          <w:rFonts w:asciiTheme="minorBidi" w:hAnsiTheme="minorBidi" w:cstheme="minorBidi"/>
        </w:rPr>
        <w:t xml:space="preserve">cooperation with the internal investigation; </w:t>
      </w:r>
      <w:r>
        <w:rPr>
          <w:rFonts w:asciiTheme="minorBidi" w:hAnsiTheme="minorBidi" w:cstheme="minorBidi"/>
        </w:rPr>
        <w:t xml:space="preserve">(ii) the employee’s </w:t>
      </w:r>
      <w:r w:rsidRPr="00F55CCC">
        <w:rPr>
          <w:rFonts w:asciiTheme="minorBidi" w:hAnsiTheme="minorBidi" w:cstheme="minorBidi"/>
        </w:rPr>
        <w:t>non-managerial / non</w:t>
      </w:r>
      <w:r>
        <w:rPr>
          <w:rFonts w:asciiTheme="minorBidi" w:hAnsiTheme="minorBidi" w:cstheme="minorBidi"/>
        </w:rPr>
        <w:t>-</w:t>
      </w:r>
      <w:r w:rsidRPr="00F55CCC">
        <w:rPr>
          <w:rFonts w:asciiTheme="minorBidi" w:hAnsiTheme="minorBidi" w:cstheme="minorBidi"/>
        </w:rPr>
        <w:t>senior</w:t>
      </w:r>
      <w:r>
        <w:rPr>
          <w:rFonts w:asciiTheme="minorBidi" w:hAnsiTheme="minorBidi" w:cstheme="minorBidi"/>
        </w:rPr>
        <w:t xml:space="preserve"> level</w:t>
      </w:r>
      <w:r w:rsidRPr="00F55CCC">
        <w:rPr>
          <w:rFonts w:asciiTheme="minorBidi" w:hAnsiTheme="minorBidi" w:cstheme="minorBidi"/>
        </w:rPr>
        <w:t xml:space="preserve"> role; </w:t>
      </w:r>
      <w:r>
        <w:rPr>
          <w:rFonts w:asciiTheme="minorBidi" w:hAnsiTheme="minorBidi" w:cstheme="minorBidi"/>
        </w:rPr>
        <w:t xml:space="preserve">(iii) the employee’s </w:t>
      </w:r>
      <w:r w:rsidRPr="00F55CCC">
        <w:rPr>
          <w:rFonts w:asciiTheme="minorBidi" w:hAnsiTheme="minorBidi" w:cstheme="minorBidi"/>
        </w:rPr>
        <w:t xml:space="preserve">attendance </w:t>
      </w:r>
      <w:r>
        <w:rPr>
          <w:rFonts w:asciiTheme="minorBidi" w:hAnsiTheme="minorBidi" w:cstheme="minorBidi"/>
        </w:rPr>
        <w:t xml:space="preserve">at </w:t>
      </w:r>
      <w:r w:rsidRPr="00F55CCC">
        <w:rPr>
          <w:rFonts w:asciiTheme="minorBidi" w:hAnsiTheme="minorBidi" w:cstheme="minorBidi"/>
        </w:rPr>
        <w:t>non-mandatory antitrust training;</w:t>
      </w:r>
      <w:r w:rsidRPr="00F55CCC">
        <w:rPr>
          <w:rFonts w:asciiTheme="minorBidi" w:eastAsia="Calibri" w:hAnsiTheme="minorBidi" w:cstheme="minorBidi"/>
          <w:vertAlign w:val="superscript"/>
        </w:rPr>
        <w:footnoteReference w:id="30"/>
      </w:r>
      <w:r w:rsidRPr="00F55CCC">
        <w:rPr>
          <w:rFonts w:asciiTheme="minorBidi" w:hAnsiTheme="minorBidi" w:cstheme="minorBidi"/>
        </w:rPr>
        <w:t xml:space="preserve"> </w:t>
      </w:r>
      <w:r>
        <w:rPr>
          <w:rFonts w:asciiTheme="minorBidi" w:hAnsiTheme="minorBidi" w:cstheme="minorBidi"/>
        </w:rPr>
        <w:t xml:space="preserve">(iv) the employee </w:t>
      </w:r>
      <w:r w:rsidRPr="00F55CCC">
        <w:rPr>
          <w:rFonts w:asciiTheme="minorBidi" w:hAnsiTheme="minorBidi" w:cstheme="minorBidi"/>
        </w:rPr>
        <w:t>acted in good faith (</w:t>
      </w:r>
      <w:r>
        <w:rPr>
          <w:rFonts w:asciiTheme="minorBidi" w:hAnsiTheme="minorBidi" w:cstheme="minorBidi"/>
        </w:rPr>
        <w:t xml:space="preserve">and </w:t>
      </w:r>
      <w:r w:rsidRPr="00F55CCC">
        <w:rPr>
          <w:rFonts w:asciiTheme="minorBidi" w:hAnsiTheme="minorBidi" w:cstheme="minorBidi"/>
        </w:rPr>
        <w:t>in accordance with legal advice);</w:t>
      </w:r>
      <w:r w:rsidRPr="00F55CCC">
        <w:rPr>
          <w:rFonts w:asciiTheme="minorBidi" w:eastAsia="Calibri" w:hAnsiTheme="minorBidi" w:cstheme="minorBidi"/>
          <w:vertAlign w:val="superscript"/>
        </w:rPr>
        <w:footnoteReference w:id="31"/>
      </w:r>
      <w:r w:rsidRPr="00F55CCC">
        <w:rPr>
          <w:rFonts w:asciiTheme="minorBidi" w:hAnsiTheme="minorBidi" w:cstheme="minorBidi"/>
        </w:rPr>
        <w:t xml:space="preserve"> </w:t>
      </w:r>
      <w:r>
        <w:rPr>
          <w:rFonts w:asciiTheme="minorBidi" w:hAnsiTheme="minorBidi" w:cstheme="minorBidi"/>
        </w:rPr>
        <w:t xml:space="preserve">(v) </w:t>
      </w:r>
      <w:r w:rsidRPr="00F55CCC">
        <w:rPr>
          <w:rFonts w:asciiTheme="minorBidi" w:hAnsiTheme="minorBidi" w:cstheme="minorBidi"/>
        </w:rPr>
        <w:t xml:space="preserve">the </w:t>
      </w:r>
      <w:r w:rsidRPr="00F55CCC">
        <w:rPr>
          <w:rFonts w:asciiTheme="minorBidi" w:eastAsia="Calibri" w:hAnsiTheme="minorBidi" w:cstheme="minorBidi"/>
        </w:rPr>
        <w:t>activity was permitted, knowingly overlooked, or encouraged by the employee’s line manage</w:t>
      </w:r>
      <w:r>
        <w:rPr>
          <w:rFonts w:asciiTheme="minorBidi" w:eastAsia="Calibri" w:hAnsiTheme="minorBidi" w:cstheme="minorBidi"/>
        </w:rPr>
        <w:t>r</w:t>
      </w:r>
      <w:r w:rsidRPr="00F55CCC">
        <w:rPr>
          <w:rFonts w:asciiTheme="minorBidi" w:hAnsiTheme="minorBidi" w:cstheme="minorBidi"/>
        </w:rPr>
        <w:t>.</w:t>
      </w:r>
      <w:r w:rsidRPr="00F55CCC">
        <w:rPr>
          <w:rFonts w:asciiTheme="minorBidi" w:eastAsia="Calibri" w:hAnsiTheme="minorBidi" w:cstheme="minorBidi"/>
          <w:vertAlign w:val="superscript"/>
        </w:rPr>
        <w:footnoteReference w:id="32"/>
      </w:r>
    </w:p>
    <w:p w14:paraId="38C6F9A2" w14:textId="46AAE94A" w:rsidR="00FD413B" w:rsidRPr="00F55CCC" w:rsidRDefault="00FD413B" w:rsidP="002C0A1C">
      <w:pPr>
        <w:spacing w:after="280"/>
        <w:jc w:val="both"/>
        <w:rPr>
          <w:rFonts w:asciiTheme="minorBidi" w:hAnsiTheme="minorBidi" w:cstheme="minorBidi"/>
        </w:rPr>
      </w:pPr>
      <w:r w:rsidRPr="00F55CCC">
        <w:rPr>
          <w:rFonts w:asciiTheme="minorBidi" w:hAnsiTheme="minorBidi" w:cstheme="minorBidi"/>
          <w:b/>
        </w:rPr>
        <w:t xml:space="preserve">Aggravating factors </w:t>
      </w:r>
      <w:r w:rsidRPr="00F55CCC">
        <w:rPr>
          <w:rFonts w:asciiTheme="minorBidi" w:hAnsiTheme="minorBidi" w:cstheme="minorBidi"/>
          <w:bCs/>
        </w:rPr>
        <w:t>for your company to consider</w:t>
      </w:r>
      <w:r w:rsidRPr="00F55CCC">
        <w:rPr>
          <w:rFonts w:asciiTheme="minorBidi" w:hAnsiTheme="minorBidi" w:cstheme="minorBidi"/>
        </w:rPr>
        <w:t xml:space="preserve"> may include the following: </w:t>
      </w:r>
      <w:r>
        <w:rPr>
          <w:rFonts w:asciiTheme="minorBidi" w:hAnsiTheme="minorBidi" w:cstheme="minorBidi"/>
        </w:rPr>
        <w:t>(</w:t>
      </w:r>
      <w:proofErr w:type="spellStart"/>
      <w:r>
        <w:rPr>
          <w:rFonts w:asciiTheme="minorBidi" w:hAnsiTheme="minorBidi" w:cstheme="minorBidi"/>
        </w:rPr>
        <w:t>i</w:t>
      </w:r>
      <w:proofErr w:type="spellEnd"/>
      <w:r>
        <w:rPr>
          <w:rFonts w:asciiTheme="minorBidi" w:hAnsiTheme="minorBidi" w:cstheme="minorBidi"/>
        </w:rPr>
        <w:t xml:space="preserve">) </w:t>
      </w:r>
      <w:r w:rsidRPr="00F55CCC">
        <w:rPr>
          <w:rFonts w:asciiTheme="minorBidi" w:hAnsiTheme="minorBidi" w:cstheme="minorBidi"/>
        </w:rPr>
        <w:t xml:space="preserve">failure to cooperate during the internal investigation; </w:t>
      </w:r>
      <w:r>
        <w:rPr>
          <w:rFonts w:asciiTheme="minorBidi" w:hAnsiTheme="minorBidi" w:cstheme="minorBidi"/>
        </w:rPr>
        <w:t xml:space="preserve">(ii) employee’s </w:t>
      </w:r>
      <w:r w:rsidRPr="00F55CCC">
        <w:rPr>
          <w:rFonts w:asciiTheme="minorBidi" w:eastAsia="Calibri" w:hAnsiTheme="minorBidi" w:cstheme="minorBidi"/>
        </w:rPr>
        <w:t xml:space="preserve">managerial role </w:t>
      </w:r>
      <w:r w:rsidRPr="00F55CCC">
        <w:rPr>
          <w:rFonts w:asciiTheme="minorBidi" w:hAnsiTheme="minorBidi" w:cstheme="minorBidi"/>
        </w:rPr>
        <w:t xml:space="preserve">(see below for considerations relating to senior employees); </w:t>
      </w:r>
      <w:r>
        <w:rPr>
          <w:rFonts w:asciiTheme="minorBidi" w:hAnsiTheme="minorBidi" w:cstheme="minorBidi"/>
        </w:rPr>
        <w:t>(iii) employee’s c</w:t>
      </w:r>
      <w:r w:rsidRPr="00F55CCC">
        <w:rPr>
          <w:rFonts w:asciiTheme="minorBidi" w:hAnsiTheme="minorBidi" w:cstheme="minorBidi"/>
        </w:rPr>
        <w:t xml:space="preserve">ompletion of antitrust training (employee was </w:t>
      </w:r>
      <w:r w:rsidRPr="00F55CCC">
        <w:rPr>
          <w:rFonts w:asciiTheme="minorBidi" w:eastAsia="Calibri" w:hAnsiTheme="minorBidi" w:cstheme="minorBidi"/>
        </w:rPr>
        <w:t>on notice about standards of conduct required</w:t>
      </w:r>
      <w:r w:rsidRPr="00F55CCC">
        <w:rPr>
          <w:rFonts w:asciiTheme="minorBidi" w:hAnsiTheme="minorBidi" w:cstheme="minorBidi"/>
        </w:rPr>
        <w:t xml:space="preserve">); </w:t>
      </w:r>
      <w:r>
        <w:rPr>
          <w:rFonts w:asciiTheme="minorBidi" w:hAnsiTheme="minorBidi" w:cstheme="minorBidi"/>
        </w:rPr>
        <w:t xml:space="preserve">(iv) employee’s </w:t>
      </w:r>
      <w:r w:rsidRPr="00F55CCC">
        <w:rPr>
          <w:rFonts w:asciiTheme="minorBidi" w:hAnsiTheme="minorBidi" w:cstheme="minorBidi"/>
        </w:rPr>
        <w:t>failure to complete antitrust training (</w:t>
      </w:r>
      <w:r w:rsidRPr="00F55CCC">
        <w:rPr>
          <w:rFonts w:asciiTheme="minorBidi" w:eastAsia="Calibri" w:hAnsiTheme="minorBidi" w:cstheme="minorBidi"/>
        </w:rPr>
        <w:t>despite your company requiring it</w:t>
      </w:r>
      <w:r w:rsidRPr="00F55CCC">
        <w:rPr>
          <w:rFonts w:asciiTheme="minorBidi" w:hAnsiTheme="minorBidi" w:cstheme="minorBidi"/>
        </w:rPr>
        <w:t>);</w:t>
      </w:r>
      <w:r w:rsidRPr="00F55CCC">
        <w:rPr>
          <w:rFonts w:asciiTheme="minorBidi" w:eastAsia="Calibri" w:hAnsiTheme="minorBidi" w:cstheme="minorBidi"/>
          <w:vertAlign w:val="superscript"/>
        </w:rPr>
        <w:footnoteReference w:id="33"/>
      </w:r>
      <w:r w:rsidRPr="00F55CCC">
        <w:rPr>
          <w:rFonts w:asciiTheme="minorBidi" w:hAnsiTheme="minorBidi" w:cstheme="minorBidi"/>
        </w:rPr>
        <w:t xml:space="preserve"> </w:t>
      </w:r>
      <w:r>
        <w:rPr>
          <w:rFonts w:asciiTheme="minorBidi" w:hAnsiTheme="minorBidi" w:cstheme="minorBidi"/>
        </w:rPr>
        <w:t>(v) employee’</w:t>
      </w:r>
      <w:r w:rsidR="00E379CD">
        <w:rPr>
          <w:rFonts w:asciiTheme="minorBidi" w:hAnsiTheme="minorBidi" w:cstheme="minorBidi"/>
        </w:rPr>
        <w:t>s</w:t>
      </w:r>
      <w:r>
        <w:rPr>
          <w:rFonts w:asciiTheme="minorBidi" w:hAnsiTheme="minorBidi" w:cstheme="minorBidi"/>
        </w:rPr>
        <w:t xml:space="preserve"> involvement in </w:t>
      </w:r>
      <w:r w:rsidRPr="00F55CCC">
        <w:rPr>
          <w:rFonts w:asciiTheme="minorBidi" w:hAnsiTheme="minorBidi" w:cstheme="minorBidi"/>
        </w:rPr>
        <w:t xml:space="preserve">previous </w:t>
      </w:r>
      <w:r w:rsidRPr="00F55CCC">
        <w:rPr>
          <w:rFonts w:asciiTheme="minorBidi" w:eastAsia="Calibri" w:hAnsiTheme="minorBidi" w:cstheme="minorBidi"/>
        </w:rPr>
        <w:t xml:space="preserve">infringement in the same area </w:t>
      </w:r>
      <w:r w:rsidRPr="00F55CCC">
        <w:rPr>
          <w:rFonts w:asciiTheme="minorBidi" w:hAnsiTheme="minorBidi" w:cstheme="minorBidi"/>
        </w:rPr>
        <w:t xml:space="preserve">(“repeat offender”); </w:t>
      </w:r>
      <w:r>
        <w:rPr>
          <w:rFonts w:asciiTheme="minorBidi" w:hAnsiTheme="minorBidi" w:cstheme="minorBidi"/>
        </w:rPr>
        <w:t xml:space="preserve">(vi) </w:t>
      </w:r>
      <w:r w:rsidRPr="00F55CCC">
        <w:rPr>
          <w:rFonts w:asciiTheme="minorBidi" w:hAnsiTheme="minorBidi" w:cstheme="minorBidi"/>
        </w:rPr>
        <w:t xml:space="preserve">the employee </w:t>
      </w:r>
      <w:r w:rsidRPr="00F55CCC">
        <w:rPr>
          <w:rFonts w:asciiTheme="minorBidi" w:eastAsia="Calibri" w:hAnsiTheme="minorBidi" w:cstheme="minorBidi"/>
        </w:rPr>
        <w:t>encouraged other employees to take part in the infringement</w:t>
      </w:r>
      <w:r w:rsidRPr="00F55CCC">
        <w:rPr>
          <w:rFonts w:asciiTheme="minorBidi" w:hAnsiTheme="minorBidi" w:cstheme="minorBidi"/>
        </w:rPr>
        <w:t>;</w:t>
      </w:r>
      <w:r w:rsidRPr="00F55CCC">
        <w:rPr>
          <w:rFonts w:asciiTheme="minorBidi" w:eastAsia="Calibri" w:hAnsiTheme="minorBidi" w:cstheme="minorBidi"/>
          <w:vertAlign w:val="superscript"/>
        </w:rPr>
        <w:footnoteReference w:id="34"/>
      </w:r>
      <w:r w:rsidRPr="00F55CCC">
        <w:rPr>
          <w:rFonts w:asciiTheme="minorBidi" w:hAnsiTheme="minorBidi" w:cstheme="minorBidi"/>
        </w:rPr>
        <w:t xml:space="preserve"> </w:t>
      </w:r>
      <w:r>
        <w:rPr>
          <w:rFonts w:asciiTheme="minorBidi" w:hAnsiTheme="minorBidi" w:cstheme="minorBidi"/>
        </w:rPr>
        <w:t xml:space="preserve">(vii) </w:t>
      </w:r>
      <w:r w:rsidRPr="00F55CCC">
        <w:rPr>
          <w:rFonts w:asciiTheme="minorBidi" w:hAnsiTheme="minorBidi" w:cstheme="minorBidi"/>
        </w:rPr>
        <w:t xml:space="preserve">the </w:t>
      </w:r>
      <w:r w:rsidRPr="00F55CCC">
        <w:rPr>
          <w:rFonts w:asciiTheme="minorBidi" w:eastAsia="Calibri" w:hAnsiTheme="minorBidi" w:cstheme="minorBidi"/>
        </w:rPr>
        <w:t>employee ignored or failed to take legal advice before engaging in the activity that violated antitrust law</w:t>
      </w:r>
      <w:r w:rsidRPr="00F55CCC">
        <w:rPr>
          <w:rFonts w:asciiTheme="minorBidi" w:hAnsiTheme="minorBidi" w:cstheme="minorBidi"/>
        </w:rPr>
        <w:t>.</w:t>
      </w:r>
    </w:p>
    <w:p w14:paraId="44639265" w14:textId="77777777" w:rsidR="00FD413B" w:rsidRPr="00F55CCC" w:rsidRDefault="00FD413B" w:rsidP="002C0A1C">
      <w:pPr>
        <w:spacing w:after="280"/>
        <w:jc w:val="both"/>
        <w:rPr>
          <w:rFonts w:asciiTheme="minorBidi" w:hAnsiTheme="minorBidi" w:cstheme="minorBidi"/>
        </w:rPr>
      </w:pPr>
      <w:r w:rsidRPr="00F55CCC">
        <w:rPr>
          <w:rFonts w:asciiTheme="minorBidi" w:hAnsiTheme="minorBidi" w:cstheme="minorBidi"/>
        </w:rPr>
        <w:t xml:space="preserve">With a </w:t>
      </w:r>
      <w:r w:rsidRPr="00F55CCC">
        <w:rPr>
          <w:rFonts w:asciiTheme="minorBidi" w:hAnsiTheme="minorBidi" w:cstheme="minorBidi"/>
          <w:b/>
        </w:rPr>
        <w:t>senior person</w:t>
      </w:r>
      <w:r w:rsidRPr="00F55CCC">
        <w:rPr>
          <w:rFonts w:asciiTheme="minorBidi" w:hAnsiTheme="minorBidi" w:cstheme="minorBidi"/>
        </w:rPr>
        <w:t xml:space="preserve"> (e.g., a line manager up to and including members of your company’s Board of Directors)</w:t>
      </w:r>
      <w:r w:rsidRPr="00F55CCC">
        <w:rPr>
          <w:rStyle w:val="FootnoteReference"/>
          <w:rFonts w:asciiTheme="minorBidi" w:hAnsiTheme="minorBidi" w:cstheme="minorBidi"/>
        </w:rPr>
        <w:footnoteReference w:id="35"/>
      </w:r>
      <w:r w:rsidRPr="00F55CCC">
        <w:rPr>
          <w:rFonts w:asciiTheme="minorBidi" w:hAnsiTheme="minorBidi" w:cstheme="minorBidi"/>
        </w:rPr>
        <w:t xml:space="preserve"> who is not clearly </w:t>
      </w:r>
      <w:r w:rsidRPr="00F55CCC">
        <w:rPr>
          <w:rFonts w:asciiTheme="minorBidi" w:hAnsiTheme="minorBidi" w:cstheme="minorBidi"/>
          <w:u w:val="single"/>
        </w:rPr>
        <w:t>directly</w:t>
      </w:r>
      <w:r w:rsidRPr="00F55CCC">
        <w:rPr>
          <w:rFonts w:asciiTheme="minorBidi" w:hAnsiTheme="minorBidi" w:cstheme="minorBidi"/>
        </w:rPr>
        <w:t xml:space="preserve"> involved in the unlawful discussions, your company may wish to consider whether that line manager actively encouraged the violation, “turned a blind eye" to it - or negligently failed to ensure proper control over the business concerned. In this context, when looking at whether a line manager "knew or ought to have known" of the activity, the relevant factors you may wish to consider are:</w:t>
      </w:r>
    </w:p>
    <w:p w14:paraId="3AF3FEAA" w14:textId="77777777" w:rsidR="00FD413B" w:rsidRPr="00883104" w:rsidRDefault="00FD413B">
      <w:pPr>
        <w:numPr>
          <w:ilvl w:val="0"/>
          <w:numId w:val="19"/>
        </w:numPr>
        <w:spacing w:after="280"/>
        <w:ind w:left="851" w:hanging="284"/>
        <w:contextualSpacing/>
        <w:rPr>
          <w:rFonts w:asciiTheme="minorBidi" w:eastAsia="Calibri" w:hAnsiTheme="minorBidi" w:cstheme="minorBidi"/>
        </w:rPr>
      </w:pPr>
      <w:r w:rsidRPr="00F55CCC">
        <w:rPr>
          <w:rFonts w:asciiTheme="minorBidi" w:eastAsia="Calibri" w:hAnsiTheme="minorBidi" w:cstheme="minorBidi"/>
        </w:rPr>
        <w:t xml:space="preserve">The line manager's role, responsibility and authority in your </w:t>
      </w:r>
      <w:r w:rsidRPr="00883104">
        <w:rPr>
          <w:rFonts w:asciiTheme="minorBidi" w:eastAsia="Calibri" w:hAnsiTheme="minorBidi" w:cstheme="minorBidi"/>
        </w:rPr>
        <w:t>company;</w:t>
      </w:r>
    </w:p>
    <w:p w14:paraId="3D7D8EA8" w14:textId="77777777" w:rsidR="00FD413B" w:rsidRPr="00883104" w:rsidRDefault="00FD413B" w:rsidP="002C0A1C">
      <w:pPr>
        <w:spacing w:after="280"/>
        <w:ind w:left="851" w:hanging="284"/>
        <w:contextualSpacing/>
        <w:rPr>
          <w:rFonts w:asciiTheme="minorBidi" w:eastAsia="Calibri" w:hAnsiTheme="minorBidi" w:cstheme="minorBidi"/>
        </w:rPr>
      </w:pPr>
    </w:p>
    <w:p w14:paraId="14D6A723" w14:textId="77777777" w:rsidR="00FD413B" w:rsidRPr="00883104" w:rsidRDefault="00FD413B">
      <w:pPr>
        <w:numPr>
          <w:ilvl w:val="0"/>
          <w:numId w:val="19"/>
        </w:numPr>
        <w:spacing w:after="280"/>
        <w:ind w:left="851" w:hanging="284"/>
        <w:contextualSpacing/>
        <w:rPr>
          <w:rFonts w:asciiTheme="minorBidi" w:eastAsia="Calibri" w:hAnsiTheme="minorBidi" w:cstheme="minorBidi"/>
        </w:rPr>
      </w:pPr>
      <w:r w:rsidRPr="00883104">
        <w:rPr>
          <w:rFonts w:asciiTheme="minorBidi" w:eastAsia="Calibri" w:hAnsiTheme="minorBidi" w:cstheme="minorBidi"/>
        </w:rPr>
        <w:t>The line manager's relationship to those who committed the violation;</w:t>
      </w:r>
    </w:p>
    <w:p w14:paraId="09D6B6F8" w14:textId="77777777" w:rsidR="00FD413B" w:rsidRPr="00F55CCC" w:rsidRDefault="00FD413B" w:rsidP="002C0A1C">
      <w:pPr>
        <w:spacing w:after="280"/>
        <w:ind w:left="851" w:hanging="284"/>
        <w:contextualSpacing/>
        <w:rPr>
          <w:rFonts w:asciiTheme="minorBidi" w:eastAsia="Calibri" w:hAnsiTheme="minorBidi" w:cstheme="minorBidi"/>
        </w:rPr>
      </w:pPr>
    </w:p>
    <w:p w14:paraId="0D3605FD" w14:textId="77777777" w:rsidR="00FD413B" w:rsidRPr="00F55CCC" w:rsidRDefault="00FD413B">
      <w:pPr>
        <w:numPr>
          <w:ilvl w:val="0"/>
          <w:numId w:val="19"/>
        </w:numPr>
        <w:spacing w:after="280"/>
        <w:ind w:left="851" w:hanging="284"/>
        <w:contextualSpacing/>
        <w:jc w:val="both"/>
        <w:rPr>
          <w:rFonts w:asciiTheme="minorBidi" w:eastAsia="Calibri" w:hAnsiTheme="minorBidi" w:cstheme="minorBidi"/>
        </w:rPr>
      </w:pPr>
      <w:r w:rsidRPr="00F55CCC">
        <w:rPr>
          <w:rFonts w:asciiTheme="minorBidi" w:eastAsia="Calibri" w:hAnsiTheme="minorBidi" w:cstheme="minorBidi"/>
        </w:rPr>
        <w:t>The knowledge and understanding that a person in that position and of that job group would be expected to possess</w:t>
      </w:r>
      <w:r w:rsidRPr="00883104">
        <w:rPr>
          <w:rFonts w:asciiTheme="minorBidi" w:eastAsia="Calibri" w:hAnsiTheme="minorBidi" w:cstheme="minorBidi"/>
        </w:rPr>
        <w:t>;</w:t>
      </w:r>
    </w:p>
    <w:p w14:paraId="6C906FBB" w14:textId="77777777" w:rsidR="00FD413B" w:rsidRPr="00F55CCC" w:rsidRDefault="00FD413B" w:rsidP="002C0A1C">
      <w:pPr>
        <w:spacing w:after="280"/>
        <w:ind w:left="851" w:hanging="284"/>
        <w:contextualSpacing/>
        <w:jc w:val="both"/>
        <w:rPr>
          <w:rFonts w:asciiTheme="minorBidi" w:eastAsia="Calibri" w:hAnsiTheme="minorBidi" w:cstheme="minorBidi"/>
        </w:rPr>
      </w:pPr>
    </w:p>
    <w:p w14:paraId="7C1B5B4E" w14:textId="77777777" w:rsidR="00FD413B" w:rsidRPr="00F55CCC" w:rsidRDefault="00FD413B">
      <w:pPr>
        <w:numPr>
          <w:ilvl w:val="0"/>
          <w:numId w:val="19"/>
        </w:numPr>
        <w:spacing w:after="280"/>
        <w:ind w:left="851" w:hanging="284"/>
        <w:contextualSpacing/>
        <w:jc w:val="both"/>
        <w:rPr>
          <w:rFonts w:asciiTheme="minorBidi" w:eastAsia="Calibri" w:hAnsiTheme="minorBidi" w:cstheme="minorBidi"/>
        </w:rPr>
      </w:pPr>
      <w:r w:rsidRPr="00F55CCC">
        <w:rPr>
          <w:rFonts w:asciiTheme="minorBidi" w:eastAsia="Calibri" w:hAnsiTheme="minorBidi" w:cstheme="minorBidi"/>
        </w:rPr>
        <w:t>The antitrust training that the leader himself/herself has had (or should have had);</w:t>
      </w:r>
    </w:p>
    <w:p w14:paraId="408AC1A3" w14:textId="77777777" w:rsidR="00FD413B" w:rsidRPr="00F55CCC" w:rsidRDefault="00FD413B" w:rsidP="002C0A1C">
      <w:pPr>
        <w:spacing w:after="280"/>
        <w:ind w:left="851" w:hanging="284"/>
        <w:contextualSpacing/>
        <w:jc w:val="both"/>
        <w:rPr>
          <w:rFonts w:asciiTheme="minorBidi" w:eastAsia="Calibri" w:hAnsiTheme="minorBidi" w:cstheme="minorBidi"/>
        </w:rPr>
      </w:pPr>
    </w:p>
    <w:p w14:paraId="26335F43" w14:textId="77777777" w:rsidR="00FD413B" w:rsidRPr="00F55CCC" w:rsidRDefault="00FD413B">
      <w:pPr>
        <w:numPr>
          <w:ilvl w:val="0"/>
          <w:numId w:val="19"/>
        </w:numPr>
        <w:spacing w:after="0"/>
        <w:ind w:left="851" w:hanging="284"/>
        <w:contextualSpacing/>
        <w:jc w:val="both"/>
        <w:rPr>
          <w:rFonts w:asciiTheme="minorBidi" w:eastAsia="Calibri" w:hAnsiTheme="minorBidi" w:cstheme="minorBidi"/>
        </w:rPr>
      </w:pPr>
      <w:r w:rsidRPr="00F55CCC">
        <w:rPr>
          <w:rFonts w:asciiTheme="minorBidi" w:eastAsia="Calibri" w:hAnsiTheme="minorBidi" w:cstheme="minorBidi"/>
        </w:rPr>
        <w:lastRenderedPageBreak/>
        <w:t>If the line manager encouraged or approved of the violation (or knowingly created a situation where an employee understood or reasonably believed that financial results and business targets were to be delivered at any cost), this would be a clear aggravating factor which would suggest that some disciplinary action in relation to that line manager is warranted.</w:t>
      </w:r>
    </w:p>
    <w:p w14:paraId="1BDA470A" w14:textId="77777777" w:rsidR="00FD413B" w:rsidRPr="00F55CCC" w:rsidRDefault="00FD413B" w:rsidP="00FD413B">
      <w:pPr>
        <w:spacing w:after="0"/>
        <w:contextualSpacing/>
        <w:jc w:val="both"/>
        <w:rPr>
          <w:rFonts w:asciiTheme="minorBidi" w:eastAsia="Calibri" w:hAnsiTheme="minorBidi" w:cstheme="minorBidi"/>
        </w:rPr>
      </w:pPr>
    </w:p>
    <w:p w14:paraId="1FE3F8DE" w14:textId="77777777" w:rsidR="00FD413B" w:rsidRPr="00F55CCC" w:rsidRDefault="00FD413B" w:rsidP="005847BA">
      <w:pPr>
        <w:pStyle w:val="OUTLINEAL2"/>
      </w:pPr>
      <w:bookmarkStart w:id="114" w:name="_Toc166512664"/>
      <w:bookmarkStart w:id="115" w:name="_Toc166513122"/>
      <w:bookmarkStart w:id="116" w:name="_Toc166747911"/>
      <w:bookmarkStart w:id="117" w:name="_Hlk164087334"/>
      <w:r w:rsidRPr="00F55CCC">
        <w:t>Specific considerations in antitrust cases</w:t>
      </w:r>
      <w:bookmarkEnd w:id="114"/>
      <w:bookmarkEnd w:id="115"/>
      <w:bookmarkEnd w:id="116"/>
    </w:p>
    <w:bookmarkEnd w:id="117"/>
    <w:p w14:paraId="2E14C883" w14:textId="77777777" w:rsidR="00FD413B" w:rsidRPr="00F55CCC" w:rsidRDefault="00FD413B" w:rsidP="00FD413B">
      <w:pPr>
        <w:spacing w:after="280"/>
        <w:jc w:val="both"/>
        <w:rPr>
          <w:rFonts w:asciiTheme="minorBidi" w:hAnsiTheme="minorBidi" w:cstheme="minorBidi"/>
        </w:rPr>
      </w:pPr>
      <w:r w:rsidRPr="00F55CCC">
        <w:rPr>
          <w:rFonts w:asciiTheme="minorBidi" w:hAnsiTheme="minorBidi" w:cstheme="minorBidi"/>
        </w:rPr>
        <w:t xml:space="preserve">The credibility of your antitrust compliance programme will be tested when it comes to determining how your company deals with employees involved in serious antitrust violations such as cartels or other hard core antitrust infringements. </w:t>
      </w:r>
    </w:p>
    <w:p w14:paraId="6E5D23F3" w14:textId="77777777" w:rsidR="00FD413B" w:rsidRPr="00F55CCC" w:rsidRDefault="00FD413B" w:rsidP="00FD413B">
      <w:pPr>
        <w:spacing w:after="280"/>
        <w:jc w:val="both"/>
        <w:rPr>
          <w:rFonts w:asciiTheme="minorBidi" w:hAnsiTheme="minorBidi" w:cstheme="minorBidi"/>
        </w:rPr>
      </w:pPr>
      <w:r w:rsidRPr="00F55CCC">
        <w:rPr>
          <w:rFonts w:asciiTheme="minorBidi" w:hAnsiTheme="minorBidi" w:cstheme="minorBidi"/>
        </w:rPr>
        <w:t>If your company’s Code of Conduct and related policies place a clear ban on participation in cartels, and your company’s disciplinary policy envisages dismissal as a sanction for the most serious forms of Code of Conduct breaches, disciplinary sanctions should logically apply to clear Code of Conduct violations by the employee.</w:t>
      </w:r>
    </w:p>
    <w:p w14:paraId="063923BB" w14:textId="77777777" w:rsidR="00FD413B" w:rsidRPr="00F55CCC" w:rsidRDefault="00FD413B" w:rsidP="00FD413B">
      <w:pPr>
        <w:spacing w:after="280"/>
        <w:jc w:val="both"/>
        <w:rPr>
          <w:rFonts w:cs="Arial"/>
        </w:rPr>
      </w:pPr>
      <w:r w:rsidRPr="00F55CCC">
        <w:rPr>
          <w:rFonts w:asciiTheme="minorBidi" w:hAnsiTheme="minorBidi" w:cstheme="minorBidi"/>
        </w:rPr>
        <w:t xml:space="preserve">However, </w:t>
      </w:r>
      <w:r w:rsidRPr="00F55CCC">
        <w:rPr>
          <w:rFonts w:cs="Arial"/>
        </w:rPr>
        <w:t>if your company is considering applying for immunity/</w:t>
      </w:r>
      <w:r>
        <w:rPr>
          <w:rFonts w:cs="Arial"/>
        </w:rPr>
        <w:t>leniency</w:t>
      </w:r>
      <w:r w:rsidRPr="00F55CCC">
        <w:rPr>
          <w:rFonts w:cs="Arial"/>
        </w:rPr>
        <w:t>, certain precautions need to be taken in implementing your disciplinary policy. Indeed, the decision to discipline (and when to discipline) an employee for a very serious antitrust infringement (such as engaging in a cartel) can be complex. In such cases</w:t>
      </w:r>
      <w:r>
        <w:rPr>
          <w:rFonts w:cs="Arial"/>
        </w:rPr>
        <w:t>,</w:t>
      </w:r>
      <w:r w:rsidRPr="00F55CCC">
        <w:rPr>
          <w:rFonts w:cs="Arial"/>
        </w:rPr>
        <w:t xml:space="preserve"> it will be important for your company to secure the ongoing cooperation of the employees involved in the violation in order to meet your company’s own obligations (as part of the conditional grant of immunity or leniency) to assist and fully cooperate with relevant antitrust agencies in their investigations. This means your company will need to keep employees available for the purposes of the external antitrust investigation and any subsequent antitrust proceedings. Dismissal may therefore not be an option for the duration of the antitrust proceedings, or until such time as the antitrust agencies no longer require the employee’s input.</w:t>
      </w:r>
      <w:r w:rsidRPr="00F55CCC">
        <w:rPr>
          <w:rFonts w:cs="Arial"/>
          <w:vertAlign w:val="superscript"/>
        </w:rPr>
        <w:footnoteReference w:id="36"/>
      </w:r>
      <w:r w:rsidRPr="00F55CCC">
        <w:rPr>
          <w:rFonts w:cs="Arial"/>
        </w:rPr>
        <w:t xml:space="preserve"> Your company may set up a system of “deferred sanctions” and may need to retain the employee on paid leave/absence until the final resolution of the antitrust case against the company.</w:t>
      </w:r>
      <w:r w:rsidRPr="00F55CCC">
        <w:rPr>
          <w:rFonts w:cs="Arial"/>
          <w:vertAlign w:val="superscript"/>
        </w:rPr>
        <w:footnoteReference w:id="37"/>
      </w:r>
      <w:r w:rsidRPr="00F55CCC">
        <w:rPr>
          <w:rFonts w:cs="Arial"/>
        </w:rPr>
        <w:t xml:space="preserve"> It may be useful for your company to consider entering into an agreement with the employee to the effect that payment for the leave of absence is dependent on the employee cooperating fully with your company and with all relevant antitrust agencies. </w:t>
      </w:r>
    </w:p>
    <w:p w14:paraId="591C798D" w14:textId="77777777" w:rsidR="00FD413B" w:rsidRPr="00F55CCC" w:rsidRDefault="00FD413B" w:rsidP="002C0A1C">
      <w:pPr>
        <w:spacing w:after="280"/>
        <w:jc w:val="both"/>
        <w:rPr>
          <w:rFonts w:asciiTheme="minorBidi" w:hAnsiTheme="minorBidi" w:cstheme="minorBidi"/>
        </w:rPr>
      </w:pPr>
      <w:r w:rsidRPr="00F55CCC">
        <w:rPr>
          <w:rFonts w:asciiTheme="minorBidi" w:hAnsiTheme="minorBidi" w:cstheme="minorBidi"/>
        </w:rPr>
        <w:t>You may also need to reconsider your company’s general position in relation to funding/refunding employees’ personal legal fees and or personal fines in the event of an antitrust investigation, in particular if the employee is found personally criminally liable. It is important to seek local legal advice in each relevant country, as legal and public policy considerations often prevent the payment of individual fines and in some cases also require the recovery of legal fees associated with a criminal case.</w:t>
      </w:r>
      <w:r w:rsidRPr="00F55CCC">
        <w:rPr>
          <w:rFonts w:asciiTheme="minorBidi" w:hAnsiTheme="minorBidi" w:cstheme="minorBidi"/>
          <w:vertAlign w:val="superscript"/>
        </w:rPr>
        <w:footnoteReference w:id="38"/>
      </w:r>
      <w:r w:rsidRPr="00F55CCC">
        <w:rPr>
          <w:rFonts w:asciiTheme="minorBidi" w:hAnsiTheme="minorBidi" w:cstheme="minorBidi"/>
        </w:rPr>
        <w:t xml:space="preserve"> Even if your company is not actually prohibited from making such payments, you might wish to consider the (negative) message that such payment might give to employees (and agencies) about your company’s genuine commitment to ethical behaviour and compliance.</w:t>
      </w:r>
    </w:p>
    <w:p w14:paraId="286BB7C9" w14:textId="2C6C3710" w:rsidR="00932C49" w:rsidRPr="00932C49" w:rsidRDefault="00932C49" w:rsidP="005847BA">
      <w:pPr>
        <w:pStyle w:val="OUTLINEAL1"/>
        <w:rPr>
          <w:i/>
        </w:rPr>
      </w:pPr>
      <w:bookmarkStart w:id="118" w:name="_Toc166512665"/>
      <w:bookmarkStart w:id="119" w:name="_Toc166513123"/>
      <w:bookmarkStart w:id="120" w:name="_Toc166747912"/>
      <w:r w:rsidRPr="00932C49">
        <w:lastRenderedPageBreak/>
        <w:t>Antitrust due diligence</w:t>
      </w:r>
      <w:bookmarkEnd w:id="118"/>
      <w:bookmarkEnd w:id="119"/>
      <w:bookmarkEnd w:id="120"/>
    </w:p>
    <w:p w14:paraId="19E6773C" w14:textId="25C4A41C" w:rsidR="007D61C0" w:rsidRPr="00D52335" w:rsidRDefault="007D61C0" w:rsidP="002C0A1C">
      <w:pPr>
        <w:spacing w:after="280"/>
        <w:jc w:val="both"/>
        <w:rPr>
          <w:rFonts w:asciiTheme="minorBidi" w:hAnsiTheme="minorBidi" w:cstheme="minorBidi"/>
          <w:lang w:eastAsia="en-US"/>
        </w:rPr>
      </w:pPr>
      <w:r w:rsidRPr="00D52335">
        <w:rPr>
          <w:rFonts w:asciiTheme="minorBidi" w:hAnsiTheme="minorBidi" w:cstheme="minorBidi"/>
          <w:lang w:eastAsia="en-US"/>
        </w:rPr>
        <w:t xml:space="preserve">Antitrust due diligence takes many forms. It encompasses day-to-day checking of </w:t>
      </w:r>
      <w:r w:rsidRPr="00D52335">
        <w:rPr>
          <w:rFonts w:asciiTheme="minorBidi" w:hAnsiTheme="minorBidi" w:cstheme="minorBidi"/>
        </w:rPr>
        <w:t>substantive antitrust</w:t>
      </w:r>
      <w:r w:rsidRPr="00D52335">
        <w:rPr>
          <w:rFonts w:asciiTheme="minorBidi" w:hAnsiTheme="minorBidi" w:cstheme="minorBidi"/>
          <w:lang w:eastAsia="en-US"/>
        </w:rPr>
        <w:t xml:space="preserve"> compliance within your company as part of the operation of your antitrust compliance programme, it includes more structured “deep dives” and audits / ad hoc or regular compliance “screening” on particular businesses if areas for concern have been flagged (or are suspected). It also covers more specific legal due diligence exercises, such as due diligence around trade associations and in an M&amp;A (mergers, acquisitions, and joint ventures) context to verify the existence of antitrust related risks and contingencies.</w:t>
      </w:r>
    </w:p>
    <w:p w14:paraId="39790141" w14:textId="77777777" w:rsidR="007D61C0" w:rsidRDefault="007D61C0" w:rsidP="002C0A1C">
      <w:pPr>
        <w:spacing w:after="280"/>
        <w:jc w:val="both"/>
        <w:rPr>
          <w:rFonts w:asciiTheme="minorBidi" w:hAnsiTheme="minorBidi" w:cstheme="minorBidi"/>
          <w:lang w:eastAsia="en-US"/>
        </w:rPr>
      </w:pPr>
      <w:r w:rsidRPr="00D52335">
        <w:rPr>
          <w:rFonts w:asciiTheme="minorBidi" w:hAnsiTheme="minorBidi" w:cstheme="minorBidi"/>
          <w:lang w:eastAsia="en-US"/>
        </w:rPr>
        <w:t>Antitrust due diligence is not only important as part of the operation of your company’s compliance programme (to ensure that the programme is adequately monitored and that antitrust risk assessments are kept up to date),</w:t>
      </w:r>
      <w:r w:rsidRPr="00D52335">
        <w:rPr>
          <w:rFonts w:asciiTheme="minorBidi" w:hAnsiTheme="minorBidi" w:cstheme="minorBidi"/>
          <w:vertAlign w:val="superscript"/>
          <w:lang w:eastAsia="en-US"/>
        </w:rPr>
        <w:footnoteReference w:id="39"/>
      </w:r>
      <w:r w:rsidRPr="00D52335">
        <w:rPr>
          <w:rFonts w:asciiTheme="minorBidi" w:hAnsiTheme="minorBidi" w:cstheme="minorBidi"/>
          <w:lang w:eastAsia="en-US"/>
        </w:rPr>
        <w:t xml:space="preserve"> but a number of agencies also expect companies to undertake appropriate due diligence to prevent and detect violations of antitrust law (which may also be criminal conduct depending on the jurisdiction) and to promote a corporate culture that encourages ethical conduct and a commitment to compliance.</w:t>
      </w:r>
      <w:r w:rsidRPr="00D52335">
        <w:rPr>
          <w:rFonts w:asciiTheme="minorBidi" w:hAnsiTheme="minorBidi" w:cstheme="minorBidi"/>
          <w:vertAlign w:val="superscript"/>
          <w:lang w:eastAsia="en-US"/>
        </w:rPr>
        <w:footnoteReference w:id="40"/>
      </w:r>
    </w:p>
    <w:p w14:paraId="7231E6E3" w14:textId="77777777" w:rsidR="007D61C0" w:rsidRPr="00D52335" w:rsidRDefault="007D61C0">
      <w:pPr>
        <w:pStyle w:val="OUTLINEAL2"/>
        <w:numPr>
          <w:ilvl w:val="0"/>
          <w:numId w:val="46"/>
        </w:numPr>
      </w:pPr>
      <w:bookmarkStart w:id="121" w:name="_Toc166512666"/>
      <w:bookmarkStart w:id="122" w:name="_Toc166513124"/>
      <w:bookmarkStart w:id="123" w:name="_Toc166747913"/>
      <w:r w:rsidRPr="00D52335">
        <w:t>Due diligence in hiring new employees</w:t>
      </w:r>
      <w:bookmarkEnd w:id="121"/>
      <w:bookmarkEnd w:id="122"/>
      <w:bookmarkEnd w:id="123"/>
    </w:p>
    <w:p w14:paraId="7F738F38" w14:textId="77777777" w:rsidR="007D61C0" w:rsidRPr="00D52335" w:rsidRDefault="007D61C0" w:rsidP="002C0A1C">
      <w:pPr>
        <w:spacing w:after="280"/>
        <w:jc w:val="both"/>
        <w:rPr>
          <w:rFonts w:asciiTheme="minorBidi" w:hAnsiTheme="minorBidi" w:cstheme="minorBidi"/>
        </w:rPr>
      </w:pPr>
      <w:r w:rsidRPr="00D52335">
        <w:rPr>
          <w:rFonts w:asciiTheme="minorBidi" w:hAnsiTheme="minorBidi" w:cstheme="minorBidi"/>
        </w:rPr>
        <w:t xml:space="preserve">To demonstrate a commitment to compliance, your company should endeavour to </w:t>
      </w:r>
      <w:r w:rsidRPr="00D52335">
        <w:rPr>
          <w:rFonts w:asciiTheme="minorBidi" w:hAnsiTheme="minorBidi" w:cstheme="minorBidi"/>
          <w:b/>
        </w:rPr>
        <w:t>exercise due diligence in hiring new employees</w:t>
      </w:r>
      <w:r w:rsidRPr="00D52335">
        <w:rPr>
          <w:rFonts w:asciiTheme="minorBidi" w:hAnsiTheme="minorBidi" w:cstheme="minorBidi"/>
        </w:rPr>
        <w:t>. If at all possible, it is important not to recruit or allocate responsibilities to executives or employees who are known to have violated antitrust laws or who are reasonably (objectively) suspected of having done so.</w:t>
      </w:r>
      <w:r w:rsidRPr="00D52335">
        <w:rPr>
          <w:rFonts w:asciiTheme="minorBidi" w:hAnsiTheme="minorBidi" w:cstheme="minorBidi"/>
          <w:vertAlign w:val="superscript"/>
        </w:rPr>
        <w:footnoteReference w:id="41"/>
      </w:r>
      <w:r w:rsidRPr="00D52335">
        <w:rPr>
          <w:rFonts w:asciiTheme="minorBidi" w:hAnsiTheme="minorBidi" w:cstheme="minorBidi"/>
        </w:rPr>
        <w:t xml:space="preserve"> </w:t>
      </w:r>
    </w:p>
    <w:p w14:paraId="0F4A41D2" w14:textId="77777777" w:rsidR="007D61C0" w:rsidRDefault="007D61C0" w:rsidP="002C0A1C">
      <w:pPr>
        <w:spacing w:after="280"/>
        <w:jc w:val="both"/>
        <w:rPr>
          <w:rFonts w:asciiTheme="minorBidi" w:hAnsiTheme="minorBidi" w:cstheme="minorBidi"/>
        </w:rPr>
      </w:pPr>
      <w:r w:rsidRPr="00D52335">
        <w:rPr>
          <w:rFonts w:asciiTheme="minorBidi" w:hAnsiTheme="minorBidi" w:cstheme="minorBidi"/>
        </w:rPr>
        <w:t xml:space="preserve">Even if a background check is not possible, your company should have a clear on-boarding process where new recruits are instructed in your company’s expectations regarding compliance with your Code of Conduct and with antitrust laws. </w:t>
      </w:r>
    </w:p>
    <w:p w14:paraId="5B88915F" w14:textId="77777777" w:rsidR="007D61C0" w:rsidRPr="00D52335" w:rsidRDefault="007D61C0" w:rsidP="005847BA">
      <w:pPr>
        <w:pStyle w:val="OUTLINEAL2"/>
      </w:pPr>
      <w:bookmarkStart w:id="124" w:name="_Toc166512667"/>
      <w:bookmarkStart w:id="125" w:name="_Toc166513125"/>
      <w:bookmarkStart w:id="126" w:name="_Toc166747914"/>
      <w:r w:rsidRPr="00D52335">
        <w:t>Due diligence in assessing substantive compliance</w:t>
      </w:r>
      <w:bookmarkEnd w:id="124"/>
      <w:bookmarkEnd w:id="125"/>
      <w:bookmarkEnd w:id="126"/>
    </w:p>
    <w:p w14:paraId="213DE06D" w14:textId="77777777" w:rsidR="007D61C0" w:rsidRPr="00D52335" w:rsidRDefault="007D61C0" w:rsidP="002C0A1C">
      <w:pPr>
        <w:spacing w:after="280"/>
        <w:jc w:val="both"/>
        <w:rPr>
          <w:rFonts w:asciiTheme="minorBidi" w:hAnsiTheme="minorBidi" w:cstheme="minorBidi"/>
          <w:lang w:eastAsia="en-US"/>
        </w:rPr>
      </w:pPr>
      <w:r w:rsidRPr="00D52335">
        <w:rPr>
          <w:rFonts w:asciiTheme="minorBidi" w:hAnsiTheme="minorBidi" w:cstheme="minorBidi"/>
          <w:b/>
          <w:lang w:eastAsia="en-US"/>
        </w:rPr>
        <w:t>Due diligence of substantive antitrust compliance</w:t>
      </w:r>
      <w:r w:rsidRPr="00D52335">
        <w:rPr>
          <w:rFonts w:asciiTheme="minorBidi" w:hAnsiTheme="minorBidi" w:cstheme="minorBidi"/>
          <w:lang w:eastAsia="en-US"/>
        </w:rPr>
        <w:t xml:space="preserve"> (</w:t>
      </w:r>
      <w:r w:rsidRPr="00D52335">
        <w:rPr>
          <w:rFonts w:asciiTheme="minorBidi" w:hAnsiTheme="minorBidi" w:cstheme="minorBidi"/>
          <w:i/>
          <w:iCs/>
          <w:lang w:eastAsia="en-US"/>
        </w:rPr>
        <w:t>i.e.,</w:t>
      </w:r>
      <w:r w:rsidRPr="00D52335">
        <w:rPr>
          <w:rFonts w:asciiTheme="minorBidi" w:hAnsiTheme="minorBidi" w:cstheme="minorBidi"/>
          <w:lang w:eastAsia="en-US"/>
        </w:rPr>
        <w:t xml:space="preserve"> checking compliance with the law in practice) can range from light touch self-assessment through to checklists,</w:t>
      </w:r>
      <w:r w:rsidRPr="00D52335">
        <w:rPr>
          <w:rFonts w:asciiTheme="minorBidi" w:hAnsiTheme="minorBidi" w:cstheme="minorBidi"/>
          <w:vertAlign w:val="superscript"/>
          <w:lang w:eastAsia="en-US"/>
        </w:rPr>
        <w:footnoteReference w:id="42"/>
      </w:r>
      <w:r w:rsidRPr="00D52335" w:rsidDel="004A4970">
        <w:rPr>
          <w:rFonts w:asciiTheme="minorBidi" w:hAnsiTheme="minorBidi" w:cstheme="minorBidi"/>
          <w:vertAlign w:val="superscript"/>
          <w:lang w:eastAsia="en-US"/>
        </w:rPr>
        <w:t xml:space="preserve"> </w:t>
      </w:r>
      <w:r w:rsidRPr="00D52335">
        <w:rPr>
          <w:rFonts w:asciiTheme="minorBidi" w:hAnsiTheme="minorBidi" w:cstheme="minorBidi"/>
          <w:lang w:eastAsia="en-US"/>
        </w:rPr>
        <w:t xml:space="preserve">antitrust counselling and antitrust training follow up, selective “deep dives” into particular areas of the business and, at the other end of the scale, comprehensive forensic antitrust “audits”. </w:t>
      </w:r>
      <w:r>
        <w:rPr>
          <w:rFonts w:asciiTheme="minorBidi" w:hAnsiTheme="minorBidi" w:cstheme="minorBidi"/>
          <w:lang w:eastAsia="en-US"/>
        </w:rPr>
        <w:t>Increasingly, it may also become necessary to consider whether the data produced by a company during its day-to-day activities can be used (also with the help of artificial intelligence)</w:t>
      </w:r>
      <w:r w:rsidR="001503F1">
        <w:rPr>
          <w:rStyle w:val="FootnoteReference"/>
          <w:rFonts w:asciiTheme="minorBidi" w:hAnsiTheme="minorBidi" w:cstheme="minorBidi"/>
          <w:lang w:eastAsia="en-US"/>
        </w:rPr>
        <w:footnoteReference w:id="43"/>
      </w:r>
      <w:r>
        <w:rPr>
          <w:rFonts w:asciiTheme="minorBidi" w:hAnsiTheme="minorBidi" w:cstheme="minorBidi"/>
          <w:lang w:eastAsia="en-US"/>
        </w:rPr>
        <w:t xml:space="preserve"> to proactively identify possible antitrust risks. </w:t>
      </w:r>
      <w:r w:rsidR="001503F1">
        <w:rPr>
          <w:rFonts w:asciiTheme="minorBidi" w:hAnsiTheme="minorBidi" w:cstheme="minorBidi"/>
          <w:lang w:eastAsia="en-US"/>
        </w:rPr>
        <w:t xml:space="preserve"> </w:t>
      </w:r>
    </w:p>
    <w:p w14:paraId="5DD77330" w14:textId="77777777" w:rsidR="007D61C0" w:rsidRPr="00D52335" w:rsidRDefault="007D61C0" w:rsidP="002C0A1C">
      <w:pPr>
        <w:spacing w:after="280"/>
        <w:jc w:val="both"/>
        <w:rPr>
          <w:rFonts w:asciiTheme="minorBidi" w:hAnsiTheme="minorBidi" w:cstheme="minorBidi"/>
          <w:lang w:eastAsia="en-US"/>
        </w:rPr>
      </w:pPr>
      <w:r w:rsidRPr="00D52335">
        <w:rPr>
          <w:rFonts w:asciiTheme="minorBidi" w:hAnsiTheme="minorBidi" w:cstheme="minorBidi"/>
          <w:lang w:eastAsia="en-US"/>
        </w:rPr>
        <w:t>Some companies choose to include as part of their antitrust programme materials</w:t>
      </w:r>
      <w:r w:rsidRPr="00D52335">
        <w:rPr>
          <w:rFonts w:asciiTheme="minorBidi" w:hAnsiTheme="minorBidi" w:cstheme="minorBidi"/>
          <w:vertAlign w:val="superscript"/>
          <w:lang w:eastAsia="en-US"/>
        </w:rPr>
        <w:footnoteReference w:id="44"/>
      </w:r>
      <w:r w:rsidRPr="00D52335">
        <w:rPr>
          <w:rFonts w:asciiTheme="minorBidi" w:hAnsiTheme="minorBidi" w:cstheme="minorBidi"/>
          <w:lang w:eastAsia="en-US"/>
        </w:rPr>
        <w:t xml:space="preserve"> an “Antitrust Due Diligence” self-assessment toolkit (ADD Kit), which is essentially a list of questions/checklist to allow </w:t>
      </w:r>
      <w:r w:rsidRPr="00D52335">
        <w:rPr>
          <w:rFonts w:asciiTheme="minorBidi" w:hAnsiTheme="minorBidi" w:cstheme="minorBidi"/>
          <w:lang w:eastAsia="en-US"/>
        </w:rPr>
        <w:lastRenderedPageBreak/>
        <w:t>employees to check whether something is likely to be problematical under antitrust laws. The purpose of the ADD Kit is not to replace the need for specialist antitrust advice or other legal advice, but rather to provide practical tools to allow your employees to identify “red flags” or antitrust danger areas.</w:t>
      </w:r>
    </w:p>
    <w:p w14:paraId="5B294F19" w14:textId="77777777" w:rsidR="007D61C0" w:rsidRPr="00D52335" w:rsidRDefault="007D61C0" w:rsidP="005847BA">
      <w:pPr>
        <w:pStyle w:val="OUTLINEAL2"/>
      </w:pPr>
      <w:bookmarkStart w:id="127" w:name="_Toc166512668"/>
      <w:bookmarkStart w:id="128" w:name="_Toc166513126"/>
      <w:bookmarkStart w:id="129" w:name="_Toc166747915"/>
      <w:r w:rsidRPr="00D52335">
        <w:t>Antitrust assessments (audits) or selective deep dives</w:t>
      </w:r>
      <w:bookmarkEnd w:id="127"/>
      <w:bookmarkEnd w:id="128"/>
      <w:bookmarkEnd w:id="129"/>
    </w:p>
    <w:p w14:paraId="5ACC57D5" w14:textId="77777777" w:rsidR="007D61C0" w:rsidRPr="00D52335" w:rsidRDefault="007D61C0" w:rsidP="002C0A1C">
      <w:pPr>
        <w:spacing w:after="280"/>
        <w:jc w:val="both"/>
        <w:rPr>
          <w:rFonts w:asciiTheme="minorBidi" w:hAnsiTheme="minorBidi" w:cstheme="minorBidi"/>
        </w:rPr>
      </w:pPr>
      <w:r w:rsidRPr="00D52335">
        <w:rPr>
          <w:rFonts w:asciiTheme="minorBidi" w:hAnsiTheme="minorBidi" w:cstheme="minorBidi"/>
          <w:lang w:eastAsia="en-US"/>
        </w:rPr>
        <w:t xml:space="preserve">This section considers </w:t>
      </w:r>
      <w:r w:rsidRPr="00D52335">
        <w:rPr>
          <w:rFonts w:asciiTheme="minorBidi" w:hAnsiTheme="minorBidi" w:cstheme="minorBidi"/>
          <w:b/>
          <w:lang w:eastAsia="en-US"/>
        </w:rPr>
        <w:t>antitrust assessments</w:t>
      </w:r>
      <w:r w:rsidRPr="00D52335">
        <w:rPr>
          <w:rFonts w:asciiTheme="minorBidi" w:hAnsiTheme="minorBidi" w:cstheme="minorBidi"/>
          <w:lang w:eastAsia="en-US"/>
        </w:rPr>
        <w:t xml:space="preserve"> (or selective “deep dives”) involving a legal review of business activities and practices to detect whether actual or potential violations of antitrust laws have occurred or may be likely to occur. </w:t>
      </w:r>
      <w:r w:rsidRPr="00D52335">
        <w:rPr>
          <w:rFonts w:asciiTheme="minorBidi" w:hAnsiTheme="minorBidi" w:cstheme="minorBidi"/>
        </w:rPr>
        <w:t>It will be important that any antitrust legal assessments or deep dives are conducted consistently with the company’s Investigation Principles.</w:t>
      </w:r>
      <w:r w:rsidRPr="00D52335">
        <w:rPr>
          <w:rFonts w:asciiTheme="minorBidi" w:hAnsiTheme="minorBidi" w:cstheme="minorBidi"/>
          <w:vertAlign w:val="superscript"/>
        </w:rPr>
        <w:footnoteReference w:id="45"/>
      </w:r>
    </w:p>
    <w:p w14:paraId="6C5279D7" w14:textId="77777777" w:rsidR="007D61C0" w:rsidRPr="00D52335" w:rsidRDefault="007D61C0" w:rsidP="002C0A1C">
      <w:pPr>
        <w:spacing w:after="280"/>
        <w:jc w:val="both"/>
        <w:rPr>
          <w:rFonts w:asciiTheme="minorBidi" w:hAnsiTheme="minorBidi" w:cstheme="minorBidi"/>
        </w:rPr>
      </w:pPr>
      <w:r w:rsidRPr="00D52335">
        <w:rPr>
          <w:rFonts w:asciiTheme="minorBidi" w:hAnsiTheme="minorBidi" w:cstheme="minorBidi"/>
          <w:lang w:eastAsia="en-US"/>
        </w:rPr>
        <w:t xml:space="preserve">It is important to distinguish a </w:t>
      </w:r>
      <w:r w:rsidRPr="00A15E97">
        <w:rPr>
          <w:rFonts w:asciiTheme="minorBidi" w:hAnsiTheme="minorBidi"/>
          <w:b/>
        </w:rPr>
        <w:t>substantive legal assessment</w:t>
      </w:r>
      <w:r w:rsidRPr="00D52335">
        <w:rPr>
          <w:rFonts w:asciiTheme="minorBidi" w:hAnsiTheme="minorBidi" w:cstheme="minorBidi"/>
          <w:lang w:eastAsia="en-US"/>
        </w:rPr>
        <w:t xml:space="preserve"> of antitrust compliance from a compliance programme process or controls audit. A process/controls audit examines whether your company has in place and has implemented best practices, controls, and procedures</w:t>
      </w:r>
      <w:r>
        <w:rPr>
          <w:rFonts w:asciiTheme="minorBidi" w:hAnsiTheme="minorBidi" w:cstheme="minorBidi"/>
          <w:lang w:eastAsia="en-US"/>
        </w:rPr>
        <w:t>,</w:t>
      </w:r>
      <w:r w:rsidRPr="00D52335">
        <w:rPr>
          <w:rFonts w:asciiTheme="minorBidi" w:hAnsiTheme="minorBidi" w:cstheme="minorBidi"/>
          <w:lang w:eastAsia="en-US"/>
        </w:rPr>
        <w:t xml:space="preserve"> </w:t>
      </w:r>
      <w:r>
        <w:rPr>
          <w:rFonts w:asciiTheme="minorBidi" w:hAnsiTheme="minorBidi" w:cstheme="minorBidi"/>
          <w:lang w:eastAsia="en-US"/>
        </w:rPr>
        <w:t>in order</w:t>
      </w:r>
      <w:r w:rsidRPr="00D52335">
        <w:rPr>
          <w:rFonts w:asciiTheme="minorBidi" w:hAnsiTheme="minorBidi" w:cstheme="minorBidi"/>
          <w:lang w:eastAsia="en-US"/>
        </w:rPr>
        <w:t xml:space="preserve"> to monitor, escalate, and take action on actual or potential compliance violations. A substantive antitrust assessment focuses on whether, in fact, an actual violation of substantive antitrust law has occurred or is likely to have occurred. It aims to:</w:t>
      </w:r>
    </w:p>
    <w:p w14:paraId="331929CA" w14:textId="77777777" w:rsidR="007D61C0" w:rsidRPr="00D52335" w:rsidRDefault="007D61C0">
      <w:pPr>
        <w:numPr>
          <w:ilvl w:val="0"/>
          <w:numId w:val="32"/>
        </w:numPr>
        <w:spacing w:after="280"/>
        <w:ind w:left="851" w:hanging="284"/>
        <w:jc w:val="both"/>
        <w:rPr>
          <w:rFonts w:asciiTheme="minorBidi" w:eastAsia="Calibri" w:hAnsiTheme="minorBidi" w:cstheme="minorBidi"/>
          <w:lang w:eastAsia="en-US"/>
        </w:rPr>
      </w:pPr>
      <w:r w:rsidRPr="00D52335">
        <w:rPr>
          <w:rFonts w:asciiTheme="minorBidi" w:eastAsia="Calibri" w:hAnsiTheme="minorBidi" w:cstheme="minorBidi"/>
          <w:lang w:eastAsia="en-US"/>
        </w:rPr>
        <w:t xml:space="preserve">Identify actual or potential antitrust violations </w:t>
      </w:r>
      <w:r w:rsidRPr="00A15E97">
        <w:rPr>
          <w:rFonts w:asciiTheme="minorBidi" w:hAnsiTheme="minorBidi"/>
          <w:u w:val="single"/>
        </w:rPr>
        <w:t>before</w:t>
      </w:r>
      <w:r w:rsidRPr="00D52335">
        <w:rPr>
          <w:rFonts w:asciiTheme="minorBidi" w:eastAsia="Calibri" w:hAnsiTheme="minorBidi" w:cstheme="minorBidi"/>
          <w:lang w:eastAsia="en-US"/>
        </w:rPr>
        <w:t xml:space="preserve"> a company faces an investigation or challenge by a third party or an antitrust agency;</w:t>
      </w:r>
      <w:bookmarkStart w:id="130" w:name="_Hlk166502669"/>
    </w:p>
    <w:bookmarkEnd w:id="130"/>
    <w:p w14:paraId="6764E773" w14:textId="77777777" w:rsidR="007D61C0" w:rsidRPr="00D52335" w:rsidRDefault="007D61C0">
      <w:pPr>
        <w:numPr>
          <w:ilvl w:val="0"/>
          <w:numId w:val="32"/>
        </w:numPr>
        <w:spacing w:after="280"/>
        <w:ind w:left="851" w:hanging="284"/>
        <w:jc w:val="both"/>
        <w:rPr>
          <w:rFonts w:asciiTheme="minorBidi" w:eastAsia="Calibri" w:hAnsiTheme="minorBidi" w:cstheme="minorBidi"/>
          <w:lang w:eastAsia="en-US"/>
        </w:rPr>
      </w:pPr>
      <w:r w:rsidRPr="00D52335">
        <w:rPr>
          <w:rFonts w:asciiTheme="minorBidi" w:eastAsia="Calibri" w:hAnsiTheme="minorBidi" w:cstheme="minorBidi"/>
          <w:lang w:eastAsia="en-US"/>
        </w:rPr>
        <w:t>Determine or confirm the nature and extent of an antitrust violation where there is already a specific allegation or suspicion;</w:t>
      </w:r>
    </w:p>
    <w:p w14:paraId="2510020B" w14:textId="77777777" w:rsidR="007D61C0" w:rsidRPr="00D52335" w:rsidRDefault="007D61C0">
      <w:pPr>
        <w:numPr>
          <w:ilvl w:val="0"/>
          <w:numId w:val="32"/>
        </w:numPr>
        <w:spacing w:after="280"/>
        <w:ind w:left="851" w:hanging="284"/>
        <w:contextualSpacing/>
        <w:jc w:val="both"/>
        <w:rPr>
          <w:rFonts w:asciiTheme="minorBidi" w:eastAsia="Calibri" w:hAnsiTheme="minorBidi" w:cstheme="minorBidi"/>
          <w:lang w:eastAsia="en-US"/>
        </w:rPr>
      </w:pPr>
      <w:r w:rsidRPr="00D52335">
        <w:rPr>
          <w:rFonts w:asciiTheme="minorBidi" w:eastAsia="Calibri" w:hAnsiTheme="minorBidi" w:cstheme="minorBidi"/>
          <w:lang w:eastAsia="en-US"/>
        </w:rPr>
        <w:t>Identify business practices which present risks of potential antitrust violations;</w:t>
      </w:r>
    </w:p>
    <w:p w14:paraId="722B1C9C" w14:textId="79346087" w:rsidR="007D61C0" w:rsidRPr="00D52335" w:rsidRDefault="007D61C0">
      <w:pPr>
        <w:numPr>
          <w:ilvl w:val="1"/>
          <w:numId w:val="32"/>
        </w:numPr>
        <w:spacing w:after="280"/>
        <w:contextualSpacing/>
        <w:jc w:val="both"/>
        <w:rPr>
          <w:rFonts w:asciiTheme="minorBidi" w:eastAsia="Calibri" w:hAnsiTheme="minorBidi" w:cstheme="minorBidi"/>
          <w:lang w:eastAsia="en-US"/>
        </w:rPr>
      </w:pPr>
      <w:r w:rsidRPr="00D52335">
        <w:rPr>
          <w:rFonts w:asciiTheme="minorBidi" w:eastAsia="Calibri" w:hAnsiTheme="minorBidi" w:cstheme="minorBidi"/>
          <w:lang w:eastAsia="en-US"/>
        </w:rPr>
        <w:t xml:space="preserve">for example, businesses involving markets with historical record of antitrust violation (even if the target company was not involved) or with high levels of market share concentration. </w:t>
      </w:r>
      <w:r w:rsidR="00117FB0">
        <w:rPr>
          <w:rFonts w:asciiTheme="minorBidi" w:eastAsia="Calibri" w:hAnsiTheme="minorBidi" w:cstheme="minorBidi"/>
          <w:lang w:eastAsia="en-US"/>
        </w:rPr>
        <w:br/>
      </w:r>
    </w:p>
    <w:p w14:paraId="7AF58AD9" w14:textId="77777777" w:rsidR="007D61C0" w:rsidRPr="00D52335" w:rsidRDefault="007D61C0">
      <w:pPr>
        <w:numPr>
          <w:ilvl w:val="0"/>
          <w:numId w:val="32"/>
        </w:numPr>
        <w:spacing w:after="280"/>
        <w:ind w:left="851" w:hanging="284"/>
        <w:contextualSpacing/>
        <w:jc w:val="both"/>
        <w:rPr>
          <w:rFonts w:asciiTheme="minorBidi" w:eastAsia="Calibri" w:hAnsiTheme="minorBidi" w:cstheme="minorBidi"/>
          <w:lang w:eastAsia="en-US"/>
        </w:rPr>
      </w:pPr>
      <w:r w:rsidRPr="00D52335">
        <w:rPr>
          <w:rFonts w:asciiTheme="minorBidi" w:eastAsia="Calibri" w:hAnsiTheme="minorBidi" w:cstheme="minorBidi"/>
          <w:lang w:eastAsia="en-US"/>
        </w:rPr>
        <w:t>Assess the effectiveness of your company’s antitrust compliance programme and antitrust training in avoiding antitrust violations.</w:t>
      </w:r>
    </w:p>
    <w:p w14:paraId="38DCA28A" w14:textId="77777777" w:rsidR="007D61C0" w:rsidRPr="00D52335" w:rsidRDefault="007D61C0" w:rsidP="007D61C0">
      <w:pPr>
        <w:spacing w:after="280"/>
        <w:ind w:left="851"/>
        <w:contextualSpacing/>
        <w:rPr>
          <w:rFonts w:asciiTheme="minorBidi" w:eastAsia="Calibri" w:hAnsiTheme="minorBidi" w:cstheme="minorBidi"/>
          <w:lang w:eastAsia="en-US"/>
        </w:rPr>
      </w:pPr>
    </w:p>
    <w:p w14:paraId="03545DC8" w14:textId="77777777" w:rsidR="007D61C0" w:rsidRPr="00D52335" w:rsidRDefault="007D61C0" w:rsidP="005847BA">
      <w:pPr>
        <w:pStyle w:val="OUTLINEAL2"/>
      </w:pPr>
      <w:bookmarkStart w:id="131" w:name="_Toc166512669"/>
      <w:bookmarkStart w:id="132" w:name="_Toc166513127"/>
      <w:bookmarkStart w:id="133" w:name="_Toc166747916"/>
      <w:r w:rsidRPr="00D52335">
        <w:t>Due diligence in relation to trade associations</w:t>
      </w:r>
      <w:bookmarkEnd w:id="131"/>
      <w:bookmarkEnd w:id="132"/>
      <w:bookmarkEnd w:id="133"/>
    </w:p>
    <w:p w14:paraId="569E665F" w14:textId="77777777" w:rsidR="007D61C0" w:rsidRPr="00D52335" w:rsidRDefault="007D61C0" w:rsidP="002C0A1C">
      <w:pPr>
        <w:spacing w:after="280"/>
        <w:jc w:val="both"/>
        <w:rPr>
          <w:rFonts w:asciiTheme="minorBidi" w:hAnsiTheme="minorBidi" w:cstheme="minorBidi"/>
        </w:rPr>
      </w:pPr>
      <w:r w:rsidRPr="00D52335">
        <w:rPr>
          <w:rFonts w:asciiTheme="minorBidi" w:hAnsiTheme="minorBidi" w:cstheme="minorBidi"/>
          <w:lang w:eastAsia="en-US"/>
        </w:rPr>
        <w:t xml:space="preserve">Attendance of your company’s employees at </w:t>
      </w:r>
      <w:r w:rsidRPr="00D52335">
        <w:rPr>
          <w:rFonts w:asciiTheme="minorBidi" w:hAnsiTheme="minorBidi" w:cstheme="minorBidi"/>
          <w:b/>
          <w:lang w:eastAsia="en-US"/>
        </w:rPr>
        <w:t>trade associations</w:t>
      </w:r>
      <w:r w:rsidRPr="00D52335">
        <w:rPr>
          <w:rFonts w:asciiTheme="minorBidi" w:hAnsiTheme="minorBidi" w:cstheme="minorBidi"/>
          <w:lang w:eastAsia="en-US"/>
        </w:rPr>
        <w:t xml:space="preserve"> (or similar events such as industry “roundtables” / </w:t>
      </w:r>
      <w:r>
        <w:rPr>
          <w:rFonts w:asciiTheme="minorBidi" w:hAnsiTheme="minorBidi" w:cstheme="minorBidi"/>
          <w:lang w:eastAsia="en-US"/>
        </w:rPr>
        <w:t xml:space="preserve">social </w:t>
      </w:r>
      <w:r w:rsidRPr="00D52335">
        <w:rPr>
          <w:rFonts w:asciiTheme="minorBidi" w:hAnsiTheme="minorBidi" w:cstheme="minorBidi"/>
          <w:lang w:eastAsia="en-US"/>
        </w:rPr>
        <w:t xml:space="preserve">events) gives rise to specific antitrust risks. Trade associations can perform many useful and perfectly legal functions, </w:t>
      </w:r>
      <w:r w:rsidRPr="00D52335">
        <w:rPr>
          <w:rFonts w:asciiTheme="minorBidi" w:hAnsiTheme="minorBidi" w:cstheme="minorBidi"/>
        </w:rPr>
        <w:t xml:space="preserve">and often perform a pro-competitive and useful role in the economy, or at least act in a way that is competitively neutral. If managed carefully and with full regard to antitrust advice, the worthy and legitimate goals of most trade associations can be accomplished without undue antitrust risk. </w:t>
      </w:r>
    </w:p>
    <w:p w14:paraId="15CA2481" w14:textId="77777777" w:rsidR="007D61C0" w:rsidRPr="00D52335" w:rsidRDefault="007D61C0" w:rsidP="002C0A1C">
      <w:pPr>
        <w:spacing w:after="280"/>
        <w:jc w:val="both"/>
        <w:rPr>
          <w:rFonts w:asciiTheme="minorBidi" w:hAnsiTheme="minorBidi" w:cstheme="minorBidi"/>
          <w:lang w:eastAsia="en-US"/>
        </w:rPr>
      </w:pPr>
      <w:r w:rsidRPr="00D52335">
        <w:rPr>
          <w:rFonts w:asciiTheme="minorBidi" w:hAnsiTheme="minorBidi" w:cstheme="minorBidi"/>
        </w:rPr>
        <w:t xml:space="preserve">However, trade associations </w:t>
      </w:r>
      <w:r w:rsidRPr="00D52335">
        <w:rPr>
          <w:rFonts w:asciiTheme="minorBidi" w:hAnsiTheme="minorBidi" w:cstheme="minorBidi"/>
          <w:lang w:eastAsia="en-US"/>
        </w:rPr>
        <w:t xml:space="preserve">are </w:t>
      </w:r>
      <w:r>
        <w:rPr>
          <w:rFonts w:asciiTheme="minorBidi" w:hAnsiTheme="minorBidi" w:cstheme="minorBidi"/>
          <w:lang w:eastAsia="en-US"/>
        </w:rPr>
        <w:t xml:space="preserve">- </w:t>
      </w:r>
      <w:r w:rsidRPr="00D52335">
        <w:rPr>
          <w:rFonts w:asciiTheme="minorBidi" w:hAnsiTheme="minorBidi" w:cstheme="minorBidi"/>
          <w:lang w:eastAsia="en-US"/>
        </w:rPr>
        <w:t xml:space="preserve">by their nature </w:t>
      </w:r>
      <w:r>
        <w:rPr>
          <w:rFonts w:asciiTheme="minorBidi" w:hAnsiTheme="minorBidi" w:cstheme="minorBidi"/>
          <w:lang w:eastAsia="en-US"/>
        </w:rPr>
        <w:t xml:space="preserve">- </w:t>
      </w:r>
      <w:r w:rsidRPr="00D52335">
        <w:rPr>
          <w:rFonts w:asciiTheme="minorBidi" w:hAnsiTheme="minorBidi" w:cstheme="minorBidi"/>
          <w:lang w:eastAsia="en-US"/>
        </w:rPr>
        <w:t>a place where competitors meet to discuss matters of interest and importance to the industry. If your company’s employees who attend trade associations are not constantly on their guard to ensure that no competitively sensitive information is disclosed, there is a significant risk that discussions at the association meetings could encounter serious antitrust risk, and possibly even violate antitrust law.</w:t>
      </w:r>
    </w:p>
    <w:p w14:paraId="06E7391E" w14:textId="77777777" w:rsidR="007D61C0" w:rsidRPr="00D52335" w:rsidRDefault="007D61C0" w:rsidP="002C0A1C">
      <w:pPr>
        <w:spacing w:after="360"/>
        <w:jc w:val="both"/>
        <w:rPr>
          <w:rFonts w:asciiTheme="minorBidi" w:hAnsiTheme="minorBidi" w:cstheme="minorBidi"/>
        </w:rPr>
      </w:pPr>
      <w:r w:rsidRPr="00D52335">
        <w:rPr>
          <w:rFonts w:asciiTheme="minorBidi" w:hAnsiTheme="minorBidi" w:cstheme="minorBidi"/>
        </w:rPr>
        <w:t xml:space="preserve">If trade associations (and their members) fail to take account of antitrust concerns, they could end up engaging in anticompetitive or even illegal collusive conduct, involving liability both for the trade </w:t>
      </w:r>
      <w:r w:rsidRPr="00D52335">
        <w:rPr>
          <w:rFonts w:asciiTheme="minorBidi" w:hAnsiTheme="minorBidi" w:cstheme="minorBidi"/>
        </w:rPr>
        <w:lastRenderedPageBreak/>
        <w:t>association members and for the trade association itself (as well as, potentially, individual personal liability for those involved).</w:t>
      </w:r>
    </w:p>
    <w:p w14:paraId="6F86D59D" w14:textId="77777777" w:rsidR="007D61C0" w:rsidRPr="00D52335" w:rsidRDefault="007D61C0" w:rsidP="002C0A1C">
      <w:pPr>
        <w:spacing w:after="280"/>
        <w:jc w:val="both"/>
        <w:rPr>
          <w:rFonts w:asciiTheme="minorBidi" w:hAnsiTheme="minorBidi" w:cstheme="minorBidi"/>
          <w:lang w:eastAsia="en-US"/>
        </w:rPr>
      </w:pPr>
      <w:r w:rsidRPr="00D52335">
        <w:rPr>
          <w:rFonts w:asciiTheme="minorBidi" w:hAnsiTheme="minorBidi" w:cstheme="minorBidi"/>
          <w:lang w:eastAsia="en-US"/>
        </w:rPr>
        <w:t xml:space="preserve">Due diligence around trade associations typically takes a couple of forms: </w:t>
      </w:r>
    </w:p>
    <w:p w14:paraId="22BDDE33" w14:textId="77777777" w:rsidR="007D61C0" w:rsidRPr="00D52335" w:rsidRDefault="007D61C0">
      <w:pPr>
        <w:numPr>
          <w:ilvl w:val="0"/>
          <w:numId w:val="33"/>
        </w:numPr>
        <w:spacing w:after="280"/>
        <w:ind w:left="851" w:hanging="284"/>
        <w:jc w:val="both"/>
        <w:rPr>
          <w:rFonts w:asciiTheme="minorBidi" w:eastAsia="Calibri" w:hAnsiTheme="minorBidi" w:cstheme="minorBidi"/>
          <w:lang w:eastAsia="en-US"/>
        </w:rPr>
      </w:pPr>
      <w:r w:rsidRPr="00D52335">
        <w:rPr>
          <w:rFonts w:asciiTheme="minorBidi" w:eastAsia="Calibri" w:hAnsiTheme="minorBidi" w:cstheme="minorBidi"/>
          <w:lang w:eastAsia="en-US"/>
        </w:rPr>
        <w:t xml:space="preserve">Due diligence </w:t>
      </w:r>
      <w:r w:rsidRPr="00D52335">
        <w:rPr>
          <w:rFonts w:asciiTheme="minorBidi" w:eastAsia="Calibri" w:hAnsiTheme="minorBidi" w:cstheme="minorBidi"/>
          <w:u w:val="single"/>
        </w:rPr>
        <w:t>before attending</w:t>
      </w:r>
      <w:r w:rsidRPr="00D52335">
        <w:rPr>
          <w:rFonts w:asciiTheme="minorBidi" w:eastAsia="Calibri" w:hAnsiTheme="minorBidi" w:cstheme="minorBidi"/>
          <w:lang w:eastAsia="en-US"/>
        </w:rPr>
        <w:t xml:space="preserve"> trade association meetings by ensuring that your company’s employees are fully trained and aware of the antitrust risks of inappropriate information exchange; </w:t>
      </w:r>
    </w:p>
    <w:p w14:paraId="69020F3C" w14:textId="77777777" w:rsidR="007D61C0" w:rsidRPr="00D52335" w:rsidRDefault="007D61C0">
      <w:pPr>
        <w:numPr>
          <w:ilvl w:val="0"/>
          <w:numId w:val="33"/>
        </w:numPr>
        <w:spacing w:after="280"/>
        <w:ind w:left="851" w:hanging="284"/>
        <w:jc w:val="both"/>
        <w:rPr>
          <w:rFonts w:asciiTheme="minorBidi" w:eastAsia="Calibri" w:hAnsiTheme="minorBidi" w:cstheme="minorBidi"/>
          <w:lang w:eastAsia="en-US"/>
        </w:rPr>
      </w:pPr>
      <w:r w:rsidRPr="00D52335">
        <w:rPr>
          <w:rFonts w:asciiTheme="minorBidi" w:eastAsia="Calibri" w:hAnsiTheme="minorBidi" w:cstheme="minorBidi"/>
          <w:lang w:eastAsia="en-US"/>
        </w:rPr>
        <w:t xml:space="preserve">Due diligence </w:t>
      </w:r>
      <w:r w:rsidRPr="00D52335">
        <w:rPr>
          <w:rFonts w:asciiTheme="minorBidi" w:eastAsia="Calibri" w:hAnsiTheme="minorBidi" w:cstheme="minorBidi"/>
          <w:u w:val="single"/>
        </w:rPr>
        <w:t>on</w:t>
      </w:r>
      <w:r w:rsidRPr="00D52335">
        <w:rPr>
          <w:rFonts w:asciiTheme="minorBidi" w:eastAsia="Calibri" w:hAnsiTheme="minorBidi" w:cstheme="minorBidi"/>
          <w:lang w:eastAsia="en-US"/>
        </w:rPr>
        <w:t xml:space="preserve"> the activities of the trade associations themselves (including ensuring that the trade association </w:t>
      </w:r>
      <w:r w:rsidR="00143DD8">
        <w:rPr>
          <w:rFonts w:asciiTheme="minorBidi" w:eastAsia="Calibri" w:hAnsiTheme="minorBidi" w:cstheme="minorBidi"/>
          <w:lang w:eastAsia="en-US"/>
        </w:rPr>
        <w:t xml:space="preserve">itself </w:t>
      </w:r>
      <w:r w:rsidRPr="00D52335">
        <w:rPr>
          <w:rFonts w:asciiTheme="minorBidi" w:eastAsia="Calibri" w:hAnsiTheme="minorBidi" w:cstheme="minorBidi"/>
          <w:lang w:eastAsia="en-US"/>
        </w:rPr>
        <w:t>has an appropriate antitrust compliance policy that is followed diligently).</w:t>
      </w:r>
    </w:p>
    <w:p w14:paraId="0F0F604B" w14:textId="03D8930D" w:rsidR="007D61C0" w:rsidRPr="00D52335" w:rsidRDefault="007D61C0" w:rsidP="002C0A1C">
      <w:pPr>
        <w:spacing w:after="280"/>
        <w:jc w:val="both"/>
        <w:rPr>
          <w:rFonts w:asciiTheme="minorBidi" w:hAnsiTheme="minorBidi" w:cstheme="minorBidi"/>
          <w:lang w:eastAsia="en-US"/>
        </w:rPr>
      </w:pPr>
      <w:r w:rsidRPr="00D52335">
        <w:rPr>
          <w:rFonts w:asciiTheme="minorBidi" w:hAnsiTheme="minorBidi" w:cstheme="minorBidi"/>
          <w:lang w:eastAsia="en-US"/>
        </w:rPr>
        <w:t xml:space="preserve">If your company’s employees attend trade association meetings or events, it </w:t>
      </w:r>
      <w:r>
        <w:rPr>
          <w:rFonts w:asciiTheme="minorBidi" w:hAnsiTheme="minorBidi" w:cstheme="minorBidi"/>
          <w:lang w:eastAsia="en-US"/>
        </w:rPr>
        <w:t>is essential</w:t>
      </w:r>
      <w:r w:rsidRPr="00D52335">
        <w:rPr>
          <w:rFonts w:asciiTheme="minorBidi" w:hAnsiTheme="minorBidi" w:cstheme="minorBidi"/>
          <w:lang w:eastAsia="en-US"/>
        </w:rPr>
        <w:t xml:space="preserve"> to ensure they are appropriately </w:t>
      </w:r>
      <w:r w:rsidRPr="00D52335">
        <w:rPr>
          <w:rFonts w:asciiTheme="minorBidi" w:hAnsiTheme="minorBidi" w:cstheme="minorBidi"/>
          <w:b/>
          <w:lang w:eastAsia="en-US"/>
        </w:rPr>
        <w:t>trained</w:t>
      </w:r>
      <w:r w:rsidRPr="00D52335">
        <w:rPr>
          <w:rFonts w:asciiTheme="minorBidi" w:hAnsiTheme="minorBidi" w:cstheme="minorBidi"/>
          <w:lang w:eastAsia="en-US"/>
        </w:rPr>
        <w:t>. To ensure that the right employees get the right antitrust training, you will need to understand who in your company attends trade associations and similar events. Some larger companies with several hundred (or even several thousand) employees track trade association membership in the company using an online “platform of registration” or “registration tool”,</w:t>
      </w:r>
      <w:r w:rsidRPr="00D52335">
        <w:rPr>
          <w:rFonts w:asciiTheme="minorBidi" w:hAnsiTheme="minorBidi" w:cstheme="minorBidi"/>
          <w:vertAlign w:val="superscript"/>
          <w:lang w:eastAsia="en-US"/>
        </w:rPr>
        <w:t xml:space="preserve"> </w:t>
      </w:r>
      <w:r w:rsidRPr="00D52335">
        <w:rPr>
          <w:rFonts w:asciiTheme="minorBidi" w:hAnsiTheme="minorBidi" w:cstheme="minorBidi"/>
          <w:lang w:eastAsia="en-US"/>
        </w:rPr>
        <w:t>where the employee registers membership of the association, giving management an opportunity to check on the activities of the employee in the association and intervene if appropriate. Such an online tool may not be necessary for SMEs or even for larger companies where relatively few employees attend trade associations. However, it can be a useful tool where the numbers are sufficiently large, since it enables the company to target antitrust training at higher risk employees.</w:t>
      </w:r>
    </w:p>
    <w:p w14:paraId="7A8C85D5" w14:textId="77777777" w:rsidR="00021255" w:rsidRDefault="007D61C0" w:rsidP="002C0A1C">
      <w:pPr>
        <w:spacing w:after="280"/>
        <w:jc w:val="both"/>
        <w:rPr>
          <w:rFonts w:asciiTheme="minorBidi" w:hAnsiTheme="minorBidi" w:cstheme="minorBidi"/>
          <w:lang w:eastAsia="en-US"/>
        </w:rPr>
      </w:pPr>
      <w:r w:rsidRPr="00D52335">
        <w:rPr>
          <w:rFonts w:asciiTheme="minorBidi" w:hAnsiTheme="minorBidi" w:cstheme="minorBidi"/>
          <w:lang w:eastAsia="en-US"/>
        </w:rPr>
        <w:t xml:space="preserve">Because of the antitrust risks inherent in trade associations, you may choose to undertake </w:t>
      </w:r>
      <w:r>
        <w:rPr>
          <w:rFonts w:asciiTheme="minorBidi" w:hAnsiTheme="minorBidi" w:cstheme="minorBidi"/>
          <w:lang w:eastAsia="en-US"/>
        </w:rPr>
        <w:t>“</w:t>
      </w:r>
      <w:r w:rsidRPr="00D52335">
        <w:rPr>
          <w:rFonts w:asciiTheme="minorBidi" w:hAnsiTheme="minorBidi" w:cstheme="minorBidi"/>
          <w:lang w:eastAsia="en-US"/>
        </w:rPr>
        <w:t>due diligence</w:t>
      </w:r>
      <w:r>
        <w:rPr>
          <w:rFonts w:asciiTheme="minorBidi" w:hAnsiTheme="minorBidi" w:cstheme="minorBidi"/>
          <w:lang w:eastAsia="en-US"/>
        </w:rPr>
        <w:t>”</w:t>
      </w:r>
      <w:r w:rsidRPr="00D52335">
        <w:rPr>
          <w:rFonts w:asciiTheme="minorBidi" w:hAnsiTheme="minorBidi" w:cstheme="minorBidi"/>
          <w:lang w:eastAsia="en-US"/>
        </w:rPr>
        <w:t xml:space="preserve"> (from time to time, as appropriate) on the </w:t>
      </w:r>
      <w:r w:rsidRPr="00D52335">
        <w:rPr>
          <w:rFonts w:asciiTheme="minorBidi" w:hAnsiTheme="minorBidi" w:cstheme="minorBidi"/>
          <w:b/>
          <w:lang w:eastAsia="en-US"/>
        </w:rPr>
        <w:t>activities of trade associations</w:t>
      </w:r>
      <w:r w:rsidRPr="00D52335">
        <w:rPr>
          <w:rFonts w:asciiTheme="minorBidi" w:hAnsiTheme="minorBidi" w:cstheme="minorBidi"/>
          <w:lang w:eastAsia="en-US"/>
        </w:rPr>
        <w:t xml:space="preserve"> of which your company is a member. </w:t>
      </w:r>
    </w:p>
    <w:p w14:paraId="4F0B0841" w14:textId="11CF508D" w:rsidR="007D61C0" w:rsidRPr="00D52335" w:rsidRDefault="007D61C0" w:rsidP="001E135E">
      <w:pPr>
        <w:pStyle w:val="OUTLINEAL2"/>
        <w:rPr>
          <w:lang w:val="en-CA"/>
        </w:rPr>
      </w:pPr>
      <w:bookmarkStart w:id="134" w:name="_Toc166747917"/>
      <w:r w:rsidRPr="00D52335">
        <w:t>Due diligence in M&amp;A situations</w:t>
      </w:r>
      <w:bookmarkEnd w:id="134"/>
    </w:p>
    <w:p w14:paraId="75489361" w14:textId="268E1B23" w:rsidR="007D61C0" w:rsidRPr="00844AF3" w:rsidRDefault="007D61C0" w:rsidP="002C0A1C">
      <w:pPr>
        <w:spacing w:after="280"/>
        <w:jc w:val="both"/>
        <w:rPr>
          <w:rFonts w:asciiTheme="minorBidi" w:hAnsiTheme="minorBidi" w:cstheme="minorBidi"/>
          <w:b/>
          <w:bCs/>
          <w:u w:val="single"/>
          <w:lang w:eastAsia="en-US"/>
        </w:rPr>
      </w:pPr>
      <w:r w:rsidRPr="00D52335">
        <w:rPr>
          <w:rFonts w:asciiTheme="minorBidi" w:hAnsiTheme="minorBidi" w:cstheme="minorBidi"/>
          <w:lang w:eastAsia="en-US"/>
        </w:rPr>
        <w:t xml:space="preserve">If your company does not perform adequate antitrust </w:t>
      </w:r>
      <w:r>
        <w:rPr>
          <w:rFonts w:asciiTheme="minorBidi" w:hAnsiTheme="minorBidi" w:cstheme="minorBidi"/>
          <w:lang w:eastAsia="en-US"/>
        </w:rPr>
        <w:t>“</w:t>
      </w:r>
      <w:r w:rsidRPr="00D52335">
        <w:rPr>
          <w:rFonts w:asciiTheme="minorBidi" w:hAnsiTheme="minorBidi" w:cstheme="minorBidi"/>
          <w:lang w:eastAsia="en-US"/>
        </w:rPr>
        <w:t>due diligence</w:t>
      </w:r>
      <w:r>
        <w:rPr>
          <w:rFonts w:asciiTheme="minorBidi" w:hAnsiTheme="minorBidi" w:cstheme="minorBidi"/>
          <w:lang w:eastAsia="en-US"/>
        </w:rPr>
        <w:t>”</w:t>
      </w:r>
      <w:r w:rsidRPr="00D52335">
        <w:rPr>
          <w:rFonts w:asciiTheme="minorBidi" w:hAnsiTheme="minorBidi" w:cstheme="minorBidi"/>
          <w:lang w:eastAsia="en-US"/>
        </w:rPr>
        <w:t xml:space="preserve"> prior to a merger, acquisition or the creation of a Joint Venture (JV), your company may face both legal and business risks. Inadequate due diligence can allow a course of anticompetitive conduct to continue undetected after the relevant transaction, in violation of your Code of Conduct, with all the attendant harms to your company’s reputation, as well as potential civil and criminal liability.</w:t>
      </w:r>
      <w:r w:rsidRPr="00D52335">
        <w:rPr>
          <w:rFonts w:asciiTheme="minorBidi" w:hAnsiTheme="minorBidi" w:cstheme="minorBidi"/>
        </w:rPr>
        <w:t xml:space="preserve"> In contrast, if you conduct effective antitrust due diligence on an acquisition target</w:t>
      </w:r>
      <w:r>
        <w:rPr>
          <w:rFonts w:asciiTheme="minorBidi" w:hAnsiTheme="minorBidi" w:cstheme="minorBidi"/>
        </w:rPr>
        <w:t>,</w:t>
      </w:r>
      <w:r w:rsidRPr="00D52335">
        <w:rPr>
          <w:rFonts w:asciiTheme="minorBidi" w:hAnsiTheme="minorBidi" w:cstheme="minorBidi"/>
        </w:rPr>
        <w:t xml:space="preserve"> you will be able to evaluate more accurately the target’s value and negotiate for the costs of the antitrust compliance violation to be borne by the seller. </w:t>
      </w:r>
      <w:r w:rsidRPr="00844AF3">
        <w:rPr>
          <w:rFonts w:asciiTheme="minorBidi" w:hAnsiTheme="minorBidi" w:cstheme="minorBidi"/>
          <w:u w:val="single"/>
        </w:rPr>
        <w:t>However, even a thorough due diligence exercise may not succeed in uncovering hard core cartels, as these are covert by their nature.</w:t>
      </w:r>
    </w:p>
    <w:p w14:paraId="7C4AF469" w14:textId="3BBE9B50" w:rsidR="007D61C0" w:rsidRPr="00D52335" w:rsidRDefault="007D61C0" w:rsidP="00A15E97">
      <w:pPr>
        <w:spacing w:after="280"/>
        <w:rPr>
          <w:rFonts w:asciiTheme="minorBidi" w:hAnsiTheme="minorBidi" w:cstheme="minorBidi"/>
        </w:rPr>
      </w:pPr>
      <w:r w:rsidRPr="00D52335">
        <w:rPr>
          <w:rFonts w:asciiTheme="minorBidi" w:hAnsiTheme="minorBidi" w:cstheme="minorBidi"/>
        </w:rPr>
        <w:t xml:space="preserve">It </w:t>
      </w:r>
      <w:r w:rsidR="00051EC8">
        <w:rPr>
          <w:rFonts w:asciiTheme="minorBidi" w:hAnsiTheme="minorBidi" w:cstheme="minorBidi"/>
        </w:rPr>
        <w:t>has been</w:t>
      </w:r>
      <w:r w:rsidRPr="00D52335">
        <w:rPr>
          <w:rFonts w:asciiTheme="minorBidi" w:hAnsiTheme="minorBidi" w:cstheme="minorBidi"/>
        </w:rPr>
        <w:t xml:space="preserve"> more common, before approaching a potential target/vendor/purchaser or JV counterparty, to pay close attention to potential compliance risk (in particular </w:t>
      </w:r>
      <w:r w:rsidR="00165C5A">
        <w:rPr>
          <w:rFonts w:asciiTheme="minorBidi" w:hAnsiTheme="minorBidi" w:cstheme="minorBidi"/>
        </w:rPr>
        <w:t>relating</w:t>
      </w:r>
      <w:r w:rsidRPr="00D52335">
        <w:rPr>
          <w:rFonts w:asciiTheme="minorBidi" w:hAnsiTheme="minorBidi" w:cstheme="minorBidi"/>
        </w:rPr>
        <w:t xml:space="preserve"> to antitrust and bribery &amp; corruption, but other compliance risks may be relevant too). </w:t>
      </w:r>
    </w:p>
    <w:p w14:paraId="628F49DE" w14:textId="77777777" w:rsidR="007D61C0" w:rsidRPr="00D52335" w:rsidRDefault="007D61C0" w:rsidP="007D61C0">
      <w:pPr>
        <w:spacing w:after="280"/>
        <w:rPr>
          <w:rFonts w:asciiTheme="minorBidi" w:hAnsiTheme="minorBidi" w:cstheme="minorBidi"/>
          <w:color w:val="000000"/>
        </w:rPr>
      </w:pPr>
      <w:r w:rsidRPr="00D52335">
        <w:rPr>
          <w:rFonts w:asciiTheme="minorBidi" w:hAnsiTheme="minorBidi" w:cstheme="minorBidi"/>
          <w:color w:val="000000"/>
        </w:rPr>
        <w:t xml:space="preserve">There are certain key issues that should be looked at in conducting due diligence in M&amp;A situations to avoid </w:t>
      </w:r>
      <w:r w:rsidRPr="00D52335">
        <w:rPr>
          <w:rFonts w:asciiTheme="minorBidi" w:hAnsiTheme="minorBidi" w:cstheme="minorBidi"/>
        </w:rPr>
        <w:t>compliance</w:t>
      </w:r>
      <w:r w:rsidRPr="00D52335">
        <w:rPr>
          <w:rFonts w:asciiTheme="minorBidi" w:hAnsiTheme="minorBidi" w:cstheme="minorBidi"/>
          <w:color w:val="000000"/>
        </w:rPr>
        <w:t xml:space="preserve"> surprises and understand weaknesses that will need to be corrected in the future.  </w:t>
      </w:r>
    </w:p>
    <w:p w14:paraId="46DC0E78" w14:textId="77777777" w:rsidR="00A535E7" w:rsidRPr="00D52335" w:rsidRDefault="007D61C0">
      <w:pPr>
        <w:numPr>
          <w:ilvl w:val="0"/>
          <w:numId w:val="32"/>
        </w:numPr>
        <w:spacing w:after="280"/>
        <w:ind w:left="851" w:hanging="284"/>
        <w:jc w:val="both"/>
        <w:rPr>
          <w:rFonts w:asciiTheme="minorBidi" w:eastAsia="Calibri" w:hAnsiTheme="minorBidi" w:cstheme="minorBidi"/>
          <w:lang w:eastAsia="en-US"/>
        </w:rPr>
      </w:pPr>
      <w:r w:rsidRPr="00D52335">
        <w:rPr>
          <w:rFonts w:asciiTheme="minorBidi" w:eastAsia="Calibri" w:hAnsiTheme="minorBidi" w:cstheme="minorBidi"/>
          <w:b/>
          <w:color w:val="000000"/>
        </w:rPr>
        <w:t>Is the antitrust compliance programme (and the controls in other compliance areas) state-of-the-art and up-to-date?</w:t>
      </w:r>
      <w:r w:rsidRPr="00D52335">
        <w:rPr>
          <w:rFonts w:asciiTheme="minorBidi" w:eastAsia="Calibri" w:hAnsiTheme="minorBidi" w:cstheme="minorBidi"/>
          <w:color w:val="000000"/>
        </w:rPr>
        <w:t xml:space="preserve"> </w:t>
      </w:r>
    </w:p>
    <w:p w14:paraId="3169F5F5" w14:textId="77777777" w:rsidR="00A535E7" w:rsidRPr="00D52335" w:rsidRDefault="007D61C0">
      <w:pPr>
        <w:numPr>
          <w:ilvl w:val="0"/>
          <w:numId w:val="32"/>
        </w:numPr>
        <w:spacing w:after="280"/>
        <w:ind w:left="851" w:hanging="284"/>
        <w:jc w:val="both"/>
        <w:rPr>
          <w:rFonts w:asciiTheme="minorBidi" w:eastAsia="Calibri" w:hAnsiTheme="minorBidi" w:cstheme="minorBidi"/>
          <w:lang w:eastAsia="en-US"/>
        </w:rPr>
      </w:pPr>
      <w:r w:rsidRPr="00D52335">
        <w:rPr>
          <w:rFonts w:asciiTheme="minorBidi" w:eastAsia="Calibri" w:hAnsiTheme="minorBidi" w:cstheme="minorBidi"/>
          <w:b/>
          <w:color w:val="000000"/>
        </w:rPr>
        <w:t>What is the target’s risk profile?</w:t>
      </w:r>
      <w:r w:rsidRPr="00D52335">
        <w:rPr>
          <w:rFonts w:asciiTheme="minorBidi" w:eastAsia="Calibri" w:hAnsiTheme="minorBidi" w:cstheme="minorBidi"/>
          <w:color w:val="000000"/>
        </w:rPr>
        <w:t xml:space="preserve"> Consider: (</w:t>
      </w:r>
      <w:proofErr w:type="spellStart"/>
      <w:r w:rsidRPr="00D52335">
        <w:rPr>
          <w:rFonts w:asciiTheme="minorBidi" w:eastAsia="Calibri" w:hAnsiTheme="minorBidi" w:cstheme="minorBidi"/>
          <w:color w:val="000000"/>
        </w:rPr>
        <w:t>i</w:t>
      </w:r>
      <w:proofErr w:type="spellEnd"/>
      <w:r w:rsidRPr="00D52335">
        <w:rPr>
          <w:rFonts w:asciiTheme="minorBidi" w:eastAsia="Calibri" w:hAnsiTheme="minorBidi" w:cstheme="minorBidi"/>
          <w:color w:val="000000"/>
        </w:rPr>
        <w:t xml:space="preserve">) the nature of the target’s business and industry, (ii) the nature of the jurisdictions in which it operates, (iii) how it conducts business (e.g. does </w:t>
      </w:r>
      <w:r w:rsidRPr="00D52335">
        <w:rPr>
          <w:rFonts w:asciiTheme="minorBidi" w:eastAsia="Calibri" w:hAnsiTheme="minorBidi" w:cstheme="minorBidi"/>
          <w:color w:val="000000"/>
        </w:rPr>
        <w:lastRenderedPageBreak/>
        <w:t>it use intermediaries, consultants, third parties, joint venture partners?) and (iv) the profile of its customers and competitors.</w:t>
      </w:r>
    </w:p>
    <w:p w14:paraId="67984DF7" w14:textId="77777777" w:rsidR="00A535E7" w:rsidRPr="00D52335" w:rsidRDefault="007D61C0">
      <w:pPr>
        <w:numPr>
          <w:ilvl w:val="0"/>
          <w:numId w:val="32"/>
        </w:numPr>
        <w:spacing w:after="280"/>
        <w:ind w:left="851" w:hanging="284"/>
        <w:jc w:val="both"/>
        <w:rPr>
          <w:rFonts w:asciiTheme="minorBidi" w:eastAsia="Calibri" w:hAnsiTheme="minorBidi" w:cstheme="minorBidi"/>
          <w:lang w:eastAsia="en-US"/>
        </w:rPr>
      </w:pPr>
      <w:r w:rsidRPr="00CF7BEB">
        <w:rPr>
          <w:rFonts w:asciiTheme="minorBidi" w:eastAsia="Calibri" w:hAnsiTheme="minorBidi" w:cstheme="minorBidi"/>
          <w:b/>
          <w:color w:val="000000"/>
        </w:rPr>
        <w:t>Is there a culture of compliance?</w:t>
      </w:r>
    </w:p>
    <w:p w14:paraId="5ABBAAA2" w14:textId="77777777" w:rsidR="00A535E7" w:rsidRPr="00D52335" w:rsidRDefault="007D61C0">
      <w:pPr>
        <w:numPr>
          <w:ilvl w:val="0"/>
          <w:numId w:val="32"/>
        </w:numPr>
        <w:spacing w:after="280"/>
        <w:ind w:left="851" w:hanging="284"/>
        <w:jc w:val="both"/>
        <w:rPr>
          <w:rFonts w:asciiTheme="minorBidi" w:eastAsia="Calibri" w:hAnsiTheme="minorBidi" w:cstheme="minorBidi"/>
          <w:lang w:eastAsia="en-US"/>
        </w:rPr>
      </w:pPr>
      <w:r w:rsidRPr="00A535E7">
        <w:rPr>
          <w:rFonts w:asciiTheme="minorBidi" w:eastAsia="Calibri" w:hAnsiTheme="minorBidi" w:cstheme="minorBidi"/>
          <w:color w:val="000000"/>
        </w:rPr>
        <w:t xml:space="preserve"> </w:t>
      </w:r>
      <w:r w:rsidRPr="00A535E7">
        <w:rPr>
          <w:rFonts w:asciiTheme="minorBidi" w:eastAsia="Calibri" w:hAnsiTheme="minorBidi" w:cstheme="minorBidi"/>
          <w:b/>
          <w:color w:val="000000"/>
        </w:rPr>
        <w:t>Is there a strong compliance control environment?</w:t>
      </w:r>
    </w:p>
    <w:p w14:paraId="44D98EBA" w14:textId="77777777" w:rsidR="00A535E7" w:rsidRPr="00D52335" w:rsidRDefault="007D61C0">
      <w:pPr>
        <w:numPr>
          <w:ilvl w:val="0"/>
          <w:numId w:val="32"/>
        </w:numPr>
        <w:spacing w:after="280"/>
        <w:ind w:left="851" w:hanging="284"/>
        <w:jc w:val="both"/>
        <w:rPr>
          <w:rFonts w:asciiTheme="minorBidi" w:eastAsia="Calibri" w:hAnsiTheme="minorBidi" w:cstheme="minorBidi"/>
          <w:lang w:eastAsia="en-US"/>
        </w:rPr>
      </w:pPr>
      <w:r w:rsidRPr="00CF7BEB">
        <w:rPr>
          <w:rFonts w:asciiTheme="minorBidi" w:eastAsia="Calibri" w:hAnsiTheme="minorBidi" w:cstheme="minorBidi"/>
          <w:b/>
          <w:color w:val="000000"/>
        </w:rPr>
        <w:t>Are any (internal or external) compliance investigations currently under way?</w:t>
      </w:r>
      <w:r w:rsidRPr="00CF7BEB">
        <w:rPr>
          <w:rFonts w:asciiTheme="minorBidi" w:eastAsia="Calibri" w:hAnsiTheme="minorBidi" w:cstheme="minorBidi"/>
          <w:color w:val="000000"/>
        </w:rPr>
        <w:t xml:space="preserve"> Obtain reports on any ongoing antitrust investigations </w:t>
      </w:r>
      <w:r w:rsidRPr="00CF7BEB">
        <w:rPr>
          <w:rFonts w:asciiTheme="minorBidi" w:eastAsia="Calibri" w:hAnsiTheme="minorBidi" w:cstheme="minorBidi"/>
        </w:rPr>
        <w:t>(including pending, threatened, or anticipated investigations)</w:t>
      </w:r>
      <w:r w:rsidRPr="00CF7BEB">
        <w:rPr>
          <w:rFonts w:asciiTheme="minorBidi" w:eastAsia="Calibri" w:hAnsiTheme="minorBidi" w:cstheme="minorBidi"/>
          <w:color w:val="000000"/>
        </w:rPr>
        <w:t>.</w:t>
      </w:r>
    </w:p>
    <w:p w14:paraId="44FED9A1" w14:textId="1A59151F" w:rsidR="00A535E7" w:rsidRPr="00D52335" w:rsidRDefault="007D61C0">
      <w:pPr>
        <w:numPr>
          <w:ilvl w:val="0"/>
          <w:numId w:val="32"/>
        </w:numPr>
        <w:spacing w:after="280"/>
        <w:ind w:left="851" w:hanging="284"/>
        <w:jc w:val="both"/>
        <w:rPr>
          <w:rFonts w:asciiTheme="minorBidi" w:eastAsia="Calibri" w:hAnsiTheme="minorBidi" w:cstheme="minorBidi"/>
          <w:lang w:eastAsia="en-US"/>
        </w:rPr>
      </w:pPr>
      <w:r w:rsidRPr="00A535E7">
        <w:rPr>
          <w:rFonts w:asciiTheme="minorBidi" w:hAnsiTheme="minorBidi" w:cstheme="minorBidi"/>
          <w:color w:val="000000"/>
        </w:rPr>
        <w:t xml:space="preserve">Additional </w:t>
      </w:r>
      <w:r w:rsidRPr="00A535E7">
        <w:rPr>
          <w:rFonts w:asciiTheme="minorBidi" w:hAnsiTheme="minorBidi" w:cstheme="minorBidi"/>
        </w:rPr>
        <w:t>antitrust compliance due diligence could enquire into:</w:t>
      </w:r>
      <w:r w:rsidRPr="00D52335">
        <w:rPr>
          <w:rFonts w:asciiTheme="minorBidi" w:hAnsiTheme="minorBidi" w:cstheme="minorBidi"/>
          <w:vertAlign w:val="superscript"/>
        </w:rPr>
        <w:footnoteReference w:id="46"/>
      </w:r>
    </w:p>
    <w:p w14:paraId="08B89996" w14:textId="77777777" w:rsidR="007D61C0" w:rsidRPr="00D52335" w:rsidRDefault="007D61C0">
      <w:pPr>
        <w:numPr>
          <w:ilvl w:val="0"/>
          <w:numId w:val="20"/>
        </w:numPr>
        <w:spacing w:after="280"/>
        <w:ind w:left="851" w:hanging="284"/>
        <w:jc w:val="both"/>
        <w:rPr>
          <w:rFonts w:asciiTheme="minorBidi" w:eastAsia="Calibri" w:hAnsiTheme="minorBidi" w:cstheme="minorBidi"/>
          <w:lang w:eastAsia="en-US"/>
        </w:rPr>
      </w:pPr>
      <w:r w:rsidRPr="00D52335">
        <w:rPr>
          <w:rFonts w:asciiTheme="minorBidi" w:eastAsia="Calibri" w:hAnsiTheme="minorBidi" w:cstheme="minorBidi"/>
        </w:rPr>
        <w:t>Existenc</w:t>
      </w:r>
      <w:r w:rsidRPr="00D52335">
        <w:rPr>
          <w:rFonts w:asciiTheme="minorBidi" w:eastAsia="Calibri" w:hAnsiTheme="minorBidi" w:cstheme="minorBidi"/>
          <w:color w:val="000000"/>
        </w:rPr>
        <w:t xml:space="preserve">e </w:t>
      </w:r>
      <w:r w:rsidRPr="00D52335">
        <w:rPr>
          <w:rFonts w:asciiTheme="minorBidi" w:eastAsia="Calibri" w:hAnsiTheme="minorBidi" w:cstheme="minorBidi"/>
        </w:rPr>
        <w:t xml:space="preserve">of closed antitrust procedures/litigation (within a specified period) involving the target company; </w:t>
      </w:r>
    </w:p>
    <w:p w14:paraId="2CE8CC1C" w14:textId="77777777" w:rsidR="007D61C0" w:rsidRPr="00D52335" w:rsidRDefault="007D61C0">
      <w:pPr>
        <w:numPr>
          <w:ilvl w:val="0"/>
          <w:numId w:val="20"/>
        </w:numPr>
        <w:spacing w:after="280"/>
        <w:ind w:left="851" w:hanging="284"/>
        <w:jc w:val="both"/>
        <w:rPr>
          <w:rFonts w:asciiTheme="minorBidi" w:eastAsia="Calibri" w:hAnsiTheme="minorBidi" w:cstheme="minorBidi"/>
          <w:lang w:eastAsia="en-US"/>
        </w:rPr>
      </w:pPr>
      <w:r w:rsidRPr="00D52335">
        <w:rPr>
          <w:rFonts w:asciiTheme="minorBidi" w:eastAsia="Calibri" w:hAnsiTheme="minorBidi" w:cstheme="minorBidi"/>
        </w:rPr>
        <w:t xml:space="preserve">Existence of antitrust sanctions/penalties/damages awards imposed on, or antitrust remedies/commitments (structural and/or behavioural) undertaken by the target company (within a specified period) for infringement of antitrust law; </w:t>
      </w:r>
    </w:p>
    <w:p w14:paraId="79EB25FC" w14:textId="77777777" w:rsidR="007D61C0" w:rsidRPr="00D52335" w:rsidRDefault="007D61C0">
      <w:pPr>
        <w:numPr>
          <w:ilvl w:val="0"/>
          <w:numId w:val="20"/>
        </w:numPr>
        <w:spacing w:after="280"/>
        <w:ind w:left="851" w:hanging="284"/>
        <w:jc w:val="both"/>
        <w:rPr>
          <w:rFonts w:asciiTheme="minorBidi" w:eastAsia="Calibri" w:hAnsiTheme="minorBidi" w:cstheme="minorBidi"/>
          <w:lang w:eastAsia="en-US"/>
        </w:rPr>
      </w:pPr>
      <w:r w:rsidRPr="00D52335">
        <w:rPr>
          <w:rFonts w:asciiTheme="minorBidi" w:eastAsia="Calibri" w:hAnsiTheme="minorBidi" w:cstheme="minorBidi"/>
        </w:rPr>
        <w:t xml:space="preserve">Existence of any outstanding antitrust warranties or indemnities given by the target company; </w:t>
      </w:r>
    </w:p>
    <w:p w14:paraId="4D1D3041" w14:textId="77777777" w:rsidR="007D61C0" w:rsidRPr="00D52335" w:rsidRDefault="007D61C0">
      <w:pPr>
        <w:numPr>
          <w:ilvl w:val="0"/>
          <w:numId w:val="20"/>
        </w:numPr>
        <w:spacing w:after="280"/>
        <w:ind w:left="851" w:hanging="284"/>
        <w:jc w:val="both"/>
        <w:rPr>
          <w:rFonts w:asciiTheme="minorBidi" w:eastAsia="Calibri" w:hAnsiTheme="minorBidi" w:cstheme="minorBidi"/>
          <w:lang w:eastAsia="en-US"/>
        </w:rPr>
      </w:pPr>
      <w:r w:rsidRPr="00D52335">
        <w:rPr>
          <w:rFonts w:asciiTheme="minorBidi" w:eastAsia="Calibri" w:hAnsiTheme="minorBidi" w:cstheme="minorBidi"/>
        </w:rPr>
        <w:t xml:space="preserve">Details of the target’s participation in any trade or industry association, copy of the by-laws of such association, description of its goals, copy of the minutes of the last [stated number of] meetings; </w:t>
      </w:r>
    </w:p>
    <w:p w14:paraId="73D10341" w14:textId="77777777" w:rsidR="007D61C0" w:rsidRPr="00D52335" w:rsidRDefault="007D61C0">
      <w:pPr>
        <w:numPr>
          <w:ilvl w:val="0"/>
          <w:numId w:val="20"/>
        </w:numPr>
        <w:spacing w:after="280"/>
        <w:ind w:left="851" w:hanging="284"/>
        <w:jc w:val="both"/>
        <w:rPr>
          <w:rFonts w:asciiTheme="minorBidi" w:eastAsia="Calibri" w:hAnsiTheme="minorBidi" w:cstheme="minorBidi"/>
          <w:lang w:eastAsia="en-US"/>
        </w:rPr>
      </w:pPr>
      <w:r w:rsidRPr="00D52335">
        <w:rPr>
          <w:rFonts w:asciiTheme="minorBidi" w:eastAsia="Calibri" w:hAnsiTheme="minorBidi" w:cstheme="minorBidi"/>
        </w:rPr>
        <w:t xml:space="preserve">Participation in any joint production, joint logistics, joint distribution/sales arrangement or joint procurement (whether formal or informal, incorporated or unincorporated);  </w:t>
      </w:r>
    </w:p>
    <w:p w14:paraId="3476C60E" w14:textId="77777777" w:rsidR="007D61C0" w:rsidRPr="00D52335" w:rsidRDefault="007D61C0">
      <w:pPr>
        <w:numPr>
          <w:ilvl w:val="0"/>
          <w:numId w:val="20"/>
        </w:numPr>
        <w:spacing w:after="280"/>
        <w:ind w:left="851" w:hanging="284"/>
        <w:jc w:val="both"/>
        <w:rPr>
          <w:rFonts w:asciiTheme="minorBidi" w:eastAsia="Calibri" w:hAnsiTheme="minorBidi" w:cstheme="minorBidi"/>
          <w:lang w:eastAsia="en-US"/>
        </w:rPr>
      </w:pPr>
      <w:r w:rsidRPr="00D52335">
        <w:rPr>
          <w:rFonts w:asciiTheme="minorBidi" w:eastAsia="Calibri" w:hAnsiTheme="minorBidi" w:cstheme="minorBidi"/>
        </w:rPr>
        <w:t>Details of directorships, shareholdings or other interests held in any competing company;</w:t>
      </w:r>
    </w:p>
    <w:p w14:paraId="4B98E139" w14:textId="77777777" w:rsidR="007D61C0" w:rsidRPr="00D52335" w:rsidRDefault="007D61C0">
      <w:pPr>
        <w:numPr>
          <w:ilvl w:val="0"/>
          <w:numId w:val="20"/>
        </w:numPr>
        <w:spacing w:after="280"/>
        <w:ind w:left="851" w:hanging="284"/>
        <w:jc w:val="both"/>
        <w:rPr>
          <w:rFonts w:asciiTheme="minorBidi" w:eastAsia="Calibri" w:hAnsiTheme="minorBidi" w:cstheme="minorBidi"/>
          <w:lang w:eastAsia="en-US"/>
        </w:rPr>
      </w:pPr>
      <w:r w:rsidRPr="00D52335">
        <w:rPr>
          <w:rFonts w:asciiTheme="minorBidi" w:eastAsia="Calibri" w:hAnsiTheme="minorBidi" w:cstheme="minorBidi"/>
        </w:rPr>
        <w:t xml:space="preserve">Existence of merger control clearances for all relevant M&amp;A activity within the target (to ensure the target has obtained all relevant merger clearances and has not engaged in “gun jumping” - </w:t>
      </w:r>
      <w:r w:rsidRPr="00E735AF">
        <w:rPr>
          <w:rFonts w:asciiTheme="minorBidi" w:eastAsia="Calibri" w:hAnsiTheme="minorBidi" w:cstheme="minorBidi"/>
        </w:rPr>
        <w:t>i</w:t>
      </w:r>
      <w:r w:rsidRPr="00D52335">
        <w:rPr>
          <w:rFonts w:asciiTheme="minorBidi" w:eastAsia="Calibri" w:hAnsiTheme="minorBidi" w:cstheme="minorBidi"/>
          <w:i/>
          <w:iCs/>
        </w:rPr>
        <w:t>.</w:t>
      </w:r>
      <w:r w:rsidRPr="00E735AF">
        <w:rPr>
          <w:rFonts w:asciiTheme="minorBidi" w:eastAsia="Calibri" w:hAnsiTheme="minorBidi" w:cstheme="minorBidi"/>
        </w:rPr>
        <w:t>e</w:t>
      </w:r>
      <w:r w:rsidRPr="00D52335">
        <w:rPr>
          <w:rFonts w:asciiTheme="minorBidi" w:eastAsia="Calibri" w:hAnsiTheme="minorBidi" w:cstheme="minorBidi"/>
          <w:i/>
          <w:iCs/>
        </w:rPr>
        <w:t>.</w:t>
      </w:r>
      <w:r>
        <w:rPr>
          <w:rFonts w:asciiTheme="minorBidi" w:eastAsia="Calibri" w:hAnsiTheme="minorBidi" w:cstheme="minorBidi"/>
          <w:i/>
          <w:iCs/>
        </w:rPr>
        <w:t>,</w:t>
      </w:r>
      <w:r w:rsidRPr="00D52335">
        <w:rPr>
          <w:rFonts w:asciiTheme="minorBidi" w:eastAsia="Calibri" w:hAnsiTheme="minorBidi" w:cstheme="minorBidi"/>
        </w:rPr>
        <w:t xml:space="preserve"> that the target has not implemented a transaction before receiving all necessary antitrust clearances). </w:t>
      </w:r>
    </w:p>
    <w:p w14:paraId="43053541" w14:textId="2E2643B2" w:rsidR="007D61C0" w:rsidRPr="00D52335" w:rsidRDefault="007D61C0" w:rsidP="00A535E7">
      <w:pPr>
        <w:spacing w:after="280"/>
        <w:jc w:val="both"/>
        <w:rPr>
          <w:rFonts w:asciiTheme="minorBidi" w:hAnsiTheme="minorBidi" w:cstheme="minorBidi"/>
          <w:lang w:eastAsia="en-US"/>
        </w:rPr>
      </w:pPr>
      <w:r w:rsidRPr="00D52335">
        <w:rPr>
          <w:rFonts w:asciiTheme="minorBidi" w:hAnsiTheme="minorBidi" w:cstheme="minorBidi"/>
          <w:lang w:eastAsia="en-US"/>
        </w:rPr>
        <w:t>Due diligence, however, is normally only the start of the compliance process for mergers, acquisitions and the formation of JVs. As the acquiring company, you will also need to ensure that the acquired company promptly adopts and satisfies all your own company’s internal controls, including your antitrust compliance programme.</w:t>
      </w:r>
    </w:p>
    <w:p w14:paraId="39D8C785" w14:textId="77777777" w:rsidR="007D61C0" w:rsidRPr="00D52335" w:rsidRDefault="007D61C0" w:rsidP="00A535E7">
      <w:pPr>
        <w:spacing w:after="280"/>
        <w:jc w:val="both"/>
        <w:rPr>
          <w:rFonts w:asciiTheme="minorBidi" w:hAnsiTheme="minorBidi" w:cstheme="minorBidi"/>
          <w:lang w:eastAsia="en-US"/>
        </w:rPr>
      </w:pPr>
      <w:r w:rsidRPr="00D52335">
        <w:rPr>
          <w:rFonts w:asciiTheme="minorBidi" w:hAnsiTheme="minorBidi" w:cstheme="minorBidi"/>
          <w:lang w:eastAsia="en-US"/>
        </w:rPr>
        <w:t>You should consider arranging antitrust training for all new employees in a commercial role (</w:t>
      </w:r>
      <w:r w:rsidRPr="00E735AF">
        <w:rPr>
          <w:rFonts w:asciiTheme="minorBidi" w:hAnsiTheme="minorBidi" w:cstheme="minorBidi"/>
          <w:lang w:eastAsia="en-US"/>
        </w:rPr>
        <w:t>i.e.,</w:t>
      </w:r>
      <w:r w:rsidRPr="00D52335">
        <w:rPr>
          <w:rFonts w:asciiTheme="minorBidi" w:hAnsiTheme="minorBidi" w:cstheme="minorBidi"/>
          <w:lang w:eastAsia="en-US"/>
        </w:rPr>
        <w:t xml:space="preserve"> those who qualifying under your antitrust training nominations criteria - see </w:t>
      </w:r>
      <w:r w:rsidRPr="00BE55BE">
        <w:rPr>
          <w:rFonts w:asciiTheme="minorBidi" w:hAnsiTheme="minorBidi" w:cstheme="minorBidi"/>
          <w:lang w:eastAsia="en-US"/>
        </w:rPr>
        <w:t>Chapter 4: “</w:t>
      </w:r>
      <w:r w:rsidRPr="00BE55BE">
        <w:rPr>
          <w:rFonts w:asciiTheme="minorBidi" w:hAnsiTheme="minorBidi" w:cstheme="minorBidi"/>
          <w:iCs/>
          <w:lang w:eastAsia="en-US"/>
        </w:rPr>
        <w:t>Antitrust compliance know-how</w:t>
      </w:r>
      <w:r w:rsidRPr="00BE55BE">
        <w:rPr>
          <w:rFonts w:asciiTheme="minorBidi" w:hAnsiTheme="minorBidi" w:cstheme="minorBidi"/>
          <w:lang w:eastAsia="en-US"/>
        </w:rPr>
        <w:t xml:space="preserve">”). Where appropriate, you should </w:t>
      </w:r>
      <w:r w:rsidR="005B0CEF">
        <w:rPr>
          <w:rFonts w:asciiTheme="minorBidi" w:hAnsiTheme="minorBidi" w:cstheme="minorBidi"/>
          <w:lang w:eastAsia="en-US"/>
        </w:rPr>
        <w:t xml:space="preserve">also </w:t>
      </w:r>
      <w:r w:rsidRPr="00BE55BE">
        <w:rPr>
          <w:rFonts w:asciiTheme="minorBidi" w:hAnsiTheme="minorBidi" w:cstheme="minorBidi"/>
          <w:lang w:eastAsia="en-US"/>
        </w:rPr>
        <w:t>consider conducting in depth legal antitrust assessments on new business units (see paragraph (c) of this chapter, above).</w:t>
      </w:r>
      <w:r w:rsidRPr="00D52335">
        <w:rPr>
          <w:rFonts w:asciiTheme="minorBidi" w:hAnsiTheme="minorBidi" w:cstheme="minorBidi"/>
          <w:lang w:eastAsia="en-US"/>
        </w:rPr>
        <w:t xml:space="preserve"> </w:t>
      </w:r>
    </w:p>
    <w:p w14:paraId="4C6B090A" w14:textId="77777777" w:rsidR="007D61C0" w:rsidRPr="00D52335" w:rsidRDefault="007D61C0" w:rsidP="007D61C0">
      <w:pPr>
        <w:spacing w:after="280"/>
        <w:rPr>
          <w:rFonts w:asciiTheme="minorBidi" w:hAnsiTheme="minorBidi" w:cstheme="minorBidi"/>
          <w:b/>
          <w:bCs/>
          <w:lang w:eastAsia="en-US"/>
        </w:rPr>
      </w:pPr>
      <w:r w:rsidRPr="00D52335">
        <w:rPr>
          <w:rFonts w:asciiTheme="minorBidi" w:hAnsiTheme="minorBidi" w:cstheme="minorBidi"/>
          <w:b/>
          <w:bCs/>
          <w:lang w:eastAsia="en-US"/>
        </w:rPr>
        <w:t>Internal “amnesty”</w:t>
      </w:r>
    </w:p>
    <w:p w14:paraId="4146A8AA" w14:textId="447EDD37" w:rsidR="007D61C0" w:rsidRDefault="007D61C0" w:rsidP="00A535E7">
      <w:pPr>
        <w:spacing w:after="280"/>
        <w:jc w:val="both"/>
        <w:rPr>
          <w:rFonts w:asciiTheme="minorBidi" w:hAnsiTheme="minorBidi" w:cstheme="minorBidi"/>
        </w:rPr>
      </w:pPr>
      <w:r w:rsidRPr="00D52335">
        <w:rPr>
          <w:rFonts w:asciiTheme="minorBidi" w:hAnsiTheme="minorBidi" w:cstheme="minorBidi"/>
        </w:rPr>
        <w:lastRenderedPageBreak/>
        <w:t>In order to identify antitrust compliance violations more quickly - some companies have considered offering an internal “amnesty”</w:t>
      </w:r>
      <w:r w:rsidRPr="00D52335">
        <w:rPr>
          <w:rFonts w:asciiTheme="minorBidi" w:hAnsiTheme="minorBidi" w:cstheme="minorBidi"/>
          <w:vertAlign w:val="superscript"/>
        </w:rPr>
        <w:footnoteReference w:id="47"/>
      </w:r>
      <w:r w:rsidRPr="00D52335">
        <w:rPr>
          <w:rFonts w:asciiTheme="minorBidi" w:hAnsiTheme="minorBidi" w:cstheme="minorBidi"/>
        </w:rPr>
        <w:t xml:space="preserve"> to the employees of the target company post</w:t>
      </w:r>
      <w:r>
        <w:rPr>
          <w:rFonts w:asciiTheme="minorBidi" w:hAnsiTheme="minorBidi" w:cstheme="minorBidi"/>
        </w:rPr>
        <w:t>-</w:t>
      </w:r>
      <w:r w:rsidRPr="00D52335">
        <w:rPr>
          <w:rFonts w:asciiTheme="minorBidi" w:hAnsiTheme="minorBidi" w:cstheme="minorBidi"/>
        </w:rPr>
        <w:t>acquisition if they come forward within a short period of time to confess to wrongdoing. The intention of this from an antitrust perspective is to allow you - as the acquiring company - to make an amnesty/leniency application to the relevant antitrust agenci</w:t>
      </w:r>
      <w:r>
        <w:rPr>
          <w:rFonts w:asciiTheme="minorBidi" w:hAnsiTheme="minorBidi" w:cstheme="minorBidi"/>
        </w:rPr>
        <w:t xml:space="preserve">es, </w:t>
      </w:r>
      <w:r w:rsidRPr="00D52335">
        <w:rPr>
          <w:rFonts w:asciiTheme="minorBidi" w:hAnsiTheme="minorBidi" w:cstheme="minorBidi"/>
        </w:rPr>
        <w:t>and to trigger contractual indemnities if relevant</w:t>
      </w:r>
      <w:r w:rsidR="00C41D89">
        <w:rPr>
          <w:rFonts w:asciiTheme="minorBidi" w:hAnsiTheme="minorBidi" w:cstheme="minorBidi"/>
        </w:rPr>
        <w:t xml:space="preserve"> in a time</w:t>
      </w:r>
      <w:r w:rsidR="004878E5">
        <w:rPr>
          <w:rFonts w:asciiTheme="minorBidi" w:hAnsiTheme="minorBidi" w:cstheme="minorBidi"/>
        </w:rPr>
        <w:t>ly</w:t>
      </w:r>
      <w:r w:rsidR="00C41D89">
        <w:rPr>
          <w:rFonts w:asciiTheme="minorBidi" w:hAnsiTheme="minorBidi" w:cstheme="minorBidi"/>
        </w:rPr>
        <w:t xml:space="preserve"> fashion</w:t>
      </w:r>
      <w:r w:rsidRPr="00D52335">
        <w:rPr>
          <w:rFonts w:asciiTheme="minorBidi" w:hAnsiTheme="minorBidi" w:cstheme="minorBidi"/>
        </w:rPr>
        <w:t>. However</w:t>
      </w:r>
      <w:r>
        <w:rPr>
          <w:rFonts w:asciiTheme="minorBidi" w:hAnsiTheme="minorBidi" w:cstheme="minorBidi"/>
        </w:rPr>
        <w:t>,</w:t>
      </w:r>
      <w:r w:rsidRPr="00D52335">
        <w:rPr>
          <w:rFonts w:asciiTheme="minorBidi" w:hAnsiTheme="minorBidi" w:cstheme="minorBidi"/>
        </w:rPr>
        <w:t xml:space="preserve"> the legal difficulties of going down this route should not be underestimated, and if you are contemplating this, your company should seek legal advice, in particular in relation to employment law, directors’ duties, disclosure requirements (for quoted companies and for companies regulated for example by the Financial Conduct Authority or similar), Legal Professional Privilege, anti-money laundering, and proceeds of crime considerations to name but a few.  </w:t>
      </w:r>
    </w:p>
    <w:p w14:paraId="4EC1480A" w14:textId="18317772" w:rsidR="007D61C0" w:rsidRPr="00B05A70" w:rsidRDefault="007D61C0" w:rsidP="005847BA">
      <w:pPr>
        <w:pStyle w:val="OUTLINEAL1"/>
      </w:pPr>
      <w:bookmarkStart w:id="135" w:name="_Toc166512670"/>
      <w:bookmarkStart w:id="136" w:name="_Toc166513128"/>
      <w:bookmarkStart w:id="137" w:name="_Toc166747918"/>
      <w:r w:rsidRPr="00B05A70">
        <w:lastRenderedPageBreak/>
        <w:t>Compliance incentives</w:t>
      </w:r>
      <w:bookmarkEnd w:id="135"/>
      <w:bookmarkEnd w:id="136"/>
      <w:bookmarkEnd w:id="137"/>
    </w:p>
    <w:p w14:paraId="52A2778A" w14:textId="77777777" w:rsidR="007D61C0" w:rsidRPr="00B05A70" w:rsidRDefault="007D61C0" w:rsidP="00A535E7">
      <w:pPr>
        <w:spacing w:after="280"/>
        <w:jc w:val="both"/>
        <w:rPr>
          <w:rFonts w:cs="Arial"/>
          <w:lang w:eastAsia="en-US"/>
        </w:rPr>
      </w:pPr>
      <w:r w:rsidRPr="00B05A70">
        <w:rPr>
          <w:rFonts w:cs="Arial"/>
          <w:bCs/>
          <w:lang w:eastAsia="en-US"/>
        </w:rPr>
        <w:t xml:space="preserve">Compliance </w:t>
      </w:r>
      <w:r w:rsidRPr="00B05A70">
        <w:rPr>
          <w:rFonts w:cs="Arial"/>
          <w:b/>
          <w:bCs/>
          <w:lang w:eastAsia="en-US"/>
        </w:rPr>
        <w:t>incentives</w:t>
      </w:r>
      <w:r w:rsidRPr="00B05A70">
        <w:rPr>
          <w:rFonts w:cs="Arial"/>
          <w:bCs/>
          <w:lang w:eastAsia="en-US"/>
        </w:rPr>
        <w:t xml:space="preserve"> </w:t>
      </w:r>
      <w:r>
        <w:rPr>
          <w:rFonts w:cs="Arial"/>
          <w:bCs/>
          <w:lang w:eastAsia="en-US"/>
        </w:rPr>
        <w:t>can</w:t>
      </w:r>
      <w:r w:rsidRPr="00B05A70">
        <w:rPr>
          <w:rFonts w:cs="Arial"/>
          <w:b/>
          <w:lang w:eastAsia="en-US"/>
        </w:rPr>
        <w:t xml:space="preserve"> </w:t>
      </w:r>
      <w:r w:rsidRPr="00B05A70">
        <w:rPr>
          <w:rFonts w:cs="Arial"/>
          <w:lang w:eastAsia="en-US"/>
        </w:rPr>
        <w:t xml:space="preserve">help to </w:t>
      </w:r>
      <w:r w:rsidRPr="00B05A70">
        <w:rPr>
          <w:rFonts w:cs="Arial"/>
          <w:b/>
          <w:lang w:eastAsia="en-US"/>
        </w:rPr>
        <w:t>change behaviour</w:t>
      </w:r>
      <w:r w:rsidRPr="00B05A70">
        <w:rPr>
          <w:rFonts w:cs="Arial"/>
          <w:lang w:eastAsia="en-US"/>
        </w:rPr>
        <w:t xml:space="preserve"> positively within your company. Incentives can work as effective tools for a business that wishes to promote compliance by employing concrete actions and can play an important role in fostering a culture of compliance</w:t>
      </w:r>
      <w:r>
        <w:rPr>
          <w:rFonts w:cs="Arial"/>
          <w:lang w:eastAsia="en-US"/>
        </w:rPr>
        <w:t>. I</w:t>
      </w:r>
      <w:r w:rsidRPr="00B05A70">
        <w:rPr>
          <w:rFonts w:cs="Arial"/>
          <w:lang w:eastAsia="en-US"/>
        </w:rPr>
        <w:t>ntroducing compliance incentives may be more suitable if your company already has a well-developed and mature compliance programme.</w:t>
      </w:r>
    </w:p>
    <w:p w14:paraId="3DD0C8AB" w14:textId="77777777" w:rsidR="007D61C0" w:rsidRPr="00B05A70" w:rsidRDefault="007D61C0" w:rsidP="00A535E7">
      <w:pPr>
        <w:spacing w:after="280"/>
        <w:jc w:val="both"/>
        <w:rPr>
          <w:rFonts w:cs="Arial"/>
        </w:rPr>
      </w:pPr>
      <w:r w:rsidRPr="00B05A70">
        <w:rPr>
          <w:rFonts w:cs="Arial"/>
        </w:rPr>
        <w:t>Incentives are seen (particularly by agencies) as offering support to a company’s culture of compliance</w:t>
      </w:r>
      <w:r w:rsidRPr="00B05A70">
        <w:rPr>
          <w:rFonts w:cs="Arial"/>
          <w:lang w:eastAsia="en-US"/>
        </w:rPr>
        <w:t>.</w:t>
      </w:r>
      <w:r w:rsidRPr="00B05A70">
        <w:rPr>
          <w:rFonts w:cs="Arial"/>
          <w:vertAlign w:val="superscript"/>
        </w:rPr>
        <w:footnoteReference w:id="48"/>
      </w:r>
      <w:r w:rsidRPr="00B05A70">
        <w:rPr>
          <w:rFonts w:cs="Arial"/>
        </w:rPr>
        <w:t xml:space="preserve"> However</w:t>
      </w:r>
      <w:r>
        <w:rPr>
          <w:rFonts w:cs="Arial"/>
        </w:rPr>
        <w:t xml:space="preserve">, </w:t>
      </w:r>
      <w:r w:rsidRPr="00B05A70">
        <w:rPr>
          <w:rFonts w:cs="Arial"/>
        </w:rPr>
        <w:t>unlike</w:t>
      </w:r>
      <w:r>
        <w:rPr>
          <w:rFonts w:cs="Arial"/>
        </w:rPr>
        <w:t xml:space="preserve"> other</w:t>
      </w:r>
      <w:r w:rsidRPr="00B05A70">
        <w:rPr>
          <w:rFonts w:cs="Arial"/>
        </w:rPr>
        <w:t xml:space="preserve"> mainstream antitrust compliance programme measures, such as training and in-depth antitrust legal assessments, incentives have sometimes proven to be controversial in theory</w:t>
      </w:r>
      <w:r>
        <w:rPr>
          <w:rFonts w:cs="Arial"/>
        </w:rPr>
        <w:t xml:space="preserve">, </w:t>
      </w:r>
      <w:r w:rsidRPr="00B05A70">
        <w:rPr>
          <w:rFonts w:cs="Arial"/>
        </w:rPr>
        <w:t>and difficult to implement in practice. Therefore, you should carefully consider what incentives your company wishes to (or legally</w:t>
      </w:r>
      <w:r>
        <w:rPr>
          <w:rFonts w:cs="Arial"/>
        </w:rPr>
        <w:t xml:space="preserve"> can</w:t>
      </w:r>
      <w:r w:rsidRPr="00B05A70">
        <w:rPr>
          <w:rFonts w:cs="Arial"/>
        </w:rPr>
        <w:t xml:space="preserve">) provide to ensure that antitrust compliance processes are followed. </w:t>
      </w:r>
    </w:p>
    <w:p w14:paraId="0DAF124E" w14:textId="3ED8388D" w:rsidR="007D61C0" w:rsidRPr="00B05A70" w:rsidRDefault="007D61C0">
      <w:pPr>
        <w:pStyle w:val="OUTLINEAL2"/>
        <w:numPr>
          <w:ilvl w:val="0"/>
          <w:numId w:val="47"/>
        </w:numPr>
      </w:pPr>
      <w:bookmarkStart w:id="138" w:name="_Toc166512671"/>
      <w:bookmarkStart w:id="139" w:name="_Toc166513129"/>
      <w:bookmarkStart w:id="140" w:name="_Toc166747919"/>
      <w:r w:rsidRPr="00B05A70">
        <w:t>Why have compliance incentives?</w:t>
      </w:r>
      <w:bookmarkEnd w:id="138"/>
      <w:bookmarkEnd w:id="139"/>
      <w:bookmarkEnd w:id="140"/>
    </w:p>
    <w:p w14:paraId="105DE712" w14:textId="5B87A5C3" w:rsidR="007D61C0" w:rsidRDefault="007D61C0" w:rsidP="00A535E7">
      <w:pPr>
        <w:spacing w:after="280"/>
        <w:jc w:val="both"/>
        <w:rPr>
          <w:rFonts w:eastAsia="Calibri" w:cs="Arial"/>
          <w:lang w:eastAsia="en-GB"/>
        </w:rPr>
      </w:pPr>
      <w:r w:rsidRPr="00B05A70">
        <w:rPr>
          <w:rFonts w:cs="Arial"/>
        </w:rPr>
        <w:t xml:space="preserve">The </w:t>
      </w:r>
      <w:r>
        <w:rPr>
          <w:rFonts w:cs="Arial"/>
        </w:rPr>
        <w:t xml:space="preserve">main </w:t>
      </w:r>
      <w:r w:rsidRPr="00B05A70">
        <w:rPr>
          <w:rFonts w:cs="Arial"/>
        </w:rPr>
        <w:t xml:space="preserve">reason why you might consider having incentives to bolster your company’s compliance programme is because many agencies view incentives an important part of a credible programme </w:t>
      </w:r>
      <w:r w:rsidRPr="00B05A70">
        <w:rPr>
          <w:rFonts w:eastAsia="Calibri" w:cs="Arial"/>
          <w:lang w:eastAsia="en-GB"/>
        </w:rPr>
        <w:t>audit result could drive</w:t>
      </w:r>
      <w:r w:rsidR="00A535E7">
        <w:rPr>
          <w:rFonts w:eastAsia="Calibri" w:cs="Arial"/>
          <w:lang w:eastAsia="en-GB"/>
        </w:rPr>
        <w:t>.</w:t>
      </w:r>
      <w:r w:rsidRPr="00B05A70">
        <w:rPr>
          <w:rFonts w:eastAsia="Calibri" w:cs="Arial"/>
          <w:lang w:eastAsia="en-GB"/>
        </w:rPr>
        <w:t xml:space="preserve"> </w:t>
      </w:r>
    </w:p>
    <w:p w14:paraId="41959B07" w14:textId="522B9675" w:rsidR="007D61C0" w:rsidRPr="00B05A70" w:rsidRDefault="007D61C0" w:rsidP="005847BA">
      <w:pPr>
        <w:pStyle w:val="OUTLINEAL2"/>
      </w:pPr>
      <w:bookmarkStart w:id="141" w:name="_Toc166512672"/>
      <w:bookmarkStart w:id="142" w:name="_Toc166513130"/>
      <w:bookmarkStart w:id="143" w:name="_Toc166747920"/>
      <w:r w:rsidRPr="00B05A70">
        <w:t>Types of incentives</w:t>
      </w:r>
      <w:bookmarkEnd w:id="141"/>
      <w:bookmarkEnd w:id="142"/>
      <w:bookmarkEnd w:id="143"/>
    </w:p>
    <w:p w14:paraId="23692E7E" w14:textId="77777777" w:rsidR="007D61C0" w:rsidRPr="00B05A70" w:rsidRDefault="007D61C0" w:rsidP="00A535E7">
      <w:pPr>
        <w:spacing w:after="280"/>
        <w:jc w:val="both"/>
        <w:rPr>
          <w:rFonts w:cs="Arial"/>
        </w:rPr>
      </w:pPr>
      <w:r w:rsidRPr="00B05A70">
        <w:rPr>
          <w:rFonts w:cs="Arial"/>
        </w:rPr>
        <w:t xml:space="preserve">There is a </w:t>
      </w:r>
      <w:r w:rsidRPr="00B05A70">
        <w:rPr>
          <w:rFonts w:cs="Arial"/>
          <w:b/>
        </w:rPr>
        <w:t>wide range of compliance incentives</w:t>
      </w:r>
      <w:r w:rsidRPr="00B05A70">
        <w:rPr>
          <w:rFonts w:cs="Arial"/>
        </w:rPr>
        <w:t xml:space="preserve">, from “softer” incentives to more tangible </w:t>
      </w:r>
      <w:r>
        <w:rPr>
          <w:rFonts w:cs="Arial"/>
        </w:rPr>
        <w:t>ones</w:t>
      </w:r>
      <w:r w:rsidRPr="00B05A70">
        <w:rPr>
          <w:rFonts w:cs="Arial"/>
        </w:rPr>
        <w:t>:</w:t>
      </w:r>
    </w:p>
    <w:p w14:paraId="15294E2D" w14:textId="77777777" w:rsidR="007D61C0" w:rsidRPr="00B05A70" w:rsidRDefault="007D61C0">
      <w:pPr>
        <w:numPr>
          <w:ilvl w:val="0"/>
          <w:numId w:val="21"/>
        </w:numPr>
        <w:spacing w:after="280"/>
        <w:ind w:left="851" w:hanging="284"/>
        <w:jc w:val="both"/>
        <w:rPr>
          <w:rFonts w:eastAsia="Calibri" w:cs="Arial"/>
          <w:lang w:eastAsia="en-GB"/>
        </w:rPr>
      </w:pPr>
      <w:r w:rsidRPr="00B05A70">
        <w:rPr>
          <w:rFonts w:eastAsia="Calibri" w:cs="Arial"/>
          <w:lang w:eastAsia="en-GB"/>
        </w:rPr>
        <w:t>The “softer” incentives include non-tangible encouragement/recognition, such as commendations (public or not, as appropriate) from your senior business leaders for an employee’s exemplary compliance-related conduct (</w:t>
      </w:r>
      <w:r>
        <w:rPr>
          <w:rFonts w:eastAsia="Calibri" w:cs="Arial"/>
          <w:lang w:eastAsia="en-GB"/>
        </w:rPr>
        <w:t>i.e.,</w:t>
      </w:r>
      <w:r w:rsidRPr="00B05A70">
        <w:rPr>
          <w:rFonts w:eastAsia="Calibri" w:cs="Arial"/>
          <w:lang w:eastAsia="en-GB"/>
        </w:rPr>
        <w:t xml:space="preserve"> as “compliance champions” or “compliance heroes”);</w:t>
      </w:r>
    </w:p>
    <w:p w14:paraId="6CA8C2E0" w14:textId="77777777" w:rsidR="007D61C0" w:rsidRPr="00B05A70" w:rsidRDefault="007D61C0">
      <w:pPr>
        <w:numPr>
          <w:ilvl w:val="0"/>
          <w:numId w:val="21"/>
        </w:numPr>
        <w:spacing w:after="280"/>
        <w:ind w:left="851" w:hanging="284"/>
        <w:jc w:val="both"/>
        <w:rPr>
          <w:rFonts w:eastAsia="Calibri" w:cs="Arial"/>
          <w:lang w:eastAsia="en-GB"/>
        </w:rPr>
      </w:pPr>
      <w:r w:rsidRPr="00B05A70">
        <w:rPr>
          <w:rFonts w:eastAsia="Calibri" w:cs="Arial"/>
          <w:lang w:eastAsia="en-GB"/>
        </w:rPr>
        <w:t>These “softer” incentives can also be addressed to a group (</w:t>
      </w:r>
      <w:r>
        <w:rPr>
          <w:rFonts w:eastAsia="Calibri" w:cs="Arial"/>
          <w:lang w:eastAsia="en-GB"/>
        </w:rPr>
        <w:t>i.e.,</w:t>
      </w:r>
      <w:r w:rsidRPr="00B05A70">
        <w:rPr>
          <w:rFonts w:eastAsia="Calibri" w:cs="Arial"/>
          <w:lang w:eastAsia="en-GB"/>
        </w:rPr>
        <w:t xml:space="preserve"> </w:t>
      </w:r>
      <w:r>
        <w:rPr>
          <w:rFonts w:eastAsia="Calibri" w:cs="Arial"/>
          <w:lang w:eastAsia="en-GB"/>
        </w:rPr>
        <w:t>publicising</w:t>
      </w:r>
      <w:r w:rsidRPr="00B05A70">
        <w:rPr>
          <w:rFonts w:eastAsia="Calibri" w:cs="Arial"/>
          <w:lang w:eastAsia="en-GB"/>
        </w:rPr>
        <w:t xml:space="preserve"> a country or business unit being the first within your company to have 100% employee completion of training);</w:t>
      </w:r>
    </w:p>
    <w:p w14:paraId="214903DD" w14:textId="77777777" w:rsidR="007D61C0" w:rsidRPr="00B05A70" w:rsidRDefault="007D61C0">
      <w:pPr>
        <w:numPr>
          <w:ilvl w:val="0"/>
          <w:numId w:val="21"/>
        </w:numPr>
        <w:spacing w:after="280"/>
        <w:ind w:left="851" w:hanging="284"/>
        <w:jc w:val="both"/>
        <w:rPr>
          <w:rFonts w:eastAsia="Calibri" w:cs="Arial"/>
          <w:lang w:eastAsia="en-GB"/>
        </w:rPr>
      </w:pPr>
      <w:r w:rsidRPr="00B05A70">
        <w:rPr>
          <w:rFonts w:eastAsia="Calibri" w:cs="Arial"/>
          <w:lang w:eastAsia="en-GB"/>
        </w:rPr>
        <w:t>They may include tangible rewards, possibly monetary (which can be very effective, but occasionally offend those who feel that doing what is right is part of everyone’s job) – they could also include (short of monetary rewards) commendation in staff appraisals, which may in turn in due course be taken into account in promotions or performance bonuses);</w:t>
      </w:r>
    </w:p>
    <w:p w14:paraId="0925EBC3" w14:textId="77777777" w:rsidR="007D61C0" w:rsidRPr="00B05A70" w:rsidRDefault="007D61C0">
      <w:pPr>
        <w:numPr>
          <w:ilvl w:val="0"/>
          <w:numId w:val="21"/>
        </w:numPr>
        <w:spacing w:after="280"/>
        <w:ind w:left="851" w:hanging="284"/>
        <w:jc w:val="both"/>
        <w:rPr>
          <w:rFonts w:eastAsia="Calibri" w:cs="Arial"/>
          <w:lang w:eastAsia="en-GB"/>
        </w:rPr>
      </w:pPr>
      <w:r w:rsidRPr="00B05A70">
        <w:rPr>
          <w:rFonts w:eastAsia="Calibri" w:cs="Arial"/>
          <w:lang w:eastAsia="en-GB"/>
        </w:rPr>
        <w:t xml:space="preserve">You could consider using compliance criteria in personnel evaluations (employee appraisals), which </w:t>
      </w:r>
      <w:r>
        <w:rPr>
          <w:rFonts w:eastAsia="Calibri" w:cs="Arial"/>
          <w:lang w:eastAsia="en-GB"/>
        </w:rPr>
        <w:t>–</w:t>
      </w:r>
      <w:r w:rsidRPr="00B05A70">
        <w:rPr>
          <w:rFonts w:eastAsia="Calibri" w:cs="Arial"/>
          <w:lang w:eastAsia="en-GB"/>
        </w:rPr>
        <w:t xml:space="preserve"> along with other criteria </w:t>
      </w:r>
      <w:r>
        <w:rPr>
          <w:rFonts w:eastAsia="Calibri" w:cs="Arial"/>
          <w:lang w:eastAsia="en-GB"/>
        </w:rPr>
        <w:t>–</w:t>
      </w:r>
      <w:r w:rsidRPr="00B05A70">
        <w:rPr>
          <w:rFonts w:eastAsia="Calibri" w:cs="Arial"/>
          <w:lang w:eastAsia="en-GB"/>
        </w:rPr>
        <w:t xml:space="preserve"> can impact an employee’s compensation and / or promotion prospects;</w:t>
      </w:r>
    </w:p>
    <w:p w14:paraId="0ED24D58" w14:textId="402E4935" w:rsidR="007D61C0" w:rsidRPr="00B05A70" w:rsidRDefault="007D61C0">
      <w:pPr>
        <w:numPr>
          <w:ilvl w:val="0"/>
          <w:numId w:val="21"/>
        </w:numPr>
        <w:spacing w:after="280"/>
        <w:ind w:left="851" w:hanging="284"/>
        <w:jc w:val="both"/>
        <w:rPr>
          <w:rFonts w:eastAsia="Calibri" w:cs="Arial"/>
          <w:lang w:eastAsia="en-GB"/>
        </w:rPr>
      </w:pPr>
      <w:r w:rsidRPr="00B05A70">
        <w:rPr>
          <w:rFonts w:eastAsia="Calibri" w:cs="Arial"/>
          <w:lang w:eastAsia="en-GB"/>
        </w:rPr>
        <w:t xml:space="preserve">Compliance incentives can be either general or risk-area specific </w:t>
      </w:r>
      <w:r>
        <w:rPr>
          <w:rFonts w:eastAsia="Calibri" w:cs="Arial"/>
          <w:lang w:eastAsia="en-GB"/>
        </w:rPr>
        <w:t>–</w:t>
      </w:r>
      <w:r w:rsidRPr="00B05A70">
        <w:rPr>
          <w:rFonts w:eastAsia="Calibri" w:cs="Arial"/>
          <w:lang w:eastAsia="en-GB"/>
        </w:rPr>
        <w:t xml:space="preserve"> for instance, i</w:t>
      </w:r>
      <w:r w:rsidRPr="00B05A70">
        <w:rPr>
          <w:rFonts w:eastAsia="Calibri" w:cs="Arial"/>
          <w:lang w:eastAsia="en-US"/>
        </w:rPr>
        <w:t xml:space="preserve">n a personnel </w:t>
      </w:r>
      <w:r w:rsidRPr="00B05A70">
        <w:rPr>
          <w:rFonts w:eastAsia="Calibri" w:cs="Arial"/>
          <w:lang w:eastAsia="en-GB"/>
        </w:rPr>
        <w:t>evaluation</w:t>
      </w:r>
      <w:r w:rsidRPr="00B05A70">
        <w:rPr>
          <w:rFonts w:eastAsia="Calibri" w:cs="Arial"/>
          <w:lang w:eastAsia="en-US"/>
        </w:rPr>
        <w:t xml:space="preserve"> </w:t>
      </w:r>
      <w:r w:rsidRPr="00B05A70">
        <w:rPr>
          <w:rFonts w:eastAsia="Calibri" w:cs="Arial"/>
          <w:lang w:eastAsia="en-GB"/>
        </w:rPr>
        <w:t xml:space="preserve">(employee appraisal) </w:t>
      </w:r>
      <w:r w:rsidRPr="00B05A70">
        <w:rPr>
          <w:rFonts w:eastAsia="Calibri" w:cs="Arial"/>
          <w:lang w:eastAsia="en-US"/>
        </w:rPr>
        <w:t xml:space="preserve">you could test whether an employee has demonstrated </w:t>
      </w:r>
      <w:r w:rsidRPr="00B05A70">
        <w:rPr>
          <w:rFonts w:eastAsia="Calibri" w:cs="Arial"/>
          <w:lang w:eastAsia="en-GB"/>
        </w:rPr>
        <w:t>an understanding of and adherence to your company’s policies and procedures</w:t>
      </w:r>
      <w:r w:rsidR="007339A4">
        <w:rPr>
          <w:rFonts w:eastAsia="Calibri" w:cs="Arial"/>
          <w:lang w:eastAsia="en-GB"/>
        </w:rPr>
        <w:t>;</w:t>
      </w:r>
    </w:p>
    <w:p w14:paraId="34EDD09B" w14:textId="77777777" w:rsidR="007D61C0" w:rsidRPr="00B05A70" w:rsidRDefault="007D61C0">
      <w:pPr>
        <w:numPr>
          <w:ilvl w:val="0"/>
          <w:numId w:val="21"/>
        </w:numPr>
        <w:spacing w:after="280"/>
        <w:ind w:left="851" w:hanging="284"/>
        <w:jc w:val="both"/>
        <w:rPr>
          <w:rFonts w:eastAsia="Calibri" w:cs="Arial"/>
          <w:lang w:eastAsia="en-GB"/>
        </w:rPr>
      </w:pPr>
      <w:r w:rsidRPr="00B05A70">
        <w:rPr>
          <w:rFonts w:eastAsia="Calibri" w:cs="Arial"/>
          <w:lang w:eastAsia="en-GB"/>
        </w:rPr>
        <w:lastRenderedPageBreak/>
        <w:t xml:space="preserve">Some companies require consideration of compliance performance as part of succession planning </w:t>
      </w:r>
      <w:r>
        <w:rPr>
          <w:rFonts w:eastAsia="Calibri" w:cs="Arial"/>
          <w:lang w:eastAsia="en-GB"/>
        </w:rPr>
        <w:t>–</w:t>
      </w:r>
      <w:r w:rsidRPr="00B05A70">
        <w:rPr>
          <w:rFonts w:eastAsia="Calibri" w:cs="Arial"/>
          <w:lang w:eastAsia="en-GB"/>
        </w:rPr>
        <w:t xml:space="preserve"> which can be a powerful compliance-related motivator for leaders and future leaders in your company;</w:t>
      </w:r>
    </w:p>
    <w:p w14:paraId="2268A786" w14:textId="4ABB4394" w:rsidR="007D61C0" w:rsidRPr="00B05A70" w:rsidRDefault="007D61C0">
      <w:pPr>
        <w:numPr>
          <w:ilvl w:val="0"/>
          <w:numId w:val="21"/>
        </w:numPr>
        <w:spacing w:after="280"/>
        <w:ind w:left="851" w:hanging="284"/>
        <w:jc w:val="both"/>
        <w:rPr>
          <w:rFonts w:eastAsia="Calibri" w:cs="Arial"/>
          <w:lang w:eastAsia="en-GB"/>
        </w:rPr>
      </w:pPr>
      <w:r w:rsidRPr="00B05A70">
        <w:rPr>
          <w:rFonts w:eastAsia="Calibri" w:cs="Arial"/>
          <w:lang w:eastAsia="en-GB"/>
        </w:rPr>
        <w:t>You should also consider how other incentives (such as bonuses linked to stretching business targets) could deter compliance (for example, if the rewards scheme prompts employees to take undue risk, e.g. promotes “do or die” attitude)</w:t>
      </w:r>
      <w:r w:rsidR="007339A4">
        <w:rPr>
          <w:rFonts w:eastAsia="Calibri" w:cs="Arial"/>
          <w:lang w:eastAsia="en-GB"/>
        </w:rPr>
        <w:t>.</w:t>
      </w:r>
    </w:p>
    <w:p w14:paraId="2E8A811D" w14:textId="77777777" w:rsidR="007D61C0" w:rsidRDefault="007D61C0" w:rsidP="00A535E7">
      <w:pPr>
        <w:pBdr>
          <w:bottom w:val="dotted" w:sz="8" w:space="5" w:color="000000"/>
        </w:pBdr>
        <w:tabs>
          <w:tab w:val="left" w:pos="851"/>
        </w:tabs>
        <w:spacing w:before="200" w:line="240" w:lineRule="auto"/>
        <w:jc w:val="both"/>
        <w:outlineLvl w:val="0"/>
        <w:rPr>
          <w:rFonts w:eastAsia="Calibri" w:cs="Arial"/>
          <w:lang w:eastAsia="en-GB"/>
        </w:rPr>
      </w:pPr>
      <w:r w:rsidRPr="00B05A70">
        <w:rPr>
          <w:rFonts w:eastAsia="Calibri" w:cs="Arial"/>
          <w:lang w:eastAsia="en-GB"/>
        </w:rPr>
        <w:t xml:space="preserve">For internal career planning, </w:t>
      </w:r>
      <w:r w:rsidRPr="00B05A70">
        <w:rPr>
          <w:rFonts w:eastAsia="Calibri" w:cs="Arial"/>
          <w:lang w:eastAsia="en-US"/>
        </w:rPr>
        <w:t>you</w:t>
      </w:r>
      <w:r w:rsidRPr="00B05A70">
        <w:rPr>
          <w:rFonts w:eastAsia="Calibri" w:cs="Arial"/>
          <w:lang w:eastAsia="en-GB"/>
        </w:rPr>
        <w:t xml:space="preserve"> may wish to consider whether promotions could depend also on an individual employee’s compliance track record</w:t>
      </w:r>
      <w:r w:rsidR="00A535E7">
        <w:rPr>
          <w:rFonts w:eastAsia="Calibri" w:cs="Arial"/>
          <w:lang w:eastAsia="en-GB"/>
        </w:rPr>
        <w:t>.</w:t>
      </w:r>
    </w:p>
    <w:p w14:paraId="33EB928E" w14:textId="77777777" w:rsidR="00982525" w:rsidRDefault="00982525" w:rsidP="00982525">
      <w:pPr>
        <w:pStyle w:val="NormalWeb"/>
        <w:rPr>
          <w:rFonts w:eastAsia="Calibri"/>
        </w:rPr>
      </w:pPr>
    </w:p>
    <w:p w14:paraId="33E819CA" w14:textId="1BA7FB13" w:rsidR="007D61C0" w:rsidRPr="000E411E" w:rsidRDefault="007D61C0" w:rsidP="00982525">
      <w:pPr>
        <w:pStyle w:val="OUTLINEAL1"/>
      </w:pPr>
      <w:bookmarkStart w:id="144" w:name="_Toc166512673"/>
      <w:bookmarkStart w:id="145" w:name="_Toc166513131"/>
      <w:bookmarkStart w:id="146" w:name="_Toc166747921"/>
      <w:r w:rsidRPr="000E411E">
        <w:lastRenderedPageBreak/>
        <w:t>Monitoring and continuous improvement</w:t>
      </w:r>
      <w:bookmarkEnd w:id="144"/>
      <w:bookmarkEnd w:id="145"/>
      <w:bookmarkEnd w:id="146"/>
    </w:p>
    <w:p w14:paraId="6A323977" w14:textId="0D1C6FFE" w:rsidR="007D61C0" w:rsidRPr="00B05A70" w:rsidRDefault="007D61C0" w:rsidP="00A535E7">
      <w:pPr>
        <w:spacing w:after="280"/>
        <w:jc w:val="both"/>
        <w:rPr>
          <w:rFonts w:asciiTheme="minorBidi" w:hAnsiTheme="minorBidi" w:cstheme="minorBidi"/>
        </w:rPr>
      </w:pPr>
      <w:r w:rsidRPr="00B05A70">
        <w:rPr>
          <w:rFonts w:asciiTheme="minorBidi" w:hAnsiTheme="minorBidi" w:cstheme="minorBidi"/>
          <w:bCs/>
        </w:rPr>
        <w:t xml:space="preserve">Your company should take reasonable steps regularly to evaluate the effectiveness of its antitrust compliance programme. </w:t>
      </w:r>
      <w:r w:rsidRPr="00B05A70">
        <w:rPr>
          <w:rFonts w:asciiTheme="minorBidi" w:hAnsiTheme="minorBidi" w:cstheme="minorBidi"/>
          <w:b/>
          <w:bCs/>
        </w:rPr>
        <w:t>Regular evaluations are essential features</w:t>
      </w:r>
      <w:r w:rsidRPr="00B05A70">
        <w:rPr>
          <w:rFonts w:asciiTheme="minorBidi" w:hAnsiTheme="minorBidi" w:cstheme="minorBidi"/>
          <w:bCs/>
        </w:rPr>
        <w:t xml:space="preserve"> of any antitrust compliance programme given the dynamic business and regulatory context in which companies operate and how this affects both internal and external risk factors (see Chapter </w:t>
      </w:r>
      <w:r w:rsidRPr="00A15E97">
        <w:rPr>
          <w:rFonts w:asciiTheme="minorBidi" w:hAnsiTheme="minorBidi"/>
        </w:rPr>
        <w:t>3</w:t>
      </w:r>
      <w:r w:rsidRPr="00B05A70">
        <w:rPr>
          <w:rFonts w:asciiTheme="minorBidi" w:hAnsiTheme="minorBidi" w:cstheme="minorBidi"/>
          <w:bCs/>
        </w:rPr>
        <w:t xml:space="preserve">: “Risk identification and assessment”). </w:t>
      </w:r>
      <w:r w:rsidRPr="00B05A70">
        <w:rPr>
          <w:rFonts w:asciiTheme="minorBidi" w:hAnsiTheme="minorBidi" w:cstheme="minorBidi"/>
        </w:rPr>
        <w:t xml:space="preserve">Your </w:t>
      </w:r>
      <w:r w:rsidRPr="00B05A70">
        <w:rPr>
          <w:rFonts w:asciiTheme="minorBidi" w:hAnsiTheme="minorBidi" w:cstheme="minorBidi"/>
          <w:lang w:eastAsia="en-US"/>
        </w:rPr>
        <w:t xml:space="preserve">company’s </w:t>
      </w:r>
      <w:r w:rsidRPr="00B05A70">
        <w:rPr>
          <w:rFonts w:asciiTheme="minorBidi" w:hAnsiTheme="minorBidi" w:cstheme="minorBidi"/>
        </w:rPr>
        <w:t>compliance and ethics programme should be measured like any other critical capability.</w:t>
      </w:r>
    </w:p>
    <w:p w14:paraId="23D37754" w14:textId="77777777" w:rsidR="007D61C0" w:rsidRPr="00B05A70" w:rsidRDefault="007D61C0" w:rsidP="00A535E7">
      <w:pPr>
        <w:spacing w:after="280"/>
        <w:jc w:val="both"/>
        <w:rPr>
          <w:rFonts w:asciiTheme="minorBidi" w:hAnsiTheme="minorBidi" w:cstheme="minorBidi"/>
        </w:rPr>
      </w:pPr>
      <w:r w:rsidRPr="00B05A70">
        <w:rPr>
          <w:rFonts w:asciiTheme="minorBidi" w:hAnsiTheme="minorBidi" w:cstheme="minorBidi"/>
        </w:rPr>
        <w:t>There are two aspects of compliance monitoring and assessment that your company could use to determine whether the design of its compliance programme meaningfully assists in</w:t>
      </w:r>
      <w:r w:rsidRPr="00B05A70">
        <w:rPr>
          <w:rFonts w:asciiTheme="minorBidi" w:hAnsiTheme="minorBidi" w:cstheme="minorBidi"/>
          <w:bCs/>
        </w:rPr>
        <w:t xml:space="preserve"> preventing, detecting, and responding to violations of applicable </w:t>
      </w:r>
      <w:r w:rsidRPr="00B05A70">
        <w:rPr>
          <w:rFonts w:asciiTheme="minorBidi" w:hAnsiTheme="minorBidi" w:cstheme="minorBidi"/>
        </w:rPr>
        <w:t xml:space="preserve">antitrust </w:t>
      </w:r>
      <w:r w:rsidRPr="00B05A70">
        <w:rPr>
          <w:rFonts w:asciiTheme="minorBidi" w:hAnsiTheme="minorBidi" w:cstheme="minorBidi"/>
          <w:bCs/>
        </w:rPr>
        <w:t xml:space="preserve">laws </w:t>
      </w:r>
      <w:r w:rsidRPr="00B05A70">
        <w:rPr>
          <w:rFonts w:asciiTheme="minorBidi" w:hAnsiTheme="minorBidi" w:cstheme="minorBidi"/>
        </w:rPr>
        <w:t>(also known as “assurance”):</w:t>
      </w:r>
    </w:p>
    <w:p w14:paraId="029596FA" w14:textId="77777777" w:rsidR="007D61C0" w:rsidRPr="00B05A70" w:rsidRDefault="007D61C0">
      <w:pPr>
        <w:numPr>
          <w:ilvl w:val="0"/>
          <w:numId w:val="23"/>
        </w:numPr>
        <w:spacing w:after="280"/>
        <w:ind w:left="851" w:hanging="284"/>
        <w:jc w:val="both"/>
        <w:rPr>
          <w:rFonts w:asciiTheme="minorBidi" w:hAnsiTheme="minorBidi" w:cstheme="minorBidi"/>
          <w:b/>
        </w:rPr>
      </w:pPr>
      <w:r w:rsidRPr="00B05A70">
        <w:rPr>
          <w:rFonts w:asciiTheme="minorBidi" w:hAnsiTheme="minorBidi" w:cstheme="minorBidi"/>
        </w:rPr>
        <w:t xml:space="preserve">The first involves checking that your programme’s </w:t>
      </w:r>
      <w:r w:rsidRPr="00B05A70">
        <w:rPr>
          <w:rFonts w:asciiTheme="minorBidi" w:hAnsiTheme="minorBidi" w:cstheme="minorBidi"/>
          <w:b/>
          <w:u w:val="single"/>
        </w:rPr>
        <w:t>processes and controls</w:t>
      </w:r>
      <w:r w:rsidRPr="00B05A70">
        <w:rPr>
          <w:rFonts w:asciiTheme="minorBidi" w:hAnsiTheme="minorBidi" w:cstheme="minorBidi"/>
        </w:rPr>
        <w:t xml:space="preserve"> are </w:t>
      </w:r>
      <w:r>
        <w:rPr>
          <w:rFonts w:asciiTheme="minorBidi" w:hAnsiTheme="minorBidi" w:cstheme="minorBidi"/>
        </w:rPr>
        <w:t>–</w:t>
      </w:r>
      <w:r w:rsidRPr="00B05A70">
        <w:rPr>
          <w:rFonts w:asciiTheme="minorBidi" w:hAnsiTheme="minorBidi" w:cstheme="minorBidi"/>
        </w:rPr>
        <w:t xml:space="preserve"> and continue to be </w:t>
      </w:r>
      <w:r>
        <w:rPr>
          <w:rFonts w:asciiTheme="minorBidi" w:hAnsiTheme="minorBidi" w:cstheme="minorBidi"/>
        </w:rPr>
        <w:t>–</w:t>
      </w:r>
      <w:r w:rsidRPr="00B05A70">
        <w:rPr>
          <w:rFonts w:asciiTheme="minorBidi" w:hAnsiTheme="minorBidi" w:cstheme="minorBidi"/>
        </w:rPr>
        <w:t xml:space="preserve"> appropriate, and are being implemented and are operating effectively and efficiently;</w:t>
      </w:r>
    </w:p>
    <w:p w14:paraId="3FCDB6E8" w14:textId="77777777" w:rsidR="007D61C0" w:rsidRPr="00B05A70" w:rsidRDefault="007D61C0">
      <w:pPr>
        <w:numPr>
          <w:ilvl w:val="0"/>
          <w:numId w:val="23"/>
        </w:numPr>
        <w:spacing w:after="280"/>
        <w:ind w:left="851" w:hanging="284"/>
        <w:jc w:val="both"/>
        <w:rPr>
          <w:rFonts w:asciiTheme="minorBidi" w:hAnsiTheme="minorBidi" w:cstheme="minorBidi"/>
          <w:b/>
        </w:rPr>
      </w:pPr>
      <w:r w:rsidRPr="00B05A70">
        <w:rPr>
          <w:rFonts w:asciiTheme="minorBidi" w:hAnsiTheme="minorBidi" w:cstheme="minorBidi"/>
        </w:rPr>
        <w:t>The second (considerably more difficult) aspect is a regular review of parts of your company’s business or of certain practices to assess whether these are compliant (</w:t>
      </w:r>
      <w:r w:rsidRPr="00B05A70">
        <w:rPr>
          <w:rFonts w:asciiTheme="minorBidi" w:hAnsiTheme="minorBidi" w:cstheme="minorBidi"/>
          <w:i/>
          <w:iCs/>
        </w:rPr>
        <w:t>i.e.</w:t>
      </w:r>
      <w:r>
        <w:rPr>
          <w:rFonts w:asciiTheme="minorBidi" w:hAnsiTheme="minorBidi" w:cstheme="minorBidi"/>
          <w:i/>
          <w:iCs/>
        </w:rPr>
        <w:t>,</w:t>
      </w:r>
      <w:r w:rsidRPr="00B05A70">
        <w:rPr>
          <w:rFonts w:asciiTheme="minorBidi" w:hAnsiTheme="minorBidi" w:cstheme="minorBidi"/>
        </w:rPr>
        <w:t xml:space="preserve"> a </w:t>
      </w:r>
      <w:r w:rsidRPr="00B05A70">
        <w:rPr>
          <w:rFonts w:asciiTheme="minorBidi" w:hAnsiTheme="minorBidi" w:cstheme="minorBidi"/>
          <w:b/>
          <w:u w:val="single"/>
        </w:rPr>
        <w:t>substantive compliance assessment</w:t>
      </w:r>
      <w:r w:rsidRPr="00B05A70">
        <w:rPr>
          <w:rFonts w:asciiTheme="minorBidi" w:hAnsiTheme="minorBidi" w:cstheme="minorBidi"/>
        </w:rPr>
        <w:t>).</w:t>
      </w:r>
      <w:r w:rsidRPr="00B05A70">
        <w:rPr>
          <w:rFonts w:asciiTheme="minorBidi" w:hAnsiTheme="minorBidi" w:cstheme="minorBidi"/>
          <w:i/>
          <w:vertAlign w:val="superscript"/>
        </w:rPr>
        <w:footnoteReference w:id="49"/>
      </w:r>
      <w:r w:rsidRPr="00B05A70">
        <w:rPr>
          <w:rFonts w:asciiTheme="minorBidi" w:hAnsiTheme="minorBidi" w:cstheme="minorBidi"/>
        </w:rPr>
        <w:t xml:space="preserve"> </w:t>
      </w:r>
    </w:p>
    <w:p w14:paraId="51EEC410" w14:textId="77777777" w:rsidR="007D61C0" w:rsidRPr="00B05A70" w:rsidRDefault="007D61C0">
      <w:pPr>
        <w:pStyle w:val="OUTLINEAL2"/>
        <w:numPr>
          <w:ilvl w:val="0"/>
          <w:numId w:val="48"/>
        </w:numPr>
      </w:pPr>
      <w:bookmarkStart w:id="147" w:name="_Toc166512674"/>
      <w:bookmarkStart w:id="148" w:name="_Toc166513132"/>
      <w:bookmarkStart w:id="149" w:name="_Toc166747922"/>
      <w:r w:rsidRPr="00B05A70">
        <w:t>Monitoring and assessing processes and controls</w:t>
      </w:r>
      <w:bookmarkEnd w:id="147"/>
      <w:bookmarkEnd w:id="148"/>
      <w:bookmarkEnd w:id="149"/>
      <w:r w:rsidRPr="00B05A70">
        <w:t xml:space="preserve"> </w:t>
      </w:r>
    </w:p>
    <w:p w14:paraId="0DE474ED" w14:textId="77777777" w:rsidR="007D61C0" w:rsidRPr="00B05A70" w:rsidRDefault="007D61C0" w:rsidP="00A535E7">
      <w:pPr>
        <w:autoSpaceDE w:val="0"/>
        <w:autoSpaceDN w:val="0"/>
        <w:adjustRightInd w:val="0"/>
        <w:spacing w:after="280"/>
        <w:jc w:val="both"/>
        <w:rPr>
          <w:rFonts w:asciiTheme="minorBidi" w:hAnsiTheme="minorBidi" w:cstheme="minorBidi"/>
          <w:bCs/>
        </w:rPr>
      </w:pPr>
      <w:r w:rsidRPr="00B05A70">
        <w:rPr>
          <w:rFonts w:asciiTheme="minorBidi" w:hAnsiTheme="minorBidi" w:cstheme="minorBidi"/>
        </w:rPr>
        <w:t>By using accurate recent data</w:t>
      </w:r>
      <w:r w:rsidRPr="00B05A70">
        <w:rPr>
          <w:rFonts w:asciiTheme="minorBidi" w:hAnsiTheme="minorBidi" w:cstheme="minorBidi"/>
          <w:lang w:eastAsia="en-US"/>
        </w:rPr>
        <w:t xml:space="preserve"> to </w:t>
      </w:r>
      <w:r w:rsidRPr="00B05A70">
        <w:rPr>
          <w:rFonts w:asciiTheme="minorBidi" w:hAnsiTheme="minorBidi" w:cstheme="minorBidi"/>
        </w:rPr>
        <w:t xml:space="preserve">measure whether your company’s antitrust compliance programme processes and related controls are appropriately designed and are being applied consistently and adequately throughout your company, you should evaluate the effectiveness of those controls and improve them where necessary. </w:t>
      </w:r>
      <w:r w:rsidRPr="00B05A70">
        <w:rPr>
          <w:rFonts w:asciiTheme="minorBidi" w:hAnsiTheme="minorBidi" w:cstheme="minorBidi"/>
          <w:bCs/>
        </w:rPr>
        <w:t xml:space="preserve">This assurance process may be done as part of your regular risk assessment (discussed in </w:t>
      </w:r>
      <w:r w:rsidRPr="00BE55BE">
        <w:rPr>
          <w:rFonts w:asciiTheme="minorBidi" w:hAnsiTheme="minorBidi" w:cstheme="minorBidi"/>
          <w:bCs/>
        </w:rPr>
        <w:t xml:space="preserve">Chapter 3: </w:t>
      </w:r>
      <w:r w:rsidRPr="00BE55BE">
        <w:rPr>
          <w:rFonts w:asciiTheme="minorBidi" w:hAnsiTheme="minorBidi" w:cstheme="minorBidi"/>
          <w:bCs/>
          <w:i/>
        </w:rPr>
        <w:t>“</w:t>
      </w:r>
      <w:r w:rsidRPr="00BE55BE">
        <w:rPr>
          <w:rFonts w:asciiTheme="minorBidi" w:hAnsiTheme="minorBidi" w:cstheme="minorBidi"/>
          <w:bCs/>
        </w:rPr>
        <w:t>Risk identification</w:t>
      </w:r>
      <w:r w:rsidRPr="00B05A70">
        <w:rPr>
          <w:rFonts w:asciiTheme="minorBidi" w:hAnsiTheme="minorBidi" w:cstheme="minorBidi"/>
          <w:bCs/>
        </w:rPr>
        <w:t xml:space="preserve"> and assessment</w:t>
      </w:r>
      <w:r w:rsidRPr="00B05A70">
        <w:rPr>
          <w:rFonts w:asciiTheme="minorBidi" w:hAnsiTheme="minorBidi" w:cstheme="minorBidi"/>
          <w:bCs/>
          <w:i/>
        </w:rPr>
        <w:t>”</w:t>
      </w:r>
      <w:r w:rsidRPr="00B05A70">
        <w:rPr>
          <w:rFonts w:asciiTheme="minorBidi" w:hAnsiTheme="minorBidi" w:cstheme="minorBidi"/>
          <w:bCs/>
        </w:rPr>
        <w:t>) or may be done as a separate exercise.</w:t>
      </w:r>
    </w:p>
    <w:p w14:paraId="10665223" w14:textId="77777777" w:rsidR="007D61C0" w:rsidRPr="00B05A70" w:rsidRDefault="007D61C0" w:rsidP="00A535E7">
      <w:pPr>
        <w:autoSpaceDE w:val="0"/>
        <w:autoSpaceDN w:val="0"/>
        <w:adjustRightInd w:val="0"/>
        <w:spacing w:after="280"/>
        <w:jc w:val="both"/>
        <w:rPr>
          <w:rFonts w:asciiTheme="minorBidi" w:hAnsiTheme="minorBidi" w:cstheme="minorBidi"/>
          <w:bCs/>
        </w:rPr>
      </w:pPr>
      <w:r w:rsidRPr="00B05A70">
        <w:rPr>
          <w:rFonts w:asciiTheme="minorBidi" w:hAnsiTheme="minorBidi" w:cstheme="minorBidi"/>
          <w:bCs/>
        </w:rPr>
        <w:t xml:space="preserve">Monitoring and assessing processes and controls involves a regular review and assessment of your company’s compliance programme by: </w:t>
      </w:r>
    </w:p>
    <w:p w14:paraId="4069B85F" w14:textId="77777777" w:rsidR="007D61C0" w:rsidRPr="00B05A70" w:rsidRDefault="007D61C0">
      <w:pPr>
        <w:numPr>
          <w:ilvl w:val="0"/>
          <w:numId w:val="24"/>
        </w:numPr>
        <w:spacing w:after="280"/>
        <w:ind w:left="851" w:hanging="284"/>
        <w:jc w:val="both"/>
        <w:rPr>
          <w:rFonts w:asciiTheme="minorBidi" w:eastAsia="Calibri" w:hAnsiTheme="minorBidi" w:cstheme="minorBidi"/>
          <w:bCs/>
        </w:rPr>
      </w:pPr>
      <w:r w:rsidRPr="00B05A70">
        <w:rPr>
          <w:rFonts w:asciiTheme="minorBidi" w:hAnsiTheme="minorBidi" w:cstheme="minorBidi"/>
        </w:rPr>
        <w:t>Monitoring</w:t>
      </w:r>
      <w:r w:rsidRPr="00B05A70">
        <w:rPr>
          <w:rFonts w:asciiTheme="minorBidi" w:eastAsia="Calibri" w:hAnsiTheme="minorBidi" w:cstheme="minorBidi"/>
          <w:bCs/>
        </w:rPr>
        <w:t xml:space="preserve"> whether individual behaviours within your company meet the programme’s process requirements (</w:t>
      </w:r>
      <w:r>
        <w:rPr>
          <w:rFonts w:asciiTheme="minorBidi" w:eastAsia="Calibri" w:hAnsiTheme="minorBidi" w:cstheme="minorBidi"/>
          <w:bCs/>
        </w:rPr>
        <w:t>i.e.,</w:t>
      </w:r>
      <w:r w:rsidRPr="00B05A70">
        <w:rPr>
          <w:rFonts w:asciiTheme="minorBidi" w:eastAsia="Calibri" w:hAnsiTheme="minorBidi" w:cstheme="minorBidi"/>
          <w:bCs/>
        </w:rPr>
        <w:t xml:space="preserve"> tracking antitrust training attendance completion rates, ensuring other antitrust controls are operating effectively</w:t>
      </w:r>
      <w:r>
        <w:rPr>
          <w:rFonts w:asciiTheme="minorBidi" w:eastAsia="Calibri" w:hAnsiTheme="minorBidi" w:cstheme="minorBidi"/>
          <w:bCs/>
        </w:rPr>
        <w:t xml:space="preserve"> and assessing whether employees are complying with other “control” measures (such as keeping a Trade Association database updated (if applicable)</w:t>
      </w:r>
      <w:r w:rsidRPr="00B05A70">
        <w:rPr>
          <w:rFonts w:asciiTheme="minorBidi" w:eastAsia="Calibri" w:hAnsiTheme="minorBidi" w:cstheme="minorBidi"/>
          <w:bCs/>
        </w:rPr>
        <w:t xml:space="preserve">); </w:t>
      </w:r>
    </w:p>
    <w:p w14:paraId="32D2DC12" w14:textId="77777777" w:rsidR="007D61C0" w:rsidRPr="00B05A70" w:rsidRDefault="007D61C0">
      <w:pPr>
        <w:numPr>
          <w:ilvl w:val="0"/>
          <w:numId w:val="24"/>
        </w:numPr>
        <w:spacing w:after="280"/>
        <w:ind w:left="851" w:hanging="284"/>
        <w:jc w:val="both"/>
        <w:rPr>
          <w:rFonts w:asciiTheme="minorBidi" w:eastAsia="Calibri" w:hAnsiTheme="minorBidi" w:cstheme="minorBidi"/>
          <w:bCs/>
        </w:rPr>
      </w:pPr>
      <w:r w:rsidRPr="00B05A70">
        <w:rPr>
          <w:rFonts w:asciiTheme="minorBidi" w:eastAsia="Calibri" w:hAnsiTheme="minorBidi" w:cstheme="minorBidi"/>
          <w:bCs/>
        </w:rPr>
        <w:t>Checking managerial tasks designed to increase the likelihood of success of the programme are followed - for example, if your company adopts a control requiring line manager approval for attendance at trade associations, ensuring that processes are in place for employees to obtain such approvals and for these approvals (or refusals) to be tracked and monitored;</w:t>
      </w:r>
    </w:p>
    <w:p w14:paraId="5E5163EC" w14:textId="77777777" w:rsidR="007D61C0" w:rsidRPr="00B05A70" w:rsidRDefault="007D61C0">
      <w:pPr>
        <w:numPr>
          <w:ilvl w:val="0"/>
          <w:numId w:val="24"/>
        </w:numPr>
        <w:spacing w:after="280"/>
        <w:ind w:left="851" w:hanging="284"/>
        <w:jc w:val="both"/>
        <w:rPr>
          <w:rFonts w:asciiTheme="minorBidi" w:eastAsia="Calibri" w:hAnsiTheme="minorBidi" w:cstheme="minorBidi"/>
          <w:bCs/>
        </w:rPr>
      </w:pPr>
      <w:r w:rsidRPr="00B05A70">
        <w:rPr>
          <w:rFonts w:asciiTheme="minorBidi" w:eastAsia="Calibri" w:hAnsiTheme="minorBidi" w:cstheme="minorBidi"/>
          <w:bCs/>
        </w:rPr>
        <w:t>Reviewing information produced by internal and/or external auditors (</w:t>
      </w:r>
      <w:r>
        <w:rPr>
          <w:rFonts w:asciiTheme="minorBidi" w:eastAsia="Calibri" w:hAnsiTheme="minorBidi" w:cstheme="minorBidi"/>
          <w:bCs/>
        </w:rPr>
        <w:t>i.e.,</w:t>
      </w:r>
      <w:r w:rsidRPr="00B05A70">
        <w:rPr>
          <w:rFonts w:asciiTheme="minorBidi" w:eastAsia="Calibri" w:hAnsiTheme="minorBidi" w:cstheme="minorBidi"/>
          <w:bCs/>
        </w:rPr>
        <w:t xml:space="preserve"> on levels of employee awareness and understanding of relevant antitrust controls);</w:t>
      </w:r>
    </w:p>
    <w:p w14:paraId="73733637" w14:textId="77777777" w:rsidR="007D61C0" w:rsidRPr="00B05A70" w:rsidRDefault="007D61C0">
      <w:pPr>
        <w:numPr>
          <w:ilvl w:val="0"/>
          <w:numId w:val="24"/>
        </w:numPr>
        <w:spacing w:after="280"/>
        <w:ind w:left="851" w:hanging="284"/>
        <w:jc w:val="both"/>
        <w:rPr>
          <w:rFonts w:asciiTheme="minorBidi" w:eastAsia="Calibri" w:hAnsiTheme="minorBidi" w:cstheme="minorBidi"/>
          <w:bCs/>
        </w:rPr>
      </w:pPr>
      <w:r w:rsidRPr="00B05A70">
        <w:rPr>
          <w:rFonts w:asciiTheme="minorBidi" w:eastAsia="Calibri" w:hAnsiTheme="minorBidi" w:cstheme="minorBidi"/>
          <w:bCs/>
        </w:rPr>
        <w:t>Considering scope for internal and external benchmarking against commonly accepted “best practices”.</w:t>
      </w:r>
    </w:p>
    <w:p w14:paraId="25F3C1E3" w14:textId="77777777" w:rsidR="007D61C0" w:rsidRPr="00B05A70" w:rsidRDefault="007D61C0" w:rsidP="007D61C0">
      <w:pPr>
        <w:spacing w:after="280"/>
        <w:rPr>
          <w:rFonts w:asciiTheme="minorBidi" w:hAnsiTheme="minorBidi" w:cstheme="minorBidi"/>
          <w:bCs/>
        </w:rPr>
      </w:pPr>
      <w:r w:rsidRPr="00B05A70">
        <w:rPr>
          <w:rFonts w:asciiTheme="minorBidi" w:hAnsiTheme="minorBidi" w:cstheme="minorBidi"/>
          <w:bCs/>
        </w:rPr>
        <w:lastRenderedPageBreak/>
        <w:t xml:space="preserve">Whether undertaking an internal review of the programme or whether undertaking an external benchmark, it makes sense to decide in advance what metrics to use so relevant data can be gathered and captured from the outset; </w:t>
      </w:r>
      <w:r w:rsidRPr="00B05A70">
        <w:rPr>
          <w:rFonts w:asciiTheme="minorBidi" w:hAnsiTheme="minorBidi" w:cstheme="minorBidi"/>
          <w:bCs/>
          <w:i/>
        </w:rPr>
        <w:t>ex-post</w:t>
      </w:r>
      <w:r w:rsidRPr="00B05A70">
        <w:rPr>
          <w:rFonts w:asciiTheme="minorBidi" w:hAnsiTheme="minorBidi" w:cstheme="minorBidi"/>
          <w:bCs/>
        </w:rPr>
        <w:t xml:space="preserve"> data-gathering may be more complex.</w:t>
      </w:r>
    </w:p>
    <w:p w14:paraId="1361D624" w14:textId="77777777" w:rsidR="007D61C0" w:rsidRPr="00B05A70" w:rsidRDefault="007D61C0" w:rsidP="00982525">
      <w:pPr>
        <w:pStyle w:val="OUTLINEAL2"/>
      </w:pPr>
      <w:bookmarkStart w:id="150" w:name="_Toc166512675"/>
      <w:bookmarkStart w:id="151" w:name="_Toc166513133"/>
      <w:bookmarkStart w:id="152" w:name="_Toc166747923"/>
      <w:r w:rsidRPr="00B05A70">
        <w:t>Measuring effectiveness of processes and controls</w:t>
      </w:r>
      <w:bookmarkEnd w:id="150"/>
      <w:bookmarkEnd w:id="151"/>
      <w:bookmarkEnd w:id="152"/>
    </w:p>
    <w:p w14:paraId="41104959" w14:textId="77777777" w:rsidR="007D61C0" w:rsidRPr="00B05A70" w:rsidRDefault="007D61C0" w:rsidP="00A535E7">
      <w:pPr>
        <w:spacing w:after="280"/>
        <w:jc w:val="both"/>
        <w:rPr>
          <w:rFonts w:asciiTheme="minorBidi" w:hAnsiTheme="minorBidi" w:cstheme="minorBidi"/>
        </w:rPr>
      </w:pPr>
      <w:r w:rsidRPr="00B05A70">
        <w:rPr>
          <w:rFonts w:asciiTheme="minorBidi" w:hAnsiTheme="minorBidi" w:cstheme="minorBidi"/>
        </w:rPr>
        <w:t xml:space="preserve">There is merit in your company deciding </w:t>
      </w:r>
      <w:r>
        <w:rPr>
          <w:rFonts w:asciiTheme="minorBidi" w:hAnsiTheme="minorBidi" w:cstheme="minorBidi"/>
        </w:rPr>
        <w:t>“</w:t>
      </w:r>
      <w:r w:rsidRPr="00B05A70">
        <w:rPr>
          <w:rFonts w:asciiTheme="minorBidi" w:hAnsiTheme="minorBidi" w:cstheme="minorBidi"/>
        </w:rPr>
        <w:t>upfront</w:t>
      </w:r>
      <w:r>
        <w:rPr>
          <w:rFonts w:asciiTheme="minorBidi" w:hAnsiTheme="minorBidi" w:cstheme="minorBidi"/>
        </w:rPr>
        <w:t>”</w:t>
      </w:r>
      <w:r w:rsidRPr="00B05A70">
        <w:rPr>
          <w:rFonts w:asciiTheme="minorBidi" w:hAnsiTheme="minorBidi" w:cstheme="minorBidi"/>
        </w:rPr>
        <w:t xml:space="preserve"> </w:t>
      </w:r>
      <w:r w:rsidRPr="00B05A70">
        <w:rPr>
          <w:rFonts w:asciiTheme="minorBidi" w:hAnsiTheme="minorBidi" w:cstheme="minorBidi"/>
          <w:b/>
        </w:rPr>
        <w:t>how to measure related processes and controls</w:t>
      </w:r>
      <w:r w:rsidRPr="00B05A70">
        <w:rPr>
          <w:rFonts w:asciiTheme="minorBidi" w:hAnsiTheme="minorBidi" w:cstheme="minorBidi"/>
        </w:rPr>
        <w:t xml:space="preserve">, focusing on three key aspects: </w:t>
      </w:r>
    </w:p>
    <w:p w14:paraId="28DAAF8E" w14:textId="56E7B44B" w:rsidR="007D61C0" w:rsidRPr="00B05A70" w:rsidRDefault="007D61C0">
      <w:pPr>
        <w:numPr>
          <w:ilvl w:val="0"/>
          <w:numId w:val="25"/>
        </w:numPr>
        <w:spacing w:after="280"/>
        <w:ind w:left="851" w:hanging="284"/>
        <w:jc w:val="both"/>
        <w:rPr>
          <w:rFonts w:asciiTheme="minorBidi" w:hAnsiTheme="minorBidi" w:cstheme="minorBidi"/>
        </w:rPr>
      </w:pPr>
      <w:r w:rsidRPr="00B05A70">
        <w:rPr>
          <w:rFonts w:asciiTheme="minorBidi" w:hAnsiTheme="minorBidi" w:cstheme="minorBidi"/>
        </w:rPr>
        <w:t>Effectiveness</w:t>
      </w:r>
      <w:r w:rsidR="00117FB0">
        <w:rPr>
          <w:rFonts w:asciiTheme="minorBidi" w:hAnsiTheme="minorBidi" w:cstheme="minorBidi"/>
        </w:rPr>
        <w:br/>
      </w:r>
      <w:r w:rsidRPr="00B05A70">
        <w:rPr>
          <w:rFonts w:asciiTheme="minorBidi" w:hAnsiTheme="minorBidi" w:cstheme="minorBidi"/>
        </w:rPr>
        <w:t>i.e., the quality of a programme’s (</w:t>
      </w:r>
      <w:proofErr w:type="spellStart"/>
      <w:r w:rsidRPr="00B05A70">
        <w:rPr>
          <w:rFonts w:asciiTheme="minorBidi" w:hAnsiTheme="minorBidi" w:cstheme="minorBidi"/>
        </w:rPr>
        <w:t>i</w:t>
      </w:r>
      <w:proofErr w:type="spellEnd"/>
      <w:r w:rsidRPr="00B05A70">
        <w:rPr>
          <w:rFonts w:asciiTheme="minorBidi" w:hAnsiTheme="minorBidi" w:cstheme="minorBidi"/>
        </w:rPr>
        <w:t>) design effectiveness (degree to which the programme’s processes and controls are logically designed to meet defined requirements) and (ii) operational effectiveness (degree to which the programme operates as designed);</w:t>
      </w:r>
    </w:p>
    <w:p w14:paraId="688D945A" w14:textId="1DCE6F62" w:rsidR="007D61C0" w:rsidRPr="00B05A70" w:rsidRDefault="007D61C0">
      <w:pPr>
        <w:numPr>
          <w:ilvl w:val="0"/>
          <w:numId w:val="25"/>
        </w:numPr>
        <w:spacing w:after="280"/>
        <w:ind w:left="851" w:hanging="284"/>
        <w:jc w:val="both"/>
        <w:rPr>
          <w:rFonts w:asciiTheme="minorBidi" w:hAnsiTheme="minorBidi" w:cstheme="minorBidi"/>
        </w:rPr>
      </w:pPr>
      <w:r w:rsidRPr="00B05A70">
        <w:rPr>
          <w:rFonts w:asciiTheme="minorBidi" w:hAnsiTheme="minorBidi" w:cstheme="minorBidi"/>
        </w:rPr>
        <w:t>Efficiency</w:t>
      </w:r>
      <w:r w:rsidR="00117FB0">
        <w:rPr>
          <w:rFonts w:asciiTheme="minorBidi" w:hAnsiTheme="minorBidi" w:cstheme="minorBidi"/>
        </w:rPr>
        <w:br/>
      </w:r>
      <w:r w:rsidRPr="00B05A70">
        <w:rPr>
          <w:rFonts w:asciiTheme="minorBidi" w:hAnsiTheme="minorBidi" w:cstheme="minorBidi"/>
        </w:rPr>
        <w:t>i.e., the cost of the programme. It is very important (to ensure the integrity and effectiveness of the antitrust compliance programme) that the cost of certain systems or controls is not used as a reason to implement cheaper but less adequate/less effective controls that do not appropriately mitigate risk;</w:t>
      </w:r>
    </w:p>
    <w:p w14:paraId="1A8142A0" w14:textId="26243EC6" w:rsidR="007D61C0" w:rsidRPr="00B05A70" w:rsidRDefault="007D61C0">
      <w:pPr>
        <w:numPr>
          <w:ilvl w:val="0"/>
          <w:numId w:val="25"/>
        </w:numPr>
        <w:spacing w:after="280"/>
        <w:ind w:left="851" w:hanging="284"/>
        <w:jc w:val="both"/>
        <w:rPr>
          <w:rFonts w:asciiTheme="minorBidi" w:hAnsiTheme="minorBidi" w:cstheme="minorBidi"/>
        </w:rPr>
      </w:pPr>
      <w:r w:rsidRPr="00B05A70">
        <w:rPr>
          <w:rFonts w:asciiTheme="minorBidi" w:hAnsiTheme="minorBidi" w:cstheme="minorBidi"/>
        </w:rPr>
        <w:t>Responsiveness</w:t>
      </w:r>
      <w:r w:rsidR="00117FB0">
        <w:rPr>
          <w:rFonts w:asciiTheme="minorBidi" w:hAnsiTheme="minorBidi" w:cstheme="minorBidi"/>
        </w:rPr>
        <w:br/>
      </w:r>
      <w:r w:rsidRPr="00B05A70">
        <w:t xml:space="preserve">i.e., </w:t>
      </w:r>
      <w:r w:rsidRPr="00B05A70">
        <w:rPr>
          <w:rFonts w:asciiTheme="minorBidi" w:hAnsiTheme="minorBidi" w:cstheme="minorBidi"/>
        </w:rPr>
        <w:t>the programme's ability to operate quickly and flexibly in response to changing circumstances.</w:t>
      </w:r>
    </w:p>
    <w:p w14:paraId="6BE5A640" w14:textId="77777777" w:rsidR="007D61C0" w:rsidRPr="000E411E" w:rsidRDefault="007D61C0" w:rsidP="00A535E7">
      <w:pPr>
        <w:spacing w:after="280"/>
        <w:jc w:val="both"/>
        <w:rPr>
          <w:rFonts w:asciiTheme="minorBidi" w:hAnsiTheme="minorBidi" w:cstheme="minorBidi"/>
          <w:b/>
        </w:rPr>
      </w:pPr>
      <w:r w:rsidRPr="00B05A70">
        <w:rPr>
          <w:rFonts w:asciiTheme="minorBidi" w:hAnsiTheme="minorBidi" w:cstheme="minorBidi"/>
        </w:rPr>
        <w:t xml:space="preserve">The selected approach should be designed to help ensure, maintain, and improve the performance of your antitrust compliance programme, based in the findings that emerge. Key metrics and indicators should be specific, simple, measurable, actionable, relevant, and timely. Your company’s performance measurement system (for assessing the effectiveness of your company’s compliance processes and controls) should be refined on an ongoing basis - but is best designed with your company’s existing financial and risk control framework in mind. By gaining experience of measuring your company’s programme performance you can fine-tune and improve the system over time. </w:t>
      </w:r>
    </w:p>
    <w:p w14:paraId="6427D2F1" w14:textId="77777777" w:rsidR="007D61C0" w:rsidRPr="00B05A70" w:rsidRDefault="007D61C0">
      <w:pPr>
        <w:numPr>
          <w:ilvl w:val="0"/>
          <w:numId w:val="26"/>
        </w:numPr>
        <w:spacing w:after="280"/>
        <w:ind w:left="851" w:hanging="284"/>
        <w:contextualSpacing/>
        <w:jc w:val="both"/>
        <w:rPr>
          <w:rFonts w:asciiTheme="minorBidi" w:hAnsiTheme="minorBidi" w:cstheme="minorBidi"/>
        </w:rPr>
      </w:pPr>
      <w:bookmarkStart w:id="153" w:name="OLE_LINK6"/>
      <w:r w:rsidRPr="00B05A70">
        <w:rPr>
          <w:rFonts w:asciiTheme="minorBidi" w:hAnsiTheme="minorBidi" w:cstheme="minorBidi"/>
        </w:rPr>
        <w:t xml:space="preserve">If the antitrust programme has been well designed, does it function correctly? </w:t>
      </w:r>
    </w:p>
    <w:p w14:paraId="66D464C1" w14:textId="77777777" w:rsidR="007D61C0" w:rsidRPr="00B05A70" w:rsidRDefault="007D61C0" w:rsidP="00A535E7">
      <w:pPr>
        <w:spacing w:after="280"/>
        <w:ind w:left="851" w:hanging="284"/>
        <w:contextualSpacing/>
        <w:jc w:val="both"/>
        <w:rPr>
          <w:rFonts w:asciiTheme="minorBidi" w:hAnsiTheme="minorBidi" w:cstheme="minorBidi"/>
        </w:rPr>
      </w:pPr>
    </w:p>
    <w:p w14:paraId="7D2A2DF4" w14:textId="77777777" w:rsidR="007D61C0" w:rsidRPr="00B05A70" w:rsidRDefault="007D61C0">
      <w:pPr>
        <w:numPr>
          <w:ilvl w:val="0"/>
          <w:numId w:val="26"/>
        </w:numPr>
        <w:spacing w:after="280"/>
        <w:ind w:left="851" w:hanging="284"/>
        <w:contextualSpacing/>
        <w:jc w:val="both"/>
        <w:rPr>
          <w:rFonts w:asciiTheme="minorBidi" w:hAnsiTheme="minorBidi" w:cstheme="minorBidi"/>
        </w:rPr>
      </w:pPr>
      <w:r w:rsidRPr="00B05A70">
        <w:rPr>
          <w:rFonts w:asciiTheme="minorBidi" w:hAnsiTheme="minorBidi" w:cstheme="minorBidi"/>
        </w:rPr>
        <w:t xml:space="preserve">Does it operate the way it was designed? </w:t>
      </w:r>
    </w:p>
    <w:p w14:paraId="5631F4C8" w14:textId="77777777" w:rsidR="007D61C0" w:rsidRPr="00B05A70" w:rsidRDefault="007D61C0" w:rsidP="00A535E7">
      <w:pPr>
        <w:spacing w:after="280"/>
        <w:ind w:left="851" w:hanging="284"/>
        <w:contextualSpacing/>
        <w:jc w:val="both"/>
        <w:rPr>
          <w:rFonts w:asciiTheme="minorBidi" w:hAnsiTheme="minorBidi" w:cstheme="minorBidi"/>
        </w:rPr>
      </w:pPr>
    </w:p>
    <w:p w14:paraId="55888255" w14:textId="77777777" w:rsidR="007D61C0" w:rsidRPr="00B05A70" w:rsidRDefault="007D61C0">
      <w:pPr>
        <w:numPr>
          <w:ilvl w:val="0"/>
          <w:numId w:val="26"/>
        </w:numPr>
        <w:spacing w:after="280"/>
        <w:ind w:left="851" w:hanging="284"/>
        <w:contextualSpacing/>
        <w:jc w:val="both"/>
        <w:rPr>
          <w:rFonts w:asciiTheme="minorBidi" w:hAnsiTheme="minorBidi" w:cstheme="minorBidi"/>
        </w:rPr>
      </w:pPr>
      <w:r w:rsidRPr="00B05A70">
        <w:rPr>
          <w:rFonts w:asciiTheme="minorBidi" w:hAnsiTheme="minorBidi" w:cstheme="minorBidi"/>
        </w:rPr>
        <w:t xml:space="preserve">If not, how must it be managed/altered to improve its level of operation? </w:t>
      </w:r>
    </w:p>
    <w:p w14:paraId="70FCE35F" w14:textId="77777777" w:rsidR="007D61C0" w:rsidRPr="00B05A70" w:rsidRDefault="007D61C0" w:rsidP="007D61C0">
      <w:pPr>
        <w:spacing w:after="280"/>
        <w:contextualSpacing/>
        <w:rPr>
          <w:rFonts w:asciiTheme="minorBidi" w:hAnsiTheme="minorBidi" w:cstheme="minorBidi"/>
        </w:rPr>
      </w:pPr>
    </w:p>
    <w:p w14:paraId="30ABB451" w14:textId="77777777" w:rsidR="007D61C0" w:rsidRPr="00B05A70" w:rsidRDefault="007D61C0" w:rsidP="00015EA8">
      <w:pPr>
        <w:pStyle w:val="OUTLINEAL2"/>
      </w:pPr>
      <w:bookmarkStart w:id="154" w:name="_Toc166512676"/>
      <w:bookmarkStart w:id="155" w:name="_Toc166513134"/>
      <w:bookmarkStart w:id="156" w:name="_Toc166747924"/>
      <w:bookmarkEnd w:id="153"/>
      <w:r w:rsidRPr="00B05A70">
        <w:t>Auditing and benchmarking</w:t>
      </w:r>
      <w:bookmarkEnd w:id="154"/>
      <w:bookmarkEnd w:id="155"/>
      <w:bookmarkEnd w:id="156"/>
    </w:p>
    <w:p w14:paraId="6B11F18D" w14:textId="77777777" w:rsidR="007D61C0" w:rsidRPr="00B05A70" w:rsidRDefault="007D61C0" w:rsidP="00A535E7">
      <w:pPr>
        <w:spacing w:after="280"/>
        <w:jc w:val="both"/>
        <w:rPr>
          <w:rFonts w:asciiTheme="minorBidi" w:hAnsiTheme="minorBidi" w:cstheme="minorBidi"/>
          <w:bCs/>
        </w:rPr>
      </w:pPr>
      <w:r w:rsidRPr="00B05A70">
        <w:rPr>
          <w:rFonts w:asciiTheme="minorBidi" w:hAnsiTheme="minorBidi" w:cstheme="minorBidi"/>
          <w:b/>
          <w:bCs/>
        </w:rPr>
        <w:t xml:space="preserve">Audit reports from your </w:t>
      </w:r>
      <w:r w:rsidRPr="00B05A70">
        <w:rPr>
          <w:rFonts w:asciiTheme="minorBidi" w:hAnsiTheme="minorBidi" w:cstheme="minorBidi"/>
          <w:b/>
          <w:lang w:eastAsia="en-US"/>
        </w:rPr>
        <w:t>company’s</w:t>
      </w:r>
      <w:r w:rsidRPr="00B05A70">
        <w:rPr>
          <w:rFonts w:asciiTheme="minorBidi" w:hAnsiTheme="minorBidi" w:cstheme="minorBidi"/>
          <w:b/>
          <w:bCs/>
        </w:rPr>
        <w:t xml:space="preserve"> external and/or internal auditors</w:t>
      </w:r>
      <w:r w:rsidRPr="00B05A70">
        <w:rPr>
          <w:rFonts w:asciiTheme="minorBidi" w:hAnsiTheme="minorBidi" w:cstheme="minorBidi"/>
          <w:bCs/>
        </w:rPr>
        <w:t xml:space="preserve"> </w:t>
      </w:r>
      <w:r w:rsidRPr="00B4794E">
        <w:rPr>
          <w:rFonts w:asciiTheme="minorBidi" w:hAnsiTheme="minorBidi" w:cstheme="minorBidi"/>
          <w:bCs/>
        </w:rPr>
        <w:t>(</w:t>
      </w:r>
      <w:r>
        <w:rPr>
          <w:rFonts w:asciiTheme="minorBidi" w:hAnsiTheme="minorBidi" w:cstheme="minorBidi"/>
          <w:bCs/>
        </w:rPr>
        <w:t>i.e.,</w:t>
      </w:r>
      <w:r w:rsidRPr="00B05A70">
        <w:rPr>
          <w:rFonts w:asciiTheme="minorBidi" w:hAnsiTheme="minorBidi" w:cstheme="minorBidi"/>
          <w:bCs/>
        </w:rPr>
        <w:t xml:space="preserve"> performing confidential departmental programme audits) can be very useful sources of information about the operation of the process elements of an antitrust compliance programme. Audits with an antitrust component or “focus theme” generally consider the operation of the programme in terms of the effectiveness of its processes and controls in raising awareness and understanding of compliance considerations that are relevant to a company’s operations, but are </w:t>
      </w:r>
      <w:r w:rsidRPr="00B05A70">
        <w:rPr>
          <w:rFonts w:asciiTheme="minorBidi" w:hAnsiTheme="minorBidi" w:cstheme="minorBidi"/>
          <w:u w:val="single"/>
        </w:rPr>
        <w:t>not</w:t>
      </w:r>
      <w:r w:rsidRPr="00B05A70">
        <w:rPr>
          <w:rFonts w:asciiTheme="minorBidi" w:hAnsiTheme="minorBidi" w:cstheme="minorBidi"/>
        </w:rPr>
        <w:t xml:space="preserve"> </w:t>
      </w:r>
      <w:r w:rsidRPr="00B05A70">
        <w:rPr>
          <w:rFonts w:asciiTheme="minorBidi" w:hAnsiTheme="minorBidi" w:cstheme="minorBidi"/>
          <w:bCs/>
        </w:rPr>
        <w:t xml:space="preserve">an audit of substantive compliance (which auditors are often not best placed to assess - see below). </w:t>
      </w:r>
    </w:p>
    <w:p w14:paraId="2A6CA1B0" w14:textId="77777777" w:rsidR="007D61C0" w:rsidRPr="00B05A70" w:rsidRDefault="007D61C0" w:rsidP="00A535E7">
      <w:pPr>
        <w:spacing w:after="280"/>
        <w:jc w:val="both"/>
        <w:rPr>
          <w:rFonts w:asciiTheme="minorBidi" w:hAnsiTheme="minorBidi" w:cstheme="minorBidi"/>
          <w:bCs/>
        </w:rPr>
      </w:pPr>
      <w:r w:rsidRPr="00B05A70">
        <w:rPr>
          <w:rFonts w:asciiTheme="minorBidi" w:hAnsiTheme="minorBidi" w:cstheme="minorBidi"/>
          <w:b/>
          <w:bCs/>
        </w:rPr>
        <w:t>Reviews of your company’s antitrust compliance programme by informed (i.e. specialist) antitrust counsel</w:t>
      </w:r>
      <w:r w:rsidRPr="00B05A70">
        <w:rPr>
          <w:rFonts w:asciiTheme="minorBidi" w:hAnsiTheme="minorBidi" w:cstheme="minorBidi"/>
          <w:bCs/>
        </w:rPr>
        <w:t xml:space="preserve"> can also be useful to </w:t>
      </w:r>
      <w:r>
        <w:rPr>
          <w:rFonts w:asciiTheme="minorBidi" w:hAnsiTheme="minorBidi" w:cstheme="minorBidi"/>
          <w:bCs/>
        </w:rPr>
        <w:t>identify</w:t>
      </w:r>
      <w:r w:rsidRPr="00B05A70">
        <w:rPr>
          <w:rFonts w:asciiTheme="minorBidi" w:hAnsiTheme="minorBidi" w:cstheme="minorBidi"/>
          <w:bCs/>
        </w:rPr>
        <w:t xml:space="preserve"> trends.  </w:t>
      </w:r>
    </w:p>
    <w:p w14:paraId="2483B355" w14:textId="77777777" w:rsidR="007D61C0" w:rsidRPr="00B05A70" w:rsidRDefault="007D61C0" w:rsidP="007D61C0">
      <w:pPr>
        <w:spacing w:after="280"/>
        <w:rPr>
          <w:rFonts w:asciiTheme="minorBidi" w:hAnsiTheme="minorBidi" w:cstheme="minorBidi"/>
          <w:bCs/>
        </w:rPr>
      </w:pPr>
      <w:r w:rsidRPr="00B05A70">
        <w:rPr>
          <w:rFonts w:asciiTheme="minorBidi" w:hAnsiTheme="minorBidi" w:cstheme="minorBidi"/>
          <w:bCs/>
        </w:rPr>
        <w:lastRenderedPageBreak/>
        <w:t xml:space="preserve">Ultimately, the objective is to encourage </w:t>
      </w:r>
      <w:r w:rsidRPr="00B05A70">
        <w:rPr>
          <w:rFonts w:asciiTheme="minorBidi" w:hAnsiTheme="minorBidi" w:cstheme="minorBidi"/>
          <w:b/>
          <w:bCs/>
        </w:rPr>
        <w:t>constructive dialogue in which companies can challenge themselves</w:t>
      </w:r>
      <w:r w:rsidRPr="00B05A70">
        <w:rPr>
          <w:rFonts w:asciiTheme="minorBidi" w:hAnsiTheme="minorBidi" w:cstheme="minorBidi"/>
          <w:bCs/>
        </w:rPr>
        <w:t xml:space="preserve"> (or be challenged) on how well their approach works and what improvements can be made (and within what time frame).  </w:t>
      </w:r>
    </w:p>
    <w:p w14:paraId="6B8387E9" w14:textId="77777777" w:rsidR="007D61C0" w:rsidRPr="00B05A70" w:rsidRDefault="007D61C0" w:rsidP="00015EA8">
      <w:pPr>
        <w:pStyle w:val="OUTLINEAL2"/>
      </w:pPr>
      <w:bookmarkStart w:id="157" w:name="_Toc166512677"/>
      <w:bookmarkStart w:id="158" w:name="_Toc166513135"/>
      <w:bookmarkStart w:id="159" w:name="_Toc166747925"/>
      <w:r w:rsidRPr="00B05A70">
        <w:t>Monitoring and assessing substantive compliance</w:t>
      </w:r>
      <w:r w:rsidRPr="00B05A70">
        <w:rPr>
          <w:vertAlign w:val="superscript"/>
        </w:rPr>
        <w:footnoteReference w:id="50"/>
      </w:r>
      <w:bookmarkEnd w:id="157"/>
      <w:bookmarkEnd w:id="158"/>
      <w:bookmarkEnd w:id="159"/>
    </w:p>
    <w:p w14:paraId="55D9DC3C" w14:textId="77777777" w:rsidR="007D61C0" w:rsidRPr="00B05A70" w:rsidRDefault="007D61C0" w:rsidP="00A535E7">
      <w:pPr>
        <w:tabs>
          <w:tab w:val="left" w:pos="0"/>
        </w:tabs>
        <w:spacing w:after="280"/>
        <w:jc w:val="both"/>
        <w:rPr>
          <w:rFonts w:asciiTheme="minorBidi" w:hAnsiTheme="minorBidi" w:cstheme="minorBidi"/>
          <w:lang w:eastAsia="en-US"/>
        </w:rPr>
      </w:pPr>
      <w:r w:rsidRPr="00B05A70">
        <w:rPr>
          <w:rFonts w:asciiTheme="minorBidi" w:hAnsiTheme="minorBidi" w:cstheme="minorBidi"/>
        </w:rPr>
        <w:t xml:space="preserve">Periodically assessing whether parts of your company’s business or certain business practices are complying with antitrust laws in practice allows senior managers to know whether the company is moving closer to its antitrust compliance objectives. It helps </w:t>
      </w:r>
      <w:r w:rsidRPr="00B05A70">
        <w:rPr>
          <w:rFonts w:asciiTheme="minorBidi" w:hAnsiTheme="minorBidi" w:cstheme="minorBidi"/>
          <w:lang w:eastAsia="en-US"/>
        </w:rPr>
        <w:t>ensure that there is continued, clear and unambiguous commitment to antitrust compliance from the top down, that the antitrust risks</w:t>
      </w:r>
      <w:r>
        <w:rPr>
          <w:rFonts w:asciiTheme="minorBidi" w:hAnsiTheme="minorBidi" w:cstheme="minorBidi"/>
          <w:lang w:eastAsia="en-US"/>
        </w:rPr>
        <w:t xml:space="preserve"> are</w:t>
      </w:r>
      <w:r w:rsidRPr="00B05A70">
        <w:rPr>
          <w:rFonts w:asciiTheme="minorBidi" w:hAnsiTheme="minorBidi" w:cstheme="minorBidi"/>
          <w:lang w:eastAsia="en-US"/>
        </w:rPr>
        <w:t xml:space="preserve"> identified, or the assessment of these risks have not changed (or if they have changed, to reassess controls) and that the risk mitigation activities/controls remain appropriate and effective. It may also enable your company to identify substantive antitrust concerns, rectify any illegal behaviour, and to assess if it is appropriate to apply to one or more antitrust agency for immunity/leniency.</w:t>
      </w:r>
    </w:p>
    <w:p w14:paraId="21E2C510" w14:textId="77777777" w:rsidR="007D61C0" w:rsidRPr="00B05A70" w:rsidRDefault="007D61C0" w:rsidP="00A535E7">
      <w:pPr>
        <w:tabs>
          <w:tab w:val="left" w:pos="0"/>
        </w:tabs>
        <w:spacing w:after="280"/>
        <w:jc w:val="both"/>
        <w:rPr>
          <w:rFonts w:asciiTheme="minorBidi" w:hAnsiTheme="minorBidi" w:cstheme="minorBidi"/>
          <w:lang w:eastAsia="en-US"/>
        </w:rPr>
      </w:pPr>
      <w:r w:rsidRPr="00B05A70">
        <w:rPr>
          <w:rFonts w:asciiTheme="minorBidi" w:hAnsiTheme="minorBidi" w:cstheme="minorBidi"/>
          <w:lang w:eastAsia="en-US"/>
        </w:rPr>
        <w:t xml:space="preserve">An important early consideration when planning to undertake a </w:t>
      </w:r>
      <w:r w:rsidRPr="00B05A70">
        <w:rPr>
          <w:rFonts w:asciiTheme="minorBidi" w:hAnsiTheme="minorBidi" w:cstheme="minorBidi"/>
          <w:b/>
          <w:lang w:eastAsia="en-US"/>
        </w:rPr>
        <w:t>substantive antitrust assessment</w:t>
      </w:r>
      <w:r w:rsidRPr="00B05A70">
        <w:rPr>
          <w:rFonts w:asciiTheme="minorBidi" w:hAnsiTheme="minorBidi" w:cstheme="minorBidi"/>
          <w:lang w:eastAsia="en-US"/>
        </w:rPr>
        <w:t xml:space="preserve"> is to ensure that appropriate resources are dedicated to it. This implies consideration of the following:</w:t>
      </w:r>
    </w:p>
    <w:p w14:paraId="13AEB36F" w14:textId="77777777" w:rsidR="007D61C0" w:rsidRPr="00B05A70" w:rsidRDefault="007D61C0">
      <w:pPr>
        <w:numPr>
          <w:ilvl w:val="0"/>
          <w:numId w:val="27"/>
        </w:numPr>
        <w:tabs>
          <w:tab w:val="left" w:pos="0"/>
        </w:tabs>
        <w:spacing w:after="0"/>
        <w:ind w:left="851" w:hanging="284"/>
        <w:jc w:val="both"/>
        <w:rPr>
          <w:rFonts w:asciiTheme="minorBidi" w:eastAsia="Calibri" w:hAnsiTheme="minorBidi" w:cstheme="minorBidi"/>
        </w:rPr>
      </w:pPr>
      <w:r w:rsidRPr="00B05A70">
        <w:rPr>
          <w:rFonts w:asciiTheme="minorBidi" w:eastAsia="Calibri" w:hAnsiTheme="minorBidi" w:cstheme="minorBidi"/>
          <w:b/>
        </w:rPr>
        <w:t>Who should undertake the assessment?</w:t>
      </w:r>
    </w:p>
    <w:p w14:paraId="30265AC7" w14:textId="3D0E9356" w:rsidR="007D61C0" w:rsidRPr="00B05A70" w:rsidRDefault="007D61C0" w:rsidP="00A535E7">
      <w:pPr>
        <w:tabs>
          <w:tab w:val="left" w:pos="0"/>
        </w:tabs>
        <w:spacing w:after="280"/>
        <w:ind w:left="851"/>
        <w:jc w:val="both"/>
        <w:rPr>
          <w:rFonts w:asciiTheme="minorBidi" w:eastAsia="Calibri" w:hAnsiTheme="minorBidi" w:cstheme="minorBidi"/>
        </w:rPr>
      </w:pPr>
      <w:r w:rsidRPr="00B05A70">
        <w:rPr>
          <w:rFonts w:asciiTheme="minorBidi" w:eastAsia="Calibri" w:hAnsiTheme="minorBidi" w:cstheme="minorBidi"/>
        </w:rPr>
        <w:t xml:space="preserve">It will generally be advisable for the assessment to be undertaken by people with specialist antitrust knowledge and experience. For this reason, many companies rely on specialist </w:t>
      </w:r>
      <w:r w:rsidR="00117FB0">
        <w:rPr>
          <w:rFonts w:asciiTheme="minorBidi" w:eastAsia="Calibri" w:hAnsiTheme="minorBidi" w:cstheme="minorBidi"/>
        </w:rPr>
        <w:br/>
      </w:r>
      <w:r w:rsidRPr="00B05A70">
        <w:rPr>
          <w:rFonts w:asciiTheme="minorBidi" w:eastAsia="Calibri" w:hAnsiTheme="minorBidi" w:cstheme="minorBidi"/>
        </w:rPr>
        <w:t xml:space="preserve">in-house or external antitrust counsel for such assessments rather than (for example) having such assessments conducted by financial auditors or controllers. </w:t>
      </w:r>
    </w:p>
    <w:p w14:paraId="4A7559A3" w14:textId="77777777" w:rsidR="007D61C0" w:rsidRPr="00B05A70" w:rsidRDefault="007D61C0">
      <w:pPr>
        <w:numPr>
          <w:ilvl w:val="0"/>
          <w:numId w:val="28"/>
        </w:numPr>
        <w:tabs>
          <w:tab w:val="left" w:pos="0"/>
        </w:tabs>
        <w:spacing w:after="0"/>
        <w:ind w:left="851" w:hanging="284"/>
        <w:jc w:val="both"/>
        <w:rPr>
          <w:rFonts w:asciiTheme="minorBidi" w:eastAsia="Calibri" w:hAnsiTheme="minorBidi" w:cstheme="minorBidi"/>
          <w:b/>
        </w:rPr>
      </w:pPr>
      <w:r w:rsidRPr="00B05A70">
        <w:rPr>
          <w:rFonts w:asciiTheme="minorBidi" w:eastAsia="Calibri" w:hAnsiTheme="minorBidi" w:cstheme="minorBidi"/>
          <w:b/>
        </w:rPr>
        <w:t xml:space="preserve">Will Legal Professional Privilege be maintained? </w:t>
      </w:r>
    </w:p>
    <w:p w14:paraId="12FC97C9" w14:textId="77777777" w:rsidR="007D61C0" w:rsidRPr="00B05A70" w:rsidRDefault="007D61C0" w:rsidP="00A535E7">
      <w:pPr>
        <w:tabs>
          <w:tab w:val="left" w:pos="0"/>
        </w:tabs>
        <w:spacing w:after="280"/>
        <w:ind w:left="851" w:hanging="284"/>
        <w:jc w:val="both"/>
        <w:rPr>
          <w:rFonts w:asciiTheme="minorBidi" w:eastAsia="Calibri" w:hAnsiTheme="minorBidi" w:cstheme="minorBidi"/>
        </w:rPr>
      </w:pPr>
      <w:r w:rsidRPr="00B05A70">
        <w:rPr>
          <w:rFonts w:asciiTheme="minorBidi" w:eastAsia="Calibri" w:hAnsiTheme="minorBidi" w:cstheme="minorBidi"/>
        </w:rPr>
        <w:tab/>
        <w:t>This is a reason why companies often choose to use external antitrust legal counsel for compliance assessments in order to protect its results.</w:t>
      </w:r>
    </w:p>
    <w:p w14:paraId="7F57BE20" w14:textId="77777777" w:rsidR="007D61C0" w:rsidRPr="00B05A70" w:rsidRDefault="007D61C0">
      <w:pPr>
        <w:numPr>
          <w:ilvl w:val="0"/>
          <w:numId w:val="22"/>
        </w:numPr>
        <w:tabs>
          <w:tab w:val="left" w:pos="0"/>
        </w:tabs>
        <w:spacing w:after="0"/>
        <w:ind w:left="851" w:hanging="284"/>
        <w:jc w:val="both"/>
        <w:rPr>
          <w:rFonts w:asciiTheme="minorBidi" w:eastAsia="Calibri" w:hAnsiTheme="minorBidi" w:cstheme="minorBidi"/>
          <w:b/>
        </w:rPr>
      </w:pPr>
      <w:r w:rsidRPr="00B05A70">
        <w:rPr>
          <w:rFonts w:asciiTheme="minorBidi" w:eastAsia="Calibri" w:hAnsiTheme="minorBidi" w:cstheme="minorBidi"/>
          <w:b/>
        </w:rPr>
        <w:t xml:space="preserve">How will the review be conducted? </w:t>
      </w:r>
    </w:p>
    <w:p w14:paraId="6425D619" w14:textId="77777777" w:rsidR="007D61C0" w:rsidRPr="00B05A70" w:rsidRDefault="007D61C0" w:rsidP="00A535E7">
      <w:pPr>
        <w:tabs>
          <w:tab w:val="left" w:pos="0"/>
        </w:tabs>
        <w:spacing w:after="280"/>
        <w:ind w:left="851"/>
        <w:jc w:val="both"/>
        <w:rPr>
          <w:rFonts w:asciiTheme="minorBidi" w:eastAsia="Calibri" w:hAnsiTheme="minorBidi" w:cstheme="minorBidi"/>
          <w:b/>
        </w:rPr>
      </w:pPr>
      <w:r w:rsidRPr="00B05A70">
        <w:rPr>
          <w:rFonts w:asciiTheme="minorBidi" w:eastAsia="Calibri" w:hAnsiTheme="minorBidi" w:cstheme="minorBidi"/>
        </w:rPr>
        <w:t>It may involve electronic searches of documents and databases, the use of AI to undertake continuous searches of internal documents (to the extent this is permitted under the applicable local law), interviews of key employees etc. The company must take into account legal issues such as data privacy, employment law considerations (the need to seek staff council approval) and so on.</w:t>
      </w:r>
    </w:p>
    <w:p w14:paraId="1A935C52" w14:textId="77777777" w:rsidR="007D61C0" w:rsidRDefault="007D61C0">
      <w:pPr>
        <w:numPr>
          <w:ilvl w:val="0"/>
          <w:numId w:val="22"/>
        </w:numPr>
        <w:tabs>
          <w:tab w:val="left" w:pos="0"/>
        </w:tabs>
        <w:spacing w:after="0"/>
        <w:ind w:left="851" w:hanging="284"/>
        <w:jc w:val="both"/>
        <w:rPr>
          <w:rFonts w:asciiTheme="minorBidi" w:eastAsia="Calibri" w:hAnsiTheme="minorBidi" w:cstheme="minorBidi"/>
          <w:b/>
        </w:rPr>
      </w:pPr>
      <w:r w:rsidRPr="00B05A70">
        <w:rPr>
          <w:rFonts w:asciiTheme="minorBidi" w:eastAsia="Calibri" w:hAnsiTheme="minorBidi" w:cstheme="minorBidi"/>
          <w:b/>
        </w:rPr>
        <w:t xml:space="preserve">How will the results of the assessment be shared within the company? </w:t>
      </w:r>
    </w:p>
    <w:p w14:paraId="22496419" w14:textId="77777777" w:rsidR="007D61C0" w:rsidRDefault="007D61C0" w:rsidP="00A535E7">
      <w:pPr>
        <w:tabs>
          <w:tab w:val="left" w:pos="0"/>
        </w:tabs>
        <w:spacing w:after="0"/>
        <w:ind w:left="851"/>
        <w:jc w:val="both"/>
        <w:rPr>
          <w:rFonts w:asciiTheme="minorBidi" w:eastAsia="Calibri" w:hAnsiTheme="minorBidi" w:cstheme="minorBidi"/>
        </w:rPr>
      </w:pPr>
      <w:r w:rsidRPr="00B05A70">
        <w:rPr>
          <w:rFonts w:asciiTheme="minorBidi" w:eastAsia="Calibri" w:hAnsiTheme="minorBidi" w:cstheme="minorBidi"/>
        </w:rPr>
        <w:t>You will want to balance the need to share learnings with the importance of protecting Legal Professional Privilege (see above).</w:t>
      </w:r>
    </w:p>
    <w:p w14:paraId="7491D04C" w14:textId="77777777" w:rsidR="007D61C0" w:rsidRDefault="007D61C0" w:rsidP="00A535E7">
      <w:pPr>
        <w:tabs>
          <w:tab w:val="left" w:pos="0"/>
        </w:tabs>
        <w:spacing w:after="0"/>
        <w:ind w:left="851"/>
        <w:jc w:val="both"/>
        <w:rPr>
          <w:rFonts w:asciiTheme="minorBidi" w:eastAsia="Calibri" w:hAnsiTheme="minorBidi" w:cstheme="minorBidi"/>
          <w:b/>
        </w:rPr>
      </w:pPr>
    </w:p>
    <w:p w14:paraId="18F0DCD0" w14:textId="77777777" w:rsidR="007D61C0" w:rsidRPr="00B05A70" w:rsidRDefault="007D61C0">
      <w:pPr>
        <w:numPr>
          <w:ilvl w:val="0"/>
          <w:numId w:val="22"/>
        </w:numPr>
        <w:tabs>
          <w:tab w:val="left" w:pos="0"/>
        </w:tabs>
        <w:spacing w:after="0"/>
        <w:ind w:left="851" w:hanging="284"/>
        <w:jc w:val="both"/>
        <w:rPr>
          <w:rFonts w:asciiTheme="minorBidi" w:eastAsia="Calibri" w:hAnsiTheme="minorBidi" w:cstheme="minorBidi"/>
          <w:b/>
        </w:rPr>
      </w:pPr>
      <w:r w:rsidRPr="00B05A70">
        <w:rPr>
          <w:rFonts w:asciiTheme="minorBidi" w:eastAsia="Calibri" w:hAnsiTheme="minorBidi" w:cstheme="minorBidi"/>
          <w:b/>
        </w:rPr>
        <w:t>How will the review be funded (internal budget considerations)?</w:t>
      </w:r>
    </w:p>
    <w:p w14:paraId="6B53CBEF" w14:textId="77777777" w:rsidR="007D61C0" w:rsidRPr="00B05A70" w:rsidRDefault="007D61C0" w:rsidP="00A535E7">
      <w:pPr>
        <w:tabs>
          <w:tab w:val="left" w:pos="0"/>
        </w:tabs>
        <w:spacing w:after="280"/>
        <w:ind w:left="851" w:hanging="284"/>
        <w:jc w:val="both"/>
        <w:rPr>
          <w:rFonts w:asciiTheme="minorBidi" w:eastAsia="Calibri" w:hAnsiTheme="minorBidi" w:cstheme="minorBidi"/>
          <w:b/>
        </w:rPr>
      </w:pPr>
    </w:p>
    <w:p w14:paraId="08C38EC2" w14:textId="77777777" w:rsidR="007D61C0" w:rsidRPr="00B05A70" w:rsidRDefault="007D61C0" w:rsidP="00015EA8">
      <w:pPr>
        <w:pStyle w:val="OUTLINEAL2"/>
      </w:pPr>
      <w:bookmarkStart w:id="160" w:name="_Toc166512678"/>
      <w:bookmarkStart w:id="161" w:name="_Toc166513136"/>
      <w:bookmarkStart w:id="162" w:name="_Toc166747926"/>
      <w:r w:rsidRPr="00B05A70">
        <w:t>Compliance programme improvement plan</w:t>
      </w:r>
      <w:bookmarkEnd w:id="160"/>
      <w:bookmarkEnd w:id="161"/>
      <w:bookmarkEnd w:id="162"/>
    </w:p>
    <w:p w14:paraId="5E4784F8" w14:textId="77777777" w:rsidR="007D61C0" w:rsidRPr="00B05A70" w:rsidRDefault="007D61C0" w:rsidP="00A535E7">
      <w:pPr>
        <w:spacing w:after="280"/>
        <w:jc w:val="both"/>
        <w:rPr>
          <w:rFonts w:asciiTheme="minorBidi" w:hAnsiTheme="minorBidi" w:cstheme="minorBidi"/>
        </w:rPr>
      </w:pPr>
      <w:r w:rsidRPr="00B05A70">
        <w:rPr>
          <w:rFonts w:asciiTheme="minorBidi" w:hAnsiTheme="minorBidi" w:cstheme="minorBidi"/>
        </w:rPr>
        <w:t xml:space="preserve">Having assessed the effectiveness of an antitrust programme’s processes and controls, (and having tested substantive antitrust compliance as appropriate), it will be important to consider whether the company should develop a compliance programme improvement plan (CPIP). </w:t>
      </w:r>
    </w:p>
    <w:p w14:paraId="72A4CDC9" w14:textId="77777777" w:rsidR="00E47CEE" w:rsidRDefault="007D61C0" w:rsidP="00E47CEE">
      <w:pPr>
        <w:spacing w:after="360"/>
        <w:jc w:val="both"/>
        <w:rPr>
          <w:rFonts w:asciiTheme="minorBidi" w:hAnsiTheme="minorBidi" w:cstheme="minorBidi"/>
        </w:rPr>
        <w:sectPr w:rsidR="00E47CEE" w:rsidSect="004B6918">
          <w:headerReference w:type="even" r:id="rId23"/>
          <w:headerReference w:type="default" r:id="rId24"/>
          <w:type w:val="evenPage"/>
          <w:pgSz w:w="11900" w:h="16840"/>
          <w:pgMar w:top="1418" w:right="1418" w:bottom="1135" w:left="1418" w:header="567" w:footer="510" w:gutter="0"/>
          <w:cols w:space="720"/>
        </w:sectPr>
      </w:pPr>
      <w:r w:rsidRPr="00B05A70">
        <w:rPr>
          <w:rFonts w:asciiTheme="minorBidi" w:hAnsiTheme="minorBidi" w:cstheme="minorBidi"/>
        </w:rPr>
        <w:t xml:space="preserve">If your company adopts a CPIP, it should set out deliverable actions to address identified control gaps, to introduce new controls (as required) and should articulate timelines for delivery, including details of who is accountable in the </w:t>
      </w:r>
      <w:r w:rsidRPr="00B05A70">
        <w:rPr>
          <w:rFonts w:asciiTheme="minorBidi" w:hAnsiTheme="minorBidi" w:cstheme="minorBidi"/>
          <w:lang w:eastAsia="en-US"/>
        </w:rPr>
        <w:t xml:space="preserve">company </w:t>
      </w:r>
      <w:r w:rsidRPr="00B05A70">
        <w:rPr>
          <w:rFonts w:asciiTheme="minorBidi" w:hAnsiTheme="minorBidi" w:cstheme="minorBidi"/>
        </w:rPr>
        <w:t xml:space="preserve">to ensure delivery. The plan would also usually articulate how </w:t>
      </w:r>
      <w:r w:rsidRPr="00B05A70">
        <w:rPr>
          <w:rFonts w:asciiTheme="minorBidi" w:hAnsiTheme="minorBidi" w:cstheme="minorBidi"/>
        </w:rPr>
        <w:lastRenderedPageBreak/>
        <w:t>delivery of the action points agreed will be tested and how desired improvements to the programme will be objectively monitored</w:t>
      </w:r>
      <w:bookmarkStart w:id="163" w:name="_Toc166513137"/>
    </w:p>
    <w:p w14:paraId="0266ACD1" w14:textId="7F86D4F6" w:rsidR="007D61C0" w:rsidRPr="00465431" w:rsidRDefault="007D61C0" w:rsidP="00E47CEE">
      <w:pPr>
        <w:pStyle w:val="Masterheading"/>
      </w:pPr>
      <w:bookmarkStart w:id="164" w:name="_Toc166747927"/>
      <w:r w:rsidRPr="00465431">
        <w:rPr>
          <w:noProof/>
          <w:lang w:eastAsia="en-US"/>
        </w:rPr>
        <w:lastRenderedPageBreak/>
        <w:t>Acknowledgements</w:t>
      </w:r>
      <w:bookmarkEnd w:id="163"/>
      <w:bookmarkEnd w:id="164"/>
    </w:p>
    <w:p w14:paraId="080C2B9A" w14:textId="16FA5E71" w:rsidR="007D61C0" w:rsidRDefault="00B9733E" w:rsidP="0030321A">
      <w:pPr>
        <w:spacing w:after="0" w:line="259" w:lineRule="auto"/>
        <w:rPr>
          <w:rFonts w:cs="Arial"/>
        </w:rPr>
      </w:pPr>
      <w:r w:rsidRPr="00465431">
        <w:rPr>
          <w:rFonts w:cs="Arial"/>
        </w:rPr>
        <w:t xml:space="preserve">ICC would like to thank members of the ICC Task Force on Compliance Policy Harmonisation and other ICC members and national committees whose contributions have been essential to the development of the ICC </w:t>
      </w:r>
      <w:r>
        <w:rPr>
          <w:rFonts w:eastAsia="Yu Gothic" w:cs="Arial" w:hint="eastAsia"/>
        </w:rPr>
        <w:t>antitrust compliance</w:t>
      </w:r>
      <w:r w:rsidRPr="00465431">
        <w:rPr>
          <w:rFonts w:cs="Arial"/>
        </w:rPr>
        <w:t xml:space="preserve"> Toolkit</w:t>
      </w:r>
      <w:r>
        <w:rPr>
          <w:rFonts w:eastAsia="Yu Gothic" w:cs="Arial" w:hint="eastAsia"/>
        </w:rPr>
        <w:t>s</w:t>
      </w:r>
      <w:r w:rsidRPr="00465431">
        <w:rPr>
          <w:rFonts w:cs="Arial"/>
        </w:rPr>
        <w:t xml:space="preserve">, and especially: </w:t>
      </w:r>
    </w:p>
    <w:p w14:paraId="6465D1DD" w14:textId="77777777" w:rsidR="00161905" w:rsidRPr="00465431" w:rsidRDefault="00161905" w:rsidP="0030321A">
      <w:pPr>
        <w:spacing w:after="0" w:line="259" w:lineRule="auto"/>
        <w:rPr>
          <w:rFonts w:cs="Arial"/>
        </w:rPr>
      </w:pPr>
    </w:p>
    <w:p w14:paraId="55F16F1D" w14:textId="77777777" w:rsidR="007D61C0" w:rsidRDefault="007D61C0" w:rsidP="0030321A">
      <w:pPr>
        <w:spacing w:after="0" w:line="259" w:lineRule="auto"/>
        <w:rPr>
          <w:rFonts w:cs="Arial"/>
        </w:rPr>
      </w:pPr>
      <w:r w:rsidRPr="00465431">
        <w:rPr>
          <w:rFonts w:cs="Arial"/>
          <w:u w:val="single"/>
        </w:rPr>
        <w:t>ICC Commission on Competition</w:t>
      </w:r>
      <w:r w:rsidRPr="00465431">
        <w:rPr>
          <w:rFonts w:cs="Arial"/>
        </w:rPr>
        <w:t>:</w:t>
      </w:r>
    </w:p>
    <w:p w14:paraId="5A735184" w14:textId="77777777" w:rsidR="00161905" w:rsidRPr="00465431" w:rsidRDefault="00161905" w:rsidP="0030321A">
      <w:pPr>
        <w:spacing w:after="0" w:line="259" w:lineRule="auto"/>
        <w:rPr>
          <w:rFonts w:cs="Arial"/>
        </w:rPr>
      </w:pPr>
    </w:p>
    <w:p w14:paraId="2A407FE8" w14:textId="35E661BD" w:rsidR="007D61C0" w:rsidRPr="00465431" w:rsidRDefault="007D61C0" w:rsidP="0030321A">
      <w:pPr>
        <w:numPr>
          <w:ilvl w:val="0"/>
          <w:numId w:val="1"/>
        </w:numPr>
        <w:spacing w:after="0" w:line="259" w:lineRule="auto"/>
        <w:contextualSpacing/>
        <w:rPr>
          <w:rFonts w:cs="Arial"/>
        </w:rPr>
      </w:pPr>
      <w:r w:rsidRPr="00465431">
        <w:rPr>
          <w:rFonts w:cs="Arial"/>
        </w:rPr>
        <w:t xml:space="preserve"> </w:t>
      </w:r>
      <w:r w:rsidR="00161905">
        <w:rPr>
          <w:rFonts w:eastAsia="Times New Roman" w:cs="Arial"/>
          <w:lang w:eastAsia="fr-FR"/>
        </w:rPr>
        <w:t>Paola Pugliese Partner</w:t>
      </w:r>
      <w:r w:rsidR="005C2B01">
        <w:rPr>
          <w:rFonts w:eastAsia="Times New Roman" w:cs="Arial"/>
          <w:lang w:eastAsia="fr-FR"/>
        </w:rPr>
        <w:t xml:space="preserve"> and Head of the Antitrust/Competition Practice, </w:t>
      </w:r>
      <w:proofErr w:type="spellStart"/>
      <w:r w:rsidR="005C2B01">
        <w:rPr>
          <w:rFonts w:eastAsia="Times New Roman" w:cs="Arial"/>
          <w:lang w:eastAsia="fr-FR"/>
        </w:rPr>
        <w:t>Lefosse</w:t>
      </w:r>
      <w:proofErr w:type="spellEnd"/>
      <w:r w:rsidRPr="00465431">
        <w:rPr>
          <w:rFonts w:eastAsia="Times New Roman" w:cs="Arial"/>
          <w:lang w:eastAsia="fr-FR"/>
        </w:rPr>
        <w:t xml:space="preserve"> – </w:t>
      </w:r>
      <w:r w:rsidRPr="00465431">
        <w:rPr>
          <w:rFonts w:eastAsia="Times New Roman" w:cs="Arial"/>
          <w:i/>
          <w:iCs/>
          <w:lang w:eastAsia="fr-FR"/>
        </w:rPr>
        <w:t xml:space="preserve">Chair of ICC </w:t>
      </w:r>
      <w:r w:rsidR="0045031F">
        <w:rPr>
          <w:rFonts w:eastAsia="Times New Roman" w:cs="Arial"/>
          <w:i/>
          <w:iCs/>
          <w:lang w:eastAsia="fr-FR"/>
        </w:rPr>
        <w:t xml:space="preserve">Global </w:t>
      </w:r>
      <w:r w:rsidRPr="00465431">
        <w:rPr>
          <w:rFonts w:eastAsia="Times New Roman" w:cs="Arial"/>
          <w:i/>
          <w:iCs/>
          <w:lang w:eastAsia="fr-FR"/>
        </w:rPr>
        <w:t>Commission on Competition</w:t>
      </w:r>
    </w:p>
    <w:p w14:paraId="0777AEFE" w14:textId="77777777" w:rsidR="007D61C0" w:rsidRDefault="007D61C0" w:rsidP="0030321A">
      <w:pPr>
        <w:spacing w:after="0" w:line="259" w:lineRule="auto"/>
        <w:ind w:left="720"/>
        <w:contextualSpacing/>
        <w:rPr>
          <w:rFonts w:cs="Arial"/>
        </w:rPr>
      </w:pPr>
    </w:p>
    <w:p w14:paraId="1580F33C" w14:textId="77777777" w:rsidR="007D61C0" w:rsidRPr="00465431" w:rsidRDefault="007D61C0" w:rsidP="0030321A">
      <w:pPr>
        <w:spacing w:after="0" w:line="259" w:lineRule="auto"/>
        <w:ind w:left="720"/>
        <w:contextualSpacing/>
        <w:rPr>
          <w:rFonts w:cs="Arial"/>
        </w:rPr>
      </w:pPr>
    </w:p>
    <w:p w14:paraId="39583244" w14:textId="41CA4CE9" w:rsidR="0083043E" w:rsidRPr="00465431" w:rsidRDefault="0083043E" w:rsidP="0030321A">
      <w:pPr>
        <w:spacing w:after="0" w:line="259" w:lineRule="auto"/>
        <w:contextualSpacing/>
        <w:rPr>
          <w:rFonts w:cs="Arial"/>
        </w:rPr>
      </w:pPr>
      <w:r w:rsidRPr="00465431">
        <w:rPr>
          <w:rFonts w:cs="Arial"/>
          <w:u w:val="single"/>
        </w:rPr>
        <w:t xml:space="preserve">ICC Task Force on </w:t>
      </w:r>
      <w:r>
        <w:rPr>
          <w:rFonts w:eastAsia="Yu Gothic" w:cs="Arial" w:hint="eastAsia"/>
          <w:u w:val="single"/>
        </w:rPr>
        <w:t xml:space="preserve">Antitrust </w:t>
      </w:r>
      <w:r w:rsidRPr="00465431">
        <w:rPr>
          <w:rFonts w:cs="Arial"/>
          <w:u w:val="single"/>
        </w:rPr>
        <w:t>Compliance Policy Harmonisation co-editors of the Toolkit</w:t>
      </w:r>
    </w:p>
    <w:p w14:paraId="078D366C" w14:textId="77777777" w:rsidR="0083043E" w:rsidRPr="00465431" w:rsidRDefault="0083043E" w:rsidP="0030321A">
      <w:pPr>
        <w:spacing w:after="0" w:line="259" w:lineRule="auto"/>
        <w:contextualSpacing/>
        <w:rPr>
          <w:rFonts w:cs="Arial"/>
        </w:rPr>
      </w:pPr>
    </w:p>
    <w:p w14:paraId="4F6D7552" w14:textId="77777777" w:rsidR="0083043E" w:rsidRDefault="0083043E" w:rsidP="0030321A">
      <w:pPr>
        <w:numPr>
          <w:ilvl w:val="0"/>
          <w:numId w:val="1"/>
        </w:numPr>
        <w:spacing w:after="0" w:line="259" w:lineRule="auto"/>
        <w:contextualSpacing/>
        <w:rPr>
          <w:rFonts w:cs="Arial"/>
        </w:rPr>
      </w:pPr>
      <w:r w:rsidRPr="004773D1">
        <w:rPr>
          <w:rFonts w:cs="Arial"/>
        </w:rPr>
        <w:t>Charlotte Breuvart, Partner, Jones Day, Belgium</w:t>
      </w:r>
    </w:p>
    <w:p w14:paraId="353AAB73" w14:textId="77777777" w:rsidR="0083043E" w:rsidRDefault="0083043E" w:rsidP="0030321A">
      <w:pPr>
        <w:numPr>
          <w:ilvl w:val="0"/>
          <w:numId w:val="1"/>
        </w:numPr>
        <w:spacing w:after="0" w:line="259" w:lineRule="auto"/>
        <w:contextualSpacing/>
        <w:rPr>
          <w:rFonts w:cs="Arial"/>
        </w:rPr>
      </w:pPr>
      <w:proofErr w:type="spellStart"/>
      <w:r w:rsidRPr="004773D1">
        <w:rPr>
          <w:rFonts w:cs="Arial"/>
        </w:rPr>
        <w:t>Dr.</w:t>
      </w:r>
      <w:proofErr w:type="spellEnd"/>
      <w:r w:rsidRPr="004773D1">
        <w:rPr>
          <w:rFonts w:cs="Arial"/>
        </w:rPr>
        <w:t xml:space="preserve"> Gordon Christian, Principal Counsel Competition, Siemens Energy, Germany</w:t>
      </w:r>
    </w:p>
    <w:p w14:paraId="26D01A65" w14:textId="77777777" w:rsidR="0083043E" w:rsidRPr="00457470" w:rsidRDefault="0083043E" w:rsidP="0030321A">
      <w:pPr>
        <w:numPr>
          <w:ilvl w:val="0"/>
          <w:numId w:val="1"/>
        </w:numPr>
        <w:spacing w:after="0" w:line="259" w:lineRule="auto"/>
        <w:contextualSpacing/>
        <w:rPr>
          <w:rFonts w:eastAsia="Yu Gothic" w:cs="Arial"/>
          <w:lang w:val="pt-PT"/>
        </w:rPr>
      </w:pPr>
      <w:r w:rsidRPr="004773D1">
        <w:rPr>
          <w:rFonts w:eastAsia="Yu Gothic" w:cs="Arial" w:hint="eastAsia"/>
          <w:lang w:val="pt-PT"/>
        </w:rPr>
        <w:t>Joyce Honda</w:t>
      </w:r>
      <w:r w:rsidRPr="004773D1">
        <w:rPr>
          <w:rFonts w:eastAsia="Yu Gothic" w:cs="Arial"/>
          <w:lang w:val="pt-PT"/>
        </w:rPr>
        <w:t xml:space="preserve">, </w:t>
      </w:r>
      <w:proofErr w:type="spellStart"/>
      <w:r w:rsidRPr="004773D1">
        <w:rPr>
          <w:rFonts w:eastAsia="Yu Gothic" w:cs="Arial"/>
          <w:lang w:val="pt-PT"/>
        </w:rPr>
        <w:t>Lawyer</w:t>
      </w:r>
      <w:proofErr w:type="spellEnd"/>
      <w:r w:rsidRPr="004773D1">
        <w:rPr>
          <w:rFonts w:eastAsia="Yu Gothic" w:cs="Arial"/>
          <w:lang w:val="pt-PT"/>
        </w:rPr>
        <w:t xml:space="preserve">, </w:t>
      </w:r>
      <w:proofErr w:type="spellStart"/>
      <w:r w:rsidRPr="004773D1">
        <w:rPr>
          <w:rFonts w:eastAsia="Yu Gothic" w:cs="Arial"/>
          <w:lang w:val="pt-PT"/>
        </w:rPr>
        <w:t>Cescon</w:t>
      </w:r>
      <w:proofErr w:type="spellEnd"/>
      <w:r w:rsidRPr="004773D1">
        <w:rPr>
          <w:rFonts w:eastAsia="Yu Gothic" w:cs="Arial"/>
          <w:lang w:val="pt-PT"/>
        </w:rPr>
        <w:t xml:space="preserve">, </w:t>
      </w:r>
      <w:proofErr w:type="spellStart"/>
      <w:r w:rsidRPr="004773D1">
        <w:rPr>
          <w:rFonts w:eastAsia="Yu Gothic" w:cs="Arial"/>
          <w:lang w:val="pt-PT"/>
        </w:rPr>
        <w:t>Barrieu</w:t>
      </w:r>
      <w:proofErr w:type="spellEnd"/>
      <w:r w:rsidRPr="004773D1">
        <w:rPr>
          <w:rFonts w:eastAsia="Yu Gothic" w:cs="Arial"/>
          <w:lang w:val="pt-PT"/>
        </w:rPr>
        <w:t xml:space="preserve">, </w:t>
      </w:r>
      <w:proofErr w:type="spellStart"/>
      <w:r w:rsidRPr="004773D1">
        <w:rPr>
          <w:rFonts w:eastAsia="Yu Gothic" w:cs="Arial"/>
          <w:lang w:val="pt-PT"/>
        </w:rPr>
        <w:t>Flesch</w:t>
      </w:r>
      <w:proofErr w:type="spellEnd"/>
      <w:r w:rsidRPr="004773D1">
        <w:rPr>
          <w:rFonts w:eastAsia="Yu Gothic" w:cs="Arial"/>
          <w:lang w:val="pt-PT"/>
        </w:rPr>
        <w:t xml:space="preserve"> &amp; Barreto Sociedade de Advogados, </w:t>
      </w:r>
      <w:proofErr w:type="spellStart"/>
      <w:r w:rsidRPr="004773D1">
        <w:rPr>
          <w:rFonts w:eastAsia="Yu Gothic" w:cs="Arial"/>
          <w:lang w:val="pt-PT"/>
        </w:rPr>
        <w:t>Brazil</w:t>
      </w:r>
      <w:proofErr w:type="spellEnd"/>
      <w:r w:rsidRPr="004773D1">
        <w:rPr>
          <w:rFonts w:eastAsia="Yu Gothic" w:cs="Arial"/>
          <w:lang w:val="pt-PT"/>
        </w:rPr>
        <w:t xml:space="preserve">  </w:t>
      </w:r>
    </w:p>
    <w:p w14:paraId="18915056" w14:textId="77777777" w:rsidR="0083043E" w:rsidRPr="00457470" w:rsidRDefault="0083043E" w:rsidP="0030321A">
      <w:pPr>
        <w:numPr>
          <w:ilvl w:val="0"/>
          <w:numId w:val="1"/>
        </w:numPr>
        <w:spacing w:after="0" w:line="259" w:lineRule="auto"/>
        <w:contextualSpacing/>
        <w:rPr>
          <w:rFonts w:cs="Arial"/>
        </w:rPr>
      </w:pPr>
      <w:r w:rsidRPr="004773D1">
        <w:rPr>
          <w:rFonts w:cs="Arial"/>
        </w:rPr>
        <w:t>Anne Riley, former Global Group Antitrust Counsel, Shell plc</w:t>
      </w:r>
      <w:r w:rsidRPr="004773D1">
        <w:rPr>
          <w:rFonts w:eastAsia="Times New Roman" w:cs="Arial"/>
          <w:lang w:eastAsia="fr-FR"/>
        </w:rPr>
        <w:t>,</w:t>
      </w:r>
      <w:r w:rsidRPr="004773D1">
        <w:rPr>
          <w:rFonts w:cs="Arial"/>
        </w:rPr>
        <w:t>– former Chair of the ICC Task Force on Compliance and Advocacy; Co-Chair of the ICC Task Force on the ICN, UK</w:t>
      </w:r>
    </w:p>
    <w:p w14:paraId="19C3BD33" w14:textId="77777777" w:rsidR="0083043E" w:rsidRPr="004773D1" w:rsidRDefault="0083043E" w:rsidP="0030321A">
      <w:pPr>
        <w:numPr>
          <w:ilvl w:val="0"/>
          <w:numId w:val="1"/>
        </w:numPr>
        <w:spacing w:after="0" w:line="259" w:lineRule="auto"/>
        <w:contextualSpacing/>
        <w:rPr>
          <w:rFonts w:cs="Arial"/>
        </w:rPr>
      </w:pPr>
      <w:r w:rsidRPr="004773D1">
        <w:rPr>
          <w:rFonts w:cs="Arial"/>
        </w:rPr>
        <w:t>Dan Roskis, Partner, Eversheds Sutherland, France</w:t>
      </w:r>
    </w:p>
    <w:p w14:paraId="053E0BB9" w14:textId="77777777" w:rsidR="0083043E" w:rsidRPr="00675635" w:rsidRDefault="0083043E" w:rsidP="0030321A">
      <w:pPr>
        <w:numPr>
          <w:ilvl w:val="0"/>
          <w:numId w:val="1"/>
        </w:numPr>
        <w:spacing w:after="0" w:line="259" w:lineRule="auto"/>
        <w:contextualSpacing/>
        <w:rPr>
          <w:rFonts w:cs="Arial"/>
          <w:lang w:val="it-IT"/>
        </w:rPr>
      </w:pPr>
      <w:r w:rsidRPr="00675635">
        <w:rPr>
          <w:rFonts w:eastAsia="Yu Gothic" w:cs="Arial" w:hint="eastAsia"/>
          <w:lang w:val="it-IT"/>
        </w:rPr>
        <w:t>Carolina Soto</w:t>
      </w:r>
      <w:r w:rsidRPr="00675635">
        <w:rPr>
          <w:rFonts w:eastAsia="Yu Gothic" w:cs="Arial"/>
          <w:lang w:val="it-IT"/>
        </w:rPr>
        <w:t xml:space="preserve">, </w:t>
      </w:r>
      <w:proofErr w:type="spellStart"/>
      <w:r w:rsidRPr="00675635">
        <w:rPr>
          <w:rFonts w:eastAsia="Yu Gothic" w:cs="Arial"/>
          <w:lang w:val="it-IT"/>
        </w:rPr>
        <w:t>Lawyer</w:t>
      </w:r>
      <w:proofErr w:type="spellEnd"/>
      <w:r w:rsidRPr="00675635">
        <w:rPr>
          <w:rFonts w:eastAsia="Yu Gothic" w:cs="Arial"/>
          <w:lang w:val="it-IT"/>
        </w:rPr>
        <w:t>, Prieto, C</w:t>
      </w:r>
      <w:r>
        <w:rPr>
          <w:rFonts w:eastAsia="Yu Gothic" w:cs="Arial"/>
          <w:lang w:val="it-IT"/>
        </w:rPr>
        <w:t xml:space="preserve">hile </w:t>
      </w:r>
    </w:p>
    <w:p w14:paraId="3854628B" w14:textId="77777777" w:rsidR="0083043E" w:rsidRPr="004773D1" w:rsidRDefault="0083043E" w:rsidP="0030321A">
      <w:pPr>
        <w:numPr>
          <w:ilvl w:val="0"/>
          <w:numId w:val="1"/>
        </w:numPr>
        <w:spacing w:after="0" w:line="259" w:lineRule="auto"/>
        <w:contextualSpacing/>
        <w:rPr>
          <w:rFonts w:eastAsia="Yu Gothic" w:cs="Arial"/>
          <w:lang w:val="pt-PT"/>
        </w:rPr>
      </w:pPr>
      <w:r w:rsidRPr="004773D1">
        <w:rPr>
          <w:rFonts w:eastAsia="Yu Gothic" w:cs="Arial"/>
          <w:lang w:val="pt-PT"/>
        </w:rPr>
        <w:t xml:space="preserve">Mickael Viglino, </w:t>
      </w:r>
      <w:proofErr w:type="spellStart"/>
      <w:r w:rsidRPr="004773D1">
        <w:rPr>
          <w:rFonts w:eastAsia="Yu Gothic" w:cs="Arial"/>
          <w:lang w:val="pt-PT"/>
        </w:rPr>
        <w:t>Lawyer</w:t>
      </w:r>
      <w:proofErr w:type="spellEnd"/>
      <w:r w:rsidRPr="004773D1">
        <w:rPr>
          <w:rFonts w:eastAsia="Yu Gothic" w:cs="Arial"/>
          <w:lang w:val="pt-PT"/>
        </w:rPr>
        <w:t xml:space="preserve">, J.G. Assis de Almeida Advogados e Associados - Sociedade de Advogados, </w:t>
      </w:r>
      <w:proofErr w:type="spellStart"/>
      <w:r w:rsidRPr="004773D1">
        <w:rPr>
          <w:rFonts w:eastAsia="Yu Gothic" w:cs="Arial"/>
          <w:lang w:val="pt-PT"/>
        </w:rPr>
        <w:t>Brazil</w:t>
      </w:r>
      <w:proofErr w:type="spellEnd"/>
    </w:p>
    <w:p w14:paraId="18553A07" w14:textId="77777777" w:rsidR="0083043E" w:rsidRPr="00393F3D" w:rsidRDefault="0083043E" w:rsidP="0030321A">
      <w:pPr>
        <w:numPr>
          <w:ilvl w:val="0"/>
          <w:numId w:val="1"/>
        </w:numPr>
        <w:spacing w:after="0" w:line="259" w:lineRule="auto"/>
        <w:contextualSpacing/>
        <w:rPr>
          <w:rFonts w:eastAsia="Yu Gothic" w:cs="Arial"/>
          <w:lang w:val="de-DE"/>
        </w:rPr>
      </w:pPr>
      <w:r w:rsidRPr="004773D1">
        <w:rPr>
          <w:rFonts w:eastAsia="Yu Gothic" w:cs="Arial" w:hint="eastAsia"/>
          <w:lang w:val="de-DE"/>
        </w:rPr>
        <w:t>Johannes Wiehe</w:t>
      </w:r>
      <w:r w:rsidRPr="00DF0EE2">
        <w:rPr>
          <w:rFonts w:eastAsia="Yu Gothic" w:cs="Arial"/>
          <w:lang w:val="de-DE"/>
        </w:rPr>
        <w:t xml:space="preserve">, </w:t>
      </w:r>
      <w:r w:rsidRPr="005B2444">
        <w:rPr>
          <w:rFonts w:eastAsia="Yu Gothic" w:cs="Arial"/>
          <w:i/>
          <w:iCs/>
          <w:lang w:val="de-DE"/>
        </w:rPr>
        <w:t xml:space="preserve">Public &amp; </w:t>
      </w:r>
      <w:proofErr w:type="spellStart"/>
      <w:r w:rsidRPr="005B2444">
        <w:rPr>
          <w:rFonts w:eastAsia="Yu Gothic" w:cs="Arial"/>
          <w:i/>
          <w:iCs/>
          <w:lang w:val="de-DE"/>
        </w:rPr>
        <w:t>Regulatory</w:t>
      </w:r>
      <w:proofErr w:type="spellEnd"/>
      <w:r w:rsidRPr="005B2444">
        <w:rPr>
          <w:rFonts w:eastAsia="Yu Gothic" w:cs="Arial"/>
          <w:i/>
          <w:iCs/>
          <w:lang w:val="de-DE"/>
        </w:rPr>
        <w:t xml:space="preserve"> Affairs Manager, Deutsche Telekom</w:t>
      </w:r>
      <w:r w:rsidRPr="00DF0EE2">
        <w:rPr>
          <w:rFonts w:eastAsia="Yu Gothic" w:cs="Arial"/>
          <w:lang w:val="de-DE"/>
        </w:rPr>
        <w:t xml:space="preserve"> AG, </w:t>
      </w:r>
      <w:r w:rsidRPr="004773D1">
        <w:rPr>
          <w:rFonts w:eastAsia="Yu Gothic" w:cs="Arial"/>
          <w:lang w:val="de-DE"/>
        </w:rPr>
        <w:t xml:space="preserve">Germany </w:t>
      </w:r>
    </w:p>
    <w:p w14:paraId="130FBDD7" w14:textId="77777777" w:rsidR="007D61C0" w:rsidRPr="00465431" w:rsidRDefault="007D61C0" w:rsidP="0030321A">
      <w:pPr>
        <w:spacing w:after="0" w:line="259" w:lineRule="auto"/>
        <w:contextualSpacing/>
        <w:rPr>
          <w:rFonts w:cs="Arial"/>
        </w:rPr>
      </w:pPr>
    </w:p>
    <w:p w14:paraId="5DF2A9EF" w14:textId="77777777" w:rsidR="007D61C0" w:rsidRPr="00465431" w:rsidRDefault="007D61C0" w:rsidP="0030321A">
      <w:pPr>
        <w:spacing w:after="0" w:line="259" w:lineRule="auto"/>
        <w:contextualSpacing/>
        <w:rPr>
          <w:rFonts w:cs="Arial"/>
          <w:u w:val="single"/>
        </w:rPr>
      </w:pPr>
      <w:r w:rsidRPr="00465431">
        <w:rPr>
          <w:rFonts w:cs="Arial"/>
          <w:u w:val="single"/>
        </w:rPr>
        <w:t>ICC International Secretariat:</w:t>
      </w:r>
    </w:p>
    <w:p w14:paraId="416E24F1" w14:textId="77777777" w:rsidR="007D61C0" w:rsidRPr="00465431" w:rsidRDefault="007D61C0" w:rsidP="0030321A">
      <w:pPr>
        <w:spacing w:after="0" w:line="259" w:lineRule="auto"/>
        <w:contextualSpacing/>
        <w:rPr>
          <w:rFonts w:cs="Arial"/>
          <w:u w:val="single"/>
        </w:rPr>
      </w:pPr>
    </w:p>
    <w:p w14:paraId="398C19B4" w14:textId="77777777" w:rsidR="007D61C0" w:rsidRPr="00465431" w:rsidRDefault="007D61C0" w:rsidP="0030321A">
      <w:pPr>
        <w:numPr>
          <w:ilvl w:val="0"/>
          <w:numId w:val="1"/>
        </w:numPr>
        <w:spacing w:after="0" w:line="259" w:lineRule="auto"/>
        <w:contextualSpacing/>
        <w:rPr>
          <w:rFonts w:cs="Arial"/>
        </w:rPr>
      </w:pPr>
      <w:r w:rsidRPr="00465431">
        <w:rPr>
          <w:rFonts w:eastAsia="Times New Roman" w:cs="Arial"/>
          <w:lang w:eastAsia="fr-FR"/>
        </w:rPr>
        <w:t>Caroline Inthavisay, Global Policy Lead - Competition</w:t>
      </w:r>
    </w:p>
    <w:p w14:paraId="4EC2D44C" w14:textId="77777777" w:rsidR="007D61C0" w:rsidRPr="00465431" w:rsidRDefault="007D61C0" w:rsidP="0030321A">
      <w:pPr>
        <w:spacing w:after="0" w:line="259" w:lineRule="auto"/>
        <w:ind w:left="360"/>
        <w:contextualSpacing/>
        <w:rPr>
          <w:rFonts w:cs="Arial"/>
        </w:rPr>
      </w:pPr>
    </w:p>
    <w:p w14:paraId="23575382" w14:textId="77777777" w:rsidR="007D61C0" w:rsidRPr="00465431" w:rsidRDefault="007D61C0" w:rsidP="0030321A">
      <w:pPr>
        <w:spacing w:after="0" w:line="259" w:lineRule="auto"/>
        <w:ind w:left="720"/>
        <w:contextualSpacing/>
        <w:rPr>
          <w:rFonts w:cs="Arial"/>
        </w:rPr>
      </w:pPr>
    </w:p>
    <w:p w14:paraId="21DFE036" w14:textId="77777777" w:rsidR="006372CC" w:rsidRPr="00F84008" w:rsidRDefault="006372CC" w:rsidP="0030321A">
      <w:pPr>
        <w:spacing w:after="0" w:line="259" w:lineRule="auto"/>
        <w:rPr>
          <w:rFonts w:eastAsia="Yu Gothic" w:cs="Arial"/>
        </w:rPr>
      </w:pPr>
      <w:r w:rsidRPr="00465431">
        <w:rPr>
          <w:rFonts w:cs="Arial"/>
          <w:u w:val="single"/>
        </w:rPr>
        <w:t>ICC Task Force on Compliance Policy Harmonisation contributors</w:t>
      </w:r>
    </w:p>
    <w:p w14:paraId="24A94984" w14:textId="77777777" w:rsidR="006372CC" w:rsidRDefault="006372CC" w:rsidP="0030321A">
      <w:pPr>
        <w:spacing w:after="0" w:line="259" w:lineRule="auto"/>
        <w:rPr>
          <w:rFonts w:eastAsia="Yu Gothic" w:cs="Arial"/>
        </w:rPr>
      </w:pPr>
      <w:r>
        <w:rPr>
          <w:rFonts w:eastAsia="Yu Gothic" w:cs="Arial" w:hint="eastAsia"/>
        </w:rPr>
        <w:t xml:space="preserve">ICC would like to thank the contributors of the first edition without whom this new edition would not have </w:t>
      </w:r>
      <w:r w:rsidRPr="003B0580">
        <w:rPr>
          <w:rFonts w:eastAsia="Yu Gothic" w:cs="Arial" w:hint="eastAsia"/>
        </w:rPr>
        <w:t xml:space="preserve">been possible.  The contributors of the new edition are: </w:t>
      </w:r>
    </w:p>
    <w:p w14:paraId="02D826E6"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Jesús Alvarado-Rivera, Global Director - Antitrust, Anheuser-Busch InBev, United States</w:t>
      </w:r>
    </w:p>
    <w:p w14:paraId="3958E8C6"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Sahin Ardiyok, Partner, Dentons, Türkiye</w:t>
      </w:r>
    </w:p>
    <w:p w14:paraId="22E6B5A5" w14:textId="77777777" w:rsidR="00471D03" w:rsidRPr="00471D03" w:rsidRDefault="00471D03" w:rsidP="0030321A">
      <w:pPr>
        <w:numPr>
          <w:ilvl w:val="0"/>
          <w:numId w:val="49"/>
        </w:numPr>
        <w:spacing w:after="0" w:line="259" w:lineRule="auto"/>
        <w:ind w:left="714" w:hanging="357"/>
        <w:contextualSpacing/>
        <w:rPr>
          <w:rFonts w:eastAsia="Yu Gothic" w:cs="Arial"/>
          <w:lang w:val="pt-PT"/>
        </w:rPr>
      </w:pPr>
      <w:r w:rsidRPr="00471D03">
        <w:rPr>
          <w:rFonts w:eastAsia="Yu Gothic" w:cs="Arial"/>
          <w:lang w:val="pt-PT"/>
        </w:rPr>
        <w:t xml:space="preserve">José Gabriel Assis de Almeida, </w:t>
      </w:r>
      <w:proofErr w:type="spellStart"/>
      <w:r w:rsidRPr="00471D03">
        <w:rPr>
          <w:rFonts w:eastAsia="Yu Gothic" w:cs="Arial"/>
          <w:lang w:val="pt-PT"/>
        </w:rPr>
        <w:t>Partner</w:t>
      </w:r>
      <w:proofErr w:type="spellEnd"/>
      <w:r w:rsidRPr="00471D03">
        <w:rPr>
          <w:rFonts w:eastAsia="Yu Gothic" w:cs="Arial"/>
          <w:lang w:val="pt-PT"/>
        </w:rPr>
        <w:t xml:space="preserve">, J.G. Assis de Almeida Advogados e Associados - Sociedade de Advogados, </w:t>
      </w:r>
      <w:proofErr w:type="spellStart"/>
      <w:r w:rsidRPr="00471D03">
        <w:rPr>
          <w:rFonts w:eastAsia="Yu Gothic" w:cs="Arial"/>
          <w:lang w:val="pt-PT"/>
        </w:rPr>
        <w:t>Brazil</w:t>
      </w:r>
      <w:proofErr w:type="spellEnd"/>
    </w:p>
    <w:p w14:paraId="07D350E3" w14:textId="77777777" w:rsidR="00471D03" w:rsidRPr="00471D03" w:rsidRDefault="00471D03" w:rsidP="0030321A">
      <w:pPr>
        <w:numPr>
          <w:ilvl w:val="0"/>
          <w:numId w:val="49"/>
        </w:numPr>
        <w:spacing w:after="0" w:line="259" w:lineRule="auto"/>
        <w:ind w:left="714" w:hanging="357"/>
        <w:contextualSpacing/>
        <w:rPr>
          <w:rFonts w:eastAsia="Yu Gothic" w:cs="Arial"/>
          <w:lang w:val="pt-PT"/>
        </w:rPr>
      </w:pPr>
      <w:proofErr w:type="spellStart"/>
      <w:r w:rsidRPr="00471D03">
        <w:rPr>
          <w:rFonts w:eastAsia="Yu Gothic" w:cs="Arial"/>
          <w:lang w:val="pt-PT"/>
        </w:rPr>
        <w:t>Oguczan</w:t>
      </w:r>
      <w:proofErr w:type="spellEnd"/>
      <w:r w:rsidRPr="00471D03">
        <w:rPr>
          <w:rFonts w:eastAsia="Yu Gothic" w:cs="Arial"/>
          <w:lang w:val="pt-PT"/>
        </w:rPr>
        <w:t xml:space="preserve"> </w:t>
      </w:r>
      <w:proofErr w:type="spellStart"/>
      <w:r w:rsidRPr="00471D03">
        <w:rPr>
          <w:rFonts w:eastAsia="Yu Gothic" w:cs="Arial"/>
          <w:lang w:val="pt-PT"/>
        </w:rPr>
        <w:t>Bülbül</w:t>
      </w:r>
      <w:proofErr w:type="spellEnd"/>
      <w:r w:rsidRPr="00471D03">
        <w:rPr>
          <w:rFonts w:eastAsia="Yu Gothic" w:cs="Arial"/>
          <w:lang w:val="pt-PT"/>
        </w:rPr>
        <w:t xml:space="preserve">, </w:t>
      </w:r>
      <w:proofErr w:type="spellStart"/>
      <w:r w:rsidRPr="00471D03">
        <w:rPr>
          <w:rFonts w:eastAsia="Yu Gothic" w:cs="Arial"/>
          <w:lang w:val="pt-PT"/>
        </w:rPr>
        <w:t>Competition</w:t>
      </w:r>
      <w:proofErr w:type="spellEnd"/>
      <w:r w:rsidRPr="00471D03">
        <w:rPr>
          <w:rFonts w:eastAsia="Yu Gothic" w:cs="Arial"/>
          <w:lang w:val="pt-PT"/>
        </w:rPr>
        <w:t xml:space="preserve"> Compliance </w:t>
      </w:r>
      <w:proofErr w:type="spellStart"/>
      <w:r w:rsidRPr="00471D03">
        <w:rPr>
          <w:rFonts w:eastAsia="Yu Gothic" w:cs="Arial"/>
          <w:lang w:val="pt-PT"/>
        </w:rPr>
        <w:t>Group</w:t>
      </w:r>
      <w:proofErr w:type="spellEnd"/>
      <w:r w:rsidRPr="00471D03">
        <w:rPr>
          <w:rFonts w:eastAsia="Yu Gothic" w:cs="Arial"/>
          <w:lang w:val="pt-PT"/>
        </w:rPr>
        <w:t xml:space="preserve"> Manager, </w:t>
      </w:r>
      <w:proofErr w:type="spellStart"/>
      <w:r w:rsidRPr="00471D03">
        <w:rPr>
          <w:rFonts w:eastAsia="Yu Gothic" w:cs="Arial"/>
          <w:lang w:val="pt-PT"/>
        </w:rPr>
        <w:t>Anadolu</w:t>
      </w:r>
      <w:proofErr w:type="spellEnd"/>
      <w:r w:rsidRPr="00471D03">
        <w:rPr>
          <w:rFonts w:eastAsia="Yu Gothic" w:cs="Arial"/>
          <w:lang w:val="pt-PT"/>
        </w:rPr>
        <w:t xml:space="preserve"> Efes, </w:t>
      </w:r>
      <w:proofErr w:type="spellStart"/>
      <w:r w:rsidRPr="00471D03">
        <w:rPr>
          <w:rFonts w:eastAsia="Yu Gothic" w:cs="Arial"/>
          <w:lang w:val="pt-PT"/>
        </w:rPr>
        <w:t>Türkiye</w:t>
      </w:r>
      <w:proofErr w:type="spellEnd"/>
    </w:p>
    <w:p w14:paraId="50D2D50D" w14:textId="77777777" w:rsidR="00471D03" w:rsidRPr="00471D03" w:rsidRDefault="00471D03" w:rsidP="0030321A">
      <w:pPr>
        <w:numPr>
          <w:ilvl w:val="0"/>
          <w:numId w:val="49"/>
        </w:numPr>
        <w:spacing w:after="0" w:line="259" w:lineRule="auto"/>
        <w:ind w:left="714" w:hanging="357"/>
        <w:contextualSpacing/>
        <w:rPr>
          <w:rFonts w:eastAsia="Yu Gothic" w:cs="Arial"/>
          <w:lang w:val="pt-PT"/>
        </w:rPr>
      </w:pPr>
      <w:r w:rsidRPr="00471D03">
        <w:rPr>
          <w:rFonts w:eastAsia="Yu Gothic" w:cs="Arial"/>
        </w:rPr>
        <w:t>Daniel Castelo, Director, Bustamante &amp; Fabara, Ecuador</w:t>
      </w:r>
    </w:p>
    <w:p w14:paraId="43444397"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 xml:space="preserve">Cecil Chung, Head of International Antitrust, </w:t>
      </w:r>
      <w:proofErr w:type="spellStart"/>
      <w:r w:rsidRPr="00471D03">
        <w:rPr>
          <w:rFonts w:eastAsia="Yu Gothic" w:cs="Arial"/>
        </w:rPr>
        <w:t>Yulchon</w:t>
      </w:r>
      <w:proofErr w:type="spellEnd"/>
      <w:r w:rsidRPr="00471D03">
        <w:rPr>
          <w:rFonts w:eastAsia="Yu Gothic" w:cs="Arial"/>
        </w:rPr>
        <w:t xml:space="preserve"> LLC, Republic of Korea</w:t>
      </w:r>
    </w:p>
    <w:p w14:paraId="2CE1D8F7"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J. Brady Dugan, Partner, Squire Patton Boggs, United States</w:t>
      </w:r>
    </w:p>
    <w:p w14:paraId="6F4D3ECA"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 xml:space="preserve">Andreas </w:t>
      </w:r>
      <w:proofErr w:type="spellStart"/>
      <w:r w:rsidRPr="00471D03">
        <w:rPr>
          <w:rFonts w:eastAsia="Yu Gothic" w:cs="Arial"/>
        </w:rPr>
        <w:t>Gayk</w:t>
      </w:r>
      <w:proofErr w:type="spellEnd"/>
      <w:r w:rsidRPr="00471D03">
        <w:rPr>
          <w:rFonts w:eastAsia="Yu Gothic" w:cs="Arial"/>
        </w:rPr>
        <w:t xml:space="preserve">, Director Policy Relations, Compliance Officer, </w:t>
      </w:r>
      <w:proofErr w:type="spellStart"/>
      <w:r w:rsidRPr="00471D03">
        <w:rPr>
          <w:rFonts w:eastAsia="Yu Gothic" w:cs="Arial"/>
        </w:rPr>
        <w:t>Markenverband</w:t>
      </w:r>
      <w:proofErr w:type="spellEnd"/>
      <w:r w:rsidRPr="00471D03">
        <w:rPr>
          <w:rFonts w:eastAsia="Yu Gothic" w:cs="Arial"/>
        </w:rPr>
        <w:t xml:space="preserve"> E.V., Germany</w:t>
      </w:r>
    </w:p>
    <w:p w14:paraId="016EBB08"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Christoph Hirschmann, Chief Compliance Officer, ÖBB-Holding AG, Austria</w:t>
      </w:r>
    </w:p>
    <w:p w14:paraId="1009C7E6"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Wei Huang, Senior and Managing Partner, Tian Yan Law Firm, China</w:t>
      </w:r>
    </w:p>
    <w:p w14:paraId="6246798D"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Dina Kallay, Head of Competition Law, Ericsson INC., United States</w:t>
      </w:r>
    </w:p>
    <w:p w14:paraId="44B20800"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 xml:space="preserve">Kyu Hyun Kim, Partner, </w:t>
      </w:r>
      <w:proofErr w:type="spellStart"/>
      <w:r w:rsidRPr="00471D03">
        <w:rPr>
          <w:rFonts w:eastAsia="Yu Gothic" w:cs="Arial"/>
        </w:rPr>
        <w:t>Yulchon</w:t>
      </w:r>
      <w:proofErr w:type="spellEnd"/>
      <w:r w:rsidRPr="00471D03">
        <w:rPr>
          <w:rFonts w:eastAsia="Yu Gothic" w:cs="Arial"/>
        </w:rPr>
        <w:t xml:space="preserve"> LLC, Republic of Korea</w:t>
      </w:r>
    </w:p>
    <w:p w14:paraId="7CE9CE33"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Elise Lelong, Lawyer - Competition, BNP Paribas - Paris, France</w:t>
      </w:r>
    </w:p>
    <w:p w14:paraId="30987171" w14:textId="77777777" w:rsidR="00471D03" w:rsidRPr="00471D03" w:rsidRDefault="00471D03" w:rsidP="0030321A">
      <w:pPr>
        <w:numPr>
          <w:ilvl w:val="0"/>
          <w:numId w:val="49"/>
        </w:numPr>
        <w:spacing w:after="0" w:line="259" w:lineRule="auto"/>
        <w:ind w:left="714" w:hanging="357"/>
        <w:contextualSpacing/>
        <w:rPr>
          <w:rFonts w:eastAsia="Yu Gothic" w:cs="Arial"/>
          <w:lang w:val="sv-SE"/>
        </w:rPr>
      </w:pPr>
      <w:r w:rsidRPr="00471D03">
        <w:rPr>
          <w:rFonts w:eastAsia="Yu Gothic" w:cs="Arial"/>
          <w:lang w:val="sv-SE"/>
        </w:rPr>
        <w:t xml:space="preserve">Katerina </w:t>
      </w:r>
      <w:proofErr w:type="spellStart"/>
      <w:r w:rsidRPr="00471D03">
        <w:rPr>
          <w:rFonts w:eastAsia="Yu Gothic" w:cs="Arial"/>
          <w:lang w:val="sv-SE"/>
        </w:rPr>
        <w:t>Mandulova</w:t>
      </w:r>
      <w:proofErr w:type="spellEnd"/>
      <w:r w:rsidRPr="00471D03">
        <w:rPr>
          <w:rFonts w:eastAsia="Yu Gothic" w:cs="Arial"/>
          <w:lang w:val="sv-SE"/>
        </w:rPr>
        <w:t xml:space="preserve">, Manager, </w:t>
      </w:r>
      <w:proofErr w:type="spellStart"/>
      <w:r w:rsidRPr="00471D03">
        <w:rPr>
          <w:rFonts w:eastAsia="Yu Gothic" w:cs="Arial"/>
          <w:lang w:val="sv-SE"/>
        </w:rPr>
        <w:t>PwC</w:t>
      </w:r>
      <w:proofErr w:type="spellEnd"/>
      <w:r w:rsidRPr="00471D03">
        <w:rPr>
          <w:rFonts w:eastAsia="Yu Gothic" w:cs="Arial"/>
          <w:lang w:val="sv-SE"/>
        </w:rPr>
        <w:t xml:space="preserve">, </w:t>
      </w:r>
      <w:proofErr w:type="spellStart"/>
      <w:r w:rsidRPr="00471D03">
        <w:rPr>
          <w:rFonts w:eastAsia="Yu Gothic" w:cs="Arial"/>
          <w:lang w:val="sv-SE"/>
        </w:rPr>
        <w:t>Czech</w:t>
      </w:r>
      <w:proofErr w:type="spellEnd"/>
      <w:r w:rsidRPr="00471D03">
        <w:rPr>
          <w:rFonts w:eastAsia="Yu Gothic" w:cs="Arial"/>
          <w:lang w:val="sv-SE"/>
        </w:rPr>
        <w:t xml:space="preserve"> </w:t>
      </w:r>
      <w:proofErr w:type="spellStart"/>
      <w:r w:rsidRPr="00471D03">
        <w:rPr>
          <w:rFonts w:eastAsia="Yu Gothic" w:cs="Arial"/>
          <w:lang w:val="sv-SE"/>
        </w:rPr>
        <w:t>Republic</w:t>
      </w:r>
      <w:proofErr w:type="spellEnd"/>
    </w:p>
    <w:p w14:paraId="6344B9B7" w14:textId="77777777" w:rsidR="00471D03" w:rsidRPr="00471D03" w:rsidRDefault="00471D03" w:rsidP="0030321A">
      <w:pPr>
        <w:numPr>
          <w:ilvl w:val="0"/>
          <w:numId w:val="49"/>
        </w:numPr>
        <w:spacing w:after="0" w:line="259" w:lineRule="auto"/>
        <w:contextualSpacing/>
        <w:rPr>
          <w:rFonts w:eastAsia="Yu Gothic" w:cs="Arial"/>
          <w:lang w:val="sv-SE"/>
        </w:rPr>
      </w:pPr>
      <w:proofErr w:type="spellStart"/>
      <w:r w:rsidRPr="00471D03">
        <w:rPr>
          <w:rFonts w:eastAsia="Yu Gothic" w:cs="Arial"/>
          <w:lang w:val="sv-SE"/>
        </w:rPr>
        <w:t>Guilherme</w:t>
      </w:r>
      <w:proofErr w:type="spellEnd"/>
      <w:r w:rsidRPr="00471D03">
        <w:rPr>
          <w:rFonts w:eastAsia="Yu Gothic" w:cs="Arial"/>
          <w:lang w:val="sv-SE"/>
        </w:rPr>
        <w:t xml:space="preserve"> </w:t>
      </w:r>
      <w:proofErr w:type="spellStart"/>
      <w:r w:rsidRPr="00471D03">
        <w:rPr>
          <w:rFonts w:eastAsia="Yu Gothic" w:cs="Arial"/>
          <w:lang w:val="sv-SE"/>
        </w:rPr>
        <w:t>Misale</w:t>
      </w:r>
      <w:proofErr w:type="spellEnd"/>
      <w:r w:rsidRPr="00471D03">
        <w:rPr>
          <w:rFonts w:eastAsia="Yu Gothic" w:cs="Arial"/>
          <w:lang w:val="sv-SE"/>
        </w:rPr>
        <w:t xml:space="preserve">, Partner, </w:t>
      </w:r>
      <w:proofErr w:type="spellStart"/>
      <w:r w:rsidRPr="00471D03">
        <w:rPr>
          <w:rFonts w:eastAsia="Yu Gothic" w:cs="Arial"/>
          <w:lang w:val="sv-SE"/>
        </w:rPr>
        <w:t>Caminati</w:t>
      </w:r>
      <w:proofErr w:type="spellEnd"/>
      <w:r w:rsidRPr="00471D03">
        <w:rPr>
          <w:rFonts w:eastAsia="Yu Gothic" w:cs="Arial"/>
          <w:lang w:val="sv-SE"/>
        </w:rPr>
        <w:t xml:space="preserve"> </w:t>
      </w:r>
      <w:proofErr w:type="spellStart"/>
      <w:r w:rsidRPr="00471D03">
        <w:rPr>
          <w:rFonts w:eastAsia="Yu Gothic" w:cs="Arial"/>
          <w:lang w:val="sv-SE"/>
        </w:rPr>
        <w:t>Bueno</w:t>
      </w:r>
      <w:proofErr w:type="spellEnd"/>
      <w:r w:rsidRPr="00471D03">
        <w:rPr>
          <w:rFonts w:eastAsia="Yu Gothic" w:cs="Arial"/>
          <w:lang w:val="sv-SE"/>
        </w:rPr>
        <w:t xml:space="preserve"> Advogados, Brazil </w:t>
      </w:r>
    </w:p>
    <w:p w14:paraId="5E958E20"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 xml:space="preserve">Jacques </w:t>
      </w:r>
      <w:proofErr w:type="spellStart"/>
      <w:r w:rsidRPr="00471D03">
        <w:rPr>
          <w:rFonts w:eastAsia="Yu Gothic" w:cs="Arial"/>
        </w:rPr>
        <w:t>Moscianese</w:t>
      </w:r>
      <w:proofErr w:type="spellEnd"/>
      <w:r w:rsidRPr="00471D03">
        <w:rPr>
          <w:rFonts w:eastAsia="Yu Gothic" w:cs="Arial"/>
        </w:rPr>
        <w:t xml:space="preserve">, Head of Antitrust Affairs &amp; Strategic Support-International and Regulatory Affairs Department, Intesa </w:t>
      </w:r>
      <w:proofErr w:type="spellStart"/>
      <w:r w:rsidRPr="00471D03">
        <w:rPr>
          <w:rFonts w:eastAsia="Yu Gothic" w:cs="Arial"/>
        </w:rPr>
        <w:t>SanPaolo</w:t>
      </w:r>
      <w:proofErr w:type="spellEnd"/>
      <w:r w:rsidRPr="00471D03">
        <w:rPr>
          <w:rFonts w:eastAsia="Yu Gothic" w:cs="Arial"/>
        </w:rPr>
        <w:t xml:space="preserve"> Spa, Italy</w:t>
      </w:r>
    </w:p>
    <w:p w14:paraId="2A7A4A00"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Leonardo Ortiz Mendieta, Legal Director, CCB, Colombia</w:t>
      </w:r>
    </w:p>
    <w:p w14:paraId="3075BCD0"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 xml:space="preserve">Luca Pardo, Managing Partner, </w:t>
      </w:r>
      <w:proofErr w:type="spellStart"/>
      <w:r w:rsidRPr="00471D03">
        <w:rPr>
          <w:rFonts w:eastAsia="Yu Gothic" w:cs="Arial"/>
        </w:rPr>
        <w:t>Ontier</w:t>
      </w:r>
      <w:proofErr w:type="spellEnd"/>
      <w:r w:rsidRPr="00471D03">
        <w:rPr>
          <w:rFonts w:eastAsia="Yu Gothic" w:cs="Arial"/>
        </w:rPr>
        <w:t>, Italy</w:t>
      </w:r>
    </w:p>
    <w:p w14:paraId="2FD95719"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lastRenderedPageBreak/>
        <w:t>Svitlana Pereverzeva, General Secretary, ICC Ukraine</w:t>
      </w:r>
    </w:p>
    <w:p w14:paraId="3FEF2443"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Brian Rafkin, Partner, Baker &amp; McKenzie, United States</w:t>
      </w:r>
    </w:p>
    <w:p w14:paraId="544EF16F"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 xml:space="preserve">Lucas Rodrigues, Lawyer, </w:t>
      </w:r>
      <w:proofErr w:type="spellStart"/>
      <w:r w:rsidRPr="00471D03">
        <w:rPr>
          <w:rFonts w:eastAsia="Yu Gothic" w:cs="Arial"/>
        </w:rPr>
        <w:t>Caminati</w:t>
      </w:r>
      <w:proofErr w:type="spellEnd"/>
      <w:r w:rsidRPr="00471D03">
        <w:rPr>
          <w:rFonts w:eastAsia="Yu Gothic" w:cs="Arial"/>
        </w:rPr>
        <w:t xml:space="preserve"> Bueno Advogados, Brazil</w:t>
      </w:r>
    </w:p>
    <w:p w14:paraId="73911A05" w14:textId="77777777" w:rsidR="00471D03" w:rsidRPr="00471D03" w:rsidRDefault="00471D03" w:rsidP="0030321A">
      <w:pPr>
        <w:numPr>
          <w:ilvl w:val="0"/>
          <w:numId w:val="49"/>
        </w:numPr>
        <w:spacing w:after="0" w:line="259" w:lineRule="auto"/>
        <w:ind w:left="714" w:hanging="357"/>
        <w:contextualSpacing/>
        <w:rPr>
          <w:rFonts w:eastAsia="Yu Gothic" w:cs="Arial"/>
          <w:lang w:val="de-DE"/>
        </w:rPr>
      </w:pPr>
      <w:r w:rsidRPr="00471D03">
        <w:rPr>
          <w:rFonts w:eastAsia="Yu Gothic" w:cs="Arial"/>
          <w:lang w:val="de-DE"/>
        </w:rPr>
        <w:t xml:space="preserve">Ulrike Suchsland-Maser, Legal </w:t>
      </w:r>
      <w:proofErr w:type="spellStart"/>
      <w:r w:rsidRPr="00471D03">
        <w:rPr>
          <w:rFonts w:eastAsia="Yu Gothic" w:cs="Arial"/>
          <w:lang w:val="de-DE"/>
        </w:rPr>
        <w:t>Advisor</w:t>
      </w:r>
      <w:proofErr w:type="spellEnd"/>
      <w:r w:rsidRPr="00471D03">
        <w:rPr>
          <w:rFonts w:eastAsia="Yu Gothic" w:cs="Arial"/>
          <w:lang w:val="de-DE"/>
        </w:rPr>
        <w:t>, Bundesverband der Deutschen Industrie E.V., Germany</w:t>
      </w:r>
    </w:p>
    <w:p w14:paraId="20A024D5" w14:textId="77777777" w:rsidR="00471D03" w:rsidRPr="00471D03" w:rsidRDefault="00471D03" w:rsidP="0030321A">
      <w:pPr>
        <w:numPr>
          <w:ilvl w:val="0"/>
          <w:numId w:val="49"/>
        </w:numPr>
        <w:spacing w:after="0" w:line="259" w:lineRule="auto"/>
        <w:ind w:left="714" w:hanging="357"/>
        <w:contextualSpacing/>
        <w:rPr>
          <w:rFonts w:eastAsia="Yu Gothic" w:cs="Arial"/>
          <w:lang w:val="de-DE"/>
        </w:rPr>
      </w:pPr>
      <w:r w:rsidRPr="00471D03">
        <w:rPr>
          <w:rFonts w:eastAsia="Yu Gothic" w:cs="Arial"/>
        </w:rPr>
        <w:t>Andreas Traugott, Partner, Baker &amp; McKenzie, Austria</w:t>
      </w:r>
    </w:p>
    <w:p w14:paraId="3AB1D253" w14:textId="77777777" w:rsidR="00471D03" w:rsidRPr="00471D03" w:rsidRDefault="00471D03" w:rsidP="0030321A">
      <w:pPr>
        <w:numPr>
          <w:ilvl w:val="0"/>
          <w:numId w:val="49"/>
        </w:numPr>
        <w:spacing w:after="0" w:line="259" w:lineRule="auto"/>
        <w:ind w:left="714" w:hanging="357"/>
        <w:contextualSpacing/>
        <w:rPr>
          <w:rFonts w:eastAsia="Yu Gothic" w:cs="Arial"/>
          <w:lang w:val="de-DE"/>
        </w:rPr>
      </w:pPr>
      <w:r w:rsidRPr="00471D03">
        <w:rPr>
          <w:rFonts w:eastAsia="Yu Gothic" w:cs="Arial"/>
        </w:rPr>
        <w:t>André Uhlmann, Compliance Officer, Thyssenkrupp AG, Germany</w:t>
      </w:r>
    </w:p>
    <w:p w14:paraId="52DE96EA"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Andrea Von Chrismar, Counsel on Regulation and Competition, Prieto, Chile</w:t>
      </w:r>
    </w:p>
    <w:p w14:paraId="405063E7"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 xml:space="preserve">German Zakharov, Partner, Competition/Antitrust and White collar crime, Compliance and Investigations practices, </w:t>
      </w:r>
      <w:proofErr w:type="spellStart"/>
      <w:r w:rsidRPr="00471D03">
        <w:rPr>
          <w:rFonts w:eastAsia="Yu Gothic" w:cs="Arial"/>
        </w:rPr>
        <w:t>Alrud</w:t>
      </w:r>
      <w:proofErr w:type="spellEnd"/>
      <w:r w:rsidRPr="00471D03">
        <w:rPr>
          <w:rFonts w:eastAsia="Yu Gothic" w:cs="Arial"/>
        </w:rPr>
        <w:t xml:space="preserve"> Law Firm, Russia</w:t>
      </w:r>
    </w:p>
    <w:p w14:paraId="6715670A" w14:textId="77777777" w:rsidR="00471D03" w:rsidRPr="00471D03" w:rsidRDefault="00471D03" w:rsidP="0030321A">
      <w:pPr>
        <w:numPr>
          <w:ilvl w:val="0"/>
          <w:numId w:val="49"/>
        </w:numPr>
        <w:spacing w:after="0" w:line="259" w:lineRule="auto"/>
        <w:ind w:left="714" w:hanging="357"/>
        <w:contextualSpacing/>
        <w:rPr>
          <w:rFonts w:eastAsia="Yu Gothic" w:cs="Arial"/>
        </w:rPr>
      </w:pPr>
      <w:r w:rsidRPr="00471D03">
        <w:rPr>
          <w:rFonts w:eastAsia="Yu Gothic" w:cs="Arial"/>
        </w:rPr>
        <w:t xml:space="preserve">Tatiane Zichi, Lawyer, </w:t>
      </w:r>
      <w:proofErr w:type="spellStart"/>
      <w:r w:rsidRPr="00471D03">
        <w:rPr>
          <w:rFonts w:eastAsia="Yu Gothic" w:cs="Arial"/>
        </w:rPr>
        <w:t>Caminati</w:t>
      </w:r>
      <w:proofErr w:type="spellEnd"/>
      <w:r w:rsidRPr="00471D03">
        <w:rPr>
          <w:rFonts w:eastAsia="Yu Gothic" w:cs="Arial"/>
        </w:rPr>
        <w:t xml:space="preserve"> Bueno Advogados, Brazil</w:t>
      </w:r>
    </w:p>
    <w:p w14:paraId="22D3290D" w14:textId="1568DB22" w:rsidR="007D61C0" w:rsidRPr="0030321A" w:rsidRDefault="00471D03" w:rsidP="0030321A">
      <w:pPr>
        <w:numPr>
          <w:ilvl w:val="0"/>
          <w:numId w:val="49"/>
        </w:numPr>
        <w:spacing w:after="0" w:line="259" w:lineRule="auto"/>
        <w:ind w:left="714" w:hanging="357"/>
        <w:contextualSpacing/>
        <w:rPr>
          <w:color w:val="FFFFFF"/>
          <w:sz w:val="32"/>
          <w:szCs w:val="32"/>
        </w:rPr>
      </w:pPr>
      <w:proofErr w:type="spellStart"/>
      <w:r w:rsidRPr="0030321A">
        <w:rPr>
          <w:rFonts w:eastAsia="Yu Gothic" w:cs="Arial"/>
        </w:rPr>
        <w:t>Lixia</w:t>
      </w:r>
      <w:proofErr w:type="spellEnd"/>
      <w:r w:rsidRPr="0030321A">
        <w:rPr>
          <w:rFonts w:eastAsia="Yu Gothic" w:cs="Arial"/>
        </w:rPr>
        <w:t xml:space="preserve"> Zhou, Senior Conference Interpreter, University of International Business and Economics, Chin</w:t>
      </w:r>
      <w:r w:rsidR="00D30F1B" w:rsidRPr="0030321A">
        <w:rPr>
          <w:rFonts w:eastAsia="Yu Gothic" w:cs="Arial"/>
        </w:rPr>
        <w:t>a</w:t>
      </w:r>
    </w:p>
    <w:sectPr w:rsidR="007D61C0" w:rsidRPr="0030321A" w:rsidSect="004B6918">
      <w:headerReference w:type="default" r:id="rId25"/>
      <w:footerReference w:type="default" r:id="rId26"/>
      <w:headerReference w:type="first" r:id="rId27"/>
      <w:footerReference w:type="first" r:id="rId28"/>
      <w:pgSz w:w="11900" w:h="16840"/>
      <w:pgMar w:top="1440" w:right="1418" w:bottom="1440" w:left="1418" w:header="108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4A015" w14:textId="77777777" w:rsidR="000318DF" w:rsidRDefault="000318DF" w:rsidP="00AB2CA6">
      <w:pPr>
        <w:spacing w:after="0"/>
      </w:pPr>
      <w:r>
        <w:separator/>
      </w:r>
    </w:p>
  </w:endnote>
  <w:endnote w:type="continuationSeparator" w:id="0">
    <w:p w14:paraId="524D27F3" w14:textId="77777777" w:rsidR="000318DF" w:rsidRDefault="000318DF" w:rsidP="00AB2CA6">
      <w:pPr>
        <w:spacing w:after="0"/>
      </w:pPr>
      <w:r>
        <w:continuationSeparator/>
      </w:r>
    </w:p>
  </w:endnote>
  <w:endnote w:type="continuationNotice" w:id="1">
    <w:p w14:paraId="78652F77" w14:textId="77777777" w:rsidR="000318DF" w:rsidRDefault="00031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GarmdITC Lt BT">
    <w:altName w:val="Cambria"/>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tblBorders>
        <w:insideH w:val="dotted" w:sz="8" w:space="0" w:color="808080"/>
      </w:tblBorders>
      <w:tblLook w:val="04A0" w:firstRow="1" w:lastRow="0" w:firstColumn="1" w:lastColumn="0" w:noHBand="0" w:noVBand="1"/>
    </w:tblPr>
    <w:tblGrid>
      <w:gridCol w:w="1134"/>
      <w:gridCol w:w="6804"/>
      <w:gridCol w:w="1134"/>
    </w:tblGrid>
    <w:tr w:rsidR="007C594F" w:rsidRPr="001E4BEC" w14:paraId="076662E4" w14:textId="77777777" w:rsidTr="005E726D">
      <w:trPr>
        <w:trHeight w:val="425"/>
        <w:jc w:val="center"/>
      </w:trPr>
      <w:tc>
        <w:tcPr>
          <w:tcW w:w="1134" w:type="dxa"/>
          <w:shd w:val="clear" w:color="auto" w:fill="auto"/>
          <w:vAlign w:val="center"/>
        </w:tcPr>
        <w:p w14:paraId="3EDD7F53" w14:textId="77777777" w:rsidR="007C594F" w:rsidRPr="005B412D" w:rsidRDefault="007C594F" w:rsidP="00E91C86">
          <w:pPr>
            <w:pStyle w:val="Footer"/>
            <w:jc w:val="center"/>
            <w:rPr>
              <w:b/>
              <w:bCs/>
              <w:color w:val="808080"/>
              <w:sz w:val="18"/>
              <w:szCs w:val="18"/>
              <w:lang w:val="en-GB" w:eastAsia="ja-JP"/>
            </w:rPr>
          </w:pPr>
        </w:p>
      </w:tc>
      <w:tc>
        <w:tcPr>
          <w:tcW w:w="6804" w:type="dxa"/>
          <w:shd w:val="clear" w:color="auto" w:fill="auto"/>
          <w:vAlign w:val="center"/>
        </w:tcPr>
        <w:p w14:paraId="526A56A9" w14:textId="77777777" w:rsidR="007C594F" w:rsidRPr="001E4BEC" w:rsidRDefault="007C594F" w:rsidP="00E91C86">
          <w:pPr>
            <w:pStyle w:val="Footer"/>
            <w:jc w:val="center"/>
            <w:rPr>
              <w:color w:val="808080"/>
              <w:sz w:val="18"/>
              <w:szCs w:val="18"/>
              <w:lang w:val="en-GB" w:eastAsia="ja-JP"/>
            </w:rPr>
          </w:pPr>
        </w:p>
      </w:tc>
      <w:tc>
        <w:tcPr>
          <w:tcW w:w="1134" w:type="dxa"/>
          <w:shd w:val="clear" w:color="auto" w:fill="auto"/>
          <w:vAlign w:val="center"/>
        </w:tcPr>
        <w:p w14:paraId="548B847C" w14:textId="77777777" w:rsidR="007C594F" w:rsidRPr="001E4BEC" w:rsidRDefault="007C594F" w:rsidP="00E91C86">
          <w:pPr>
            <w:pStyle w:val="Footer"/>
            <w:jc w:val="center"/>
            <w:rPr>
              <w:color w:val="808080"/>
              <w:sz w:val="18"/>
              <w:szCs w:val="18"/>
              <w:lang w:val="en-GB" w:eastAsia="ja-JP"/>
            </w:rPr>
          </w:pPr>
        </w:p>
      </w:tc>
    </w:tr>
  </w:tbl>
  <w:p w14:paraId="7DEC7022" w14:textId="77777777" w:rsidR="007C594F" w:rsidRPr="000A2384" w:rsidRDefault="007C594F">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tblBorders>
        <w:insideH w:val="single" w:sz="8" w:space="0" w:color="808080"/>
        <w:insideV w:val="single" w:sz="8" w:space="0" w:color="808080"/>
      </w:tblBorders>
      <w:tblLook w:val="04A0" w:firstRow="1" w:lastRow="0" w:firstColumn="1" w:lastColumn="0" w:noHBand="0" w:noVBand="1"/>
    </w:tblPr>
    <w:tblGrid>
      <w:gridCol w:w="1134"/>
      <w:gridCol w:w="6804"/>
      <w:gridCol w:w="1134"/>
    </w:tblGrid>
    <w:tr w:rsidR="007C594F" w:rsidRPr="001E4BEC" w14:paraId="4AACDA82" w14:textId="77777777" w:rsidTr="00E91C86">
      <w:trPr>
        <w:trHeight w:val="425"/>
        <w:jc w:val="center"/>
      </w:trPr>
      <w:tc>
        <w:tcPr>
          <w:tcW w:w="1134" w:type="dxa"/>
          <w:tcBorders>
            <w:right w:val="dotted" w:sz="8" w:space="0" w:color="808080"/>
          </w:tcBorders>
          <w:shd w:val="clear" w:color="auto" w:fill="auto"/>
          <w:vAlign w:val="center"/>
        </w:tcPr>
        <w:p w14:paraId="1D87821C" w14:textId="77777777" w:rsidR="007C594F" w:rsidRPr="001E4BEC" w:rsidRDefault="007C594F" w:rsidP="00E91C86">
          <w:pPr>
            <w:pStyle w:val="Footer"/>
            <w:jc w:val="center"/>
            <w:rPr>
              <w:color w:val="808080"/>
              <w:sz w:val="18"/>
              <w:szCs w:val="18"/>
              <w:lang w:val="en-GB" w:eastAsia="ja-JP"/>
            </w:rPr>
          </w:pPr>
        </w:p>
      </w:tc>
      <w:tc>
        <w:tcPr>
          <w:tcW w:w="6804" w:type="dxa"/>
          <w:tcBorders>
            <w:top w:val="nil"/>
            <w:left w:val="dotted" w:sz="8" w:space="0" w:color="808080"/>
            <w:bottom w:val="nil"/>
            <w:right w:val="dotted" w:sz="8" w:space="0" w:color="808080"/>
          </w:tcBorders>
          <w:shd w:val="clear" w:color="auto" w:fill="auto"/>
          <w:vAlign w:val="center"/>
        </w:tcPr>
        <w:p w14:paraId="72973EF7" w14:textId="77777777" w:rsidR="007C594F" w:rsidRPr="001E4BEC" w:rsidRDefault="007C594F" w:rsidP="00E91C86">
          <w:pPr>
            <w:pStyle w:val="Footer"/>
            <w:jc w:val="center"/>
            <w:rPr>
              <w:color w:val="808080"/>
              <w:sz w:val="18"/>
              <w:szCs w:val="18"/>
              <w:lang w:val="en-GB" w:eastAsia="ja-JP"/>
            </w:rPr>
          </w:pPr>
          <w:r w:rsidRPr="001E4BEC">
            <w:rPr>
              <w:color w:val="808080"/>
              <w:sz w:val="18"/>
              <w:szCs w:val="18"/>
              <w:lang w:val="en-GB" w:eastAsia="ja-JP"/>
            </w:rPr>
            <w:t xml:space="preserve">ICC </w:t>
          </w:r>
          <w:r>
            <w:rPr>
              <w:color w:val="808080"/>
              <w:sz w:val="18"/>
              <w:szCs w:val="18"/>
              <w:lang w:val="en-GB" w:eastAsia="ja-JP"/>
            </w:rPr>
            <w:t>Antitrust Compliance Toolkit</w:t>
          </w:r>
        </w:p>
      </w:tc>
      <w:tc>
        <w:tcPr>
          <w:tcW w:w="1134" w:type="dxa"/>
          <w:tcBorders>
            <w:left w:val="dotted" w:sz="8" w:space="0" w:color="808080"/>
          </w:tcBorders>
          <w:shd w:val="clear" w:color="auto" w:fill="auto"/>
          <w:vAlign w:val="center"/>
        </w:tcPr>
        <w:p w14:paraId="2F577EEB" w14:textId="77777777" w:rsidR="007C594F" w:rsidRPr="005B412D" w:rsidRDefault="007C594F" w:rsidP="00E91C86">
          <w:pPr>
            <w:pStyle w:val="Footer"/>
            <w:jc w:val="center"/>
            <w:rPr>
              <w:b/>
              <w:bCs/>
              <w:color w:val="808080"/>
              <w:sz w:val="18"/>
              <w:szCs w:val="18"/>
              <w:lang w:val="en-GB" w:eastAsia="ja-JP"/>
            </w:rPr>
          </w:pPr>
        </w:p>
      </w:tc>
    </w:tr>
  </w:tbl>
  <w:p w14:paraId="64477E99" w14:textId="77777777" w:rsidR="007C594F" w:rsidRDefault="007C5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164075"/>
      <w:docPartObj>
        <w:docPartGallery w:val="Page Numbers (Bottom of Page)"/>
        <w:docPartUnique/>
      </w:docPartObj>
    </w:sdtPr>
    <w:sdtEndPr>
      <w:rPr>
        <w:noProof/>
      </w:rPr>
    </w:sdtEndPr>
    <w:sdtContent>
      <w:p w14:paraId="40A87CB7" w14:textId="0554249F" w:rsidR="00F17F6A" w:rsidRDefault="00F17F6A">
        <w:pPr>
          <w:pStyle w:val="Footer"/>
        </w:pPr>
        <w:r>
          <w:fldChar w:fldCharType="begin"/>
        </w:r>
        <w:r>
          <w:instrText xml:space="preserve"> PAGE   \* MERGEFORMAT </w:instrText>
        </w:r>
        <w:r>
          <w:fldChar w:fldCharType="separate"/>
        </w:r>
        <w:r>
          <w:rPr>
            <w:noProof/>
          </w:rPr>
          <w:t>2</w:t>
        </w:r>
        <w:r>
          <w:rPr>
            <w:noProof/>
          </w:rPr>
          <w:fldChar w:fldCharType="end"/>
        </w:r>
      </w:p>
    </w:sdtContent>
  </w:sdt>
  <w:p w14:paraId="003CF21C" w14:textId="77777777" w:rsidR="007C594F" w:rsidRPr="00117FB0" w:rsidRDefault="007C594F" w:rsidP="00117F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48ED" w14:textId="05333D54" w:rsidR="007C594F" w:rsidRDefault="0054550F">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r w:rsidR="00EA5CFD">
      <w:tab/>
    </w:r>
    <w:r w:rsidR="00EA5CFD" w:rsidRPr="001E4BEC">
      <w:rPr>
        <w:color w:val="808080"/>
        <w:sz w:val="18"/>
        <w:szCs w:val="18"/>
        <w:lang w:val="en-GB" w:eastAsia="ja-JP"/>
      </w:rPr>
      <w:t xml:space="preserve">ICC </w:t>
    </w:r>
    <w:r w:rsidR="00EA5CFD">
      <w:rPr>
        <w:color w:val="808080"/>
        <w:sz w:val="18"/>
        <w:szCs w:val="18"/>
        <w:lang w:val="en-GB" w:eastAsia="ja-JP"/>
      </w:rPr>
      <w:t>Antitrust Compliance Toolkit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4" w:type="dxa"/>
      <w:jc w:val="center"/>
      <w:tblLayout w:type="fixed"/>
      <w:tblLook w:val="0000" w:firstRow="0" w:lastRow="0" w:firstColumn="0" w:lastColumn="0" w:noHBand="0" w:noVBand="0"/>
    </w:tblPr>
    <w:tblGrid>
      <w:gridCol w:w="3998"/>
      <w:gridCol w:w="1008"/>
      <w:gridCol w:w="3998"/>
    </w:tblGrid>
    <w:tr w:rsidR="00117FB0" w14:paraId="04505ED9" w14:textId="77777777" w:rsidTr="00117FB0">
      <w:trPr>
        <w:jc w:val="center"/>
      </w:trPr>
      <w:tc>
        <w:tcPr>
          <w:tcW w:w="3998" w:type="dxa"/>
        </w:tcPr>
        <w:p w14:paraId="6B3EDCCE" w14:textId="77777777" w:rsidR="00117FB0" w:rsidRDefault="00117FB0">
          <w:pPr>
            <w:pStyle w:val="Footer"/>
          </w:pPr>
        </w:p>
      </w:tc>
      <w:tc>
        <w:tcPr>
          <w:tcW w:w="1008" w:type="dxa"/>
        </w:tcPr>
        <w:p w14:paraId="65A9C771" w14:textId="58150248" w:rsidR="00117FB0" w:rsidRDefault="00117FB0" w:rsidP="00117FB0">
          <w:pPr>
            <w:pStyle w:val="Footer"/>
            <w:jc w:val="center"/>
            <w:rPr>
              <w:rStyle w:val="PageNumber"/>
            </w:rP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26</w:t>
          </w:r>
          <w:r>
            <w:rPr>
              <w:rStyle w:val="PageNumber"/>
            </w:rPr>
            <w:fldChar w:fldCharType="end"/>
          </w:r>
          <w:r>
            <w:rPr>
              <w:rStyle w:val="PageNumber"/>
            </w:rPr>
            <w:t>-</w:t>
          </w:r>
        </w:p>
      </w:tc>
      <w:tc>
        <w:tcPr>
          <w:tcW w:w="3998" w:type="dxa"/>
        </w:tcPr>
        <w:p w14:paraId="3D551696" w14:textId="77777777" w:rsidR="00117FB0" w:rsidRDefault="00117FB0">
          <w:pPr>
            <w:pStyle w:val="Footer"/>
          </w:pPr>
        </w:p>
      </w:tc>
    </w:tr>
  </w:tbl>
  <w:p w14:paraId="372C6500" w14:textId="77777777" w:rsidR="00117FB0" w:rsidRPr="00117FB0" w:rsidRDefault="00117FB0" w:rsidP="00117F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4" w:type="dxa"/>
      <w:jc w:val="center"/>
      <w:tblLayout w:type="fixed"/>
      <w:tblLook w:val="0000" w:firstRow="0" w:lastRow="0" w:firstColumn="0" w:lastColumn="0" w:noHBand="0" w:noVBand="0"/>
    </w:tblPr>
    <w:tblGrid>
      <w:gridCol w:w="3998"/>
      <w:gridCol w:w="1008"/>
      <w:gridCol w:w="3998"/>
    </w:tblGrid>
    <w:tr w:rsidR="00117FB0" w14:paraId="43C76553" w14:textId="77777777" w:rsidTr="00117FB0">
      <w:trPr>
        <w:jc w:val="center"/>
      </w:trPr>
      <w:tc>
        <w:tcPr>
          <w:tcW w:w="3998" w:type="dxa"/>
        </w:tcPr>
        <w:p w14:paraId="6B30DA0E" w14:textId="77777777" w:rsidR="00117FB0" w:rsidRDefault="00117FB0">
          <w:pPr>
            <w:pStyle w:val="Footer"/>
          </w:pPr>
          <w:bookmarkStart w:id="165" w:name="zzmpTOCFooter"/>
        </w:p>
      </w:tc>
      <w:tc>
        <w:tcPr>
          <w:tcW w:w="1008" w:type="dxa"/>
        </w:tcPr>
        <w:p w14:paraId="4C2A48D1" w14:textId="21D0D847" w:rsidR="00117FB0" w:rsidRDefault="00117FB0" w:rsidP="00117FB0">
          <w:pPr>
            <w:pStyle w:val="Footer"/>
            <w:jc w:val="center"/>
            <w:rPr>
              <w:rStyle w:val="PageNumber"/>
            </w:rPr>
          </w:pPr>
        </w:p>
      </w:tc>
      <w:tc>
        <w:tcPr>
          <w:tcW w:w="3998" w:type="dxa"/>
        </w:tcPr>
        <w:p w14:paraId="0D384BFA" w14:textId="77777777" w:rsidR="00117FB0" w:rsidRDefault="00117FB0">
          <w:pPr>
            <w:pStyle w:val="Footer"/>
          </w:pPr>
        </w:p>
      </w:tc>
    </w:tr>
  </w:tbl>
  <w:bookmarkEnd w:id="165"/>
  <w:p w14:paraId="4812E02D" w14:textId="77777777" w:rsidR="00FD2B9A" w:rsidRPr="00FD2B9A" w:rsidRDefault="00FD2B9A" w:rsidP="00FD2B9A">
    <w:pPr>
      <w:pStyle w:val="Footer"/>
    </w:pPr>
    <w:r w:rsidRPr="00FD2B9A">
      <w:rPr>
        <w:color w:val="7F7F7F" w:themeColor="background1" w:themeShade="7F"/>
        <w:spacing w:val="60"/>
        <w:lang w:val="en-US"/>
      </w:rPr>
      <w:t>Page</w:t>
    </w:r>
    <w:r w:rsidRPr="00FD2B9A">
      <w:rPr>
        <w:lang w:val="en-US"/>
      </w:rPr>
      <w:t xml:space="preserve"> | </w:t>
    </w:r>
    <w:r w:rsidRPr="00FD2B9A">
      <w:rPr>
        <w:lang w:val="en-US"/>
      </w:rPr>
      <w:fldChar w:fldCharType="begin"/>
    </w:r>
    <w:r w:rsidRPr="00FD2B9A">
      <w:rPr>
        <w:lang w:val="en-US"/>
      </w:rPr>
      <w:instrText xml:space="preserve"> PAGE   \* MERGEFORMAT </w:instrText>
    </w:r>
    <w:r w:rsidRPr="00FD2B9A">
      <w:rPr>
        <w:lang w:val="en-US"/>
      </w:rPr>
      <w:fldChar w:fldCharType="separate"/>
    </w:r>
    <w:r w:rsidRPr="00FD2B9A">
      <w:rPr>
        <w:b/>
        <w:bCs/>
        <w:noProof/>
        <w:lang w:val="en-US"/>
      </w:rPr>
      <w:t>1</w:t>
    </w:r>
    <w:r w:rsidRPr="00FD2B9A">
      <w:rPr>
        <w:b/>
        <w:bCs/>
        <w:noProof/>
        <w:lang w:val="en-US"/>
      </w:rPr>
      <w:fldChar w:fldCharType="end"/>
    </w:r>
    <w:r>
      <w:rPr>
        <w:b/>
        <w:bCs/>
        <w:noProof/>
        <w:lang w:val="en-US"/>
      </w:rPr>
      <w:tab/>
    </w:r>
    <w:r w:rsidRPr="00FD2B9A">
      <w:rPr>
        <w:color w:val="808080"/>
        <w:sz w:val="18"/>
        <w:szCs w:val="18"/>
        <w:lang w:val="en-GB"/>
      </w:rPr>
      <w:t>ICC Antitrust Compliance Toolkit</w:t>
    </w:r>
  </w:p>
  <w:p w14:paraId="7DAA9C33" w14:textId="172EEC33" w:rsidR="00117FB0" w:rsidRPr="00942F30" w:rsidRDefault="00117FB0" w:rsidP="00117FB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AA51B" w14:textId="77777777" w:rsidR="000318DF" w:rsidRDefault="000318DF" w:rsidP="00AB2CA6">
      <w:pPr>
        <w:spacing w:after="0"/>
      </w:pPr>
      <w:r>
        <w:separator/>
      </w:r>
    </w:p>
  </w:footnote>
  <w:footnote w:type="continuationSeparator" w:id="0">
    <w:p w14:paraId="288BE415" w14:textId="77777777" w:rsidR="000318DF" w:rsidRDefault="000318DF" w:rsidP="00AB2CA6">
      <w:pPr>
        <w:spacing w:after="0"/>
      </w:pPr>
      <w:r>
        <w:continuationSeparator/>
      </w:r>
    </w:p>
  </w:footnote>
  <w:footnote w:type="continuationNotice" w:id="1">
    <w:p w14:paraId="03CDEF80" w14:textId="77777777" w:rsidR="000318DF" w:rsidRDefault="000318DF">
      <w:pPr>
        <w:spacing w:after="0" w:line="240" w:lineRule="auto"/>
      </w:pPr>
    </w:p>
  </w:footnote>
  <w:footnote w:id="2">
    <w:p w14:paraId="5C4E4A3E" w14:textId="77777777" w:rsidR="007C594F" w:rsidRPr="00C11266" w:rsidRDefault="007C594F" w:rsidP="00C37101">
      <w:pPr>
        <w:spacing w:after="120" w:line="180" w:lineRule="exact"/>
        <w:jc w:val="both"/>
        <w:rPr>
          <w:rFonts w:asciiTheme="minorBidi" w:hAnsiTheme="minorBidi" w:cstheme="minorBidi"/>
          <w:sz w:val="16"/>
          <w:szCs w:val="16"/>
        </w:rPr>
      </w:pPr>
      <w:r w:rsidRPr="00C11266">
        <w:rPr>
          <w:rStyle w:val="FootnoteReference"/>
          <w:rFonts w:asciiTheme="minorBidi" w:hAnsiTheme="minorBidi" w:cstheme="minorBidi"/>
          <w:sz w:val="16"/>
          <w:szCs w:val="16"/>
        </w:rPr>
        <w:footnoteRef/>
      </w:r>
      <w:r w:rsidRPr="00C11266">
        <w:rPr>
          <w:rFonts w:asciiTheme="minorBidi" w:hAnsiTheme="minorBidi" w:cstheme="minorBidi"/>
          <w:sz w:val="16"/>
          <w:szCs w:val="16"/>
        </w:rPr>
        <w:t xml:space="preserve"> In this document, the term “antitrust” is used for the laws (in all jurisdictions) </w:t>
      </w:r>
      <w:r>
        <w:rPr>
          <w:rFonts w:asciiTheme="minorBidi" w:hAnsiTheme="minorBidi" w:cstheme="minorBidi"/>
          <w:sz w:val="16"/>
          <w:szCs w:val="16"/>
        </w:rPr>
        <w:t>relating to the control of anti</w:t>
      </w:r>
      <w:r w:rsidRPr="00C11266">
        <w:rPr>
          <w:rFonts w:asciiTheme="minorBidi" w:hAnsiTheme="minorBidi" w:cstheme="minorBidi"/>
          <w:sz w:val="16"/>
          <w:szCs w:val="16"/>
        </w:rPr>
        <w:t>competitive agreements and practices, whether these are known in some countries as “competition” laws or as “trade practices” law. Where relevant this term also includes the antitrust compliance elements relating to M&amp;A transactions.</w:t>
      </w:r>
    </w:p>
  </w:footnote>
  <w:footnote w:id="3">
    <w:p w14:paraId="42831041" w14:textId="77777777" w:rsidR="007C594F" w:rsidRPr="00C11266" w:rsidRDefault="007C594F" w:rsidP="00C37101">
      <w:pPr>
        <w:spacing w:after="120" w:line="180" w:lineRule="exact"/>
        <w:jc w:val="both"/>
        <w:rPr>
          <w:rFonts w:asciiTheme="minorBidi" w:hAnsiTheme="minorBidi" w:cstheme="minorBidi"/>
          <w:sz w:val="16"/>
          <w:szCs w:val="16"/>
        </w:rPr>
      </w:pPr>
      <w:r w:rsidRPr="00C11266">
        <w:rPr>
          <w:rStyle w:val="FootnoteReference"/>
          <w:rFonts w:asciiTheme="minorBidi" w:hAnsiTheme="minorBidi" w:cstheme="minorBidi"/>
          <w:sz w:val="16"/>
          <w:szCs w:val="16"/>
        </w:rPr>
        <w:footnoteRef/>
      </w:r>
      <w:r w:rsidRPr="00C11266">
        <w:rPr>
          <w:rFonts w:asciiTheme="minorBidi" w:hAnsiTheme="minorBidi" w:cstheme="minorBidi"/>
          <w:sz w:val="16"/>
          <w:szCs w:val="16"/>
        </w:rPr>
        <w:t xml:space="preserve"> The term “company” is used in this document to mean any entity engaged in any commercial activity </w:t>
      </w:r>
      <w:r>
        <w:rPr>
          <w:rFonts w:asciiTheme="minorBidi" w:hAnsiTheme="minorBidi" w:cstheme="minorBidi"/>
          <w:sz w:val="16"/>
          <w:szCs w:val="16"/>
        </w:rPr>
        <w:t>-</w:t>
      </w:r>
      <w:r w:rsidRPr="00C11266">
        <w:rPr>
          <w:rFonts w:asciiTheme="minorBidi" w:hAnsiTheme="minorBidi" w:cstheme="minorBidi"/>
          <w:sz w:val="16"/>
          <w:szCs w:val="16"/>
        </w:rPr>
        <w:t xml:space="preserve"> ranging from multinational </w:t>
      </w:r>
      <w:r w:rsidRPr="00C11266">
        <w:rPr>
          <w:rFonts w:asciiTheme="minorBidi" w:hAnsiTheme="minorBidi" w:cstheme="minorBidi"/>
          <w:sz w:val="16"/>
          <w:szCs w:val="16"/>
          <w:lang w:eastAsia="en-US"/>
        </w:rPr>
        <w:t>companies</w:t>
      </w:r>
      <w:r w:rsidRPr="00C11266">
        <w:rPr>
          <w:rFonts w:asciiTheme="minorBidi" w:hAnsiTheme="minorBidi" w:cstheme="minorBidi"/>
          <w:sz w:val="16"/>
          <w:szCs w:val="16"/>
        </w:rPr>
        <w:t xml:space="preserve"> through to small and medium</w:t>
      </w:r>
      <w:r>
        <w:rPr>
          <w:rFonts w:asciiTheme="minorBidi" w:hAnsiTheme="minorBidi" w:cstheme="minorBidi"/>
          <w:sz w:val="16"/>
          <w:szCs w:val="16"/>
        </w:rPr>
        <w:t>-</w:t>
      </w:r>
      <w:r w:rsidRPr="00C11266">
        <w:rPr>
          <w:rFonts w:asciiTheme="minorBidi" w:hAnsiTheme="minorBidi" w:cstheme="minorBidi"/>
          <w:sz w:val="16"/>
          <w:szCs w:val="16"/>
        </w:rPr>
        <w:t>sized enterprises (SMEs). The use of the word “company” does not suggest any particular corporate structure, and this document is intended for all types of entity, whether incorporated, unincorporated, partnership or consortium.</w:t>
      </w:r>
    </w:p>
    <w:p w14:paraId="39135E63" w14:textId="77777777" w:rsidR="007C594F" w:rsidRPr="00C11266" w:rsidRDefault="007C594F" w:rsidP="00C11266">
      <w:pPr>
        <w:pStyle w:val="FootnoteText"/>
        <w:spacing w:line="180" w:lineRule="exact"/>
        <w:rPr>
          <w:rFonts w:asciiTheme="minorBidi" w:hAnsiTheme="minorBidi" w:cstheme="minorBidi"/>
        </w:rPr>
      </w:pPr>
    </w:p>
  </w:footnote>
  <w:footnote w:id="4">
    <w:p w14:paraId="719B1B0C" w14:textId="0790172D" w:rsidR="00FE387D" w:rsidRPr="002D6532" w:rsidRDefault="00760F43" w:rsidP="007E01F0">
      <w:pPr>
        <w:pStyle w:val="FootnoteText"/>
        <w:spacing w:after="120" w:line="276" w:lineRule="auto"/>
        <w:jc w:val="both"/>
        <w:rPr>
          <w:b/>
          <w:bCs/>
        </w:rPr>
      </w:pPr>
      <w:r w:rsidRPr="002D6532">
        <w:rPr>
          <w:rStyle w:val="FootnoteReference"/>
          <w:i/>
          <w:iCs/>
        </w:rPr>
        <w:footnoteRef/>
      </w:r>
      <w:r w:rsidRPr="002D6532">
        <w:rPr>
          <w:i/>
          <w:iCs/>
        </w:rPr>
        <w:t xml:space="preserve"> </w:t>
      </w:r>
      <w:r w:rsidR="00304357">
        <w:rPr>
          <w:i/>
          <w:iCs/>
        </w:rPr>
        <w:t xml:space="preserve">DOJ, </w:t>
      </w:r>
      <w:r w:rsidR="00304357">
        <w:t>Evaluation of Corporate Compliance Programs in Criminal Antitrust Investigations, July 2019 (see:</w:t>
      </w:r>
      <w:r w:rsidR="005C4AEB">
        <w:t xml:space="preserve"> </w:t>
      </w:r>
      <w:hyperlink r:id="rId1" w:history="1">
        <w:r w:rsidR="00304357" w:rsidRPr="00076716">
          <w:rPr>
            <w:rStyle w:val="Hyperlink"/>
          </w:rPr>
          <w:t>https://www.justice.gov/atr/page/file/1182001/download</w:t>
        </w:r>
      </w:hyperlink>
      <w:r w:rsidR="00304357">
        <w:t>) ; DOJ,</w:t>
      </w:r>
      <w:r w:rsidR="008A3360">
        <w:t xml:space="preserve"> Monaco memo:</w:t>
      </w:r>
      <w:r w:rsidR="00304357">
        <w:t xml:space="preserve"> </w:t>
      </w:r>
      <w:r w:rsidR="008A3360">
        <w:t>“</w:t>
      </w:r>
      <w:r w:rsidR="00304357">
        <w:t>Further Revisions To Corporate Criminal Enforcement Policies</w:t>
      </w:r>
      <w:r w:rsidR="008A3360">
        <w:t xml:space="preserve">”, September 2022 (see: </w:t>
      </w:r>
      <w:hyperlink r:id="rId2" w:history="1">
        <w:r w:rsidR="00CF3733" w:rsidRPr="00216F4A">
          <w:rPr>
            <w:rStyle w:val="Hyperlink"/>
          </w:rPr>
          <w:t>https://www.justice.gov/d9/pages/attachments/2022/09/15/2022.09.15_ccag_memo.pdf</w:t>
        </w:r>
      </w:hyperlink>
      <w:r w:rsidR="00CF3733">
        <w:t xml:space="preserve"> </w:t>
      </w:r>
      <w:r w:rsidR="008A3360">
        <w:t xml:space="preserve">) ; </w:t>
      </w:r>
      <w:r w:rsidR="00FE387D">
        <w:t>Canadian Competition Bureau, “</w:t>
      </w:r>
      <w:r w:rsidR="00903D4D">
        <w:rPr>
          <w:rStyle w:val="Hyperlink"/>
          <w:i/>
          <w:iCs/>
        </w:rPr>
        <w:t xml:space="preserve"> </w:t>
      </w:r>
      <w:bookmarkStart w:id="15" w:name="_Hlk167976774"/>
      <w:r w:rsidR="00903D4D" w:rsidRPr="00903D4D">
        <w:rPr>
          <w:rStyle w:val="Hyperlink"/>
          <w:i/>
          <w:iCs/>
        </w:rPr>
        <w:t>Build a credible and effective compliance program for your business</w:t>
      </w:r>
      <w:bookmarkEnd w:id="15"/>
      <w:r w:rsidR="00FE387D">
        <w:rPr>
          <w:i/>
          <w:iCs/>
        </w:rPr>
        <w:t>”</w:t>
      </w:r>
      <w:r w:rsidR="00FE387D">
        <w:t>,</w:t>
      </w:r>
      <w:bookmarkStart w:id="16" w:name="_Hlk166082732"/>
      <w:r w:rsidR="00FE387D">
        <w:t xml:space="preserve"> </w:t>
      </w:r>
      <w:bookmarkEnd w:id="16"/>
      <w:r w:rsidR="00FE387D">
        <w:t>2023</w:t>
      </w:r>
      <w:r w:rsidR="00304357">
        <w:t xml:space="preserve">  </w:t>
      </w:r>
      <w:bookmarkStart w:id="17" w:name="_Hlk167976836"/>
      <w:r w:rsidR="00903D4D">
        <w:t xml:space="preserve">(see: </w:t>
      </w:r>
      <w:hyperlink r:id="rId3" w:history="1">
        <w:r w:rsidR="00903D4D" w:rsidRPr="0038094B">
          <w:rPr>
            <w:rStyle w:val="Hyperlink"/>
          </w:rPr>
          <w:t>https://competition-bureau.canada.ca/how-we-foster-competition/compliance-and-enforcement/compliance-hub</w:t>
        </w:r>
      </w:hyperlink>
      <w:r w:rsidR="00903D4D">
        <w:t>).</w:t>
      </w:r>
    </w:p>
    <w:bookmarkEnd w:id="17"/>
  </w:footnote>
  <w:footnote w:id="5">
    <w:p w14:paraId="3718CE76" w14:textId="77777777" w:rsidR="007C594F" w:rsidRPr="00C11266" w:rsidRDefault="007C594F" w:rsidP="007E01F0">
      <w:pPr>
        <w:pStyle w:val="FootnoteText"/>
        <w:spacing w:after="120" w:line="276" w:lineRule="auto"/>
        <w:jc w:val="both"/>
        <w:rPr>
          <w:rFonts w:asciiTheme="minorBidi" w:hAnsiTheme="minorBidi" w:cstheme="minorBidi"/>
        </w:rPr>
      </w:pPr>
      <w:r w:rsidRPr="00C11266">
        <w:rPr>
          <w:rStyle w:val="FootnoteReference"/>
          <w:rFonts w:asciiTheme="minorBidi" w:hAnsiTheme="minorBidi" w:cstheme="minorBidi"/>
        </w:rPr>
        <w:footnoteRef/>
      </w:r>
      <w:r w:rsidRPr="00C11266">
        <w:rPr>
          <w:rFonts w:asciiTheme="minorBidi" w:hAnsiTheme="minorBidi" w:cstheme="minorBidi"/>
        </w:rPr>
        <w:t xml:space="preserve"> The term CEO is used to mean the company’s Chief Executive Officer or similar most senior corporate officer.</w:t>
      </w:r>
    </w:p>
  </w:footnote>
  <w:footnote w:id="6">
    <w:p w14:paraId="673C9D3E" w14:textId="18C41D2A" w:rsidR="00370E58" w:rsidRPr="00031420" w:rsidRDefault="00370E58" w:rsidP="007E01F0">
      <w:pPr>
        <w:pStyle w:val="FootnoteText"/>
        <w:spacing w:after="120"/>
        <w:jc w:val="both"/>
      </w:pPr>
      <w:r>
        <w:rPr>
          <w:rStyle w:val="FootnoteReference"/>
        </w:rPr>
        <w:footnoteRef/>
      </w:r>
      <w:r>
        <w:t xml:space="preserve"> French Competition Authority, Framework document of 23 May 2022 on competition compliance programmes (see </w:t>
      </w:r>
      <w:r w:rsidR="00620762">
        <w:t xml:space="preserve">: </w:t>
      </w:r>
      <w:r>
        <w:t xml:space="preserve"> </w:t>
      </w:r>
      <w:hyperlink r:id="rId4" w:history="1">
        <w:r w:rsidR="00C83A3B" w:rsidRPr="001172EB">
          <w:rPr>
            <w:rStyle w:val="Hyperlink"/>
          </w:rPr>
          <w:t>https://www.autoritedelaconcurrence.fr/sites/default/files/2022-06/Conformite_nouveau%20doc-cadre_VEN.pdf</w:t>
        </w:r>
      </w:hyperlink>
      <w:r>
        <w:t>)</w:t>
      </w:r>
      <w:r w:rsidR="006C7BE8" w:rsidRPr="006C7BE8">
        <w:t xml:space="preserve"> </w:t>
      </w:r>
      <w:r w:rsidR="006C7BE8" w:rsidRPr="00811AAA">
        <w:t xml:space="preserve">Guidance on Competition Compliance Programs </w:t>
      </w:r>
      <w:r w:rsidR="006C7BE8" w:rsidRPr="00460A84">
        <w:t xml:space="preserve">in Canada </w:t>
      </w:r>
      <w:r w:rsidR="006C7BE8" w:rsidRPr="00811AAA">
        <w:t>(</w:t>
      </w:r>
      <w:r w:rsidR="00620762">
        <w:t xml:space="preserve">see : </w:t>
      </w:r>
      <w:hyperlink r:id="rId5" w:history="1">
        <w:r w:rsidR="006C7BE8" w:rsidRPr="00811AAA">
          <w:rPr>
            <w:rStyle w:val="Hyperlink"/>
          </w:rPr>
          <w:t>https://competition-bureau.canada.ca/how-we-foster-competition/compliance-and-enforcement/specific-areas-enforcement-bureau</w:t>
        </w:r>
      </w:hyperlink>
      <w:r w:rsidR="006C7BE8" w:rsidRPr="00811AAA">
        <w:t xml:space="preserve">) </w:t>
      </w:r>
      <w:r w:rsidR="00C83A3B" w:rsidRPr="00811AAA">
        <w:t xml:space="preserve"> </w:t>
      </w:r>
      <w:r w:rsidR="006C7BE8" w:rsidRPr="00811AAA">
        <w:t>Department of Justice</w:t>
      </w:r>
      <w:r w:rsidR="006C7BE8" w:rsidRPr="00460A84">
        <w:t xml:space="preserve"> in the USA</w:t>
      </w:r>
      <w:r w:rsidR="006C7BE8" w:rsidRPr="00811AAA">
        <w:t xml:space="preserve">, </w:t>
      </w:r>
      <w:r w:rsidR="006C7BE8" w:rsidRPr="00460A84">
        <w:t>C</w:t>
      </w:r>
      <w:r w:rsidR="006C7BE8" w:rsidRPr="00811AAA">
        <w:t xml:space="preserve">orporate </w:t>
      </w:r>
      <w:r w:rsidR="006C7BE8" w:rsidRPr="00460A84">
        <w:t>C</w:t>
      </w:r>
      <w:r w:rsidR="006C7BE8" w:rsidRPr="00811AAA">
        <w:t xml:space="preserve">ompliance </w:t>
      </w:r>
      <w:r w:rsidR="006C7BE8" w:rsidRPr="00460A84">
        <w:t>P</w:t>
      </w:r>
      <w:r w:rsidR="006C7BE8" w:rsidRPr="00811AAA">
        <w:t>rogramme (</w:t>
      </w:r>
      <w:r w:rsidR="00620762">
        <w:t xml:space="preserve">see : </w:t>
      </w:r>
      <w:hyperlink r:id="rId6" w:history="1">
        <w:r w:rsidR="00BE55BE" w:rsidRPr="00AF081F">
          <w:rPr>
            <w:rStyle w:val="Hyperlink"/>
          </w:rPr>
          <w:t>https://www.justice.gov/atr/page/file/1182001/dl</w:t>
        </w:r>
      </w:hyperlink>
      <w:r w:rsidR="006C7BE8" w:rsidRPr="00811AAA">
        <w:t>)</w:t>
      </w:r>
      <w:r w:rsidR="00BE55BE">
        <w:t>. The 10</w:t>
      </w:r>
      <w:r w:rsidR="00BE55BE" w:rsidRPr="00BE55BE">
        <w:rPr>
          <w:vertAlign w:val="superscript"/>
        </w:rPr>
        <w:t>th</w:t>
      </w:r>
      <w:r w:rsidR="00BE55BE">
        <w:t xml:space="preserve"> amendment to the German Act against Restraints of Competition enables the German Federal Cartel Office to take compliance programmes into account. </w:t>
      </w:r>
    </w:p>
  </w:footnote>
  <w:footnote w:id="7">
    <w:p w14:paraId="42B43BA7" w14:textId="5FD4386A" w:rsidR="00B7133F" w:rsidRPr="00031420" w:rsidRDefault="00B7133F" w:rsidP="007E01F0">
      <w:pPr>
        <w:pStyle w:val="FootnoteText"/>
        <w:spacing w:after="120" w:line="276" w:lineRule="auto"/>
        <w:jc w:val="both"/>
      </w:pPr>
      <w:r>
        <w:rPr>
          <w:rStyle w:val="FootnoteReference"/>
        </w:rPr>
        <w:footnoteRef/>
      </w:r>
      <w:r>
        <w:t xml:space="preserve"> OECD Policy Document DAF/COMP/WP3/M(2021), </w:t>
      </w:r>
      <w:r w:rsidRPr="00E735AF">
        <w:rPr>
          <w:i/>
          <w:iCs/>
        </w:rPr>
        <w:t>Summary of the Discussion on Competition Compliance Programmes</w:t>
      </w:r>
      <w:r w:rsidR="00755799">
        <w:t>, 2021,</w:t>
      </w:r>
      <w:r>
        <w:t xml:space="preserve"> at page </w:t>
      </w:r>
      <w:r w:rsidR="00B006F1">
        <w:t xml:space="preserve">3 </w:t>
      </w:r>
      <w:r w:rsidR="00755799">
        <w:t>(</w:t>
      </w:r>
      <w:r w:rsidR="00B006F1">
        <w:t>see</w:t>
      </w:r>
      <w:r w:rsidR="00620762">
        <w:t>:</w:t>
      </w:r>
      <w:r w:rsidR="00B006F1">
        <w:t xml:space="preserve"> </w:t>
      </w:r>
      <w:hyperlink r:id="rId7" w:history="1">
        <w:r w:rsidR="009F5FBD" w:rsidRPr="009F5FBD">
          <w:rPr>
            <w:rStyle w:val="Hyperlink"/>
          </w:rPr>
          <w:t>https://one.oecd.org/document/DAF/COMP/WP3/M(2021)1/ANN1/FINAL/en/pdf</w:t>
        </w:r>
      </w:hyperlink>
      <w:r w:rsidR="00755799">
        <w:t>)</w:t>
      </w:r>
      <w:r w:rsidR="00B006F1">
        <w:t xml:space="preserve"> </w:t>
      </w:r>
      <w:r w:rsidR="003B66CB" w:rsidRPr="00267213">
        <w:t>and</w:t>
      </w:r>
      <w:r w:rsidR="009F5FBD" w:rsidRPr="00267213">
        <w:t xml:space="preserve"> also</w:t>
      </w:r>
      <w:r w:rsidR="003B66CB" w:rsidRPr="00267213">
        <w:t xml:space="preserve"> European Commission, DG COMP, </w:t>
      </w:r>
      <w:r w:rsidR="003B66CB" w:rsidRPr="00267213">
        <w:rPr>
          <w:i/>
          <w:iCs/>
        </w:rPr>
        <w:t>Compliance matters</w:t>
      </w:r>
      <w:r w:rsidR="003B66CB" w:rsidRPr="00267213">
        <w:t>, 2012, at page 9 and 10 (see</w:t>
      </w:r>
      <w:r w:rsidR="00620762">
        <w:t>:</w:t>
      </w:r>
      <w:r w:rsidR="003B66CB" w:rsidRPr="00267213">
        <w:t xml:space="preserve"> </w:t>
      </w:r>
      <w:hyperlink r:id="rId8" w:history="1">
        <w:r w:rsidR="004F1FE6" w:rsidRPr="00460A84">
          <w:rPr>
            <w:rStyle w:val="Hyperlink"/>
          </w:rPr>
          <w:t>https://op.europa.eu/en/publication-detail/-/publication/78f46c48-e03e-4c36-bbbe-aa08c2514d7a/language-en</w:t>
        </w:r>
      </w:hyperlink>
      <w:r w:rsidR="00755799" w:rsidRPr="00267213">
        <w:t>)</w:t>
      </w:r>
    </w:p>
  </w:footnote>
  <w:footnote w:id="8">
    <w:p w14:paraId="171BAA4C" w14:textId="396C584E" w:rsidR="009109AC" w:rsidRPr="00A15E97" w:rsidRDefault="009109AC" w:rsidP="007E01F0">
      <w:pPr>
        <w:pStyle w:val="FootnoteText"/>
        <w:spacing w:after="120" w:line="276" w:lineRule="auto"/>
        <w:jc w:val="both"/>
        <w:rPr>
          <w:b/>
        </w:rPr>
      </w:pPr>
      <w:r>
        <w:rPr>
          <w:rStyle w:val="FootnoteReference"/>
        </w:rPr>
        <w:footnoteRef/>
      </w:r>
      <w:r>
        <w:t xml:space="preserve"> </w:t>
      </w:r>
      <w:r w:rsidR="00AB7AAA">
        <w:t xml:space="preserve">Chapter 2: </w:t>
      </w:r>
      <w:r w:rsidR="00AB7AAA" w:rsidRPr="00AC0B7F">
        <w:t xml:space="preserve">Compliance </w:t>
      </w:r>
      <w:r w:rsidR="00AB7AAA">
        <w:t>organization</w:t>
      </w:r>
      <w:r w:rsidR="00AB7AAA" w:rsidRPr="00AC0B7F">
        <w:t xml:space="preserve"> and resources</w:t>
      </w:r>
      <w:r w:rsidR="00AB7AAA">
        <w:t xml:space="preserve">; </w:t>
      </w:r>
      <w:r>
        <w:rPr>
          <w:i/>
          <w:iCs/>
        </w:rPr>
        <w:t xml:space="preserve">DOJ, </w:t>
      </w:r>
      <w:r>
        <w:t>Evaluation of Corporate Compliance Programs in Criminal Antitrust Investigations, July 2019</w:t>
      </w:r>
      <w:r w:rsidR="00FE387D">
        <w:t xml:space="preserve"> at page 2 and 3</w:t>
      </w:r>
      <w:r>
        <w:t xml:space="preserve"> (see: </w:t>
      </w:r>
      <w:hyperlink r:id="rId9" w:history="1">
        <w:r w:rsidR="00755799" w:rsidRPr="00755799">
          <w:rPr>
            <w:rStyle w:val="Hyperlink"/>
          </w:rPr>
          <w:t>https://www.justice.gov/atr/page/file/1182001/download</w:t>
        </w:r>
      </w:hyperlink>
      <w:r>
        <w:t>)</w:t>
      </w:r>
      <w:r w:rsidR="00FE387D">
        <w:t xml:space="preserve">; </w:t>
      </w:r>
      <w:r w:rsidR="005C4AEB">
        <w:t>Canadian Competition Bureau, “</w:t>
      </w:r>
      <w:r w:rsidR="00620762">
        <w:rPr>
          <w:rStyle w:val="Hyperlink"/>
          <w:i/>
          <w:iCs/>
        </w:rPr>
        <w:t xml:space="preserve"> </w:t>
      </w:r>
      <w:r w:rsidR="00620762" w:rsidRPr="00903D4D">
        <w:rPr>
          <w:rStyle w:val="Hyperlink"/>
          <w:i/>
          <w:iCs/>
        </w:rPr>
        <w:t>Build a credible and effective compliance program for your business</w:t>
      </w:r>
      <w:r w:rsidR="005C4AEB">
        <w:rPr>
          <w:i/>
          <w:iCs/>
        </w:rPr>
        <w:t>”</w:t>
      </w:r>
      <w:r w:rsidR="005C4AEB">
        <w:t>, see at: “</w:t>
      </w:r>
      <w:r w:rsidR="005C4AEB" w:rsidRPr="00A51537">
        <w:rPr>
          <w:i/>
          <w:iCs/>
        </w:rPr>
        <w:t>Core principles to develop a credible and effective compliance program</w:t>
      </w:r>
      <w:r w:rsidR="005C4AEB">
        <w:t xml:space="preserve">”, 2023  </w:t>
      </w:r>
      <w:r w:rsidR="00620762">
        <w:t xml:space="preserve">(see: </w:t>
      </w:r>
      <w:hyperlink r:id="rId10" w:history="1">
        <w:r w:rsidR="00620762" w:rsidRPr="0038094B">
          <w:rPr>
            <w:rStyle w:val="Hyperlink"/>
          </w:rPr>
          <w:t>https://competition-bureau.canada.ca/how-we-foster-competition/compliance-and-enforcement/compliance-hub</w:t>
        </w:r>
      </w:hyperlink>
      <w:r w:rsidR="00620762">
        <w:t>).</w:t>
      </w:r>
    </w:p>
  </w:footnote>
  <w:footnote w:id="9">
    <w:p w14:paraId="1D48DD67" w14:textId="351281E9" w:rsidR="005C4AEB" w:rsidRPr="00031420" w:rsidRDefault="005C4AEB" w:rsidP="007E01F0">
      <w:pPr>
        <w:pStyle w:val="FootnoteText"/>
        <w:jc w:val="both"/>
      </w:pPr>
      <w:r>
        <w:rPr>
          <w:rStyle w:val="FootnoteReference"/>
        </w:rPr>
        <w:footnoteRef/>
      </w:r>
      <w:r>
        <w:t xml:space="preserve"> </w:t>
      </w:r>
      <w:r w:rsidR="00203AB3">
        <w:rPr>
          <w:i/>
          <w:iCs/>
        </w:rPr>
        <w:t xml:space="preserve">DOJ, </w:t>
      </w:r>
      <w:r w:rsidR="00203AB3">
        <w:t xml:space="preserve">Evaluation of Corporate Compliance Programs in Criminal Antitrust Investigations, July 2019 at page 2 and 3 (see: </w:t>
      </w:r>
      <w:hyperlink r:id="rId11" w:history="1">
        <w:r w:rsidR="00203AB3" w:rsidRPr="00076716">
          <w:rPr>
            <w:rStyle w:val="Hyperlink"/>
          </w:rPr>
          <w:t>https://www.justice.gov/atr/page/file/1182001/download</w:t>
        </w:r>
      </w:hyperlink>
      <w:r w:rsidR="00203AB3">
        <w:t xml:space="preserve">); Canadian Competition Bureau, </w:t>
      </w:r>
      <w:bookmarkStart w:id="24" w:name="_Hlk167977855"/>
      <w:r w:rsidR="005B6EED">
        <w:t>“</w:t>
      </w:r>
      <w:r w:rsidR="00620762" w:rsidRPr="00903D4D">
        <w:rPr>
          <w:rStyle w:val="Hyperlink"/>
          <w:i/>
          <w:iCs/>
        </w:rPr>
        <w:t>Build a credible and effective compliance program for your business</w:t>
      </w:r>
      <w:r w:rsidR="00620762">
        <w:rPr>
          <w:i/>
          <w:iCs/>
        </w:rPr>
        <w:t>”</w:t>
      </w:r>
      <w:r w:rsidR="00620762">
        <w:t>,</w:t>
      </w:r>
      <w:r w:rsidR="00203AB3">
        <w:t xml:space="preserve"> see at: “</w:t>
      </w:r>
      <w:r w:rsidR="00203AB3" w:rsidRPr="00A51537">
        <w:rPr>
          <w:i/>
          <w:iCs/>
        </w:rPr>
        <w:t>Core principles to develop a credible and effective compliance program</w:t>
      </w:r>
      <w:r w:rsidR="00203AB3">
        <w:t xml:space="preserve">”, 2023  </w:t>
      </w:r>
      <w:r w:rsidR="00620762">
        <w:t xml:space="preserve">(see: </w:t>
      </w:r>
      <w:hyperlink r:id="rId12" w:history="1">
        <w:r w:rsidR="00620762" w:rsidRPr="0038094B">
          <w:rPr>
            <w:rStyle w:val="Hyperlink"/>
          </w:rPr>
          <w:t>https://competition-bureau.canada.ca/how-we-foster-competition/compliance-and-enforcement/compliance-hub</w:t>
        </w:r>
      </w:hyperlink>
      <w:r w:rsidR="00620762">
        <w:t>).</w:t>
      </w:r>
      <w:bookmarkEnd w:id="24"/>
    </w:p>
  </w:footnote>
  <w:footnote w:id="10">
    <w:p w14:paraId="63DC1E08" w14:textId="2698043E" w:rsidR="005C4AEB" w:rsidRPr="00031420" w:rsidRDefault="005C4AEB" w:rsidP="007E01F0">
      <w:pPr>
        <w:pStyle w:val="FootnoteText"/>
        <w:spacing w:line="276" w:lineRule="auto"/>
        <w:jc w:val="both"/>
      </w:pPr>
      <w:r>
        <w:rPr>
          <w:rStyle w:val="FootnoteReference"/>
        </w:rPr>
        <w:footnoteRef/>
      </w:r>
      <w:r>
        <w:t xml:space="preserve"> </w:t>
      </w:r>
      <w:r>
        <w:rPr>
          <w:i/>
          <w:iCs/>
        </w:rPr>
        <w:t xml:space="preserve">DOJ, </w:t>
      </w:r>
      <w:r>
        <w:t xml:space="preserve">Evaluation of Corporate Compliance Programs in Criminal Antitrust Investigations, July 2019 at page 2 and 3 (see: </w:t>
      </w:r>
      <w:hyperlink r:id="rId13" w:history="1">
        <w:r w:rsidRPr="00076716">
          <w:rPr>
            <w:rStyle w:val="Hyperlink"/>
          </w:rPr>
          <w:t>https://www.justice.gov/atr/page/file/1182001/download</w:t>
        </w:r>
      </w:hyperlink>
      <w:r>
        <w:t xml:space="preserve">); Canadian Competition Bureau, </w:t>
      </w:r>
      <w:r w:rsidR="005B6EED">
        <w:t xml:space="preserve"> “</w:t>
      </w:r>
      <w:r w:rsidR="005B6EED" w:rsidRPr="00903D4D">
        <w:rPr>
          <w:rStyle w:val="Hyperlink"/>
          <w:i/>
          <w:iCs/>
        </w:rPr>
        <w:t>Build a credible and effective compliance program for your business</w:t>
      </w:r>
      <w:r w:rsidR="005B6EED">
        <w:rPr>
          <w:i/>
          <w:iCs/>
        </w:rPr>
        <w:t>”</w:t>
      </w:r>
      <w:r w:rsidR="005B6EED">
        <w:t>,</w:t>
      </w:r>
      <w:r>
        <w:t xml:space="preserve"> see </w:t>
      </w:r>
      <w:r w:rsidR="005B6EED">
        <w:t>at:</w:t>
      </w:r>
      <w:r>
        <w:t xml:space="preserve"> “</w:t>
      </w:r>
      <w:r w:rsidRPr="00A51537">
        <w:rPr>
          <w:i/>
          <w:iCs/>
        </w:rPr>
        <w:t>Core principles to develop a credible and effective compliance program</w:t>
      </w:r>
      <w:r>
        <w:t>”, 2023</w:t>
      </w:r>
      <w:r w:rsidR="005B6EED">
        <w:t xml:space="preserve">  (see: </w:t>
      </w:r>
      <w:hyperlink r:id="rId14" w:history="1">
        <w:r w:rsidR="005B6EED" w:rsidRPr="0038094B">
          <w:rPr>
            <w:rStyle w:val="Hyperlink"/>
          </w:rPr>
          <w:t>https://competition-bureau.canada.ca/how-we-foster-competition/compliance-and-enforcement/compliance-hub</w:t>
        </w:r>
      </w:hyperlink>
      <w:r w:rsidR="005B6EED">
        <w:t>).</w:t>
      </w:r>
      <w:r w:rsidR="000A1497">
        <w:t xml:space="preserve">; French Competition Authority, Framework document of 23 May 2022 on competition compliance programmes at page 6 (see </w:t>
      </w:r>
      <w:hyperlink r:id="rId15" w:history="1">
        <w:r w:rsidR="000A1497" w:rsidRPr="00405600">
          <w:rPr>
            <w:rStyle w:val="Hyperlink"/>
          </w:rPr>
          <w:t>https://www.autoritedelaconcurrence.fr/sites/default/files/2022-06/Conformite_nouveau%20doc-cadre_VEN.pdf</w:t>
        </w:r>
      </w:hyperlink>
      <w:r w:rsidR="000A1497">
        <w:t>)</w:t>
      </w:r>
      <w:r>
        <w:t xml:space="preserve"> </w:t>
      </w:r>
      <w:r w:rsidR="007E01F0">
        <w:br/>
      </w:r>
      <w:r>
        <w:t xml:space="preserve"> </w:t>
      </w:r>
    </w:p>
  </w:footnote>
  <w:footnote w:id="11">
    <w:p w14:paraId="608632F4" w14:textId="3F98D527" w:rsidR="00094686" w:rsidRPr="00031420" w:rsidRDefault="00094686" w:rsidP="007E01F0">
      <w:pPr>
        <w:pStyle w:val="FootnoteText"/>
        <w:jc w:val="both"/>
      </w:pPr>
      <w:r>
        <w:rPr>
          <w:rStyle w:val="FootnoteReference"/>
        </w:rPr>
        <w:footnoteRef/>
      </w:r>
      <w:r>
        <w:t xml:space="preserve"> Chapter </w:t>
      </w:r>
      <w:r w:rsidR="00244CDB">
        <w:t>9</w:t>
      </w:r>
      <w:r>
        <w:t>: Compliance incentives</w:t>
      </w:r>
    </w:p>
  </w:footnote>
  <w:footnote w:id="12">
    <w:p w14:paraId="4DEDBA9F" w14:textId="4395C1FB" w:rsidR="00066102" w:rsidRPr="0028219B" w:rsidRDefault="00D3201B" w:rsidP="00066102">
      <w:pPr>
        <w:pStyle w:val="Default"/>
        <w:spacing w:line="180" w:lineRule="exact"/>
        <w:jc w:val="both"/>
        <w:rPr>
          <w:rFonts w:asciiTheme="minorBidi" w:eastAsia="MS Mincho" w:hAnsiTheme="minorBidi" w:cstheme="minorBidi"/>
          <w:iCs/>
          <w:color w:val="171E24"/>
          <w:sz w:val="16"/>
          <w:szCs w:val="16"/>
        </w:rPr>
      </w:pPr>
      <w:r w:rsidRPr="00C11266">
        <w:rPr>
          <w:rStyle w:val="FootnoteReference"/>
          <w:rFonts w:asciiTheme="minorBidi" w:hAnsiTheme="minorBidi" w:cstheme="minorBidi"/>
          <w:sz w:val="16"/>
          <w:szCs w:val="16"/>
        </w:rPr>
        <w:footnoteRef/>
      </w:r>
      <w:r w:rsidRPr="00C11266">
        <w:rPr>
          <w:rFonts w:asciiTheme="minorBidi" w:hAnsiTheme="minorBidi" w:cstheme="minorBidi"/>
          <w:sz w:val="16"/>
          <w:szCs w:val="16"/>
        </w:rPr>
        <w:t xml:space="preserve"> See the “Adequate Procedures” defence in Section 7 of the UK Bribery Act, and guidance on what constitutes “Adequate Procedures” issued by the UK Ministry of Justice </w:t>
      </w:r>
      <w:r w:rsidRPr="00C11266">
        <w:rPr>
          <w:rFonts w:asciiTheme="minorBidi" w:hAnsiTheme="minorBidi" w:cstheme="minorBidi"/>
          <w:i/>
          <w:sz w:val="16"/>
          <w:szCs w:val="16"/>
          <w:lang w:eastAsia="fr-FR"/>
        </w:rPr>
        <w:t xml:space="preserve">Guidance </w:t>
      </w:r>
      <w:r w:rsidRPr="00C11266">
        <w:rPr>
          <w:rFonts w:asciiTheme="minorBidi" w:hAnsiTheme="minorBidi" w:cstheme="minorBidi"/>
          <w:i/>
          <w:sz w:val="16"/>
          <w:szCs w:val="16"/>
        </w:rPr>
        <w:t>about procedures w</w:t>
      </w:r>
      <w:r>
        <w:rPr>
          <w:rFonts w:asciiTheme="minorBidi" w:hAnsiTheme="minorBidi" w:cstheme="minorBidi"/>
          <w:i/>
          <w:sz w:val="16"/>
          <w:szCs w:val="16"/>
        </w:rPr>
        <w:t>hich relevant commercial organiz</w:t>
      </w:r>
      <w:r w:rsidRPr="00C11266">
        <w:rPr>
          <w:rFonts w:asciiTheme="minorBidi" w:hAnsiTheme="minorBidi" w:cstheme="minorBidi"/>
          <w:i/>
          <w:sz w:val="16"/>
          <w:szCs w:val="16"/>
        </w:rPr>
        <w:t>ations can put into place to prevent persons associated with them from bribing</w:t>
      </w:r>
      <w:r w:rsidRPr="00C11266">
        <w:rPr>
          <w:rFonts w:asciiTheme="minorBidi" w:hAnsiTheme="minorBidi" w:cstheme="minorBidi"/>
          <w:sz w:val="16"/>
          <w:szCs w:val="16"/>
        </w:rPr>
        <w:t xml:space="preserve"> available at </w:t>
      </w:r>
      <w:hyperlink r:id="rId16" w:history="1">
        <w:r w:rsidR="005D35DB" w:rsidRPr="0038094B">
          <w:rPr>
            <w:rStyle w:val="Hyperlink"/>
            <w:rFonts w:asciiTheme="minorBidi" w:hAnsiTheme="minorBidi" w:cstheme="minorBidi"/>
            <w:sz w:val="16"/>
            <w:szCs w:val="16"/>
          </w:rPr>
          <w:t>https://www.gov.uk/government/publications/bribery-act-2010-guidance</w:t>
        </w:r>
      </w:hyperlink>
      <w:hyperlink r:id="rId17" w:history="1">
        <w:r w:rsidR="00E23E68" w:rsidRPr="000D53A6">
          <w:rPr>
            <w:rStyle w:val="Hyperlink"/>
            <w:rFonts w:asciiTheme="minorBidi" w:hAnsiTheme="minorBidi" w:cstheme="minorBidi"/>
            <w:sz w:val="16"/>
            <w:szCs w:val="16"/>
          </w:rPr>
          <w:t>https://www.justice.gov/criminal/criminal-fraud/foreign-corrupt-practices-act</w:t>
        </w:r>
      </w:hyperlink>
      <w:r w:rsidR="00E23E68">
        <w:rPr>
          <w:rFonts w:asciiTheme="minorBidi" w:hAnsiTheme="minorBidi" w:cstheme="minorBidi"/>
          <w:sz w:val="16"/>
          <w:szCs w:val="16"/>
        </w:rPr>
        <w:t xml:space="preserve"> </w:t>
      </w:r>
      <w:r w:rsidRPr="00C11266">
        <w:rPr>
          <w:rFonts w:asciiTheme="minorBidi" w:hAnsiTheme="minorBidi" w:cstheme="minorBidi"/>
          <w:sz w:val="16"/>
          <w:szCs w:val="16"/>
        </w:rPr>
        <w:t>and the US DOJ’s Guidelines on FCPA compliance</w:t>
      </w:r>
      <w:r>
        <w:rPr>
          <w:rFonts w:asciiTheme="minorBidi" w:hAnsiTheme="minorBidi" w:cstheme="minorBidi"/>
          <w:sz w:val="16"/>
          <w:szCs w:val="16"/>
        </w:rPr>
        <w:t xml:space="preserve">: </w:t>
      </w:r>
      <w:r w:rsidRPr="00C11266">
        <w:rPr>
          <w:rFonts w:asciiTheme="minorBidi" w:hAnsiTheme="minorBidi" w:cstheme="minorBidi"/>
          <w:i/>
          <w:iCs/>
          <w:color w:val="171E24"/>
          <w:sz w:val="16"/>
          <w:szCs w:val="16"/>
        </w:rPr>
        <w:t xml:space="preserve">A Resource Guide to the U.S. Foreign Corrupt Practices Act </w:t>
      </w:r>
      <w:r w:rsidRPr="00C11266">
        <w:rPr>
          <w:rFonts w:asciiTheme="minorBidi" w:hAnsiTheme="minorBidi" w:cstheme="minorBidi"/>
          <w:iCs/>
          <w:color w:val="171E24"/>
          <w:sz w:val="16"/>
          <w:szCs w:val="16"/>
        </w:rPr>
        <w:t xml:space="preserve">available at </w:t>
      </w:r>
      <w:hyperlink r:id="rId18" w:history="1">
        <w:r w:rsidR="00B21A32" w:rsidRPr="000D53A6">
          <w:rPr>
            <w:rStyle w:val="Hyperlink"/>
            <w:rFonts w:asciiTheme="minorBidi" w:hAnsiTheme="minorBidi" w:cstheme="minorBidi"/>
            <w:iCs/>
            <w:sz w:val="16"/>
            <w:szCs w:val="16"/>
          </w:rPr>
          <w:t>https://www.justice.gov/criminal/criminal-fraud/file/1292051/dl?inline</w:t>
        </w:r>
      </w:hyperlink>
      <w:r w:rsidR="00B21A32">
        <w:rPr>
          <w:rFonts w:asciiTheme="minorBidi" w:hAnsiTheme="minorBidi" w:cstheme="minorBidi"/>
          <w:iCs/>
          <w:color w:val="171E24"/>
          <w:sz w:val="16"/>
          <w:szCs w:val="16"/>
        </w:rPr>
        <w:t xml:space="preserve">. </w:t>
      </w:r>
      <w:r w:rsidR="00E71593">
        <w:rPr>
          <w:rFonts w:asciiTheme="minorBidi" w:eastAsia="MS Mincho" w:hAnsiTheme="minorBidi" w:cstheme="minorBidi" w:hint="eastAsia"/>
          <w:iCs/>
          <w:color w:val="171E24"/>
          <w:sz w:val="16"/>
          <w:szCs w:val="16"/>
          <w:lang w:eastAsia="ja-JP"/>
        </w:rPr>
        <w:t xml:space="preserve"> </w:t>
      </w:r>
      <w:hyperlink r:id="rId19" w:history="1">
        <w:r w:rsidR="000A0709" w:rsidRPr="0028219B">
          <w:rPr>
            <w:rStyle w:val="Hyperlink"/>
            <w:rFonts w:asciiTheme="minorBidi" w:eastAsia="MS Mincho" w:hAnsiTheme="minorBidi" w:cstheme="minorBidi"/>
            <w:iCs/>
            <w:sz w:val="16"/>
            <w:szCs w:val="16"/>
          </w:rPr>
          <w:t>https://www.justice.gov/criminal/criminal-fraud/fcpa-resource-guide</w:t>
        </w:r>
      </w:hyperlink>
      <w:r w:rsidR="000A0709">
        <w:rPr>
          <w:rFonts w:asciiTheme="minorBidi" w:eastAsia="MS Mincho" w:hAnsiTheme="minorBidi" w:cstheme="minorBidi" w:hint="eastAsia"/>
          <w:iCs/>
          <w:color w:val="171E24"/>
          <w:sz w:val="16"/>
          <w:szCs w:val="16"/>
          <w:lang w:eastAsia="ja-JP"/>
        </w:rPr>
        <w:t xml:space="preserve"> and </w:t>
      </w:r>
      <w:hyperlink r:id="rId20" w:history="1">
        <w:r w:rsidR="00066102" w:rsidRPr="0028219B">
          <w:rPr>
            <w:rStyle w:val="Hyperlink"/>
            <w:rFonts w:asciiTheme="minorBidi" w:eastAsia="MS Mincho" w:hAnsiTheme="minorBidi" w:cstheme="minorBidi"/>
            <w:iCs/>
            <w:sz w:val="16"/>
            <w:szCs w:val="16"/>
          </w:rPr>
          <w:t>https://www.sec.gov/spotlight/fcpa/fcpa-resource-guide.pdf</w:t>
        </w:r>
      </w:hyperlink>
    </w:p>
    <w:p w14:paraId="4CE44D65" w14:textId="341D3855" w:rsidR="000A0709" w:rsidRPr="0028219B" w:rsidRDefault="000A0709" w:rsidP="000A0709">
      <w:pPr>
        <w:pStyle w:val="Default"/>
        <w:spacing w:line="180" w:lineRule="exact"/>
        <w:jc w:val="both"/>
        <w:rPr>
          <w:rFonts w:asciiTheme="minorBidi" w:eastAsia="MS Mincho" w:hAnsiTheme="minorBidi" w:cstheme="minorBidi"/>
          <w:iCs/>
          <w:color w:val="171E24"/>
          <w:sz w:val="16"/>
          <w:szCs w:val="16"/>
          <w:lang w:eastAsia="ja-JP"/>
        </w:rPr>
      </w:pPr>
    </w:p>
    <w:p w14:paraId="01F7A24D" w14:textId="0850C6C5" w:rsidR="00D3201B" w:rsidRDefault="00000000" w:rsidP="007E01F0">
      <w:pPr>
        <w:pStyle w:val="Default"/>
        <w:spacing w:line="180" w:lineRule="exact"/>
        <w:jc w:val="both"/>
        <w:rPr>
          <w:rFonts w:asciiTheme="minorBidi" w:hAnsiTheme="minorBidi" w:cstheme="minorBidi"/>
          <w:color w:val="auto"/>
          <w:sz w:val="16"/>
          <w:szCs w:val="16"/>
        </w:rPr>
      </w:pPr>
      <w:hyperlink w:history="1"/>
    </w:p>
    <w:p w14:paraId="404F56D5" w14:textId="77777777" w:rsidR="007E01F0" w:rsidRPr="00C11266" w:rsidRDefault="007E01F0" w:rsidP="007E01F0">
      <w:pPr>
        <w:pStyle w:val="Default"/>
        <w:spacing w:line="180" w:lineRule="exact"/>
        <w:jc w:val="both"/>
        <w:rPr>
          <w:rFonts w:asciiTheme="minorBidi" w:hAnsiTheme="minorBidi" w:cstheme="minorBidi"/>
          <w:sz w:val="16"/>
          <w:szCs w:val="16"/>
        </w:rPr>
      </w:pPr>
    </w:p>
  </w:footnote>
  <w:footnote w:id="13">
    <w:p w14:paraId="43A33589" w14:textId="1DE628EB" w:rsidR="009B3750" w:rsidRPr="00FD3A51" w:rsidRDefault="009B3750" w:rsidP="007E01F0">
      <w:pPr>
        <w:pStyle w:val="FootnoteText"/>
        <w:jc w:val="both"/>
        <w:rPr>
          <w:color w:val="FF0000"/>
        </w:rPr>
      </w:pPr>
      <w:r w:rsidRPr="009F6F38">
        <w:rPr>
          <w:rStyle w:val="FootnoteReference"/>
        </w:rPr>
        <w:footnoteRef/>
      </w:r>
      <w:r w:rsidRPr="009F6F38">
        <w:t xml:space="preserve"> </w:t>
      </w:r>
      <w:r w:rsidRPr="009F6F38">
        <w:rPr>
          <w:lang w:val="en-US"/>
        </w:rPr>
        <w:t xml:space="preserve">As </w:t>
      </w:r>
      <w:r w:rsidR="00C223A8">
        <w:rPr>
          <w:lang w:val="en-US"/>
        </w:rPr>
        <w:t>provided</w:t>
      </w:r>
      <w:r w:rsidRPr="009F6F38">
        <w:rPr>
          <w:lang w:val="en-US"/>
        </w:rPr>
        <w:t xml:space="preserve"> </w:t>
      </w:r>
      <w:r w:rsidR="00C223A8">
        <w:rPr>
          <w:lang w:val="en-US"/>
        </w:rPr>
        <w:t xml:space="preserve">by </w:t>
      </w:r>
      <w:r w:rsidRPr="009F6F38">
        <w:rPr>
          <w:lang w:val="en-US"/>
        </w:rPr>
        <w:t xml:space="preserve">the German Act against Restraints of Competition (“ARC”), see § 81d para. 1 no. 5 ARC.  </w:t>
      </w:r>
      <w:r w:rsidR="002D1F2D" w:rsidRPr="00BE55BE">
        <w:rPr>
          <w:color w:val="000000" w:themeColor="text1"/>
          <w:lang w:val="en-US"/>
        </w:rPr>
        <w:t>For example, j</w:t>
      </w:r>
      <w:r w:rsidR="009F17A4" w:rsidRPr="00BE55BE">
        <w:rPr>
          <w:color w:val="000000" w:themeColor="text1"/>
          <w:lang w:val="en-US"/>
        </w:rPr>
        <w:t>uris</w:t>
      </w:r>
      <w:r w:rsidR="002D1F2D" w:rsidRPr="00BE55BE">
        <w:rPr>
          <w:color w:val="000000" w:themeColor="text1"/>
          <w:lang w:val="en-US"/>
        </w:rPr>
        <w:t>d</w:t>
      </w:r>
      <w:r w:rsidR="009F17A4" w:rsidRPr="00BE55BE">
        <w:rPr>
          <w:color w:val="000000" w:themeColor="text1"/>
          <w:lang w:val="en-US"/>
        </w:rPr>
        <w:t xml:space="preserve">ictions that offer fine reductions </w:t>
      </w:r>
      <w:r w:rsidR="00267213" w:rsidRPr="00BE55BE">
        <w:rPr>
          <w:color w:val="000000" w:themeColor="text1"/>
          <w:lang w:val="en-US"/>
        </w:rPr>
        <w:t xml:space="preserve">as well </w:t>
      </w:r>
      <w:r w:rsidR="009F17A4" w:rsidRPr="00BE55BE">
        <w:rPr>
          <w:color w:val="000000" w:themeColor="text1"/>
          <w:lang w:val="en-US"/>
        </w:rPr>
        <w:t>are</w:t>
      </w:r>
      <w:r w:rsidR="00BD45CB" w:rsidRPr="00BE55BE">
        <w:rPr>
          <w:color w:val="000000" w:themeColor="text1"/>
          <w:lang w:val="en-US"/>
        </w:rPr>
        <w:t xml:space="preserve"> Czech Republic</w:t>
      </w:r>
      <w:r w:rsidRPr="00BE55BE">
        <w:rPr>
          <w:color w:val="000000" w:themeColor="text1"/>
          <w:lang w:val="en-US"/>
        </w:rPr>
        <w:t xml:space="preserve"> </w:t>
      </w:r>
      <w:bookmarkStart w:id="46" w:name="_Hlk166053739"/>
      <w:r w:rsidR="009F17A4" w:rsidRPr="00BE55BE">
        <w:rPr>
          <w:color w:val="000000" w:themeColor="text1"/>
          <w:lang w:val="en-US"/>
        </w:rPr>
        <w:t xml:space="preserve">(see : </w:t>
      </w:r>
      <w:bookmarkEnd w:id="46"/>
      <w:r w:rsidR="00CD6ECD" w:rsidRPr="00BE55BE">
        <w:rPr>
          <w:color w:val="000000" w:themeColor="text1"/>
          <w:lang w:val="en-US"/>
        </w:rPr>
        <w:t>“</w:t>
      </w:r>
      <w:hyperlink r:id="rId21" w:history="1">
        <w:r w:rsidR="009F17A4" w:rsidRPr="00460A84">
          <w:rPr>
            <w:rStyle w:val="Hyperlink"/>
            <w:i/>
            <w:iCs/>
            <w:lang w:val="en-US"/>
          </w:rPr>
          <w:t>Noti</w:t>
        </w:r>
        <w:r w:rsidR="00CD6ECD" w:rsidRPr="00460A84">
          <w:rPr>
            <w:rStyle w:val="Hyperlink"/>
            <w:i/>
            <w:iCs/>
            <w:lang w:val="en-US"/>
          </w:rPr>
          <w:t>ce of the office for the protection of competition on compliance programmes dated 1/1/2024</w:t>
        </w:r>
      </w:hyperlink>
      <w:r w:rsidR="00CD6ECD" w:rsidRPr="00BE55BE">
        <w:rPr>
          <w:i/>
          <w:iCs/>
          <w:color w:val="000000" w:themeColor="text1"/>
          <w:lang w:val="en-US"/>
        </w:rPr>
        <w:t>”</w:t>
      </w:r>
      <w:r w:rsidR="00CD6ECD" w:rsidRPr="00BE55BE">
        <w:rPr>
          <w:color w:val="000000" w:themeColor="text1"/>
          <w:lang w:val="en-US"/>
        </w:rPr>
        <w:t>),</w:t>
      </w:r>
      <w:r w:rsidR="00BD45CB" w:rsidRPr="00BE55BE">
        <w:rPr>
          <w:color w:val="000000" w:themeColor="text1"/>
          <w:lang w:val="en-US"/>
        </w:rPr>
        <w:t xml:space="preserve"> </w:t>
      </w:r>
      <w:r w:rsidR="006C7BE8" w:rsidRPr="00BE55BE">
        <w:rPr>
          <w:color w:val="000000" w:themeColor="text1"/>
          <w:lang w:val="en-US"/>
        </w:rPr>
        <w:t xml:space="preserve">Canada </w:t>
      </w:r>
      <w:r w:rsidR="00CD6ECD" w:rsidRPr="00BE55BE">
        <w:rPr>
          <w:color w:val="000000" w:themeColor="text1"/>
          <w:lang w:val="en-US"/>
        </w:rPr>
        <w:t>(see :”</w:t>
      </w:r>
      <w:hyperlink r:id="rId22" w:history="1">
        <w:r w:rsidR="00CD6ECD" w:rsidRPr="00267213">
          <w:rPr>
            <w:rStyle w:val="Hyperlink"/>
            <w:i/>
            <w:iCs/>
          </w:rPr>
          <w:t>Build a credible and effective compliance program for your business</w:t>
        </w:r>
      </w:hyperlink>
      <w:r w:rsidR="00CD6ECD" w:rsidRPr="00BE55BE">
        <w:rPr>
          <w:i/>
          <w:iCs/>
          <w:color w:val="000000" w:themeColor="text1"/>
        </w:rPr>
        <w:t>”</w:t>
      </w:r>
      <w:r w:rsidR="00CD6ECD" w:rsidRPr="00BE55BE">
        <w:rPr>
          <w:color w:val="000000" w:themeColor="text1"/>
          <w:lang w:val="en-US"/>
        </w:rPr>
        <w:t>)</w:t>
      </w:r>
      <w:r w:rsidR="006C7BE8" w:rsidRPr="00BE55BE">
        <w:rPr>
          <w:color w:val="000000" w:themeColor="text1"/>
          <w:lang w:val="en-US"/>
        </w:rPr>
        <w:t>,</w:t>
      </w:r>
      <w:r w:rsidR="006C7BE8" w:rsidRPr="00460A84">
        <w:rPr>
          <w:color w:val="FF0000"/>
          <w:lang w:val="en-US"/>
        </w:rPr>
        <w:t xml:space="preserve"> </w:t>
      </w:r>
      <w:r w:rsidR="006C7BE8" w:rsidRPr="00BE55BE">
        <w:rPr>
          <w:color w:val="000000" w:themeColor="text1"/>
          <w:lang w:val="en-US"/>
        </w:rPr>
        <w:t>Australia</w:t>
      </w:r>
      <w:r w:rsidR="00CD6ECD" w:rsidRPr="00BE55BE">
        <w:rPr>
          <w:color w:val="000000" w:themeColor="text1"/>
          <w:lang w:val="en-US"/>
        </w:rPr>
        <w:t xml:space="preserve"> (see: “</w:t>
      </w:r>
      <w:hyperlink r:id="rId23" w:history="1">
        <w:r w:rsidR="006C7BE8" w:rsidRPr="00460A84">
          <w:rPr>
            <w:rStyle w:val="Hyperlink"/>
            <w:i/>
            <w:iCs/>
            <w:lang w:val="en-US"/>
          </w:rPr>
          <w:t>Guidelines</w:t>
        </w:r>
        <w:r w:rsidR="00CD6ECD" w:rsidRPr="00460A84">
          <w:rPr>
            <w:rStyle w:val="Hyperlink"/>
            <w:i/>
            <w:iCs/>
            <w:lang w:val="en-US"/>
          </w:rPr>
          <w:t xml:space="preserve"> on ACCC approach to penalties in competition and consumer law matters</w:t>
        </w:r>
      </w:hyperlink>
      <w:r w:rsidR="00CD6ECD" w:rsidRPr="00BE55BE">
        <w:rPr>
          <w:color w:val="000000" w:themeColor="text1"/>
          <w:lang w:val="en-US"/>
        </w:rPr>
        <w:t>”)</w:t>
      </w:r>
      <w:r w:rsidR="006C7BE8" w:rsidRPr="00BE55BE">
        <w:rPr>
          <w:color w:val="000000" w:themeColor="text1"/>
          <w:lang w:val="en-US"/>
        </w:rPr>
        <w:t xml:space="preserve">, </w:t>
      </w:r>
      <w:r w:rsidR="00BD45CB" w:rsidRPr="00BE55BE">
        <w:rPr>
          <w:color w:val="000000" w:themeColor="text1"/>
          <w:lang w:val="en-US"/>
        </w:rPr>
        <w:t xml:space="preserve">Spain </w:t>
      </w:r>
      <w:r w:rsidR="00CD6ECD" w:rsidRPr="00BE55BE">
        <w:rPr>
          <w:color w:val="000000" w:themeColor="text1"/>
          <w:lang w:val="en-US"/>
        </w:rPr>
        <w:t>(“</w:t>
      </w:r>
      <w:r w:rsidR="00BD45CB" w:rsidRPr="00BE55BE">
        <w:rPr>
          <w:i/>
          <w:iCs/>
          <w:color w:val="000000" w:themeColor="text1"/>
        </w:rPr>
        <w:t>Antitrust Compliance Programmes Guidelines</w:t>
      </w:r>
      <w:r w:rsidR="00CD6ECD" w:rsidRPr="00FD3A51">
        <w:rPr>
          <w:color w:val="000000" w:themeColor="text1"/>
        </w:rPr>
        <w:t> »</w:t>
      </w:r>
      <w:r w:rsidR="00DE4A61">
        <w:rPr>
          <w:color w:val="000000" w:themeColor="text1"/>
        </w:rPr>
        <w:t xml:space="preserve">, </w:t>
      </w:r>
      <w:r w:rsidR="00BD45CB" w:rsidRPr="00BE55BE">
        <w:rPr>
          <w:color w:val="000000" w:themeColor="text1"/>
        </w:rPr>
        <w:t xml:space="preserve"> </w:t>
      </w:r>
      <w:r w:rsidR="00BD45CB" w:rsidRPr="00FD3A51">
        <w:rPr>
          <w:color w:val="000000" w:themeColor="text1"/>
        </w:rPr>
        <w:t xml:space="preserve">United States </w:t>
      </w:r>
      <w:r w:rsidR="00CD6ECD" w:rsidRPr="00FD3A51">
        <w:rPr>
          <w:color w:val="000000" w:themeColor="text1"/>
        </w:rPr>
        <w:t>(see : « </w:t>
      </w:r>
      <w:hyperlink r:id="rId24" w:history="1">
        <w:r w:rsidR="00CD6ECD" w:rsidRPr="00FD3A51">
          <w:rPr>
            <w:rStyle w:val="Hyperlink"/>
            <w:i/>
            <w:iCs/>
          </w:rPr>
          <w:t>Evaluation of Corporate Compliance Programs in Criminal Antitrust Investigations </w:t>
        </w:r>
      </w:hyperlink>
      <w:r w:rsidR="00CD6ECD" w:rsidRPr="00FD3A51">
        <w:rPr>
          <w:color w:val="000000" w:themeColor="text1"/>
        </w:rPr>
        <w:t>»)</w:t>
      </w:r>
      <w:r w:rsidR="00BD45CB" w:rsidRPr="00FD3A51">
        <w:rPr>
          <w:color w:val="000000" w:themeColor="text1"/>
        </w:rPr>
        <w:t>, Italy</w:t>
      </w:r>
      <w:r w:rsidR="00CD6ECD" w:rsidRPr="00FD3A51">
        <w:rPr>
          <w:color w:val="000000" w:themeColor="text1"/>
        </w:rPr>
        <w:t xml:space="preserve"> (see : </w:t>
      </w:r>
      <w:r w:rsidR="0008318D" w:rsidRPr="00FD3A51">
        <w:rPr>
          <w:color w:val="000000" w:themeColor="text1"/>
        </w:rPr>
        <w:t>« </w:t>
      </w:r>
      <w:hyperlink r:id="rId25" w:history="1">
        <w:r w:rsidR="00BD45CB" w:rsidRPr="00460A84">
          <w:rPr>
            <w:rStyle w:val="Hyperlink"/>
            <w:i/>
            <w:iCs/>
          </w:rPr>
          <w:t>Guidelines on Antitrust Compliance</w:t>
        </w:r>
        <w:r w:rsidR="0008318D" w:rsidRPr="00FD3A51">
          <w:rPr>
            <w:rStyle w:val="Hyperlink"/>
          </w:rPr>
          <w:t> </w:t>
        </w:r>
      </w:hyperlink>
      <w:r w:rsidR="0008318D" w:rsidRPr="00FD3A51">
        <w:rPr>
          <w:color w:val="000000" w:themeColor="text1"/>
        </w:rPr>
        <w:t>»)</w:t>
      </w:r>
      <w:r w:rsidR="00BD45CB" w:rsidRPr="00FD3A51">
        <w:rPr>
          <w:color w:val="000000" w:themeColor="text1"/>
        </w:rPr>
        <w:t xml:space="preserve">, </w:t>
      </w:r>
      <w:r w:rsidR="0008318D" w:rsidRPr="00FD3A51">
        <w:rPr>
          <w:color w:val="000000" w:themeColor="text1"/>
        </w:rPr>
        <w:t>B</w:t>
      </w:r>
      <w:r w:rsidR="00BD45CB" w:rsidRPr="00FD3A51">
        <w:rPr>
          <w:color w:val="000000" w:themeColor="text1"/>
        </w:rPr>
        <w:t>razil</w:t>
      </w:r>
      <w:r w:rsidR="0008318D" w:rsidRPr="00FD3A51">
        <w:rPr>
          <w:color w:val="000000" w:themeColor="text1"/>
        </w:rPr>
        <w:t xml:space="preserve"> (see : «</w:t>
      </w:r>
      <w:r w:rsidR="0008318D" w:rsidRPr="00FD3A51">
        <w:rPr>
          <w:color w:val="FF0000"/>
        </w:rPr>
        <w:t> </w:t>
      </w:r>
      <w:hyperlink r:id="rId26" w:history="1">
        <w:r w:rsidR="00BD45CB" w:rsidRPr="00460A84">
          <w:rPr>
            <w:rStyle w:val="Hyperlink"/>
            <w:i/>
            <w:iCs/>
          </w:rPr>
          <w:t>Guidelines on Competition Compliance</w:t>
        </w:r>
        <w:r w:rsidR="0008318D" w:rsidRPr="00FD3A51">
          <w:rPr>
            <w:rStyle w:val="Hyperlink"/>
          </w:rPr>
          <w:t> </w:t>
        </w:r>
      </w:hyperlink>
      <w:r w:rsidR="0008318D" w:rsidRPr="00FD3A51">
        <w:rPr>
          <w:color w:val="000000" w:themeColor="text1"/>
        </w:rPr>
        <w:t>»),</w:t>
      </w:r>
      <w:r w:rsidR="0008318D" w:rsidRPr="00FD3A51">
        <w:rPr>
          <w:color w:val="FF0000"/>
        </w:rPr>
        <w:t xml:space="preserve"> </w:t>
      </w:r>
      <w:r w:rsidR="00BD45CB" w:rsidRPr="00FD3A51">
        <w:rPr>
          <w:color w:val="000000" w:themeColor="text1"/>
        </w:rPr>
        <w:t>Singapore</w:t>
      </w:r>
      <w:r w:rsidR="0008318D" w:rsidRPr="00FD3A51">
        <w:rPr>
          <w:color w:val="000000" w:themeColor="text1"/>
        </w:rPr>
        <w:t xml:space="preserve"> (see : «</w:t>
      </w:r>
      <w:r w:rsidR="0008318D" w:rsidRPr="00FD3A51">
        <w:rPr>
          <w:color w:val="FF0000"/>
        </w:rPr>
        <w:t> </w:t>
      </w:r>
      <w:hyperlink r:id="rId27" w:history="1">
        <w:r w:rsidR="00BD45CB" w:rsidRPr="00460A84">
          <w:rPr>
            <w:rStyle w:val="Hyperlink"/>
            <w:i/>
            <w:iCs/>
          </w:rPr>
          <w:t>CCCS Guidelines on the appropriate amount of penalty in competition cases</w:t>
        </w:r>
        <w:r w:rsidR="0008318D" w:rsidRPr="00460A84">
          <w:rPr>
            <w:rStyle w:val="Hyperlink"/>
            <w:i/>
            <w:iCs/>
          </w:rPr>
          <w:t> </w:t>
        </w:r>
      </w:hyperlink>
      <w:r w:rsidR="0008318D" w:rsidRPr="00FD3A51">
        <w:rPr>
          <w:color w:val="000000" w:themeColor="text1"/>
        </w:rPr>
        <w:t>»)</w:t>
      </w:r>
      <w:r w:rsidR="00817AB3" w:rsidRPr="00FD3A51">
        <w:rPr>
          <w:color w:val="000000" w:themeColor="text1"/>
        </w:rPr>
        <w:t>.</w:t>
      </w:r>
    </w:p>
    <w:p w14:paraId="5BBB1D5E" w14:textId="77777777" w:rsidR="007E01F0" w:rsidRPr="00460A84" w:rsidRDefault="007E01F0" w:rsidP="007E01F0">
      <w:pPr>
        <w:pStyle w:val="FootnoteText"/>
        <w:jc w:val="both"/>
        <w:rPr>
          <w:color w:val="0000FF"/>
          <w:u w:val="single"/>
          <w:lang w:val="en-US"/>
        </w:rPr>
      </w:pPr>
    </w:p>
  </w:footnote>
  <w:footnote w:id="14">
    <w:p w14:paraId="3E7A03E9" w14:textId="18EA698B" w:rsidR="008C7466" w:rsidRPr="00366F78" w:rsidRDefault="008C7466" w:rsidP="007E01F0">
      <w:pPr>
        <w:pStyle w:val="FootnoteText"/>
        <w:jc w:val="both"/>
      </w:pPr>
      <w:r w:rsidRPr="00267213">
        <w:rPr>
          <w:rStyle w:val="FootnoteReference"/>
        </w:rPr>
        <w:footnoteRef/>
      </w:r>
      <w:r w:rsidRPr="00267213">
        <w:t xml:space="preserve"> For example, </w:t>
      </w:r>
      <w:r w:rsidR="00366F78" w:rsidRPr="00267213">
        <w:t xml:space="preserve">jurisdictions whose laws provide for substantial fines and/or imprisonment </w:t>
      </w:r>
      <w:r w:rsidR="00366F78" w:rsidRPr="00460A84">
        <w:t xml:space="preserve">against individuals </w:t>
      </w:r>
      <w:r w:rsidR="00366F78" w:rsidRPr="00267213">
        <w:t>include Australia, Brazil, Canada, Greece, Ireland, Israel, Japan, Mexico, South Africa and the United States.</w:t>
      </w:r>
    </w:p>
  </w:footnote>
  <w:footnote w:id="15">
    <w:p w14:paraId="5C39CEC2" w14:textId="051DDB8B" w:rsidR="001A5424" w:rsidRDefault="001A5424" w:rsidP="007E01F0">
      <w:pPr>
        <w:pStyle w:val="FootnoteText"/>
        <w:jc w:val="both"/>
        <w:rPr>
          <w:i/>
          <w:iCs/>
        </w:rPr>
      </w:pPr>
      <w:r>
        <w:rPr>
          <w:rStyle w:val="FootnoteReference"/>
        </w:rPr>
        <w:footnoteRef/>
      </w:r>
      <w:r>
        <w:t xml:space="preserve"> </w:t>
      </w:r>
      <w:r w:rsidR="00D45595" w:rsidRPr="00BE55BE">
        <w:rPr>
          <w:color w:val="000000" w:themeColor="text1"/>
          <w:lang w:val="en-US"/>
        </w:rPr>
        <w:t>S</w:t>
      </w:r>
      <w:r w:rsidRPr="00BE55BE">
        <w:rPr>
          <w:color w:val="000000" w:themeColor="text1"/>
          <w:lang w:val="en-US"/>
        </w:rPr>
        <w:t>ee</w:t>
      </w:r>
      <w:r w:rsidR="00D45595" w:rsidRPr="00BE55BE">
        <w:rPr>
          <w:color w:val="000000" w:themeColor="text1"/>
          <w:lang w:val="en-US"/>
        </w:rPr>
        <w:t xml:space="preserve"> e.g. </w:t>
      </w:r>
      <w:r w:rsidRPr="00BE55BE">
        <w:rPr>
          <w:color w:val="000000" w:themeColor="text1"/>
          <w:lang w:val="en-US"/>
        </w:rPr>
        <w:t>”</w:t>
      </w:r>
      <w:hyperlink r:id="rId28" w:history="1">
        <w:r w:rsidRPr="00267213">
          <w:rPr>
            <w:rStyle w:val="Hyperlink"/>
            <w:i/>
            <w:iCs/>
          </w:rPr>
          <w:t>Build a credible and effective compliance program for your business</w:t>
        </w:r>
      </w:hyperlink>
      <w:r w:rsidRPr="00267213">
        <w:rPr>
          <w:i/>
          <w:iCs/>
        </w:rPr>
        <w:t>”</w:t>
      </w:r>
      <w:r w:rsidR="00D45595">
        <w:rPr>
          <w:color w:val="FF0000"/>
          <w:lang w:val="en-US"/>
        </w:rPr>
        <w:t xml:space="preserve"> </w:t>
      </w:r>
      <w:r w:rsidR="00D45595" w:rsidRPr="00BE55BE">
        <w:rPr>
          <w:color w:val="000000" w:themeColor="text1"/>
          <w:lang w:val="en-US"/>
        </w:rPr>
        <w:t>published by Canada Competition Bureau,</w:t>
      </w:r>
      <w:r w:rsidR="00D45595">
        <w:rPr>
          <w:color w:val="FF0000"/>
          <w:lang w:val="en-US"/>
        </w:rPr>
        <w:t xml:space="preserve"> </w:t>
      </w:r>
      <w:r w:rsidR="00C223A8">
        <w:t xml:space="preserve">Section </w:t>
      </w:r>
      <w:hyperlink r:id="rId29" w:history="1">
        <w:r w:rsidR="00C223A8" w:rsidRPr="00460A84">
          <w:rPr>
            <w:rStyle w:val="Hyperlink"/>
            <w:i/>
            <w:iCs/>
          </w:rPr>
          <w:t>Core principles of a credible and effective compliance program (canada.ca)</w:t>
        </w:r>
      </w:hyperlink>
      <w:r w:rsidR="00130C0F" w:rsidRPr="00460A84">
        <w:rPr>
          <w:i/>
          <w:iCs/>
        </w:rPr>
        <w:t>.</w:t>
      </w:r>
    </w:p>
    <w:p w14:paraId="45A7D5BB" w14:textId="77777777" w:rsidR="007E01F0" w:rsidRPr="00FD3A51" w:rsidRDefault="007E01F0" w:rsidP="007E01F0">
      <w:pPr>
        <w:pStyle w:val="FootnoteText"/>
        <w:jc w:val="both"/>
        <w:rPr>
          <w:i/>
          <w:iCs/>
        </w:rPr>
      </w:pPr>
    </w:p>
  </w:footnote>
  <w:footnote w:id="16">
    <w:p w14:paraId="741C4D2F" w14:textId="21BC7F70" w:rsidR="00D3201B" w:rsidRPr="00E735AF" w:rsidRDefault="00D3201B" w:rsidP="007E01F0">
      <w:pPr>
        <w:pStyle w:val="FootnoteText"/>
        <w:jc w:val="both"/>
        <w:rPr>
          <w:lang w:val="en-US"/>
        </w:rPr>
      </w:pPr>
      <w:r>
        <w:rPr>
          <w:rStyle w:val="FootnoteReference"/>
        </w:rPr>
        <w:footnoteRef/>
      </w:r>
      <w:r>
        <w:t xml:space="preserve"> See e.g., </w:t>
      </w:r>
      <w:r w:rsidRPr="00E735AF">
        <w:rPr>
          <w:lang w:val="en-US"/>
        </w:rPr>
        <w:t xml:space="preserve">U.S. </w:t>
      </w:r>
      <w:r>
        <w:rPr>
          <w:lang w:val="en-US"/>
        </w:rPr>
        <w:t>DoJ,</w:t>
      </w:r>
      <w:r w:rsidRPr="00E735AF">
        <w:rPr>
          <w:lang w:val="en-US"/>
        </w:rPr>
        <w:t xml:space="preserve"> </w:t>
      </w:r>
      <w:hyperlink r:id="rId30" w:history="1">
        <w:r w:rsidRPr="00130C0F">
          <w:rPr>
            <w:rStyle w:val="Hyperlink"/>
            <w:lang w:val="en-US"/>
          </w:rPr>
          <w:t>Evaluation of Corporate Compliance Programs in Criminal Antitrust Investigations</w:t>
        </w:r>
      </w:hyperlink>
      <w:r>
        <w:rPr>
          <w:lang w:val="en-US"/>
        </w:rPr>
        <w:t>,</w:t>
      </w:r>
      <w:r w:rsidRPr="00E735AF">
        <w:rPr>
          <w:lang w:val="en-US"/>
        </w:rPr>
        <w:t xml:space="preserve"> 2019</w:t>
      </w:r>
      <w:r>
        <w:rPr>
          <w:lang w:val="en-US"/>
        </w:rPr>
        <w:t xml:space="preserve">; </w:t>
      </w:r>
      <w:hyperlink r:id="rId31" w:history="1">
        <w:r w:rsidRPr="00130C0F">
          <w:rPr>
            <w:rStyle w:val="Hyperlink"/>
            <w:lang w:val="en-US"/>
          </w:rPr>
          <w:t>CMA, Guidance Competition law risk: a short guide</w:t>
        </w:r>
      </w:hyperlink>
      <w:r>
        <w:rPr>
          <w:lang w:val="en-US"/>
        </w:rPr>
        <w:t xml:space="preserve">, </w:t>
      </w:r>
      <w:r w:rsidRPr="00A52051">
        <w:rPr>
          <w:lang w:val="en-US"/>
        </w:rPr>
        <w:t>2020</w:t>
      </w:r>
      <w:r>
        <w:rPr>
          <w:lang w:val="en-US"/>
        </w:rPr>
        <w:t xml:space="preserve">; EC, </w:t>
      </w:r>
      <w:hyperlink r:id="rId32" w:history="1">
        <w:r w:rsidRPr="00130C0F">
          <w:rPr>
            <w:rStyle w:val="Hyperlink"/>
          </w:rPr>
          <w:t>Compliance matters, What companies can do better to respect EU competition rules 2012</w:t>
        </w:r>
      </w:hyperlink>
      <w:r w:rsidR="00D45595">
        <w:rPr>
          <w:lang w:val="en-US"/>
        </w:rPr>
        <w:t>;</w:t>
      </w:r>
      <w:r w:rsidR="00130C0F">
        <w:rPr>
          <w:lang w:val="en-US"/>
        </w:rPr>
        <w:t xml:space="preserve"> Competition Bureau Canada, </w:t>
      </w:r>
      <w:r w:rsidR="00130C0F" w:rsidRPr="00CA665A">
        <w:rPr>
          <w:color w:val="FF0000"/>
          <w:lang w:val="en-US"/>
        </w:rPr>
        <w:t>:</w:t>
      </w:r>
      <w:r w:rsidR="00CF3733">
        <w:rPr>
          <w:color w:val="FF0000"/>
          <w:lang w:val="en-US"/>
        </w:rPr>
        <w:t xml:space="preserve"> ”</w:t>
      </w:r>
      <w:hyperlink r:id="rId33" w:history="1">
        <w:r w:rsidR="00130C0F" w:rsidRPr="00267213">
          <w:rPr>
            <w:rStyle w:val="Hyperlink"/>
            <w:i/>
            <w:iCs/>
          </w:rPr>
          <w:t>Build a credible and effective compliance program for your business</w:t>
        </w:r>
      </w:hyperlink>
      <w:r w:rsidR="00130C0F" w:rsidRPr="00267213">
        <w:rPr>
          <w:i/>
          <w:iCs/>
        </w:rPr>
        <w:t>”</w:t>
      </w:r>
      <w:r w:rsidR="00D96EA6">
        <w:rPr>
          <w:i/>
          <w:iCs/>
        </w:rPr>
        <w:t xml:space="preserve"> </w:t>
      </w:r>
      <w:r w:rsidR="00D96EA6" w:rsidRPr="00460A84">
        <w:t>2024</w:t>
      </w:r>
      <w:r w:rsidR="00130C0F">
        <w:rPr>
          <w:i/>
          <w:iCs/>
        </w:rPr>
        <w:t>.</w:t>
      </w:r>
    </w:p>
  </w:footnote>
  <w:footnote w:id="17">
    <w:p w14:paraId="2C37BE8F" w14:textId="77777777" w:rsidR="00FD413B" w:rsidRPr="00C11266" w:rsidRDefault="00FD413B" w:rsidP="00456302">
      <w:pPr>
        <w:pStyle w:val="FootnoteText"/>
        <w:spacing w:line="180" w:lineRule="exact"/>
        <w:rPr>
          <w:rFonts w:asciiTheme="minorBidi" w:hAnsiTheme="minorBidi" w:cstheme="minorBidi"/>
        </w:rPr>
      </w:pPr>
      <w:r w:rsidRPr="00C11266">
        <w:rPr>
          <w:rStyle w:val="FootnoteReference"/>
          <w:rFonts w:asciiTheme="minorBidi" w:hAnsiTheme="minorBidi" w:cstheme="minorBidi"/>
        </w:rPr>
        <w:footnoteRef/>
      </w:r>
      <w:r w:rsidRPr="00C11266">
        <w:rPr>
          <w:rFonts w:asciiTheme="minorBidi" w:hAnsiTheme="minorBidi" w:cstheme="minorBidi"/>
        </w:rPr>
        <w:t xml:space="preserve"> See the UK Ministry of Justice guidelines on the Briber</w:t>
      </w:r>
      <w:r>
        <w:rPr>
          <w:rFonts w:asciiTheme="minorBidi" w:hAnsiTheme="minorBidi" w:cstheme="minorBidi"/>
        </w:rPr>
        <w:t xml:space="preserve">y Act referred to </w:t>
      </w:r>
      <w:r w:rsidRPr="00BE55BE">
        <w:rPr>
          <w:rFonts w:asciiTheme="minorBidi" w:hAnsiTheme="minorBidi" w:cstheme="minorBidi"/>
          <w:color w:val="000000" w:themeColor="text1"/>
        </w:rPr>
        <w:t>at footnote 13 above</w:t>
      </w:r>
      <w:r w:rsidRPr="00C11266">
        <w:rPr>
          <w:rFonts w:asciiTheme="minorBidi" w:hAnsiTheme="minorBidi" w:cstheme="minorBidi"/>
        </w:rPr>
        <w:t>, in particular principle 5.7 relating to the (possible) need</w:t>
      </w:r>
      <w:r>
        <w:rPr>
          <w:rFonts w:asciiTheme="minorBidi" w:hAnsiTheme="minorBidi" w:cstheme="minorBidi"/>
        </w:rPr>
        <w:t xml:space="preserve"> to train “associated persons” </w:t>
      </w:r>
      <w:r w:rsidRPr="00C11266">
        <w:rPr>
          <w:rFonts w:asciiTheme="minorBidi" w:hAnsiTheme="minorBidi" w:cstheme="minorBidi"/>
        </w:rPr>
        <w:t>about anti-bribery compliance.</w:t>
      </w:r>
    </w:p>
  </w:footnote>
  <w:footnote w:id="18">
    <w:p w14:paraId="71964E63" w14:textId="77777777" w:rsidR="00FD413B" w:rsidRPr="00F81701" w:rsidRDefault="00FD413B" w:rsidP="00A15E97">
      <w:pPr>
        <w:pStyle w:val="FootnoteText"/>
      </w:pPr>
      <w:r>
        <w:rPr>
          <w:rStyle w:val="FootnoteReference"/>
        </w:rPr>
        <w:footnoteRef/>
      </w:r>
      <w:r>
        <w:t xml:space="preserve"> Mario Silic &amp; Paul Benjamin Lowry (2020) Using Design-Science Based Gamification to Improve Organizational Security Training and Compliance, Journal of Management Information Systems, 37:1, p. 131. </w:t>
      </w:r>
    </w:p>
  </w:footnote>
  <w:footnote w:id="19">
    <w:p w14:paraId="6A2F11C0" w14:textId="5771AAC7" w:rsidR="00FD413B" w:rsidRPr="004E1E5B" w:rsidRDefault="00FD413B" w:rsidP="00A15E97">
      <w:pPr>
        <w:pStyle w:val="FootnoteText"/>
      </w:pPr>
      <w:r>
        <w:rPr>
          <w:rStyle w:val="FootnoteReference"/>
        </w:rPr>
        <w:footnoteRef/>
      </w:r>
      <w:r>
        <w:t xml:space="preserve"> See, for instance, CMA Guidance on Whistleblowing, 16</w:t>
      </w:r>
      <w:r w:rsidRPr="00E735AF">
        <w:rPr>
          <w:vertAlign w:val="superscript"/>
        </w:rPr>
        <w:t>th</w:t>
      </w:r>
      <w:r>
        <w:t xml:space="preserve"> July, 2021; </w:t>
      </w:r>
      <w:r w:rsidRPr="00837A9F">
        <w:t>Directive (EU) 2019/1937 of 23 October 2019 on the protection of persons who report breaches of Union law, OJ L 305, 26.11.2019;</w:t>
      </w:r>
      <w:r>
        <w:t xml:space="preserve"> </w:t>
      </w:r>
      <w:r w:rsidRPr="00837A9F">
        <w:t>H.R.2988 - Whistleblower Protection Improvement Act of 2021</w:t>
      </w:r>
      <w:r>
        <w:t>. Georgina Halford-Hall, Chief Executive WhistleblowersUK.  “</w:t>
      </w:r>
      <w:r w:rsidRPr="00E735AF">
        <w:rPr>
          <w:i/>
          <w:iCs/>
        </w:rPr>
        <w:t>We must normalise speaking up and help those who feel alone and abandoned by society. Whistleblowing is vitally important to keep us all safe</w:t>
      </w:r>
      <w:r>
        <w:t xml:space="preserve">”. </w:t>
      </w:r>
      <w:r w:rsidRPr="004E1E5B">
        <w:t>https://www.wbuk.org</w:t>
      </w:r>
      <w:r w:rsidR="00244CDB">
        <w:t>.</w:t>
      </w:r>
    </w:p>
  </w:footnote>
  <w:footnote w:id="20">
    <w:p w14:paraId="2AC8D1E9" w14:textId="77777777" w:rsidR="00FD413B" w:rsidRPr="00BE55BE" w:rsidRDefault="00FD413B" w:rsidP="00A15E97">
      <w:pPr>
        <w:pStyle w:val="FootnoteText"/>
        <w:spacing w:line="180" w:lineRule="exact"/>
        <w:rPr>
          <w:rFonts w:asciiTheme="minorBidi" w:hAnsiTheme="minorBidi" w:cstheme="minorBidi"/>
        </w:rPr>
      </w:pPr>
      <w:r>
        <w:rPr>
          <w:rStyle w:val="FootnoteReference"/>
          <w:rFonts w:asciiTheme="minorBidi" w:hAnsiTheme="minorBidi" w:cstheme="minorBidi"/>
        </w:rPr>
        <w:footnoteRef/>
      </w:r>
      <w:r>
        <w:rPr>
          <w:rFonts w:asciiTheme="minorBidi" w:hAnsiTheme="minorBidi" w:cstheme="minorBidi"/>
        </w:rPr>
        <w:t xml:space="preserve"> Some companies also use “mock” dawn raids that mimic surprise inspections by antitrust agencies, although opinion is divided as to the merits of undertaking such exercises as a means to uncover substantive problems (see </w:t>
      </w:r>
      <w:r w:rsidRPr="00BE55BE">
        <w:rPr>
          <w:rFonts w:asciiTheme="minorBidi" w:hAnsiTheme="minorBidi" w:cstheme="minorBidi"/>
        </w:rPr>
        <w:t>Chapters 5: “Antitrust concerns-handling systems”).</w:t>
      </w:r>
    </w:p>
    <w:p w14:paraId="4483C609" w14:textId="77777777" w:rsidR="00456302" w:rsidRPr="00BE55BE" w:rsidRDefault="00456302" w:rsidP="00A15E97">
      <w:pPr>
        <w:pStyle w:val="FootnoteText"/>
        <w:spacing w:line="180" w:lineRule="exact"/>
        <w:rPr>
          <w:rFonts w:asciiTheme="minorBidi" w:hAnsiTheme="minorBidi" w:cstheme="minorBidi"/>
        </w:rPr>
      </w:pPr>
    </w:p>
  </w:footnote>
  <w:footnote w:id="21">
    <w:p w14:paraId="7529A558" w14:textId="77777777" w:rsidR="00FD413B" w:rsidRDefault="00FD413B" w:rsidP="00A15E97">
      <w:pPr>
        <w:pStyle w:val="FootnoteText"/>
        <w:spacing w:line="180" w:lineRule="exact"/>
        <w:rPr>
          <w:rFonts w:asciiTheme="minorBidi" w:hAnsiTheme="minorBidi" w:cstheme="minorBidi"/>
        </w:rPr>
      </w:pPr>
      <w:r w:rsidRPr="00BE55BE">
        <w:rPr>
          <w:rStyle w:val="FootnoteReference"/>
          <w:rFonts w:asciiTheme="minorBidi" w:hAnsiTheme="minorBidi" w:cstheme="minorBidi"/>
        </w:rPr>
        <w:footnoteRef/>
      </w:r>
      <w:r w:rsidRPr="00BE55BE">
        <w:rPr>
          <w:rFonts w:asciiTheme="minorBidi" w:hAnsiTheme="minorBidi" w:cstheme="minorBidi"/>
        </w:rPr>
        <w:t xml:space="preserve"> See Chapter 8: “Antitrust due diligence”.</w:t>
      </w:r>
    </w:p>
  </w:footnote>
  <w:footnote w:id="22">
    <w:p w14:paraId="59B908AB" w14:textId="77777777" w:rsidR="00FD413B" w:rsidRDefault="00FD413B" w:rsidP="00456302">
      <w:pPr>
        <w:pStyle w:val="FootnoteText"/>
        <w:spacing w:line="180" w:lineRule="exact"/>
        <w:jc w:val="both"/>
        <w:rPr>
          <w:rFonts w:asciiTheme="minorBidi" w:hAnsiTheme="minorBidi" w:cstheme="minorBidi"/>
        </w:rPr>
      </w:pPr>
      <w:r>
        <w:rPr>
          <w:rStyle w:val="FootnoteReference"/>
          <w:rFonts w:asciiTheme="minorBidi" w:hAnsiTheme="minorBidi" w:cstheme="minorBidi"/>
        </w:rPr>
        <w:footnoteRef/>
      </w:r>
      <w:r>
        <w:rPr>
          <w:rFonts w:asciiTheme="minorBidi" w:hAnsiTheme="minorBidi" w:cstheme="minorBidi"/>
        </w:rPr>
        <w:t xml:space="preserve"> See also </w:t>
      </w:r>
      <w:r w:rsidRPr="00BE55BE">
        <w:rPr>
          <w:rFonts w:asciiTheme="minorBidi" w:hAnsiTheme="minorBidi" w:cstheme="minorBidi"/>
        </w:rPr>
        <w:t>Chapter 8: “Antitrust due</w:t>
      </w:r>
      <w:r>
        <w:rPr>
          <w:rFonts w:asciiTheme="minorBidi" w:hAnsiTheme="minorBidi" w:cstheme="minorBidi"/>
        </w:rPr>
        <w:t xml:space="preserve"> diligence”.</w:t>
      </w:r>
    </w:p>
    <w:p w14:paraId="1861CA7C" w14:textId="77777777" w:rsidR="00456302" w:rsidRDefault="00456302" w:rsidP="00456302">
      <w:pPr>
        <w:pStyle w:val="FootnoteText"/>
        <w:spacing w:line="180" w:lineRule="exact"/>
        <w:jc w:val="both"/>
        <w:rPr>
          <w:rFonts w:asciiTheme="minorBidi" w:hAnsiTheme="minorBidi" w:cstheme="minorBidi"/>
        </w:rPr>
      </w:pPr>
    </w:p>
  </w:footnote>
  <w:footnote w:id="23">
    <w:p w14:paraId="2A8E70F3" w14:textId="77777777" w:rsidR="00FD413B" w:rsidRDefault="00FD413B" w:rsidP="00456302">
      <w:pPr>
        <w:pStyle w:val="FootnoteText"/>
        <w:jc w:val="both"/>
      </w:pPr>
      <w:r>
        <w:rPr>
          <w:rStyle w:val="FootnoteReference"/>
        </w:rPr>
        <w:footnoteRef/>
      </w:r>
      <w:r>
        <w:t xml:space="preserve"> It may be useful to seek the advice of a litigation expert on the need to issue Document Preservation Notices.</w:t>
      </w:r>
    </w:p>
    <w:p w14:paraId="2A36C467" w14:textId="77777777" w:rsidR="00456302" w:rsidRPr="00E735AF" w:rsidRDefault="00456302" w:rsidP="00456302">
      <w:pPr>
        <w:pStyle w:val="FootnoteText"/>
        <w:jc w:val="both"/>
        <w:rPr>
          <w:lang w:val="en-US"/>
        </w:rPr>
      </w:pPr>
    </w:p>
  </w:footnote>
  <w:footnote w:id="24">
    <w:p w14:paraId="358FD22D" w14:textId="77777777" w:rsidR="00FD413B" w:rsidRPr="00E735AF" w:rsidRDefault="00FD413B" w:rsidP="00456302">
      <w:pPr>
        <w:pStyle w:val="FootnoteText"/>
        <w:jc w:val="both"/>
        <w:rPr>
          <w:lang w:val="en-US"/>
        </w:rPr>
      </w:pPr>
      <w:r>
        <w:rPr>
          <w:rStyle w:val="FootnoteReference"/>
        </w:rPr>
        <w:footnoteRef/>
      </w:r>
      <w:r>
        <w:t xml:space="preserve"> Particular attention needs to be paid to new communication channels, notably through the use of personal devices, communication platforms and messaging applications, including ephemeral messaging applications.</w:t>
      </w:r>
    </w:p>
  </w:footnote>
  <w:footnote w:id="25">
    <w:p w14:paraId="697ECF27" w14:textId="77777777" w:rsidR="00FD413B" w:rsidRPr="00E735AF" w:rsidRDefault="00FD413B" w:rsidP="00244CDB">
      <w:pPr>
        <w:pStyle w:val="FootnoteText"/>
        <w:jc w:val="both"/>
        <w:rPr>
          <w:lang w:val="en-US"/>
        </w:rPr>
      </w:pPr>
      <w:r w:rsidRPr="00324C44">
        <w:rPr>
          <w:rStyle w:val="FootnoteReference"/>
        </w:rPr>
        <w:footnoteRef/>
      </w:r>
      <w:r w:rsidRPr="00324C44">
        <w:t xml:space="preserve"> Early detection and facilitated access to a large data set in a very short space of time offer considerable added value in leniency proceedings. The high cost of using screens can be quickly offset by the benefits of preventing antitrust risks. On the added value of screening tools, see Rosa M. Abrantes-Metz &amp; Albert D. Metz, “Why Screening is a “Must Have” Tool for Effective Antitrust Compliance Programs”, CPI Antitrust Chronicle, November 2019 and “Antitrust &amp; Regulatory Compliance in the 21st Century: New Challenges, New Opportunities and the Role of AI”, CPI Antitrust Chronicle, September 2023.</w:t>
      </w:r>
    </w:p>
  </w:footnote>
  <w:footnote w:id="26">
    <w:p w14:paraId="40DDFDF5" w14:textId="77777777" w:rsidR="00FD413B" w:rsidRDefault="00FD413B" w:rsidP="002C0A1C">
      <w:pPr>
        <w:pStyle w:val="FootnoteText"/>
        <w:jc w:val="both"/>
        <w:rPr>
          <w:rFonts w:asciiTheme="minorBidi" w:hAnsiTheme="minorBidi" w:cstheme="minorBidi"/>
          <w:color w:val="000000"/>
          <w:lang w:eastAsia="en-US"/>
        </w:rPr>
      </w:pPr>
      <w:r>
        <w:rPr>
          <w:rStyle w:val="FootnoteReference"/>
        </w:rPr>
        <w:footnoteRef/>
      </w:r>
      <w:r>
        <w:t xml:space="preserve"> </w:t>
      </w:r>
      <w:r>
        <w:rPr>
          <w:rFonts w:asciiTheme="minorBidi" w:hAnsiTheme="minorBidi" w:cstheme="minorBidi"/>
          <w:lang w:val="ga-IE"/>
        </w:rPr>
        <w:t xml:space="preserve">U.S. Department of Justice Criminal Division, </w:t>
      </w:r>
      <w:r w:rsidRPr="00E735AF">
        <w:rPr>
          <w:rFonts w:asciiTheme="minorBidi" w:hAnsiTheme="minorBidi" w:cstheme="minorBidi"/>
          <w:i/>
          <w:iCs/>
          <w:lang w:val="ga-IE"/>
        </w:rPr>
        <w:t>Evaluation of Corporate Compliance Programs</w:t>
      </w:r>
      <w:r>
        <w:rPr>
          <w:rFonts w:asciiTheme="minorBidi" w:hAnsiTheme="minorBidi" w:cstheme="minorBidi"/>
          <w:lang w:val="ga-IE"/>
        </w:rPr>
        <w:t>, Updated March 2023</w:t>
      </w:r>
      <w:r w:rsidRPr="00E735AF">
        <w:rPr>
          <w:rFonts w:asciiTheme="minorBidi" w:hAnsiTheme="minorBidi" w:cstheme="minorBidi"/>
          <w:color w:val="000000"/>
          <w:lang w:eastAsia="en-US"/>
        </w:rPr>
        <w:t>, page. 12.</w:t>
      </w:r>
      <w:r>
        <w:t xml:space="preserve"> </w:t>
      </w:r>
      <w:r>
        <w:rPr>
          <w:rFonts w:asciiTheme="minorBidi" w:hAnsiTheme="minorBidi" w:cstheme="minorBidi"/>
          <w:color w:val="000000"/>
          <w:lang w:eastAsia="en-US"/>
        </w:rPr>
        <w:t xml:space="preserve">This guidance can be found at: </w:t>
      </w:r>
      <w:hyperlink r:id="rId34" w:history="1">
        <w:r>
          <w:rPr>
            <w:rStyle w:val="Hyperlink"/>
            <w:rFonts w:asciiTheme="minorBidi" w:hAnsiTheme="minorBidi" w:cstheme="minorBidi"/>
            <w:lang w:eastAsia="en-US"/>
          </w:rPr>
          <w:t>https://www.justice.gov/criminal-fraud/compliance</w:t>
        </w:r>
      </w:hyperlink>
      <w:r>
        <w:rPr>
          <w:rFonts w:asciiTheme="minorBidi" w:hAnsiTheme="minorBidi" w:cstheme="minorBidi"/>
          <w:color w:val="000000"/>
          <w:lang w:eastAsia="en-US"/>
        </w:rPr>
        <w:t>.</w:t>
      </w:r>
    </w:p>
    <w:p w14:paraId="72D852AB" w14:textId="77777777" w:rsidR="002C0A1C" w:rsidRPr="00324C44" w:rsidRDefault="002C0A1C" w:rsidP="002C0A1C">
      <w:pPr>
        <w:pStyle w:val="FootnoteText"/>
        <w:jc w:val="both"/>
        <w:rPr>
          <w:lang w:val="en-US"/>
        </w:rPr>
      </w:pPr>
    </w:p>
  </w:footnote>
  <w:footnote w:id="27">
    <w:p w14:paraId="1F648456" w14:textId="77777777" w:rsidR="00FD413B" w:rsidRDefault="00FD413B" w:rsidP="002C0A1C">
      <w:pPr>
        <w:pStyle w:val="FootnoteText"/>
        <w:spacing w:line="180" w:lineRule="exact"/>
        <w:jc w:val="both"/>
        <w:rPr>
          <w:rFonts w:asciiTheme="minorBidi" w:hAnsiTheme="minorBidi" w:cstheme="minorBidi"/>
        </w:rPr>
      </w:pPr>
      <w:r>
        <w:rPr>
          <w:rStyle w:val="FootnoteReference"/>
          <w:rFonts w:asciiTheme="minorBidi" w:hAnsiTheme="minorBidi" w:cstheme="minorBidi"/>
        </w:rPr>
        <w:footnoteRef/>
      </w:r>
      <w:r>
        <w:rPr>
          <w:rFonts w:asciiTheme="minorBidi" w:hAnsiTheme="minorBidi" w:cstheme="minorBidi"/>
        </w:rPr>
        <w:t xml:space="preserve"> Note that your company will need to obtain specific employment law advice in the relevant country or countries. </w:t>
      </w:r>
    </w:p>
  </w:footnote>
  <w:footnote w:id="28">
    <w:p w14:paraId="6E359308" w14:textId="3D368857" w:rsidR="00FD413B" w:rsidRPr="00E735AF" w:rsidRDefault="00FD413B" w:rsidP="002C0A1C">
      <w:pPr>
        <w:pStyle w:val="FootnoteText"/>
        <w:jc w:val="both"/>
        <w:rPr>
          <w:lang w:val="en-US"/>
        </w:rPr>
      </w:pPr>
      <w:r>
        <w:rPr>
          <w:rStyle w:val="FootnoteReference"/>
        </w:rPr>
        <w:footnoteRef/>
      </w:r>
      <w:r>
        <w:t xml:space="preserve"> These performance factors can used both as disciplinary measures and as incentives for employees to meet and exceed compliance targets – See Chapter </w:t>
      </w:r>
      <w:r w:rsidR="009545E1">
        <w:t>9</w:t>
      </w:r>
      <w:r>
        <w:t>: Compliance incentives.</w:t>
      </w:r>
    </w:p>
  </w:footnote>
  <w:footnote w:id="29">
    <w:p w14:paraId="1856982A" w14:textId="77777777" w:rsidR="00FD413B" w:rsidRDefault="00FD413B" w:rsidP="00A15E97">
      <w:pPr>
        <w:pStyle w:val="FootnoteText"/>
        <w:spacing w:line="180" w:lineRule="exact"/>
        <w:rPr>
          <w:rFonts w:asciiTheme="minorBidi" w:hAnsiTheme="minorBidi" w:cstheme="minorBidi"/>
        </w:rPr>
      </w:pPr>
      <w:r>
        <w:rPr>
          <w:rStyle w:val="FootnoteReference"/>
          <w:rFonts w:asciiTheme="minorBidi" w:hAnsiTheme="minorBidi" w:cstheme="minorBidi"/>
        </w:rPr>
        <w:footnoteRef/>
      </w:r>
      <w:r>
        <w:rPr>
          <w:rFonts w:asciiTheme="minorBidi" w:hAnsiTheme="minorBidi" w:cstheme="minorBidi"/>
        </w:rPr>
        <w:t xml:space="preserve"> See </w:t>
      </w:r>
      <w:r w:rsidRPr="00BE55BE">
        <w:rPr>
          <w:rFonts w:asciiTheme="minorBidi" w:hAnsiTheme="minorBidi" w:cstheme="minorBidi"/>
        </w:rPr>
        <w:t>Chapter 8: “Antitrust</w:t>
      </w:r>
      <w:r>
        <w:rPr>
          <w:rFonts w:asciiTheme="minorBidi" w:hAnsiTheme="minorBidi" w:cstheme="minorBidi"/>
        </w:rPr>
        <w:t xml:space="preserve"> due diligence”: Any internal (within company) “amnesty” to employees would have to be strictly internal, and could only relate to the company’s intention to discipline the individual - no guarantees can be given in relation to the actions of external agencies and/or prosecutors towards the individual.</w:t>
      </w:r>
    </w:p>
    <w:p w14:paraId="27447B8B" w14:textId="77777777" w:rsidR="002C0A1C" w:rsidRDefault="002C0A1C" w:rsidP="00A15E97">
      <w:pPr>
        <w:pStyle w:val="FootnoteText"/>
        <w:spacing w:line="180" w:lineRule="exact"/>
        <w:rPr>
          <w:rFonts w:asciiTheme="minorBidi" w:hAnsiTheme="minorBidi" w:cstheme="minorBidi"/>
        </w:rPr>
      </w:pPr>
    </w:p>
  </w:footnote>
  <w:footnote w:id="30">
    <w:p w14:paraId="4D183948" w14:textId="62ADAD4D" w:rsidR="00FD413B" w:rsidRDefault="00FD413B" w:rsidP="00A15E97">
      <w:pPr>
        <w:pStyle w:val="FootnoteText"/>
        <w:spacing w:line="180" w:lineRule="exact"/>
        <w:rPr>
          <w:rFonts w:asciiTheme="minorBidi" w:hAnsiTheme="minorBidi" w:cstheme="minorBidi"/>
        </w:rPr>
      </w:pPr>
      <w:r>
        <w:rPr>
          <w:rStyle w:val="FootnoteReference"/>
          <w:rFonts w:asciiTheme="minorBidi" w:hAnsiTheme="minorBidi" w:cstheme="minorBidi"/>
        </w:rPr>
        <w:footnoteRef/>
      </w:r>
      <w:r>
        <w:rPr>
          <w:rFonts w:asciiTheme="minorBidi" w:hAnsiTheme="minorBidi" w:cstheme="minorBidi"/>
        </w:rPr>
        <w:t xml:space="preserve"> If employees have not been identified properly for the purpose of ensuring the right people attended antitrust training, this would be an issue with the effectiveness of the compliance programme itself, and must trigger an urgent review of training nominations (as part of the continuous monitoring and improvement - See Chapter </w:t>
      </w:r>
      <w:r w:rsidR="009545E1">
        <w:rPr>
          <w:rFonts w:asciiTheme="minorBidi" w:hAnsiTheme="minorBidi" w:cstheme="minorBidi"/>
        </w:rPr>
        <w:t>10</w:t>
      </w:r>
      <w:r>
        <w:rPr>
          <w:rFonts w:asciiTheme="minorBidi" w:hAnsiTheme="minorBidi" w:cstheme="minorBidi"/>
        </w:rPr>
        <w:t>: “Monitoring and continuous improvement”).</w:t>
      </w:r>
    </w:p>
    <w:p w14:paraId="1B7623AE" w14:textId="77777777" w:rsidR="002C0A1C" w:rsidRDefault="002C0A1C" w:rsidP="00A15E97">
      <w:pPr>
        <w:pStyle w:val="FootnoteText"/>
        <w:spacing w:line="180" w:lineRule="exact"/>
        <w:rPr>
          <w:rFonts w:asciiTheme="minorBidi" w:hAnsiTheme="minorBidi" w:cstheme="minorBidi"/>
        </w:rPr>
      </w:pPr>
    </w:p>
  </w:footnote>
  <w:footnote w:id="31">
    <w:p w14:paraId="355A5793" w14:textId="77777777" w:rsidR="00FD413B" w:rsidRDefault="00FD413B" w:rsidP="00A15E97">
      <w:pPr>
        <w:pStyle w:val="FootnoteText"/>
        <w:spacing w:line="180" w:lineRule="exact"/>
        <w:rPr>
          <w:rFonts w:asciiTheme="minorBidi" w:hAnsiTheme="minorBidi" w:cstheme="minorBidi"/>
        </w:rPr>
      </w:pPr>
      <w:r>
        <w:rPr>
          <w:rStyle w:val="FootnoteReference"/>
          <w:rFonts w:asciiTheme="minorBidi" w:hAnsiTheme="minorBidi" w:cstheme="minorBidi"/>
        </w:rPr>
        <w:footnoteRef/>
      </w:r>
      <w:r>
        <w:rPr>
          <w:rFonts w:asciiTheme="minorBidi" w:hAnsiTheme="minorBidi" w:cstheme="minorBidi"/>
        </w:rPr>
        <w:t xml:space="preserve"> Note, incorrect legal advice is unlikely to protect the company from being fined if an antitrust violation occurs, although if an individual employee relies on credible legal advice, they may have a defence to any individual criminal liability - however this is a matter of local law applying in the relevant jurisdiction.</w:t>
      </w:r>
    </w:p>
    <w:p w14:paraId="2044C313" w14:textId="77777777" w:rsidR="002C0A1C" w:rsidRDefault="002C0A1C" w:rsidP="00A15E97">
      <w:pPr>
        <w:pStyle w:val="FootnoteText"/>
        <w:spacing w:line="180" w:lineRule="exact"/>
        <w:rPr>
          <w:rFonts w:asciiTheme="minorBidi" w:hAnsiTheme="minorBidi" w:cstheme="minorBidi"/>
        </w:rPr>
      </w:pPr>
    </w:p>
  </w:footnote>
  <w:footnote w:id="32">
    <w:p w14:paraId="65DE62C4" w14:textId="77777777" w:rsidR="00FD413B" w:rsidRDefault="00FD413B" w:rsidP="00A15E97">
      <w:pPr>
        <w:pStyle w:val="FootnoteText"/>
        <w:spacing w:line="180" w:lineRule="exact"/>
        <w:rPr>
          <w:rFonts w:asciiTheme="minorBidi" w:hAnsiTheme="minorBidi" w:cstheme="minorBidi"/>
        </w:rPr>
      </w:pPr>
      <w:r>
        <w:rPr>
          <w:rStyle w:val="FootnoteReference"/>
          <w:rFonts w:asciiTheme="minorBidi" w:hAnsiTheme="minorBidi" w:cstheme="minorBidi"/>
        </w:rPr>
        <w:footnoteRef/>
      </w:r>
      <w:r>
        <w:rPr>
          <w:rFonts w:asciiTheme="minorBidi" w:hAnsiTheme="minorBidi" w:cstheme="minorBidi"/>
        </w:rPr>
        <w:t xml:space="preserve"> This would be an aggravating factor for your company to take into account when considering disciplinary action in relation to the line manager (see below).</w:t>
      </w:r>
    </w:p>
    <w:p w14:paraId="580134F1" w14:textId="77777777" w:rsidR="002C0A1C" w:rsidRDefault="002C0A1C" w:rsidP="00A15E97">
      <w:pPr>
        <w:pStyle w:val="FootnoteText"/>
        <w:spacing w:line="180" w:lineRule="exact"/>
        <w:rPr>
          <w:rFonts w:asciiTheme="minorBidi" w:hAnsiTheme="minorBidi" w:cstheme="minorBidi"/>
        </w:rPr>
      </w:pPr>
    </w:p>
  </w:footnote>
  <w:footnote w:id="33">
    <w:p w14:paraId="1F7FD42B" w14:textId="00A8D089" w:rsidR="00FD413B" w:rsidRDefault="00FD413B" w:rsidP="00A15E97">
      <w:pPr>
        <w:pStyle w:val="FootnoteText"/>
        <w:spacing w:line="180" w:lineRule="exact"/>
        <w:rPr>
          <w:rFonts w:asciiTheme="minorBidi" w:hAnsiTheme="minorBidi" w:cstheme="minorBidi"/>
        </w:rPr>
      </w:pPr>
      <w:r>
        <w:rPr>
          <w:rStyle w:val="FootnoteReference"/>
          <w:rFonts w:asciiTheme="minorBidi" w:hAnsiTheme="minorBidi" w:cstheme="minorBidi"/>
        </w:rPr>
        <w:footnoteRef/>
      </w:r>
      <w:r>
        <w:rPr>
          <w:rFonts w:asciiTheme="minorBidi" w:hAnsiTheme="minorBidi" w:cstheme="minorBidi"/>
        </w:rPr>
        <w:t xml:space="preserve"> If employees are regularly failing to take required training, this is a matter that should be addressed in a review of your antitrust programme (See Chapter </w:t>
      </w:r>
      <w:r w:rsidR="009545E1">
        <w:rPr>
          <w:rFonts w:asciiTheme="minorBidi" w:hAnsiTheme="minorBidi" w:cstheme="minorBidi"/>
        </w:rPr>
        <w:t>10</w:t>
      </w:r>
      <w:r>
        <w:rPr>
          <w:rFonts w:asciiTheme="minorBidi" w:hAnsiTheme="minorBidi" w:cstheme="minorBidi"/>
        </w:rPr>
        <w:t>: “Monitoring and continuous improvement”).</w:t>
      </w:r>
    </w:p>
    <w:p w14:paraId="087821EB" w14:textId="77777777" w:rsidR="002C0A1C" w:rsidRDefault="002C0A1C" w:rsidP="00A15E97">
      <w:pPr>
        <w:pStyle w:val="FootnoteText"/>
        <w:spacing w:line="180" w:lineRule="exact"/>
        <w:rPr>
          <w:rFonts w:asciiTheme="minorBidi" w:hAnsiTheme="minorBidi" w:cstheme="minorBidi"/>
        </w:rPr>
      </w:pPr>
    </w:p>
  </w:footnote>
  <w:footnote w:id="34">
    <w:p w14:paraId="05FB3CBB" w14:textId="77777777" w:rsidR="00FD413B" w:rsidRDefault="00FD413B" w:rsidP="00A15E97">
      <w:pPr>
        <w:pStyle w:val="FootnoteText"/>
        <w:spacing w:line="180" w:lineRule="exact"/>
        <w:rPr>
          <w:rFonts w:asciiTheme="minorBidi" w:hAnsiTheme="minorBidi" w:cstheme="minorBidi"/>
        </w:rPr>
      </w:pPr>
      <w:r>
        <w:rPr>
          <w:rStyle w:val="FootnoteReference"/>
          <w:rFonts w:asciiTheme="minorBidi" w:hAnsiTheme="minorBidi" w:cstheme="minorBidi"/>
        </w:rPr>
        <w:footnoteRef/>
      </w:r>
      <w:r>
        <w:rPr>
          <w:rFonts w:asciiTheme="minorBidi" w:hAnsiTheme="minorBidi" w:cstheme="minorBidi"/>
        </w:rPr>
        <w:t xml:space="preserve"> As noted, if the employee is himself/herself a line manager who approved of or encouraged the violation, this is a clear aggravating factor.</w:t>
      </w:r>
    </w:p>
    <w:p w14:paraId="0E67BCDA" w14:textId="77777777" w:rsidR="002C0A1C" w:rsidRDefault="002C0A1C" w:rsidP="00A15E97">
      <w:pPr>
        <w:pStyle w:val="FootnoteText"/>
        <w:spacing w:line="180" w:lineRule="exact"/>
        <w:rPr>
          <w:rFonts w:asciiTheme="minorBidi" w:hAnsiTheme="minorBidi" w:cstheme="minorBidi"/>
        </w:rPr>
      </w:pPr>
    </w:p>
  </w:footnote>
  <w:footnote w:id="35">
    <w:p w14:paraId="125593E0" w14:textId="77777777" w:rsidR="00FD413B" w:rsidRPr="00E735AF" w:rsidRDefault="00FD413B" w:rsidP="00A15E97">
      <w:pPr>
        <w:pStyle w:val="FootnoteText"/>
        <w:rPr>
          <w:lang w:val="en-US"/>
        </w:rPr>
      </w:pPr>
      <w:r>
        <w:rPr>
          <w:rStyle w:val="FootnoteReference"/>
        </w:rPr>
        <w:footnoteRef/>
      </w:r>
      <w:r>
        <w:t xml:space="preserve"> Concerning the commitment of senior and middle managers, see U.S. Department of Justice Criminal Division, </w:t>
      </w:r>
      <w:r w:rsidRPr="00E735AF">
        <w:rPr>
          <w:i/>
          <w:iCs/>
        </w:rPr>
        <w:t>Evaluation of Corporate Compliance Programs</w:t>
      </w:r>
      <w:r>
        <w:t xml:space="preserve">, Updated March 2023, pages 9 and 10. </w:t>
      </w:r>
    </w:p>
  </w:footnote>
  <w:footnote w:id="36">
    <w:p w14:paraId="7816A5DA" w14:textId="77777777" w:rsidR="00FD413B" w:rsidRDefault="00FD413B" w:rsidP="00A15E97">
      <w:pPr>
        <w:pStyle w:val="FootnoteText"/>
        <w:spacing w:line="180" w:lineRule="exact"/>
        <w:rPr>
          <w:rFonts w:asciiTheme="minorBidi" w:hAnsiTheme="minorBidi" w:cstheme="minorBidi"/>
        </w:rPr>
      </w:pPr>
      <w:r>
        <w:rPr>
          <w:rStyle w:val="FootnoteReference"/>
          <w:rFonts w:asciiTheme="minorBidi" w:hAnsiTheme="minorBidi" w:cstheme="minorBidi"/>
        </w:rPr>
        <w:footnoteRef/>
      </w:r>
      <w:r>
        <w:rPr>
          <w:rFonts w:asciiTheme="minorBidi" w:hAnsiTheme="minorBidi" w:cstheme="minorBidi"/>
        </w:rPr>
        <w:t xml:space="preserve">You should also bear in mind that the increase in civil litigation and “follow-on” damages claims may even further extend the  need to ensure that “guilty” employees continue to be available to your company during any follow-on litigation.  </w:t>
      </w:r>
    </w:p>
    <w:p w14:paraId="60869223" w14:textId="77777777" w:rsidR="002C0A1C" w:rsidRDefault="002C0A1C" w:rsidP="00A15E97">
      <w:pPr>
        <w:pStyle w:val="FootnoteText"/>
        <w:spacing w:line="180" w:lineRule="exact"/>
        <w:rPr>
          <w:rFonts w:asciiTheme="minorBidi" w:hAnsiTheme="minorBidi" w:cstheme="minorBidi"/>
        </w:rPr>
      </w:pPr>
    </w:p>
  </w:footnote>
  <w:footnote w:id="37">
    <w:p w14:paraId="17E5A637" w14:textId="77777777" w:rsidR="00FD413B" w:rsidRDefault="00FD413B" w:rsidP="00A15E97">
      <w:pPr>
        <w:pStyle w:val="FootnoteText"/>
        <w:spacing w:line="180" w:lineRule="exact"/>
        <w:rPr>
          <w:rFonts w:asciiTheme="minorBidi" w:hAnsiTheme="minorBidi" w:cstheme="minorBidi"/>
        </w:rPr>
      </w:pPr>
      <w:r>
        <w:rPr>
          <w:rStyle w:val="FootnoteReference"/>
          <w:rFonts w:asciiTheme="minorBidi" w:hAnsiTheme="minorBidi" w:cstheme="minorBidi"/>
        </w:rPr>
        <w:footnoteRef/>
      </w:r>
      <w:r>
        <w:rPr>
          <w:rFonts w:asciiTheme="minorBidi" w:hAnsiTheme="minorBidi" w:cstheme="minorBidi"/>
        </w:rPr>
        <w:t xml:space="preserve"> You should note that a decision to defer sanctions and to send an employee on “gardening leave” will be complicated (and may indeed not be possible) if the individual is subject to personal criminal sanctions in any jurisdictions. In any event, whether or not the employee is subject to criminal sanctions, you will need to ensure that you seek employment law advice in the relevant country.</w:t>
      </w:r>
    </w:p>
    <w:p w14:paraId="339A5D88" w14:textId="77777777" w:rsidR="002C0A1C" w:rsidRDefault="002C0A1C" w:rsidP="00A15E97">
      <w:pPr>
        <w:pStyle w:val="FootnoteText"/>
        <w:spacing w:line="180" w:lineRule="exact"/>
        <w:rPr>
          <w:rFonts w:asciiTheme="minorBidi" w:hAnsiTheme="minorBidi" w:cstheme="minorBidi"/>
        </w:rPr>
      </w:pPr>
    </w:p>
  </w:footnote>
  <w:footnote w:id="38">
    <w:p w14:paraId="602655EF" w14:textId="77777777" w:rsidR="00FD413B" w:rsidRDefault="00FD413B" w:rsidP="00A15E97">
      <w:pPr>
        <w:pStyle w:val="FootnoteText"/>
        <w:spacing w:line="180" w:lineRule="exact"/>
        <w:rPr>
          <w:rFonts w:asciiTheme="minorBidi" w:hAnsiTheme="minorBidi" w:cstheme="minorBidi"/>
        </w:rPr>
      </w:pPr>
      <w:r>
        <w:rPr>
          <w:rStyle w:val="FootnoteReference"/>
          <w:rFonts w:asciiTheme="minorBidi" w:hAnsiTheme="minorBidi" w:cstheme="minorBidi"/>
        </w:rPr>
        <w:footnoteRef/>
      </w:r>
      <w:r>
        <w:rPr>
          <w:rFonts w:asciiTheme="minorBidi" w:hAnsiTheme="minorBidi" w:cstheme="minorBidi"/>
        </w:rPr>
        <w:t xml:space="preserve"> If the relevant employee is a director or an officer of your company, you should also check your company’s insurance policy, since many directors’ and officers’ insurance policies will not cover criminal acts by your company’s directors and officers.</w:t>
      </w:r>
    </w:p>
  </w:footnote>
  <w:footnote w:id="39">
    <w:p w14:paraId="1276D069" w14:textId="77777777" w:rsidR="007D61C0" w:rsidRDefault="007D61C0" w:rsidP="002C0A1C">
      <w:pPr>
        <w:pStyle w:val="FootnoteText"/>
        <w:spacing w:line="180" w:lineRule="exact"/>
        <w:contextualSpacing/>
        <w:jc w:val="both"/>
        <w:rPr>
          <w:rFonts w:asciiTheme="minorBidi" w:hAnsiTheme="minorBidi" w:cstheme="minorBidi"/>
        </w:rPr>
      </w:pPr>
      <w:r w:rsidRPr="00C11266">
        <w:rPr>
          <w:rStyle w:val="FootnoteReference"/>
          <w:rFonts w:asciiTheme="minorBidi" w:hAnsiTheme="minorBidi" w:cstheme="minorBidi"/>
        </w:rPr>
        <w:footnoteRef/>
      </w:r>
      <w:r>
        <w:rPr>
          <w:rFonts w:asciiTheme="minorBidi" w:hAnsiTheme="minorBidi" w:cstheme="minorBidi"/>
        </w:rPr>
        <w:t xml:space="preserve"> See </w:t>
      </w:r>
      <w:r w:rsidRPr="006A732B">
        <w:rPr>
          <w:rFonts w:asciiTheme="minorBidi" w:hAnsiTheme="minorBidi" w:cstheme="minorBidi"/>
        </w:rPr>
        <w:t xml:space="preserve">Chapter </w:t>
      </w:r>
      <w:r w:rsidRPr="00844AF3">
        <w:rPr>
          <w:rFonts w:asciiTheme="minorBidi" w:hAnsiTheme="minorBidi" w:cstheme="minorBidi"/>
        </w:rPr>
        <w:t>3</w:t>
      </w:r>
      <w:r w:rsidRPr="006A732B">
        <w:rPr>
          <w:rFonts w:asciiTheme="minorBidi" w:hAnsiTheme="minorBidi" w:cstheme="minorBidi"/>
        </w:rPr>
        <w:t>: “Risk</w:t>
      </w:r>
      <w:r>
        <w:rPr>
          <w:rFonts w:asciiTheme="minorBidi" w:hAnsiTheme="minorBidi" w:cstheme="minorBidi"/>
        </w:rPr>
        <w:t xml:space="preserve"> identification and a</w:t>
      </w:r>
      <w:r w:rsidRPr="00C11266">
        <w:rPr>
          <w:rFonts w:asciiTheme="minorBidi" w:hAnsiTheme="minorBidi" w:cstheme="minorBidi"/>
        </w:rPr>
        <w:t xml:space="preserve">ssessment” and Chapter </w:t>
      </w:r>
      <w:r>
        <w:rPr>
          <w:rFonts w:asciiTheme="minorBidi" w:hAnsiTheme="minorBidi" w:cstheme="minorBidi"/>
        </w:rPr>
        <w:t>11: “Monitoring and continuous i</w:t>
      </w:r>
      <w:r w:rsidRPr="00C11266">
        <w:rPr>
          <w:rFonts w:asciiTheme="minorBidi" w:hAnsiTheme="minorBidi" w:cstheme="minorBidi"/>
        </w:rPr>
        <w:t xml:space="preserve">mprovement”. </w:t>
      </w:r>
    </w:p>
    <w:p w14:paraId="17796517" w14:textId="77777777" w:rsidR="002C0A1C" w:rsidRPr="00C11266" w:rsidRDefault="002C0A1C" w:rsidP="002C0A1C">
      <w:pPr>
        <w:pStyle w:val="FootnoteText"/>
        <w:spacing w:line="180" w:lineRule="exact"/>
        <w:contextualSpacing/>
        <w:jc w:val="both"/>
        <w:rPr>
          <w:rFonts w:asciiTheme="minorBidi" w:hAnsiTheme="minorBidi" w:cstheme="minorBidi"/>
        </w:rPr>
      </w:pPr>
    </w:p>
  </w:footnote>
  <w:footnote w:id="40">
    <w:p w14:paraId="732604DD" w14:textId="77777777" w:rsidR="007D61C0" w:rsidRDefault="007D61C0" w:rsidP="002C0A1C">
      <w:pPr>
        <w:spacing w:after="0" w:line="180" w:lineRule="exact"/>
        <w:ind w:right="188"/>
        <w:contextualSpacing/>
        <w:jc w:val="both"/>
        <w:rPr>
          <w:rFonts w:asciiTheme="minorBidi" w:hAnsiTheme="minorBidi" w:cstheme="minorBidi"/>
          <w:sz w:val="16"/>
          <w:szCs w:val="16"/>
        </w:rPr>
      </w:pPr>
      <w:r w:rsidRPr="00844AF3">
        <w:rPr>
          <w:rStyle w:val="FootnoteReference"/>
          <w:rFonts w:asciiTheme="minorBidi" w:hAnsiTheme="minorBidi" w:cstheme="minorBidi"/>
          <w:sz w:val="16"/>
          <w:szCs w:val="16"/>
        </w:rPr>
        <w:footnoteRef/>
      </w:r>
      <w:r w:rsidRPr="00844AF3">
        <w:rPr>
          <w:rFonts w:asciiTheme="minorBidi" w:hAnsiTheme="minorBidi" w:cstheme="minorBidi"/>
          <w:sz w:val="16"/>
          <w:szCs w:val="16"/>
        </w:rPr>
        <w:t xml:space="preserve"> See the </w:t>
      </w:r>
      <w:hyperlink r:id="rId35" w:anchor="8b21" w:history="1">
        <w:r w:rsidRPr="00844AF3">
          <w:rPr>
            <w:rStyle w:val="Hyperlink"/>
            <w:rFonts w:asciiTheme="minorBidi" w:hAnsiTheme="minorBidi" w:cstheme="minorBidi"/>
            <w:sz w:val="16"/>
            <w:szCs w:val="16"/>
          </w:rPr>
          <w:t>US Federal Sentencing Guidelines, §8B2.1(a)(1)</w:t>
        </w:r>
      </w:hyperlink>
      <w:r w:rsidRPr="00844AF3">
        <w:rPr>
          <w:rFonts w:asciiTheme="minorBidi" w:hAnsiTheme="minorBidi" w:cstheme="minorBidi"/>
          <w:sz w:val="16"/>
          <w:szCs w:val="16"/>
        </w:rPr>
        <w:t>, (“an organization shall exercise due diligence to prevent and detect criminal conduc</w:t>
      </w:r>
      <w:r w:rsidRPr="00844AF3">
        <w:rPr>
          <w:rFonts w:asciiTheme="minorBidi" w:hAnsiTheme="minorBidi" w:cstheme="minorBidi"/>
          <w:i/>
          <w:sz w:val="16"/>
          <w:szCs w:val="16"/>
        </w:rPr>
        <w:t xml:space="preserve">t” </w:t>
      </w:r>
      <w:r w:rsidRPr="00844AF3">
        <w:rPr>
          <w:rFonts w:asciiTheme="minorBidi" w:hAnsiTheme="minorBidi" w:cstheme="minorBidi"/>
          <w:iCs/>
          <w:sz w:val="16"/>
          <w:szCs w:val="16"/>
        </w:rPr>
        <w:t>and “</w:t>
      </w:r>
      <w:r w:rsidRPr="00844AF3">
        <w:rPr>
          <w:rFonts w:asciiTheme="minorBidi" w:hAnsiTheme="minorBidi" w:cstheme="minorBidi"/>
          <w:sz w:val="16"/>
          <w:szCs w:val="16"/>
        </w:rPr>
        <w:t xml:space="preserve">an organization shall otherwise promote an organizational culture that encourages ethical conduct and a commitment to compliance with the law”, and the disclosure obligations under the US Sarbanes-Oxley Act (available </w:t>
      </w:r>
      <w:r w:rsidRPr="00844AF3">
        <w:rPr>
          <w:rStyle w:val="Hyperlink"/>
          <w:rFonts w:asciiTheme="minorBidi" w:hAnsiTheme="minorBidi" w:cstheme="minorBidi"/>
          <w:color w:val="auto"/>
          <w:sz w:val="16"/>
          <w:szCs w:val="16"/>
          <w:u w:val="none"/>
        </w:rPr>
        <w:t>at</w:t>
      </w:r>
      <w:r w:rsidRPr="00844AF3">
        <w:rPr>
          <w:rStyle w:val="Hyperlink"/>
          <w:rFonts w:asciiTheme="minorBidi" w:hAnsiTheme="minorBidi" w:cstheme="minorBidi"/>
          <w:sz w:val="16"/>
          <w:szCs w:val="16"/>
          <w:u w:val="none"/>
        </w:rPr>
        <w:t xml:space="preserve"> </w:t>
      </w:r>
      <w:hyperlink r:id="rId36" w:history="1">
        <w:r w:rsidRPr="00844AF3">
          <w:rPr>
            <w:rStyle w:val="Hyperlink"/>
            <w:rFonts w:asciiTheme="minorBidi" w:hAnsiTheme="minorBidi" w:cstheme="minorBidi"/>
            <w:sz w:val="16"/>
            <w:szCs w:val="16"/>
          </w:rPr>
          <w:t>http://www.law.cornell.edu/uscode/text/15/chapter-98</w:t>
        </w:r>
      </w:hyperlink>
      <w:r w:rsidRPr="00844AF3">
        <w:rPr>
          <w:rFonts w:asciiTheme="minorBidi" w:hAnsiTheme="minorBidi" w:cstheme="minorBidi"/>
          <w:sz w:val="16"/>
          <w:szCs w:val="16"/>
        </w:rPr>
        <w:t>).</w:t>
      </w:r>
    </w:p>
    <w:p w14:paraId="649A60B9" w14:textId="77777777" w:rsidR="002C0A1C" w:rsidRPr="00C11266" w:rsidRDefault="002C0A1C" w:rsidP="002C0A1C">
      <w:pPr>
        <w:spacing w:after="0" w:line="180" w:lineRule="exact"/>
        <w:ind w:right="188"/>
        <w:contextualSpacing/>
        <w:jc w:val="both"/>
        <w:rPr>
          <w:rFonts w:asciiTheme="minorBidi" w:hAnsiTheme="minorBidi" w:cstheme="minorBidi"/>
          <w:sz w:val="16"/>
          <w:szCs w:val="16"/>
        </w:rPr>
      </w:pPr>
    </w:p>
  </w:footnote>
  <w:footnote w:id="41">
    <w:p w14:paraId="14957F62" w14:textId="77777777" w:rsidR="007D61C0" w:rsidRPr="00C11266" w:rsidRDefault="007D61C0" w:rsidP="002C0A1C">
      <w:pPr>
        <w:spacing w:after="0" w:line="180" w:lineRule="exact"/>
        <w:ind w:right="181"/>
        <w:contextualSpacing/>
        <w:jc w:val="both"/>
        <w:rPr>
          <w:rFonts w:asciiTheme="minorBidi" w:hAnsiTheme="minorBidi" w:cstheme="minorBidi"/>
          <w:sz w:val="16"/>
          <w:szCs w:val="16"/>
        </w:rPr>
      </w:pPr>
      <w:r w:rsidRPr="006A732B">
        <w:rPr>
          <w:rStyle w:val="FootnoteReference"/>
          <w:rFonts w:asciiTheme="minorBidi" w:hAnsiTheme="minorBidi" w:cstheme="minorBidi"/>
          <w:sz w:val="16"/>
          <w:szCs w:val="16"/>
        </w:rPr>
        <w:footnoteRef/>
      </w:r>
      <w:r w:rsidRPr="006A732B">
        <w:rPr>
          <w:rFonts w:asciiTheme="minorBidi" w:hAnsiTheme="minorBidi" w:cstheme="minorBidi"/>
          <w:sz w:val="16"/>
          <w:szCs w:val="16"/>
        </w:rPr>
        <w:t xml:space="preserve"> </w:t>
      </w:r>
      <w:r w:rsidRPr="00844AF3">
        <w:rPr>
          <w:rFonts w:asciiTheme="minorBidi" w:hAnsiTheme="minorBidi" w:cstheme="minorBidi"/>
          <w:sz w:val="16"/>
          <w:szCs w:val="16"/>
        </w:rPr>
        <w:t xml:space="preserve">While not specifically requiring pre-employment due diligence, the US Federal Sentencing Guidelines state at </w:t>
      </w:r>
      <w:hyperlink r:id="rId37" w:anchor="8b21" w:history="1">
        <w:r w:rsidRPr="00844AF3">
          <w:rPr>
            <w:rStyle w:val="Hyperlink"/>
            <w:rFonts w:asciiTheme="minorBidi" w:hAnsiTheme="minorBidi" w:cstheme="minorBidi"/>
            <w:sz w:val="16"/>
            <w:szCs w:val="16"/>
          </w:rPr>
          <w:t>§8B2.1(b)3</w:t>
        </w:r>
      </w:hyperlink>
      <w:r w:rsidRPr="00844AF3">
        <w:rPr>
          <w:rFonts w:asciiTheme="minorBidi" w:hAnsiTheme="minorBidi" w:cstheme="minorBidi"/>
          <w:sz w:val="16"/>
          <w:szCs w:val="16"/>
        </w:rPr>
        <w:t>: “The organization shall use reasonable efforts not to include within the substantial authority personnel of the organization any individual whom the organization knew, or should have known through the exercise of due diligence, has engaged in illegal activities or other conduct inconsistent with an effective compliance and ethics program</w:t>
      </w:r>
      <w:r w:rsidRPr="00844AF3">
        <w:rPr>
          <w:rFonts w:asciiTheme="minorBidi" w:hAnsiTheme="minorBidi" w:cstheme="minorBidi"/>
          <w:i/>
          <w:sz w:val="16"/>
          <w:szCs w:val="16"/>
        </w:rPr>
        <w:t>”</w:t>
      </w:r>
      <w:r w:rsidRPr="00844AF3">
        <w:rPr>
          <w:rFonts w:asciiTheme="minorBidi" w:hAnsiTheme="minorBidi" w:cstheme="minorBidi"/>
          <w:sz w:val="16"/>
          <w:szCs w:val="16"/>
        </w:rPr>
        <w:t>.</w:t>
      </w:r>
      <w:r>
        <w:rPr>
          <w:rFonts w:asciiTheme="minorBidi" w:hAnsiTheme="minorBidi" w:cstheme="minorBidi"/>
          <w:sz w:val="16"/>
          <w:szCs w:val="16"/>
        </w:rPr>
        <w:t xml:space="preserve"> </w:t>
      </w:r>
    </w:p>
    <w:p w14:paraId="4644980F" w14:textId="77777777" w:rsidR="007D61C0" w:rsidRPr="00C11266" w:rsidRDefault="007D61C0" w:rsidP="002C0A1C">
      <w:pPr>
        <w:pStyle w:val="FootnoteText"/>
        <w:spacing w:line="180" w:lineRule="exact"/>
        <w:contextualSpacing/>
        <w:jc w:val="both"/>
        <w:rPr>
          <w:rFonts w:asciiTheme="minorBidi" w:hAnsiTheme="minorBidi" w:cstheme="minorBidi"/>
        </w:rPr>
      </w:pPr>
    </w:p>
  </w:footnote>
  <w:footnote w:id="42">
    <w:p w14:paraId="508A5FE6" w14:textId="77777777" w:rsidR="007D61C0" w:rsidRDefault="007D61C0" w:rsidP="002C0A1C">
      <w:pPr>
        <w:pStyle w:val="FootnoteText"/>
        <w:spacing w:line="180" w:lineRule="exact"/>
        <w:jc w:val="both"/>
        <w:rPr>
          <w:rFonts w:asciiTheme="minorBidi" w:hAnsiTheme="minorBidi" w:cstheme="minorBidi"/>
        </w:rPr>
      </w:pPr>
      <w:r w:rsidRPr="00732FBE">
        <w:rPr>
          <w:rStyle w:val="FootnoteReference"/>
          <w:rFonts w:asciiTheme="minorBidi" w:hAnsiTheme="minorBidi" w:cstheme="minorBidi"/>
        </w:rPr>
        <w:footnoteRef/>
      </w:r>
      <w:r w:rsidRPr="00732FBE">
        <w:rPr>
          <w:rFonts w:asciiTheme="minorBidi" w:hAnsiTheme="minorBidi" w:cstheme="minorBidi"/>
        </w:rPr>
        <w:t xml:space="preserve"> </w:t>
      </w:r>
      <w:r w:rsidRPr="00844AF3">
        <w:rPr>
          <w:rFonts w:asciiTheme="minorBidi" w:hAnsiTheme="minorBidi" w:cstheme="minorBidi"/>
        </w:rPr>
        <w:t xml:space="preserve">See, e.g. the Competition Bureau of Canada’s </w:t>
      </w:r>
      <w:hyperlink r:id="rId38" w:anchor="toc02" w:history="1">
        <w:r w:rsidRPr="00844AF3">
          <w:rPr>
            <w:rStyle w:val="Hyperlink"/>
            <w:rFonts w:asciiTheme="minorBidi" w:hAnsiTheme="minorBidi" w:cstheme="minorBidi"/>
          </w:rPr>
          <w:t>materials</w:t>
        </w:r>
      </w:hyperlink>
      <w:r w:rsidRPr="00844AF3">
        <w:rPr>
          <w:rFonts w:asciiTheme="minorBidi" w:hAnsiTheme="minorBidi" w:cstheme="minorBidi"/>
        </w:rPr>
        <w:t xml:space="preserve"> in this regard. </w:t>
      </w:r>
    </w:p>
    <w:p w14:paraId="11A31516" w14:textId="77777777" w:rsidR="00192351" w:rsidRPr="00C11266" w:rsidRDefault="00192351" w:rsidP="002C0A1C">
      <w:pPr>
        <w:pStyle w:val="FootnoteText"/>
        <w:spacing w:line="180" w:lineRule="exact"/>
        <w:jc w:val="both"/>
        <w:rPr>
          <w:rFonts w:asciiTheme="minorBidi" w:hAnsiTheme="minorBidi" w:cstheme="minorBidi"/>
        </w:rPr>
      </w:pPr>
    </w:p>
  </w:footnote>
  <w:footnote w:id="43">
    <w:p w14:paraId="5533E754" w14:textId="71928400" w:rsidR="001503F1" w:rsidRDefault="001503F1" w:rsidP="00A15E97">
      <w:pPr>
        <w:pStyle w:val="FootnoteText"/>
        <w:jc w:val="both"/>
      </w:pPr>
      <w:r>
        <w:rPr>
          <w:rStyle w:val="FootnoteReference"/>
        </w:rPr>
        <w:footnoteRef/>
      </w:r>
      <w:r>
        <w:t xml:space="preserve"> Likewise the use of </w:t>
      </w:r>
      <w:r w:rsidR="00A4546E">
        <w:t>AI</w:t>
      </w:r>
      <w:r>
        <w:t xml:space="preserve"> for purposes of internal </w:t>
      </w:r>
      <w:r w:rsidR="00A4546E">
        <w:t xml:space="preserve">compliance </w:t>
      </w:r>
      <w:r>
        <w:t>investigation</w:t>
      </w:r>
      <w:r w:rsidR="00462022">
        <w:t>s</w:t>
      </w:r>
      <w:r>
        <w:t xml:space="preserve"> (See Chapter 6</w:t>
      </w:r>
      <w:r w:rsidR="00A4546E">
        <w:t>: “</w:t>
      </w:r>
      <w:r w:rsidR="00A4546E" w:rsidRPr="00A4546E">
        <w:t>Handling of internal investigations</w:t>
      </w:r>
      <w:r w:rsidR="00A4546E">
        <w:t>”</w:t>
      </w:r>
      <w:r>
        <w:t xml:space="preserve">), </w:t>
      </w:r>
      <w:r w:rsidR="00A4546E">
        <w:t>the use of AI</w:t>
      </w:r>
      <w:r>
        <w:t xml:space="preserve"> may </w:t>
      </w:r>
      <w:r w:rsidR="00A4546E">
        <w:t>also be consider to complement</w:t>
      </w:r>
      <w:r>
        <w:t xml:space="preserve"> due diligence process. </w:t>
      </w:r>
    </w:p>
    <w:p w14:paraId="7EE82BA1" w14:textId="77777777" w:rsidR="001503F1" w:rsidRPr="001503F1" w:rsidRDefault="001503F1">
      <w:pPr>
        <w:pStyle w:val="FootnoteText"/>
      </w:pPr>
    </w:p>
  </w:footnote>
  <w:footnote w:id="44">
    <w:p w14:paraId="678DDC56" w14:textId="77777777" w:rsidR="007D61C0" w:rsidRDefault="007D61C0" w:rsidP="007D61C0">
      <w:pPr>
        <w:pStyle w:val="FootnoteText"/>
        <w:spacing w:line="180" w:lineRule="exact"/>
        <w:rPr>
          <w:rFonts w:asciiTheme="minorBidi" w:hAnsiTheme="minorBidi" w:cstheme="minorBidi"/>
        </w:rPr>
      </w:pPr>
      <w:r w:rsidRPr="00C11266">
        <w:rPr>
          <w:rStyle w:val="FootnoteReference"/>
          <w:rFonts w:asciiTheme="minorBidi" w:hAnsiTheme="minorBidi" w:cstheme="minorBidi"/>
        </w:rPr>
        <w:footnoteRef/>
      </w:r>
      <w:r w:rsidRPr="00C11266">
        <w:rPr>
          <w:rFonts w:asciiTheme="minorBidi" w:hAnsiTheme="minorBidi" w:cstheme="minorBidi"/>
        </w:rPr>
        <w:t xml:space="preserve"> See </w:t>
      </w:r>
      <w:r w:rsidRPr="00732FBE">
        <w:rPr>
          <w:rFonts w:asciiTheme="minorBidi" w:hAnsiTheme="minorBidi" w:cstheme="minorBidi"/>
        </w:rPr>
        <w:t xml:space="preserve">Chapter </w:t>
      </w:r>
      <w:r w:rsidRPr="00844AF3">
        <w:rPr>
          <w:rFonts w:asciiTheme="minorBidi" w:hAnsiTheme="minorBidi" w:cstheme="minorBidi"/>
        </w:rPr>
        <w:t>4</w:t>
      </w:r>
      <w:r w:rsidRPr="00C11266">
        <w:rPr>
          <w:rFonts w:asciiTheme="minorBidi" w:hAnsiTheme="minorBidi" w:cstheme="minorBidi"/>
        </w:rPr>
        <w:t xml:space="preserve">: “Antitrust </w:t>
      </w:r>
      <w:r>
        <w:rPr>
          <w:rFonts w:asciiTheme="minorBidi" w:hAnsiTheme="minorBidi" w:cstheme="minorBidi"/>
        </w:rPr>
        <w:t>c</w:t>
      </w:r>
      <w:r w:rsidRPr="00C11266">
        <w:rPr>
          <w:rFonts w:asciiTheme="minorBidi" w:hAnsiTheme="minorBidi" w:cstheme="minorBidi"/>
        </w:rPr>
        <w:t xml:space="preserve">ompliance </w:t>
      </w:r>
      <w:r>
        <w:rPr>
          <w:rFonts w:asciiTheme="minorBidi" w:hAnsiTheme="minorBidi" w:cstheme="minorBidi"/>
        </w:rPr>
        <w:t>k</w:t>
      </w:r>
      <w:r w:rsidRPr="00C11266">
        <w:rPr>
          <w:rFonts w:asciiTheme="minorBidi" w:hAnsiTheme="minorBidi" w:cstheme="minorBidi"/>
        </w:rPr>
        <w:t>now-how”.</w:t>
      </w:r>
    </w:p>
    <w:p w14:paraId="5DDB2965" w14:textId="77777777" w:rsidR="002C0A1C" w:rsidRPr="00C11266" w:rsidRDefault="002C0A1C" w:rsidP="007D61C0">
      <w:pPr>
        <w:pStyle w:val="FootnoteText"/>
        <w:spacing w:line="180" w:lineRule="exact"/>
        <w:rPr>
          <w:rFonts w:asciiTheme="minorBidi" w:hAnsiTheme="minorBidi" w:cstheme="minorBidi"/>
        </w:rPr>
      </w:pPr>
    </w:p>
  </w:footnote>
  <w:footnote w:id="45">
    <w:p w14:paraId="484AAAA8" w14:textId="77777777" w:rsidR="007D61C0" w:rsidRPr="00C11266" w:rsidRDefault="007D61C0" w:rsidP="007D61C0">
      <w:pPr>
        <w:pStyle w:val="FootnoteText"/>
        <w:spacing w:line="180" w:lineRule="exact"/>
        <w:rPr>
          <w:rFonts w:asciiTheme="minorBidi" w:hAnsiTheme="minorBidi" w:cstheme="minorBidi"/>
        </w:rPr>
      </w:pPr>
      <w:r w:rsidRPr="00C11266">
        <w:rPr>
          <w:rStyle w:val="FootnoteReference"/>
          <w:rFonts w:asciiTheme="minorBidi" w:hAnsiTheme="minorBidi" w:cstheme="minorBidi"/>
        </w:rPr>
        <w:footnoteRef/>
      </w:r>
      <w:r w:rsidRPr="00C11266">
        <w:rPr>
          <w:rFonts w:asciiTheme="minorBidi" w:hAnsiTheme="minorBidi" w:cstheme="minorBidi"/>
        </w:rPr>
        <w:t xml:space="preserve"> See </w:t>
      </w:r>
      <w:r w:rsidRPr="00BE55BE">
        <w:rPr>
          <w:rFonts w:asciiTheme="minorBidi" w:hAnsiTheme="minorBidi" w:cstheme="minorBidi"/>
        </w:rPr>
        <w:t>Chapter 6: “</w:t>
      </w:r>
      <w:r w:rsidRPr="00BE55BE">
        <w:rPr>
          <w:rFonts w:asciiTheme="minorBidi" w:hAnsiTheme="minorBidi" w:cstheme="minorBidi"/>
          <w:iCs/>
        </w:rPr>
        <w:t>Handling</w:t>
      </w:r>
      <w:r w:rsidRPr="00DA2C26">
        <w:rPr>
          <w:rFonts w:asciiTheme="minorBidi" w:hAnsiTheme="minorBidi" w:cstheme="minorBidi"/>
          <w:iCs/>
        </w:rPr>
        <w:t xml:space="preserve"> of internal investigations</w:t>
      </w:r>
      <w:r w:rsidRPr="00C11266">
        <w:rPr>
          <w:rFonts w:asciiTheme="minorBidi" w:hAnsiTheme="minorBidi" w:cstheme="minorBidi"/>
        </w:rPr>
        <w:t>”.</w:t>
      </w:r>
    </w:p>
  </w:footnote>
  <w:footnote w:id="46">
    <w:p w14:paraId="0461092E" w14:textId="604489A6" w:rsidR="00496032" w:rsidRDefault="007D61C0" w:rsidP="00496032">
      <w:pPr>
        <w:pStyle w:val="FootnoteText"/>
        <w:spacing w:line="180" w:lineRule="exact"/>
        <w:jc w:val="both"/>
        <w:rPr>
          <w:rFonts w:asciiTheme="minorBidi" w:hAnsiTheme="minorBidi" w:cstheme="minorBidi"/>
        </w:rPr>
      </w:pPr>
      <w:r w:rsidRPr="00942C82">
        <w:rPr>
          <w:rStyle w:val="FootnoteReference"/>
          <w:rFonts w:asciiTheme="minorBidi" w:hAnsiTheme="minorBidi" w:cstheme="minorBidi"/>
        </w:rPr>
        <w:footnoteRef/>
      </w:r>
      <w:r w:rsidRPr="00942C82">
        <w:rPr>
          <w:rFonts w:asciiTheme="minorBidi" w:hAnsiTheme="minorBidi" w:cstheme="minorBidi"/>
        </w:rPr>
        <w:t xml:space="preserve"> This is not intended to be a comprehensive due diligence checklist; it is merely a suggestion of some antitrust related questions that could be asked as part of a more comprehensive due diligence exercise. Nor does it attempt to suggest any due diligence questions for other compliance areas outside of antitrust. </w:t>
      </w:r>
    </w:p>
    <w:p w14:paraId="7381B995" w14:textId="77777777" w:rsidR="007D61C0" w:rsidRPr="00942C82" w:rsidRDefault="007D61C0" w:rsidP="00A535E7">
      <w:pPr>
        <w:pStyle w:val="FootnoteText"/>
        <w:spacing w:line="180" w:lineRule="exact"/>
        <w:jc w:val="both"/>
        <w:rPr>
          <w:rFonts w:asciiTheme="minorBidi" w:hAnsiTheme="minorBidi" w:cstheme="minorBidi"/>
        </w:rPr>
      </w:pPr>
    </w:p>
  </w:footnote>
  <w:footnote w:id="47">
    <w:p w14:paraId="52B97F11" w14:textId="3EB16BE2" w:rsidR="007D61C0" w:rsidRDefault="007D61C0" w:rsidP="00A535E7">
      <w:pPr>
        <w:pStyle w:val="FootnoteText"/>
        <w:spacing w:line="180" w:lineRule="exact"/>
        <w:jc w:val="both"/>
        <w:rPr>
          <w:rFonts w:asciiTheme="minorBidi" w:hAnsiTheme="minorBidi" w:cstheme="minorBidi"/>
        </w:rPr>
      </w:pPr>
      <w:r w:rsidRPr="00942C82">
        <w:rPr>
          <w:rStyle w:val="FootnoteReference"/>
          <w:rFonts w:asciiTheme="minorBidi" w:hAnsiTheme="minorBidi" w:cstheme="minorBidi"/>
        </w:rPr>
        <w:footnoteRef/>
      </w:r>
      <w:r w:rsidRPr="00942C82">
        <w:rPr>
          <w:rFonts w:asciiTheme="minorBidi" w:hAnsiTheme="minorBidi" w:cstheme="minorBidi"/>
        </w:rPr>
        <w:t xml:space="preserve"> As mentioned above, “internal amnesty” would clearly have to be strictly internal, and could only relate to the company’s intention to discipline the individual - no guarantees can be given in relation to the actions of external agencies and/or prosecutors towards the individual.</w:t>
      </w:r>
    </w:p>
    <w:p w14:paraId="414620A6" w14:textId="77777777" w:rsidR="00A535E7" w:rsidRPr="00942C82" w:rsidRDefault="00A535E7" w:rsidP="00A535E7">
      <w:pPr>
        <w:pStyle w:val="FootnoteText"/>
        <w:spacing w:line="180" w:lineRule="exact"/>
        <w:jc w:val="both"/>
        <w:rPr>
          <w:rFonts w:asciiTheme="minorBidi" w:hAnsiTheme="minorBidi" w:cstheme="minorBidi"/>
        </w:rPr>
      </w:pPr>
    </w:p>
  </w:footnote>
  <w:footnote w:id="48">
    <w:p w14:paraId="314C856B" w14:textId="77777777" w:rsidR="007D61C0" w:rsidRDefault="007D61C0" w:rsidP="00A535E7">
      <w:pPr>
        <w:spacing w:after="0" w:line="180" w:lineRule="exact"/>
        <w:jc w:val="both"/>
        <w:rPr>
          <w:rFonts w:asciiTheme="minorBidi" w:hAnsiTheme="minorBidi" w:cstheme="minorBidi"/>
          <w:sz w:val="16"/>
          <w:szCs w:val="16"/>
        </w:rPr>
      </w:pPr>
      <w:r w:rsidRPr="00C11266">
        <w:rPr>
          <w:rStyle w:val="FootnoteReference"/>
          <w:rFonts w:asciiTheme="minorBidi" w:hAnsiTheme="minorBidi" w:cstheme="minorBidi"/>
          <w:sz w:val="16"/>
          <w:szCs w:val="16"/>
        </w:rPr>
        <w:footnoteRef/>
      </w:r>
      <w:r w:rsidRPr="00C11266">
        <w:rPr>
          <w:rFonts w:asciiTheme="minorBidi" w:hAnsiTheme="minorBidi" w:cstheme="minorBidi"/>
          <w:sz w:val="16"/>
          <w:szCs w:val="16"/>
        </w:rPr>
        <w:t xml:space="preserve"> </w:t>
      </w:r>
      <w:r>
        <w:rPr>
          <w:rFonts w:asciiTheme="minorBidi" w:hAnsiTheme="minorBidi" w:cstheme="minorBidi"/>
          <w:sz w:val="16"/>
          <w:szCs w:val="16"/>
        </w:rPr>
        <w:t xml:space="preserve">See the </w:t>
      </w:r>
      <w:hyperlink r:id="rId39" w:anchor="toc07" w:history="1">
        <w:r w:rsidRPr="00CF7BEB">
          <w:rPr>
            <w:rStyle w:val="Hyperlink"/>
            <w:rFonts w:asciiTheme="minorBidi" w:hAnsiTheme="minorBidi" w:cstheme="minorBidi"/>
            <w:sz w:val="16"/>
            <w:szCs w:val="16"/>
          </w:rPr>
          <w:t>section on incentives in the Canadian Bureau of Competition antitrust compliance materials</w:t>
        </w:r>
      </w:hyperlink>
      <w:r>
        <w:rPr>
          <w:rFonts w:asciiTheme="minorBidi" w:hAnsiTheme="minorBidi" w:cstheme="minorBidi"/>
          <w:sz w:val="16"/>
          <w:szCs w:val="16"/>
        </w:rPr>
        <w:t xml:space="preserve">. </w:t>
      </w:r>
    </w:p>
    <w:p w14:paraId="741B3141" w14:textId="77777777" w:rsidR="00A535E7" w:rsidRPr="00C11266" w:rsidRDefault="00A535E7" w:rsidP="00A535E7">
      <w:pPr>
        <w:spacing w:after="0" w:line="180" w:lineRule="exact"/>
        <w:jc w:val="both"/>
        <w:rPr>
          <w:rFonts w:asciiTheme="minorBidi" w:hAnsiTheme="minorBidi" w:cstheme="minorBidi"/>
          <w:i/>
          <w:sz w:val="16"/>
          <w:szCs w:val="16"/>
        </w:rPr>
      </w:pPr>
    </w:p>
  </w:footnote>
  <w:footnote w:id="49">
    <w:p w14:paraId="2CDC3A44" w14:textId="77777777" w:rsidR="007D61C0" w:rsidRPr="00C11266" w:rsidRDefault="007D61C0" w:rsidP="00A535E7">
      <w:pPr>
        <w:pStyle w:val="FootnoteText"/>
        <w:spacing w:line="180" w:lineRule="exact"/>
        <w:jc w:val="both"/>
        <w:rPr>
          <w:rFonts w:asciiTheme="minorBidi" w:hAnsiTheme="minorBidi" w:cstheme="minorBidi"/>
        </w:rPr>
      </w:pPr>
      <w:r w:rsidRPr="00C11266">
        <w:rPr>
          <w:rStyle w:val="FootnoteReference"/>
          <w:rFonts w:asciiTheme="minorBidi" w:hAnsiTheme="minorBidi" w:cstheme="minorBidi"/>
        </w:rPr>
        <w:footnoteRef/>
      </w:r>
      <w:r w:rsidRPr="00C11266">
        <w:rPr>
          <w:rFonts w:asciiTheme="minorBidi" w:hAnsiTheme="minorBidi" w:cstheme="minorBidi"/>
        </w:rPr>
        <w:t xml:space="preserve"> See also </w:t>
      </w:r>
      <w:r w:rsidRPr="00BE55BE">
        <w:rPr>
          <w:rFonts w:asciiTheme="minorBidi" w:hAnsiTheme="minorBidi" w:cstheme="minorBidi"/>
        </w:rPr>
        <w:t>Chapter 8: “Antitrust</w:t>
      </w:r>
      <w:r w:rsidRPr="00C11266">
        <w:rPr>
          <w:rFonts w:asciiTheme="minorBidi" w:hAnsiTheme="minorBidi" w:cstheme="minorBidi"/>
        </w:rPr>
        <w:t xml:space="preserve"> </w:t>
      </w:r>
      <w:r>
        <w:rPr>
          <w:rFonts w:asciiTheme="minorBidi" w:hAnsiTheme="minorBidi" w:cstheme="minorBidi"/>
        </w:rPr>
        <w:t>d</w:t>
      </w:r>
      <w:r w:rsidRPr="00C11266">
        <w:rPr>
          <w:rFonts w:asciiTheme="minorBidi" w:hAnsiTheme="minorBidi" w:cstheme="minorBidi"/>
        </w:rPr>
        <w:t>ue diligence”.</w:t>
      </w:r>
    </w:p>
  </w:footnote>
  <w:footnote w:id="50">
    <w:p w14:paraId="17B3FEF3" w14:textId="77777777" w:rsidR="007D61C0" w:rsidRPr="00C11266" w:rsidRDefault="007D61C0" w:rsidP="008105E2">
      <w:pPr>
        <w:pStyle w:val="FootnoteText"/>
        <w:spacing w:line="180" w:lineRule="exact"/>
        <w:jc w:val="both"/>
        <w:rPr>
          <w:rFonts w:asciiTheme="minorBidi" w:hAnsiTheme="minorBidi" w:cstheme="minorBidi"/>
          <w:i/>
        </w:rPr>
      </w:pPr>
      <w:r w:rsidRPr="00C11266">
        <w:rPr>
          <w:rStyle w:val="FootnoteReference"/>
          <w:rFonts w:asciiTheme="minorBidi" w:hAnsiTheme="minorBidi" w:cstheme="minorBidi"/>
        </w:rPr>
        <w:footnoteRef/>
      </w:r>
      <w:r w:rsidRPr="00C11266">
        <w:rPr>
          <w:rFonts w:asciiTheme="minorBidi" w:hAnsiTheme="minorBidi" w:cstheme="minorBidi"/>
        </w:rPr>
        <w:t xml:space="preserve"> See also </w:t>
      </w:r>
      <w:r w:rsidRPr="00BE55BE">
        <w:rPr>
          <w:rFonts w:asciiTheme="minorBidi" w:hAnsiTheme="minorBidi" w:cstheme="minorBidi"/>
        </w:rPr>
        <w:t xml:space="preserve">Chapter 8: </w:t>
      </w:r>
      <w:r w:rsidRPr="00BE55BE">
        <w:rPr>
          <w:rFonts w:asciiTheme="minorBidi" w:hAnsiTheme="minorBidi" w:cstheme="minorBidi"/>
          <w:i/>
        </w:rPr>
        <w:t>“</w:t>
      </w:r>
      <w:r w:rsidRPr="00BE55BE">
        <w:rPr>
          <w:rFonts w:asciiTheme="minorBidi" w:hAnsiTheme="minorBidi" w:cstheme="minorBidi"/>
        </w:rPr>
        <w:t>Antitrust</w:t>
      </w:r>
      <w:r w:rsidRPr="00C11266">
        <w:rPr>
          <w:rFonts w:asciiTheme="minorBidi" w:hAnsiTheme="minorBidi" w:cstheme="minorBidi"/>
        </w:rPr>
        <w:t xml:space="preserve"> due diligence</w:t>
      </w:r>
      <w:r w:rsidRPr="00C11266">
        <w:rPr>
          <w:rFonts w:asciiTheme="minorBidi" w:hAnsiTheme="minorBidi" w:cstheme="minorBidi"/>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Borders>
        <w:insideH w:val="dotted" w:sz="8" w:space="0" w:color="808080"/>
      </w:tblBorders>
      <w:tblLayout w:type="fixed"/>
      <w:tblLook w:val="04A0" w:firstRow="1" w:lastRow="0" w:firstColumn="1" w:lastColumn="0" w:noHBand="0" w:noVBand="1"/>
    </w:tblPr>
    <w:tblGrid>
      <w:gridCol w:w="1134"/>
      <w:gridCol w:w="6804"/>
      <w:gridCol w:w="1134"/>
    </w:tblGrid>
    <w:tr w:rsidR="007C594F" w:rsidRPr="00F10C6C" w14:paraId="1E8E4469" w14:textId="77777777" w:rsidTr="005E726D">
      <w:trPr>
        <w:trHeight w:val="425"/>
      </w:trPr>
      <w:tc>
        <w:tcPr>
          <w:tcW w:w="1134" w:type="dxa"/>
          <w:shd w:val="clear" w:color="auto" w:fill="auto"/>
          <w:tcMar>
            <w:left w:w="0" w:type="dxa"/>
            <w:right w:w="0" w:type="dxa"/>
          </w:tcMar>
          <w:vAlign w:val="center"/>
        </w:tcPr>
        <w:p w14:paraId="248D9223" w14:textId="77777777" w:rsidR="007C594F" w:rsidRPr="001E4BEC" w:rsidRDefault="007C594F" w:rsidP="00AB2CA6">
          <w:pPr>
            <w:pStyle w:val="Header"/>
            <w:jc w:val="center"/>
            <w:rPr>
              <w:b/>
              <w:bCs/>
              <w:color w:val="808080"/>
              <w:sz w:val="18"/>
              <w:szCs w:val="18"/>
              <w:lang w:val="en-GB" w:eastAsia="ja-JP"/>
            </w:rPr>
          </w:pPr>
        </w:p>
      </w:tc>
      <w:tc>
        <w:tcPr>
          <w:tcW w:w="6804" w:type="dxa"/>
          <w:shd w:val="clear" w:color="auto" w:fill="auto"/>
          <w:tcMar>
            <w:left w:w="0" w:type="dxa"/>
            <w:right w:w="0" w:type="dxa"/>
          </w:tcMar>
          <w:vAlign w:val="center"/>
        </w:tcPr>
        <w:p w14:paraId="662C1630" w14:textId="77777777" w:rsidR="007C594F" w:rsidRPr="001E4BEC" w:rsidRDefault="007C594F" w:rsidP="002041B8">
          <w:pPr>
            <w:pStyle w:val="Header"/>
            <w:jc w:val="center"/>
            <w:rPr>
              <w:color w:val="808080"/>
              <w:sz w:val="18"/>
              <w:szCs w:val="18"/>
              <w:lang w:val="en-GB" w:eastAsia="ja-JP"/>
            </w:rPr>
          </w:pPr>
        </w:p>
      </w:tc>
      <w:tc>
        <w:tcPr>
          <w:tcW w:w="1134" w:type="dxa"/>
          <w:shd w:val="clear" w:color="auto" w:fill="auto"/>
          <w:tcMar>
            <w:left w:w="0" w:type="dxa"/>
            <w:right w:w="0" w:type="dxa"/>
          </w:tcMar>
          <w:vAlign w:val="center"/>
        </w:tcPr>
        <w:p w14:paraId="445C2899" w14:textId="77777777" w:rsidR="007C594F" w:rsidRPr="001E4BEC" w:rsidRDefault="007C594F" w:rsidP="007E009E">
          <w:pPr>
            <w:pStyle w:val="Header"/>
            <w:jc w:val="center"/>
            <w:rPr>
              <w:color w:val="BFBFBF"/>
              <w:sz w:val="18"/>
              <w:szCs w:val="18"/>
              <w:lang w:val="en-GB" w:eastAsia="ja-JP"/>
            </w:rPr>
          </w:pPr>
        </w:p>
      </w:tc>
    </w:tr>
  </w:tbl>
  <w:p w14:paraId="52E326EB" w14:textId="77777777" w:rsidR="007C594F" w:rsidRDefault="007C5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Borders>
        <w:top w:val="single" w:sz="8" w:space="0" w:color="BFBFBF"/>
      </w:tblBorders>
      <w:tblLayout w:type="fixed"/>
      <w:tblCellMar>
        <w:left w:w="0" w:type="dxa"/>
        <w:right w:w="0" w:type="dxa"/>
      </w:tblCellMar>
      <w:tblLook w:val="04A0" w:firstRow="1" w:lastRow="0" w:firstColumn="1" w:lastColumn="0" w:noHBand="0" w:noVBand="1"/>
    </w:tblPr>
    <w:tblGrid>
      <w:gridCol w:w="1134"/>
      <w:gridCol w:w="6804"/>
      <w:gridCol w:w="1134"/>
    </w:tblGrid>
    <w:tr w:rsidR="007C594F" w:rsidRPr="00F10C6C" w14:paraId="5CB89CFA" w14:textId="77777777">
      <w:trPr>
        <w:trHeight w:val="425"/>
      </w:trPr>
      <w:tc>
        <w:tcPr>
          <w:tcW w:w="1134" w:type="dxa"/>
          <w:tcBorders>
            <w:top w:val="nil"/>
            <w:bottom w:val="nil"/>
            <w:right w:val="dotted" w:sz="8" w:space="0" w:color="808080"/>
          </w:tcBorders>
          <w:shd w:val="clear" w:color="auto" w:fill="auto"/>
          <w:vAlign w:val="center"/>
        </w:tcPr>
        <w:p w14:paraId="3E331AE7" w14:textId="5FDEDB43" w:rsidR="007C594F" w:rsidRPr="001E4BEC" w:rsidRDefault="00C37101" w:rsidP="007E009E">
          <w:pPr>
            <w:pStyle w:val="Header"/>
            <w:jc w:val="center"/>
            <w:rPr>
              <w:b/>
              <w:bCs/>
              <w:color w:val="FFFFFF"/>
              <w:sz w:val="18"/>
              <w:szCs w:val="18"/>
              <w:lang w:val="en-GB" w:eastAsia="ja-JP"/>
            </w:rPr>
          </w:pPr>
          <w:r>
            <w:rPr>
              <w:color w:val="808080"/>
              <w:sz w:val="18"/>
              <w:szCs w:val="18"/>
              <w:lang w:val="en-GB" w:eastAsia="ja-JP"/>
            </w:rPr>
            <w:t>2024</w:t>
          </w:r>
        </w:p>
      </w:tc>
      <w:tc>
        <w:tcPr>
          <w:tcW w:w="6804" w:type="dxa"/>
          <w:tcBorders>
            <w:top w:val="nil"/>
            <w:left w:val="dotted" w:sz="8" w:space="0" w:color="808080"/>
            <w:bottom w:val="nil"/>
            <w:right w:val="dotted" w:sz="8" w:space="0" w:color="808080"/>
          </w:tcBorders>
          <w:shd w:val="clear" w:color="auto" w:fill="auto"/>
          <w:tcMar>
            <w:right w:w="0" w:type="dxa"/>
          </w:tcMar>
          <w:vAlign w:val="center"/>
        </w:tcPr>
        <w:p w14:paraId="499BEEB4" w14:textId="77777777" w:rsidR="007C594F" w:rsidRPr="001E4BEC" w:rsidRDefault="007C594F" w:rsidP="00FA7928">
          <w:pPr>
            <w:pStyle w:val="Header"/>
            <w:jc w:val="center"/>
            <w:rPr>
              <w:color w:val="808080"/>
              <w:sz w:val="18"/>
              <w:szCs w:val="18"/>
              <w:lang w:val="en-GB" w:eastAsia="ja-JP"/>
            </w:rPr>
          </w:pPr>
          <w:r>
            <w:rPr>
              <w:color w:val="808080"/>
              <w:sz w:val="18"/>
              <w:szCs w:val="18"/>
              <w:lang w:val="en-GB" w:eastAsia="ja-JP"/>
            </w:rPr>
            <w:t>Practical antitrust tools for SMEs and larger companies</w:t>
          </w:r>
        </w:p>
      </w:tc>
      <w:tc>
        <w:tcPr>
          <w:tcW w:w="1134" w:type="dxa"/>
          <w:tcBorders>
            <w:top w:val="nil"/>
            <w:left w:val="dotted" w:sz="8" w:space="0" w:color="808080"/>
            <w:bottom w:val="nil"/>
          </w:tcBorders>
          <w:shd w:val="clear" w:color="auto" w:fill="auto"/>
          <w:vAlign w:val="center"/>
        </w:tcPr>
        <w:p w14:paraId="7E21409C" w14:textId="77777777" w:rsidR="007C594F" w:rsidRPr="001E4BEC" w:rsidRDefault="007C594F" w:rsidP="00AB2CA6">
          <w:pPr>
            <w:pStyle w:val="Header"/>
            <w:jc w:val="center"/>
            <w:rPr>
              <w:b/>
              <w:color w:val="808080"/>
              <w:sz w:val="18"/>
              <w:szCs w:val="18"/>
              <w:lang w:val="en-GB" w:eastAsia="ja-JP"/>
            </w:rPr>
          </w:pPr>
        </w:p>
      </w:tc>
    </w:tr>
  </w:tbl>
  <w:p w14:paraId="316B09D9" w14:textId="77777777" w:rsidR="007C594F" w:rsidRDefault="007C5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Borders>
        <w:top w:val="single" w:sz="8" w:space="0" w:color="BFBFBF"/>
      </w:tblBorders>
      <w:tblLayout w:type="fixed"/>
      <w:tblLook w:val="04A0" w:firstRow="1" w:lastRow="0" w:firstColumn="1" w:lastColumn="0" w:noHBand="0" w:noVBand="1"/>
    </w:tblPr>
    <w:tblGrid>
      <w:gridCol w:w="1134"/>
      <w:gridCol w:w="6804"/>
      <w:gridCol w:w="1134"/>
    </w:tblGrid>
    <w:tr w:rsidR="007C594F" w:rsidRPr="00F10C6C" w14:paraId="7C665747" w14:textId="77777777">
      <w:trPr>
        <w:trHeight w:val="425"/>
      </w:trPr>
      <w:tc>
        <w:tcPr>
          <w:tcW w:w="1134" w:type="dxa"/>
          <w:tcBorders>
            <w:top w:val="nil"/>
            <w:bottom w:val="nil"/>
            <w:right w:val="dotted" w:sz="8" w:space="0" w:color="808080"/>
          </w:tcBorders>
          <w:shd w:val="clear" w:color="auto" w:fill="auto"/>
          <w:tcMar>
            <w:left w:w="0" w:type="dxa"/>
            <w:right w:w="0" w:type="dxa"/>
          </w:tcMar>
          <w:vAlign w:val="center"/>
        </w:tcPr>
        <w:p w14:paraId="75C4FEE6" w14:textId="77777777" w:rsidR="007C594F" w:rsidRPr="001E4BEC" w:rsidRDefault="007C594F" w:rsidP="00AB2CA6">
          <w:pPr>
            <w:pStyle w:val="Header"/>
            <w:jc w:val="center"/>
            <w:rPr>
              <w:b/>
              <w:bCs/>
              <w:color w:val="808080"/>
              <w:sz w:val="18"/>
              <w:szCs w:val="18"/>
              <w:lang w:val="en-GB" w:eastAsia="ja-JP"/>
            </w:rPr>
          </w:pPr>
        </w:p>
      </w:tc>
      <w:tc>
        <w:tcPr>
          <w:tcW w:w="6804" w:type="dxa"/>
          <w:tcBorders>
            <w:top w:val="nil"/>
            <w:left w:val="dotted" w:sz="8" w:space="0" w:color="808080"/>
            <w:bottom w:val="nil"/>
            <w:right w:val="dotted" w:sz="8" w:space="0" w:color="808080"/>
          </w:tcBorders>
          <w:shd w:val="clear" w:color="auto" w:fill="auto"/>
          <w:tcMar>
            <w:left w:w="0" w:type="dxa"/>
            <w:right w:w="0" w:type="dxa"/>
          </w:tcMar>
          <w:vAlign w:val="center"/>
        </w:tcPr>
        <w:p w14:paraId="2173B8D0" w14:textId="6F4FFDDF" w:rsidR="007C594F" w:rsidRPr="001E4BEC" w:rsidRDefault="007C594F" w:rsidP="002041B8">
          <w:pPr>
            <w:pStyle w:val="Header"/>
            <w:jc w:val="center"/>
            <w:rPr>
              <w:color w:val="808080"/>
              <w:sz w:val="18"/>
              <w:szCs w:val="18"/>
              <w:lang w:val="en-GB" w:eastAsia="ja-JP"/>
            </w:rPr>
          </w:pPr>
          <w:r>
            <w:rPr>
              <w:color w:val="808080"/>
              <w:sz w:val="18"/>
              <w:szCs w:val="18"/>
              <w:lang w:val="en-GB" w:eastAsia="ja-JP"/>
            </w:rPr>
            <w:t>Practical antitrust tools for companies</w:t>
          </w:r>
          <w:r w:rsidR="00CB0E15">
            <w:rPr>
              <w:color w:val="808080"/>
              <w:sz w:val="18"/>
              <w:szCs w:val="18"/>
              <w:lang w:val="en-GB" w:eastAsia="ja-JP"/>
            </w:rPr>
            <w:t xml:space="preserve"> of all sizes</w:t>
          </w:r>
        </w:p>
      </w:tc>
      <w:tc>
        <w:tcPr>
          <w:tcW w:w="1134" w:type="dxa"/>
          <w:tcBorders>
            <w:top w:val="nil"/>
            <w:left w:val="dotted" w:sz="8" w:space="0" w:color="808080"/>
            <w:bottom w:val="nil"/>
          </w:tcBorders>
          <w:shd w:val="clear" w:color="auto" w:fill="auto"/>
          <w:tcMar>
            <w:left w:w="0" w:type="dxa"/>
            <w:right w:w="0" w:type="dxa"/>
          </w:tcMar>
          <w:vAlign w:val="center"/>
        </w:tcPr>
        <w:p w14:paraId="6F85D5C2" w14:textId="533072F5" w:rsidR="007C594F" w:rsidRPr="001E4BEC" w:rsidRDefault="007C594F" w:rsidP="007E009E">
          <w:pPr>
            <w:pStyle w:val="Header"/>
            <w:jc w:val="center"/>
            <w:rPr>
              <w:color w:val="BFBFBF"/>
              <w:sz w:val="18"/>
              <w:szCs w:val="18"/>
              <w:lang w:val="en-GB" w:eastAsia="ja-JP"/>
            </w:rPr>
          </w:pPr>
          <w:r w:rsidRPr="001E4BEC">
            <w:rPr>
              <w:color w:val="808080"/>
              <w:sz w:val="18"/>
              <w:szCs w:val="18"/>
              <w:lang w:val="en-GB" w:eastAsia="ja-JP"/>
            </w:rPr>
            <w:t>20</w:t>
          </w:r>
          <w:r w:rsidR="00CB0E15">
            <w:rPr>
              <w:color w:val="808080"/>
              <w:sz w:val="18"/>
              <w:szCs w:val="18"/>
              <w:lang w:val="en-GB" w:eastAsia="ja-JP"/>
            </w:rPr>
            <w:t>2</w:t>
          </w:r>
          <w:r w:rsidR="00015EA8">
            <w:rPr>
              <w:color w:val="808080"/>
              <w:sz w:val="18"/>
              <w:szCs w:val="18"/>
              <w:lang w:val="en-GB" w:eastAsia="ja-JP"/>
            </w:rPr>
            <w:t>4</w:t>
          </w:r>
        </w:p>
      </w:tc>
    </w:tr>
  </w:tbl>
  <w:p w14:paraId="7D2F3CE5" w14:textId="77777777" w:rsidR="007C594F" w:rsidRDefault="007C59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Borders>
        <w:top w:val="single" w:sz="8" w:space="0" w:color="BFBFBF"/>
      </w:tblBorders>
      <w:tblLayout w:type="fixed"/>
      <w:tblCellMar>
        <w:left w:w="0" w:type="dxa"/>
        <w:right w:w="0" w:type="dxa"/>
      </w:tblCellMar>
      <w:tblLook w:val="04A0" w:firstRow="1" w:lastRow="0" w:firstColumn="1" w:lastColumn="0" w:noHBand="0" w:noVBand="1"/>
    </w:tblPr>
    <w:tblGrid>
      <w:gridCol w:w="1134"/>
      <w:gridCol w:w="6804"/>
      <w:gridCol w:w="1134"/>
    </w:tblGrid>
    <w:tr w:rsidR="007C594F" w:rsidRPr="00F10C6C" w14:paraId="23722104" w14:textId="77777777">
      <w:trPr>
        <w:trHeight w:val="425"/>
      </w:trPr>
      <w:tc>
        <w:tcPr>
          <w:tcW w:w="1134" w:type="dxa"/>
          <w:tcBorders>
            <w:top w:val="nil"/>
            <w:bottom w:val="nil"/>
            <w:right w:val="dotted" w:sz="8" w:space="0" w:color="808080"/>
          </w:tcBorders>
          <w:shd w:val="clear" w:color="auto" w:fill="auto"/>
          <w:vAlign w:val="center"/>
        </w:tcPr>
        <w:p w14:paraId="6CFF9118" w14:textId="7872860D" w:rsidR="007C594F" w:rsidRPr="001E4BEC" w:rsidRDefault="007C594F" w:rsidP="007E009E">
          <w:pPr>
            <w:pStyle w:val="Header"/>
            <w:jc w:val="center"/>
            <w:rPr>
              <w:b/>
              <w:bCs/>
              <w:color w:val="FFFFFF"/>
              <w:sz w:val="18"/>
              <w:szCs w:val="18"/>
              <w:lang w:val="en-GB" w:eastAsia="ja-JP"/>
            </w:rPr>
          </w:pPr>
          <w:r w:rsidRPr="001E4BEC">
            <w:rPr>
              <w:color w:val="808080"/>
              <w:sz w:val="18"/>
              <w:szCs w:val="18"/>
              <w:lang w:val="en-GB" w:eastAsia="ja-JP"/>
            </w:rPr>
            <w:t>20</w:t>
          </w:r>
          <w:r w:rsidR="00132A15">
            <w:rPr>
              <w:color w:val="808080"/>
              <w:sz w:val="18"/>
              <w:szCs w:val="18"/>
              <w:lang w:val="en-GB" w:eastAsia="ja-JP"/>
            </w:rPr>
            <w:t>24</w:t>
          </w:r>
        </w:p>
      </w:tc>
      <w:tc>
        <w:tcPr>
          <w:tcW w:w="6804" w:type="dxa"/>
          <w:tcBorders>
            <w:top w:val="nil"/>
            <w:left w:val="dotted" w:sz="8" w:space="0" w:color="808080"/>
            <w:bottom w:val="nil"/>
            <w:right w:val="dotted" w:sz="8" w:space="0" w:color="808080"/>
          </w:tcBorders>
          <w:shd w:val="clear" w:color="auto" w:fill="auto"/>
          <w:tcMar>
            <w:right w:w="0" w:type="dxa"/>
          </w:tcMar>
          <w:vAlign w:val="center"/>
        </w:tcPr>
        <w:p w14:paraId="236E32AB" w14:textId="0B2A81F8" w:rsidR="007C594F" w:rsidRPr="001E4BEC" w:rsidRDefault="0054550F" w:rsidP="00FA7928">
          <w:pPr>
            <w:pStyle w:val="Header"/>
            <w:jc w:val="center"/>
            <w:rPr>
              <w:color w:val="808080"/>
              <w:sz w:val="18"/>
              <w:szCs w:val="18"/>
              <w:lang w:val="en-GB" w:eastAsia="ja-JP"/>
            </w:rPr>
          </w:pPr>
          <w:r>
            <w:rPr>
              <w:color w:val="808080"/>
              <w:sz w:val="18"/>
              <w:szCs w:val="18"/>
              <w:lang w:val="en-GB" w:eastAsia="ja-JP"/>
            </w:rPr>
            <w:t>Practical antitrust tools for SMEs and larger companies</w:t>
          </w:r>
        </w:p>
      </w:tc>
      <w:tc>
        <w:tcPr>
          <w:tcW w:w="1134" w:type="dxa"/>
          <w:tcBorders>
            <w:top w:val="nil"/>
            <w:left w:val="dotted" w:sz="8" w:space="0" w:color="808080"/>
            <w:bottom w:val="nil"/>
          </w:tcBorders>
          <w:shd w:val="clear" w:color="auto" w:fill="auto"/>
          <w:vAlign w:val="center"/>
        </w:tcPr>
        <w:p w14:paraId="559A81CB" w14:textId="77777777" w:rsidR="007C594F" w:rsidRPr="001E4BEC" w:rsidRDefault="007C594F" w:rsidP="00AB2CA6">
          <w:pPr>
            <w:pStyle w:val="Header"/>
            <w:jc w:val="center"/>
            <w:rPr>
              <w:b/>
              <w:color w:val="808080"/>
              <w:sz w:val="18"/>
              <w:szCs w:val="18"/>
              <w:lang w:val="en-GB" w:eastAsia="ja-JP"/>
            </w:rPr>
          </w:pPr>
        </w:p>
      </w:tc>
    </w:tr>
  </w:tbl>
  <w:p w14:paraId="6C6948E1" w14:textId="77777777" w:rsidR="007C594F" w:rsidRDefault="007C59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Borders>
        <w:top w:val="single" w:sz="8" w:space="0" w:color="BFBFBF"/>
      </w:tblBorders>
      <w:tblLayout w:type="fixed"/>
      <w:tblLook w:val="04A0" w:firstRow="1" w:lastRow="0" w:firstColumn="1" w:lastColumn="0" w:noHBand="0" w:noVBand="1"/>
    </w:tblPr>
    <w:tblGrid>
      <w:gridCol w:w="1134"/>
      <w:gridCol w:w="6804"/>
      <w:gridCol w:w="1134"/>
    </w:tblGrid>
    <w:tr w:rsidR="007D61C0" w:rsidRPr="00F10C6C" w14:paraId="1DD1A7DD" w14:textId="77777777">
      <w:trPr>
        <w:trHeight w:val="425"/>
      </w:trPr>
      <w:tc>
        <w:tcPr>
          <w:tcW w:w="1134" w:type="dxa"/>
          <w:tcBorders>
            <w:top w:val="nil"/>
            <w:bottom w:val="nil"/>
            <w:right w:val="dotted" w:sz="8" w:space="0" w:color="808080"/>
          </w:tcBorders>
          <w:shd w:val="clear" w:color="auto" w:fill="auto"/>
          <w:tcMar>
            <w:left w:w="0" w:type="dxa"/>
            <w:right w:w="0" w:type="dxa"/>
          </w:tcMar>
          <w:vAlign w:val="center"/>
        </w:tcPr>
        <w:p w14:paraId="182EE525" w14:textId="77777777" w:rsidR="007D61C0" w:rsidRPr="001E4BEC" w:rsidRDefault="007D61C0" w:rsidP="006A30AB">
          <w:pPr>
            <w:pStyle w:val="Header"/>
            <w:jc w:val="center"/>
            <w:rPr>
              <w:b/>
              <w:bCs/>
              <w:color w:val="808080"/>
              <w:sz w:val="18"/>
              <w:szCs w:val="18"/>
              <w:lang w:val="en-GB" w:eastAsia="ja-JP"/>
            </w:rPr>
          </w:pPr>
        </w:p>
      </w:tc>
      <w:tc>
        <w:tcPr>
          <w:tcW w:w="6804" w:type="dxa"/>
          <w:tcBorders>
            <w:top w:val="nil"/>
            <w:left w:val="dotted" w:sz="8" w:space="0" w:color="808080"/>
            <w:bottom w:val="nil"/>
            <w:right w:val="dotted" w:sz="8" w:space="0" w:color="808080"/>
          </w:tcBorders>
          <w:shd w:val="clear" w:color="auto" w:fill="auto"/>
          <w:tcMar>
            <w:left w:w="0" w:type="dxa"/>
            <w:right w:w="0" w:type="dxa"/>
          </w:tcMar>
          <w:vAlign w:val="center"/>
        </w:tcPr>
        <w:p w14:paraId="5A197A8E" w14:textId="77777777" w:rsidR="007D61C0" w:rsidRPr="001E4BEC" w:rsidRDefault="007D61C0" w:rsidP="00AB2CA6">
          <w:pPr>
            <w:pStyle w:val="Header"/>
            <w:jc w:val="center"/>
            <w:rPr>
              <w:color w:val="808080"/>
              <w:sz w:val="18"/>
              <w:szCs w:val="18"/>
              <w:lang w:val="en-GB" w:eastAsia="ja-JP"/>
            </w:rPr>
          </w:pPr>
          <w:r>
            <w:rPr>
              <w:color w:val="808080"/>
              <w:sz w:val="18"/>
              <w:szCs w:val="18"/>
              <w:lang w:val="en-GB" w:eastAsia="ja-JP"/>
            </w:rPr>
            <w:t>Practical antitrust tools for SMEs and larger companies</w:t>
          </w:r>
        </w:p>
      </w:tc>
      <w:tc>
        <w:tcPr>
          <w:tcW w:w="1134" w:type="dxa"/>
          <w:tcBorders>
            <w:top w:val="nil"/>
            <w:left w:val="dotted" w:sz="8" w:space="0" w:color="808080"/>
            <w:bottom w:val="nil"/>
          </w:tcBorders>
          <w:shd w:val="clear" w:color="auto" w:fill="auto"/>
          <w:tcMar>
            <w:left w:w="0" w:type="dxa"/>
            <w:right w:w="0" w:type="dxa"/>
          </w:tcMar>
          <w:vAlign w:val="center"/>
        </w:tcPr>
        <w:p w14:paraId="1E7F89AE" w14:textId="55969695" w:rsidR="007D61C0" w:rsidRPr="001E4BEC" w:rsidRDefault="007D61C0" w:rsidP="007E009E">
          <w:pPr>
            <w:pStyle w:val="Header"/>
            <w:jc w:val="center"/>
            <w:rPr>
              <w:color w:val="BFBFBF"/>
              <w:sz w:val="18"/>
              <w:szCs w:val="18"/>
              <w:lang w:val="en-GB" w:eastAsia="ja-JP"/>
            </w:rPr>
          </w:pPr>
          <w:r w:rsidRPr="001E4BEC">
            <w:rPr>
              <w:color w:val="808080"/>
              <w:sz w:val="18"/>
              <w:szCs w:val="18"/>
              <w:lang w:val="en-GB" w:eastAsia="ja-JP"/>
            </w:rPr>
            <w:t>20</w:t>
          </w:r>
          <w:r w:rsidR="008105E2">
            <w:rPr>
              <w:color w:val="808080"/>
              <w:sz w:val="18"/>
              <w:szCs w:val="18"/>
              <w:lang w:val="en-GB" w:eastAsia="ja-JP"/>
            </w:rPr>
            <w:t>24</w:t>
          </w:r>
        </w:p>
      </w:tc>
    </w:tr>
  </w:tbl>
  <w:p w14:paraId="0F217FFC" w14:textId="77777777" w:rsidR="007D61C0" w:rsidRDefault="007D61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Borders>
        <w:top w:val="single" w:sz="8" w:space="0" w:color="BFBFBF"/>
      </w:tblBorders>
      <w:tblLayout w:type="fixed"/>
      <w:tblCellMar>
        <w:left w:w="0" w:type="dxa"/>
        <w:right w:w="0" w:type="dxa"/>
      </w:tblCellMar>
      <w:tblLook w:val="04A0" w:firstRow="1" w:lastRow="0" w:firstColumn="1" w:lastColumn="0" w:noHBand="0" w:noVBand="1"/>
    </w:tblPr>
    <w:tblGrid>
      <w:gridCol w:w="1134"/>
      <w:gridCol w:w="6804"/>
      <w:gridCol w:w="1134"/>
    </w:tblGrid>
    <w:tr w:rsidR="007D61C0" w:rsidRPr="00F10C6C" w14:paraId="6FB2E682" w14:textId="77777777">
      <w:trPr>
        <w:trHeight w:val="425"/>
      </w:trPr>
      <w:tc>
        <w:tcPr>
          <w:tcW w:w="1134" w:type="dxa"/>
          <w:tcBorders>
            <w:top w:val="nil"/>
            <w:bottom w:val="nil"/>
            <w:right w:val="dotted" w:sz="8" w:space="0" w:color="808080"/>
          </w:tcBorders>
          <w:shd w:val="clear" w:color="auto" w:fill="auto"/>
          <w:vAlign w:val="center"/>
        </w:tcPr>
        <w:p w14:paraId="5A8C4247" w14:textId="6B00A267" w:rsidR="007D61C0" w:rsidRPr="001E4BEC" w:rsidRDefault="007D61C0" w:rsidP="007E009E">
          <w:pPr>
            <w:pStyle w:val="Header"/>
            <w:jc w:val="center"/>
            <w:rPr>
              <w:b/>
              <w:bCs/>
              <w:color w:val="FFFFFF"/>
              <w:sz w:val="18"/>
              <w:szCs w:val="18"/>
              <w:lang w:val="en-GB" w:eastAsia="ja-JP"/>
            </w:rPr>
          </w:pPr>
          <w:r w:rsidRPr="001E4BEC">
            <w:rPr>
              <w:color w:val="808080"/>
              <w:sz w:val="18"/>
              <w:szCs w:val="18"/>
              <w:lang w:val="en-GB" w:eastAsia="ja-JP"/>
            </w:rPr>
            <w:t>20</w:t>
          </w:r>
          <w:r w:rsidR="008105E2">
            <w:rPr>
              <w:color w:val="808080"/>
              <w:sz w:val="18"/>
              <w:szCs w:val="18"/>
              <w:lang w:val="en-GB" w:eastAsia="ja-JP"/>
            </w:rPr>
            <w:t>24</w:t>
          </w:r>
        </w:p>
      </w:tc>
      <w:tc>
        <w:tcPr>
          <w:tcW w:w="6804" w:type="dxa"/>
          <w:tcBorders>
            <w:top w:val="nil"/>
            <w:left w:val="dotted" w:sz="8" w:space="0" w:color="808080"/>
            <w:bottom w:val="nil"/>
            <w:right w:val="dotted" w:sz="8" w:space="0" w:color="808080"/>
          </w:tcBorders>
          <w:shd w:val="clear" w:color="auto" w:fill="auto"/>
          <w:tcMar>
            <w:right w:w="0" w:type="dxa"/>
          </w:tcMar>
          <w:vAlign w:val="center"/>
        </w:tcPr>
        <w:p w14:paraId="51D77C20" w14:textId="7D02E23E" w:rsidR="007D61C0" w:rsidRPr="001E4BEC" w:rsidRDefault="0054550F" w:rsidP="00AB2CA6">
          <w:pPr>
            <w:pStyle w:val="Header"/>
            <w:jc w:val="center"/>
            <w:rPr>
              <w:color w:val="808080"/>
              <w:sz w:val="18"/>
              <w:szCs w:val="18"/>
              <w:lang w:val="en-GB" w:eastAsia="ja-JP"/>
            </w:rPr>
          </w:pPr>
          <w:r>
            <w:rPr>
              <w:color w:val="808080"/>
              <w:sz w:val="18"/>
              <w:szCs w:val="18"/>
              <w:lang w:val="en-GB" w:eastAsia="ja-JP"/>
            </w:rPr>
            <w:t>Practical antitrust tools for SMEs and larger companies</w:t>
          </w:r>
        </w:p>
      </w:tc>
      <w:tc>
        <w:tcPr>
          <w:tcW w:w="1134" w:type="dxa"/>
          <w:tcBorders>
            <w:top w:val="nil"/>
            <w:left w:val="dotted" w:sz="8" w:space="0" w:color="808080"/>
            <w:bottom w:val="nil"/>
          </w:tcBorders>
          <w:shd w:val="clear" w:color="auto" w:fill="auto"/>
          <w:vAlign w:val="center"/>
        </w:tcPr>
        <w:p w14:paraId="52C1CBC3" w14:textId="77777777" w:rsidR="007D61C0" w:rsidRPr="001E4BEC" w:rsidRDefault="007D61C0" w:rsidP="006A30AB">
          <w:pPr>
            <w:pStyle w:val="Header"/>
            <w:jc w:val="center"/>
            <w:rPr>
              <w:b/>
              <w:color w:val="808080"/>
              <w:sz w:val="18"/>
              <w:szCs w:val="18"/>
              <w:lang w:val="en-GB" w:eastAsia="ja-JP"/>
            </w:rPr>
          </w:pPr>
        </w:p>
      </w:tc>
    </w:tr>
  </w:tbl>
  <w:p w14:paraId="3D41EDEE" w14:textId="77777777" w:rsidR="007D61C0" w:rsidRDefault="007D61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3CD44" w14:textId="77777777" w:rsidR="00117FB0" w:rsidRDefault="00117FB0" w:rsidP="00117FB0">
    <w:pPr>
      <w:pStyle w:val="TOCHeader"/>
      <w:tabs>
        <w:tab w:val="center" w:pos="4496"/>
        <w:tab w:val="right" w:pos="8992"/>
      </w:tabs>
      <w:rPr>
        <w:u w:val="single"/>
      </w:rPr>
    </w:pPr>
    <w:r w:rsidRPr="00117FB0">
      <w:rPr>
        <w:b/>
        <w:caps/>
      </w:rPr>
      <w:t>Table of Contents</w:t>
    </w:r>
  </w:p>
  <w:p w14:paraId="16566D4B" w14:textId="77777777" w:rsidR="00117FB0" w:rsidRDefault="00117FB0" w:rsidP="00117FB0">
    <w:pPr>
      <w:pStyle w:val="TOCHeader"/>
      <w:tabs>
        <w:tab w:val="center" w:pos="4496"/>
        <w:tab w:val="right" w:pos="8992"/>
      </w:tabs>
    </w:pPr>
    <w:r>
      <w:t>(continued)</w:t>
    </w:r>
  </w:p>
  <w:p w14:paraId="0CAB8395" w14:textId="77777777" w:rsidR="00117FB0" w:rsidRDefault="00117FB0" w:rsidP="00117FB0">
    <w:pPr>
      <w:pStyle w:val="TOCHeader"/>
      <w:tabs>
        <w:tab w:val="center" w:pos="4496"/>
        <w:tab w:val="right" w:pos="8992"/>
      </w:tabs>
      <w:spacing w:after="200"/>
      <w:jc w:val="right"/>
      <w:rPr>
        <w:u w:val="single"/>
      </w:rPr>
    </w:pPr>
    <w:r w:rsidRPr="00117FB0">
      <w:rPr>
        <w:b/>
      </w:rPr>
      <w:t>Page</w:t>
    </w:r>
  </w:p>
  <w:p w14:paraId="2B484F6D" w14:textId="77777777" w:rsidR="00117FB0" w:rsidRPr="00117FB0" w:rsidRDefault="00117FB0" w:rsidP="00117FB0">
    <w:pPr>
      <w:pStyle w:val="Header"/>
      <w:tabs>
        <w:tab w:val="clear" w:pos="4320"/>
        <w:tab w:val="clear" w:pos="8640"/>
        <w:tab w:val="center" w:pos="4496"/>
        <w:tab w:val="right" w:pos="8992"/>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Borders>
        <w:top w:val="single" w:sz="8" w:space="0" w:color="BFBFBF"/>
      </w:tblBorders>
      <w:tblLayout w:type="fixed"/>
      <w:tblCellMar>
        <w:left w:w="0" w:type="dxa"/>
        <w:right w:w="0" w:type="dxa"/>
      </w:tblCellMar>
      <w:tblLook w:val="04A0" w:firstRow="1" w:lastRow="0" w:firstColumn="1" w:lastColumn="0" w:noHBand="0" w:noVBand="1"/>
    </w:tblPr>
    <w:tblGrid>
      <w:gridCol w:w="1134"/>
      <w:gridCol w:w="6804"/>
      <w:gridCol w:w="1134"/>
    </w:tblGrid>
    <w:tr w:rsidR="00FD2B9A" w:rsidRPr="00FD2B9A" w14:paraId="30C61D3D" w14:textId="77777777" w:rsidTr="006F1D02">
      <w:trPr>
        <w:trHeight w:val="425"/>
      </w:trPr>
      <w:tc>
        <w:tcPr>
          <w:tcW w:w="1134" w:type="dxa"/>
          <w:tcBorders>
            <w:top w:val="nil"/>
            <w:bottom w:val="nil"/>
            <w:right w:val="dotted" w:sz="8" w:space="0" w:color="808080"/>
          </w:tcBorders>
          <w:shd w:val="clear" w:color="auto" w:fill="auto"/>
          <w:vAlign w:val="center"/>
        </w:tcPr>
        <w:p w14:paraId="6FFCD177" w14:textId="77777777" w:rsidR="00FD2B9A" w:rsidRPr="00FD2B9A" w:rsidRDefault="00FD2B9A" w:rsidP="00FD2B9A">
          <w:pPr>
            <w:tabs>
              <w:tab w:val="center" w:pos="4320"/>
              <w:tab w:val="right" w:pos="8640"/>
            </w:tabs>
            <w:spacing w:after="0"/>
            <w:jc w:val="center"/>
            <w:rPr>
              <w:b/>
              <w:bCs/>
              <w:color w:val="FFFFFF"/>
              <w:sz w:val="18"/>
              <w:szCs w:val="18"/>
            </w:rPr>
          </w:pPr>
          <w:r w:rsidRPr="00FD2B9A">
            <w:rPr>
              <w:color w:val="808080"/>
              <w:sz w:val="18"/>
              <w:szCs w:val="18"/>
            </w:rPr>
            <w:t>2024</w:t>
          </w:r>
        </w:p>
      </w:tc>
      <w:tc>
        <w:tcPr>
          <w:tcW w:w="6804" w:type="dxa"/>
          <w:tcBorders>
            <w:top w:val="nil"/>
            <w:left w:val="dotted" w:sz="8" w:space="0" w:color="808080"/>
            <w:bottom w:val="nil"/>
            <w:right w:val="dotted" w:sz="8" w:space="0" w:color="808080"/>
          </w:tcBorders>
          <w:shd w:val="clear" w:color="auto" w:fill="auto"/>
          <w:tcMar>
            <w:right w:w="0" w:type="dxa"/>
          </w:tcMar>
          <w:vAlign w:val="center"/>
        </w:tcPr>
        <w:p w14:paraId="50FCA296" w14:textId="77777777" w:rsidR="00FD2B9A" w:rsidRPr="00FD2B9A" w:rsidRDefault="00FD2B9A" w:rsidP="00FD2B9A">
          <w:pPr>
            <w:tabs>
              <w:tab w:val="center" w:pos="4320"/>
              <w:tab w:val="right" w:pos="8640"/>
            </w:tabs>
            <w:spacing w:after="0"/>
            <w:jc w:val="center"/>
            <w:rPr>
              <w:color w:val="808080"/>
              <w:sz w:val="18"/>
              <w:szCs w:val="18"/>
            </w:rPr>
          </w:pPr>
          <w:r w:rsidRPr="00FD2B9A">
            <w:rPr>
              <w:color w:val="808080"/>
              <w:sz w:val="18"/>
              <w:szCs w:val="18"/>
            </w:rPr>
            <w:t>Practical antitrust tools for SMEs and larger companies</w:t>
          </w:r>
        </w:p>
      </w:tc>
      <w:tc>
        <w:tcPr>
          <w:tcW w:w="1134" w:type="dxa"/>
          <w:tcBorders>
            <w:top w:val="nil"/>
            <w:left w:val="dotted" w:sz="8" w:space="0" w:color="808080"/>
            <w:bottom w:val="nil"/>
          </w:tcBorders>
          <w:shd w:val="clear" w:color="auto" w:fill="auto"/>
          <w:vAlign w:val="center"/>
        </w:tcPr>
        <w:p w14:paraId="06F6451D" w14:textId="77777777" w:rsidR="00FD2B9A" w:rsidRPr="00FD2B9A" w:rsidRDefault="00FD2B9A" w:rsidP="00FD2B9A">
          <w:pPr>
            <w:tabs>
              <w:tab w:val="center" w:pos="4320"/>
              <w:tab w:val="right" w:pos="8640"/>
            </w:tabs>
            <w:spacing w:after="0"/>
            <w:jc w:val="center"/>
            <w:rPr>
              <w:b/>
              <w:color w:val="808080"/>
              <w:sz w:val="18"/>
              <w:szCs w:val="18"/>
            </w:rPr>
          </w:pPr>
        </w:p>
      </w:tc>
    </w:tr>
  </w:tbl>
  <w:p w14:paraId="2A12AF9A" w14:textId="77777777" w:rsidR="00117FB0" w:rsidRPr="00117FB0" w:rsidRDefault="00117FB0" w:rsidP="00117FB0">
    <w:pPr>
      <w:pStyle w:val="Header"/>
      <w:tabs>
        <w:tab w:val="clear" w:pos="4320"/>
        <w:tab w:val="clear" w:pos="8640"/>
        <w:tab w:val="center" w:pos="4496"/>
        <w:tab w:val="right" w:pos="89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C05"/>
    <w:multiLevelType w:val="hybridMultilevel"/>
    <w:tmpl w:val="64267EAC"/>
    <w:lvl w:ilvl="0" w:tplc="040C0005">
      <w:start w:val="1"/>
      <w:numFmt w:val="bullet"/>
      <w:lvlText w:val=""/>
      <w:lvlJc w:val="left"/>
      <w:pPr>
        <w:ind w:left="765" w:hanging="360"/>
      </w:pPr>
      <w:rPr>
        <w:rFonts w:ascii="Wingdings" w:hAnsi="Wingdings"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15:restartNumberingAfterBreak="0">
    <w:nsid w:val="02CF74D2"/>
    <w:multiLevelType w:val="hybridMultilevel"/>
    <w:tmpl w:val="4CDE39A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F37324"/>
    <w:multiLevelType w:val="hybridMultilevel"/>
    <w:tmpl w:val="11648D30"/>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B682A"/>
    <w:multiLevelType w:val="hybridMultilevel"/>
    <w:tmpl w:val="D8CA5804"/>
    <w:lvl w:ilvl="0" w:tplc="040C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908" w:hanging="360"/>
      </w:pPr>
      <w:rPr>
        <w:rFonts w:ascii="Courier New" w:hAnsi="Courier New" w:cs="Courier New" w:hint="default"/>
      </w:rPr>
    </w:lvl>
    <w:lvl w:ilvl="2" w:tplc="08130005" w:tentative="1">
      <w:start w:val="1"/>
      <w:numFmt w:val="bullet"/>
      <w:lvlText w:val=""/>
      <w:lvlJc w:val="left"/>
      <w:pPr>
        <w:ind w:left="2628" w:hanging="360"/>
      </w:pPr>
      <w:rPr>
        <w:rFonts w:ascii="Wingdings" w:hAnsi="Wingdings" w:hint="default"/>
      </w:rPr>
    </w:lvl>
    <w:lvl w:ilvl="3" w:tplc="08130001" w:tentative="1">
      <w:start w:val="1"/>
      <w:numFmt w:val="bullet"/>
      <w:lvlText w:val=""/>
      <w:lvlJc w:val="left"/>
      <w:pPr>
        <w:ind w:left="3348" w:hanging="360"/>
      </w:pPr>
      <w:rPr>
        <w:rFonts w:ascii="Symbol" w:hAnsi="Symbol" w:hint="default"/>
      </w:rPr>
    </w:lvl>
    <w:lvl w:ilvl="4" w:tplc="08130003" w:tentative="1">
      <w:start w:val="1"/>
      <w:numFmt w:val="bullet"/>
      <w:lvlText w:val="o"/>
      <w:lvlJc w:val="left"/>
      <w:pPr>
        <w:ind w:left="4068" w:hanging="360"/>
      </w:pPr>
      <w:rPr>
        <w:rFonts w:ascii="Courier New" w:hAnsi="Courier New" w:cs="Courier New" w:hint="default"/>
      </w:rPr>
    </w:lvl>
    <w:lvl w:ilvl="5" w:tplc="08130005" w:tentative="1">
      <w:start w:val="1"/>
      <w:numFmt w:val="bullet"/>
      <w:lvlText w:val=""/>
      <w:lvlJc w:val="left"/>
      <w:pPr>
        <w:ind w:left="4788" w:hanging="360"/>
      </w:pPr>
      <w:rPr>
        <w:rFonts w:ascii="Wingdings" w:hAnsi="Wingdings" w:hint="default"/>
      </w:rPr>
    </w:lvl>
    <w:lvl w:ilvl="6" w:tplc="08130001" w:tentative="1">
      <w:start w:val="1"/>
      <w:numFmt w:val="bullet"/>
      <w:lvlText w:val=""/>
      <w:lvlJc w:val="left"/>
      <w:pPr>
        <w:ind w:left="5508" w:hanging="360"/>
      </w:pPr>
      <w:rPr>
        <w:rFonts w:ascii="Symbol" w:hAnsi="Symbol" w:hint="default"/>
      </w:rPr>
    </w:lvl>
    <w:lvl w:ilvl="7" w:tplc="08130003" w:tentative="1">
      <w:start w:val="1"/>
      <w:numFmt w:val="bullet"/>
      <w:lvlText w:val="o"/>
      <w:lvlJc w:val="left"/>
      <w:pPr>
        <w:ind w:left="6228" w:hanging="360"/>
      </w:pPr>
      <w:rPr>
        <w:rFonts w:ascii="Courier New" w:hAnsi="Courier New" w:cs="Courier New" w:hint="default"/>
      </w:rPr>
    </w:lvl>
    <w:lvl w:ilvl="8" w:tplc="08130005" w:tentative="1">
      <w:start w:val="1"/>
      <w:numFmt w:val="bullet"/>
      <w:lvlText w:val=""/>
      <w:lvlJc w:val="left"/>
      <w:pPr>
        <w:ind w:left="6948" w:hanging="360"/>
      </w:pPr>
      <w:rPr>
        <w:rFonts w:ascii="Wingdings" w:hAnsi="Wingdings" w:hint="default"/>
      </w:rPr>
    </w:lvl>
  </w:abstractNum>
  <w:abstractNum w:abstractNumId="4" w15:restartNumberingAfterBreak="0">
    <w:nsid w:val="0C9E2BEA"/>
    <w:multiLevelType w:val="hybridMultilevel"/>
    <w:tmpl w:val="7E7E32C4"/>
    <w:lvl w:ilvl="0" w:tplc="0B423872">
      <w:start w:val="1"/>
      <w:numFmt w:val="bullet"/>
      <w:lvlText w:val=""/>
      <w:lvlJc w:val="left"/>
      <w:pPr>
        <w:ind w:left="1287" w:hanging="360"/>
      </w:pPr>
      <w:rPr>
        <w:rFonts w:ascii="Wingdings" w:hAnsi="Wingdings" w:hint="default"/>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4496C1C"/>
    <w:multiLevelType w:val="hybridMultilevel"/>
    <w:tmpl w:val="8A3CA62A"/>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30794"/>
    <w:multiLevelType w:val="hybridMultilevel"/>
    <w:tmpl w:val="6F4ADD04"/>
    <w:lvl w:ilvl="0" w:tplc="04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01186"/>
    <w:multiLevelType w:val="hybridMultilevel"/>
    <w:tmpl w:val="02D896CC"/>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C1AF3"/>
    <w:multiLevelType w:val="hybridMultilevel"/>
    <w:tmpl w:val="4862646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B7302"/>
    <w:multiLevelType w:val="hybridMultilevel"/>
    <w:tmpl w:val="C47EB8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E6042"/>
    <w:multiLevelType w:val="hybridMultilevel"/>
    <w:tmpl w:val="EB8CFC38"/>
    <w:lvl w:ilvl="0" w:tplc="040C0005">
      <w:start w:val="1"/>
      <w:numFmt w:val="bullet"/>
      <w:lvlText w:val=""/>
      <w:lvlJc w:val="left"/>
      <w:pPr>
        <w:ind w:left="1080" w:hanging="360"/>
      </w:pPr>
      <w:rPr>
        <w:rFonts w:ascii="Wingdings" w:hAnsi="Wingdings" w:hint="default"/>
      </w:rPr>
    </w:lvl>
    <w:lvl w:ilvl="1" w:tplc="9BD6D872">
      <w:numFmt w:val="bullet"/>
      <w:lvlText w:val="•"/>
      <w:lvlJc w:val="left"/>
      <w:pPr>
        <w:ind w:left="1515" w:hanging="435"/>
      </w:pPr>
      <w:rPr>
        <w:rFonts w:ascii="Arial" w:eastAsia="Calibr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303ED7"/>
    <w:multiLevelType w:val="hybridMultilevel"/>
    <w:tmpl w:val="DE8E987E"/>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2119E"/>
    <w:multiLevelType w:val="hybridMultilevel"/>
    <w:tmpl w:val="C6F4F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93F00"/>
    <w:multiLevelType w:val="multilevel"/>
    <w:tmpl w:val="622EE03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BCF2166"/>
    <w:multiLevelType w:val="hybridMultilevel"/>
    <w:tmpl w:val="10806E52"/>
    <w:lvl w:ilvl="0" w:tplc="04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F876BFD"/>
    <w:multiLevelType w:val="hybridMultilevel"/>
    <w:tmpl w:val="1952AB0A"/>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A108F"/>
    <w:multiLevelType w:val="hybridMultilevel"/>
    <w:tmpl w:val="AF609E9E"/>
    <w:lvl w:ilvl="0" w:tplc="39BC6188">
      <w:start w:val="1"/>
      <w:numFmt w:val="bullet"/>
      <w:pStyle w:val="Sqbullets"/>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6129C"/>
    <w:multiLevelType w:val="hybridMultilevel"/>
    <w:tmpl w:val="2C36752E"/>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47C34690"/>
    <w:multiLevelType w:val="multilevel"/>
    <w:tmpl w:val="BE5EC8FA"/>
    <w:name w:val="zzmpOUTLINEA||OUTLINE ARABIC|2|3|1|1|0|4||1|0|0||1|0|0||1|0|0||1|0|0||1|0|0||1|0|0||1|0|0||1|0|0||"/>
    <w:lvl w:ilvl="0">
      <w:start w:val="1"/>
      <w:numFmt w:val="decimal"/>
      <w:pStyle w:val="OUTLINEAL1"/>
      <w:lvlText w:val="%1."/>
      <w:lvlJc w:val="left"/>
      <w:pPr>
        <w:ind w:left="360" w:hanging="360"/>
      </w:pPr>
      <w:rPr>
        <w:rFonts w:ascii="Arial Bold" w:hAnsi="Arial Bold" w:cs="Arial Bold" w:hint="default"/>
        <w:b/>
        <w:bCs/>
        <w:i w:val="0"/>
        <w:iCs w:val="0"/>
        <w:caps w:val="0"/>
        <w:sz w:val="24"/>
        <w:szCs w:val="24"/>
        <w:u w:val="none"/>
      </w:rPr>
    </w:lvl>
    <w:lvl w:ilvl="1">
      <w:start w:val="1"/>
      <w:numFmt w:val="lowerLetter"/>
      <w:lvlText w:val="(%2)"/>
      <w:lvlJc w:val="left"/>
      <w:pPr>
        <w:tabs>
          <w:tab w:val="num" w:pos="1440"/>
        </w:tabs>
        <w:ind w:left="1440" w:hanging="720"/>
      </w:pPr>
      <w:rPr>
        <w:rFonts w:ascii="Arial" w:hAnsi="Arial" w:cs="Arial"/>
        <w:b w:val="0"/>
        <w:i w:val="0"/>
        <w:caps w:val="0"/>
        <w:sz w:val="20"/>
        <w:u w:val="none"/>
      </w:rPr>
    </w:lvl>
    <w:lvl w:ilvl="2">
      <w:start w:val="1"/>
      <w:numFmt w:val="lowerRoman"/>
      <w:pStyle w:val="OUTLINEAL3"/>
      <w:lvlText w:val="(%3)"/>
      <w:lvlJc w:val="left"/>
      <w:pPr>
        <w:tabs>
          <w:tab w:val="num" w:pos="2160"/>
        </w:tabs>
        <w:ind w:left="2160" w:hanging="720"/>
      </w:pPr>
      <w:rPr>
        <w:rFonts w:ascii="Arial" w:hAnsi="Arial" w:cs="Arial"/>
        <w:b w:val="0"/>
        <w:i w:val="0"/>
        <w:caps w:val="0"/>
        <w:sz w:val="20"/>
        <w:u w:val="none"/>
      </w:rPr>
    </w:lvl>
    <w:lvl w:ilvl="3">
      <w:start w:val="1"/>
      <w:numFmt w:val="upperLetter"/>
      <w:pStyle w:val="OUTLINEAL4"/>
      <w:lvlText w:val="(%4)"/>
      <w:lvlJc w:val="left"/>
      <w:pPr>
        <w:tabs>
          <w:tab w:val="num" w:pos="2880"/>
        </w:tabs>
        <w:ind w:left="2880" w:hanging="720"/>
      </w:pPr>
      <w:rPr>
        <w:rFonts w:ascii="Arial" w:hAnsi="Arial" w:cs="Arial"/>
        <w:b w:val="0"/>
        <w:i w:val="0"/>
        <w:sz w:val="20"/>
        <w:u w:val="none"/>
      </w:rPr>
    </w:lvl>
    <w:lvl w:ilvl="4">
      <w:start w:val="1"/>
      <w:numFmt w:val="decimal"/>
      <w:pStyle w:val="OUTLINEAL5"/>
      <w:lvlText w:val="(%5)"/>
      <w:lvlJc w:val="left"/>
      <w:pPr>
        <w:tabs>
          <w:tab w:val="num" w:pos="3600"/>
        </w:tabs>
        <w:ind w:left="3600" w:hanging="720"/>
      </w:pPr>
      <w:rPr>
        <w:rFonts w:ascii="Arial" w:hAnsi="Arial" w:cs="Arial"/>
        <w:b w:val="0"/>
        <w:i w:val="0"/>
        <w:caps w:val="0"/>
        <w:sz w:val="20"/>
        <w:u w:val="none"/>
      </w:rPr>
    </w:lvl>
    <w:lvl w:ilvl="5">
      <w:start w:val="1"/>
      <w:numFmt w:val="lowerLetter"/>
      <w:pStyle w:val="OUTLINEAL6"/>
      <w:lvlText w:val="%6)"/>
      <w:lvlJc w:val="left"/>
      <w:pPr>
        <w:tabs>
          <w:tab w:val="num" w:pos="3600"/>
        </w:tabs>
        <w:ind w:left="3600" w:hanging="720"/>
      </w:pPr>
      <w:rPr>
        <w:rFonts w:ascii="Arial" w:hAnsi="Arial" w:cs="Arial"/>
        <w:b w:val="0"/>
        <w:i w:val="0"/>
        <w:caps w:val="0"/>
        <w:sz w:val="20"/>
        <w:u w:val="none"/>
      </w:rPr>
    </w:lvl>
    <w:lvl w:ilvl="6">
      <w:start w:val="1"/>
      <w:numFmt w:val="lowerRoman"/>
      <w:pStyle w:val="OUTLINEAL7"/>
      <w:lvlText w:val="%7)"/>
      <w:lvlJc w:val="left"/>
      <w:pPr>
        <w:tabs>
          <w:tab w:val="num" w:pos="3600"/>
        </w:tabs>
        <w:ind w:left="3600" w:hanging="720"/>
      </w:pPr>
      <w:rPr>
        <w:rFonts w:ascii="Arial" w:hAnsi="Arial" w:cs="Arial"/>
        <w:b w:val="0"/>
        <w:i w:val="0"/>
        <w:caps w:val="0"/>
        <w:sz w:val="20"/>
        <w:u w:val="none"/>
      </w:rPr>
    </w:lvl>
    <w:lvl w:ilvl="7">
      <w:start w:val="1"/>
      <w:numFmt w:val="upperLetter"/>
      <w:pStyle w:val="OUTLINEAL8"/>
      <w:lvlText w:val="%8)"/>
      <w:lvlJc w:val="left"/>
      <w:pPr>
        <w:tabs>
          <w:tab w:val="num" w:pos="3600"/>
        </w:tabs>
        <w:ind w:left="3600" w:hanging="720"/>
      </w:pPr>
      <w:rPr>
        <w:rFonts w:ascii="Arial" w:hAnsi="Arial" w:cs="Arial"/>
        <w:b w:val="0"/>
        <w:i w:val="0"/>
        <w:sz w:val="20"/>
        <w:u w:val="none"/>
      </w:rPr>
    </w:lvl>
    <w:lvl w:ilvl="8">
      <w:start w:val="1"/>
      <w:numFmt w:val="decimal"/>
      <w:pStyle w:val="OUTLINEAL9"/>
      <w:lvlText w:val="%9)"/>
      <w:lvlJc w:val="left"/>
      <w:pPr>
        <w:tabs>
          <w:tab w:val="num" w:pos="3600"/>
        </w:tabs>
        <w:ind w:left="3600" w:hanging="720"/>
      </w:pPr>
      <w:rPr>
        <w:rFonts w:ascii="Arial" w:hAnsi="Arial" w:cs="Arial"/>
        <w:b w:val="0"/>
        <w:i w:val="0"/>
        <w:caps w:val="0"/>
        <w:sz w:val="20"/>
        <w:u w:val="none"/>
      </w:rPr>
    </w:lvl>
  </w:abstractNum>
  <w:abstractNum w:abstractNumId="19" w15:restartNumberingAfterBreak="0">
    <w:nsid w:val="47EF6A9D"/>
    <w:multiLevelType w:val="hybridMultilevel"/>
    <w:tmpl w:val="932C813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90F0F99"/>
    <w:multiLevelType w:val="hybridMultilevel"/>
    <w:tmpl w:val="3D0C640E"/>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AAA1327"/>
    <w:multiLevelType w:val="hybridMultilevel"/>
    <w:tmpl w:val="CC1CE4CC"/>
    <w:lvl w:ilvl="0" w:tplc="08090005">
      <w:start w:val="1"/>
      <w:numFmt w:val="bullet"/>
      <w:lvlText w:val=""/>
      <w:lvlJc w:val="left"/>
      <w:pPr>
        <w:ind w:left="363" w:hanging="360"/>
      </w:pPr>
      <w:rPr>
        <w:rFonts w:ascii="Wingdings" w:hAnsi="Wingdings" w:hint="default"/>
      </w:rPr>
    </w:lvl>
    <w:lvl w:ilvl="1" w:tplc="04090005">
      <w:start w:val="1"/>
      <w:numFmt w:val="bullet"/>
      <w:lvlText w:val=""/>
      <w:lvlJc w:val="left"/>
      <w:pPr>
        <w:ind w:left="1083" w:hanging="360"/>
      </w:pPr>
      <w:rPr>
        <w:rFonts w:ascii="Wingdings" w:hAnsi="Wingdings" w:hint="default"/>
        <w:color w:val="auto"/>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F1B0FED"/>
    <w:multiLevelType w:val="hybridMultilevel"/>
    <w:tmpl w:val="5A141B44"/>
    <w:name w:val="zzmpOUTLINEA||OUTLINE ARABIC|2|3|1|1|0|4||1|0|0||1|0|0||1|0|0||1|0|0||1|0|0||1|0|0||1|0|0||1|0|0||2"/>
    <w:lvl w:ilvl="0" w:tplc="2926093A">
      <w:start w:val="1"/>
      <w:numFmt w:val="lowerLetter"/>
      <w:pStyle w:val="OUTLINEAL2"/>
      <w:lvlText w:val="%1."/>
      <w:lvlJc w:val="left"/>
      <w:pPr>
        <w:ind w:left="360" w:hanging="360"/>
      </w:pPr>
      <w:rPr>
        <w:rFonts w:hint="default"/>
        <w:b/>
        <w:bCs/>
        <w:i w:val="0"/>
        <w:iCs w:val="0"/>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0F03C33"/>
    <w:multiLevelType w:val="hybridMultilevel"/>
    <w:tmpl w:val="3FBA1DE6"/>
    <w:lvl w:ilvl="0" w:tplc="040C0005">
      <w:start w:val="1"/>
      <w:numFmt w:val="bullet"/>
      <w:lvlText w:val=""/>
      <w:lvlJc w:val="left"/>
      <w:pPr>
        <w:ind w:left="1429" w:hanging="360"/>
      </w:pPr>
      <w:rPr>
        <w:rFonts w:ascii="Wingdings" w:hAnsi="Wingdings" w:hint="default"/>
      </w:rPr>
    </w:lvl>
    <w:lvl w:ilvl="1" w:tplc="040C0005">
      <w:start w:val="1"/>
      <w:numFmt w:val="bullet"/>
      <w:lvlText w:val=""/>
      <w:lvlJc w:val="left"/>
      <w:pPr>
        <w:ind w:left="2149" w:hanging="360"/>
      </w:pPr>
      <w:rPr>
        <w:rFonts w:ascii="Wingdings" w:hAnsi="Wingdings"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15:restartNumberingAfterBreak="0">
    <w:nsid w:val="513B79C2"/>
    <w:multiLevelType w:val="hybridMultilevel"/>
    <w:tmpl w:val="CBF04ECC"/>
    <w:lvl w:ilvl="0" w:tplc="04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742565C"/>
    <w:multiLevelType w:val="hybridMultilevel"/>
    <w:tmpl w:val="81225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70385"/>
    <w:multiLevelType w:val="hybridMultilevel"/>
    <w:tmpl w:val="4BD6BCD6"/>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52409"/>
    <w:multiLevelType w:val="hybridMultilevel"/>
    <w:tmpl w:val="5E100A22"/>
    <w:lvl w:ilvl="0" w:tplc="04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FAB609A"/>
    <w:multiLevelType w:val="hybridMultilevel"/>
    <w:tmpl w:val="94C4943C"/>
    <w:lvl w:ilvl="0" w:tplc="08090005">
      <w:start w:val="1"/>
      <w:numFmt w:val="bullet"/>
      <w:lvlText w:val=""/>
      <w:lvlJc w:val="left"/>
      <w:pPr>
        <w:ind w:left="363" w:hanging="360"/>
      </w:pPr>
      <w:rPr>
        <w:rFonts w:ascii="Wingdings" w:hAnsi="Wingdings"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5FE52AB2"/>
    <w:multiLevelType w:val="hybridMultilevel"/>
    <w:tmpl w:val="5B7AB15A"/>
    <w:lvl w:ilvl="0" w:tplc="04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0C00115"/>
    <w:multiLevelType w:val="hybridMultilevel"/>
    <w:tmpl w:val="4364AC8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62D3A"/>
    <w:multiLevelType w:val="hybridMultilevel"/>
    <w:tmpl w:val="8E302D6C"/>
    <w:lvl w:ilvl="0" w:tplc="0409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26D38F2"/>
    <w:multiLevelType w:val="hybridMultilevel"/>
    <w:tmpl w:val="A132A18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004593"/>
    <w:multiLevelType w:val="hybridMultilevel"/>
    <w:tmpl w:val="CB12FEA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624B2"/>
    <w:multiLevelType w:val="hybridMultilevel"/>
    <w:tmpl w:val="ECD68916"/>
    <w:lvl w:ilvl="0" w:tplc="040C0005">
      <w:start w:val="1"/>
      <w:numFmt w:val="bullet"/>
      <w:lvlText w:val=""/>
      <w:lvlJc w:val="left"/>
      <w:pPr>
        <w:ind w:left="720" w:hanging="360"/>
      </w:pPr>
      <w:rPr>
        <w:rFonts w:ascii="Wingdings" w:hAnsi="Wingdings"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35" w15:restartNumberingAfterBreak="0">
    <w:nsid w:val="6FA26BEA"/>
    <w:multiLevelType w:val="hybridMultilevel"/>
    <w:tmpl w:val="5CDA79C8"/>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3635C8"/>
    <w:multiLevelType w:val="hybridMultilevel"/>
    <w:tmpl w:val="E2207DF6"/>
    <w:lvl w:ilvl="0" w:tplc="08090005">
      <w:start w:val="1"/>
      <w:numFmt w:val="bullet"/>
      <w:lvlText w:val=""/>
      <w:lvlJc w:val="left"/>
      <w:pPr>
        <w:ind w:left="363" w:hanging="360"/>
      </w:pPr>
      <w:rPr>
        <w:rFonts w:ascii="Wingdings" w:hAnsi="Wingdings" w:hint="default"/>
      </w:rPr>
    </w:lvl>
    <w:lvl w:ilvl="1" w:tplc="60668CF6">
      <w:start w:val="1"/>
      <w:numFmt w:val="bullet"/>
      <w:lvlText w:val="-"/>
      <w:lvlJc w:val="left"/>
      <w:pPr>
        <w:ind w:left="1083" w:hanging="360"/>
      </w:pPr>
      <w:rPr>
        <w:rFonts w:ascii="Courier New" w:hAnsi="Courier New" w:hint="default"/>
        <w:color w:val="auto"/>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7A381013"/>
    <w:multiLevelType w:val="hybridMultilevel"/>
    <w:tmpl w:val="92C86C6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6B2AF2"/>
    <w:multiLevelType w:val="hybridMultilevel"/>
    <w:tmpl w:val="5F72016A"/>
    <w:lvl w:ilvl="0" w:tplc="04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DE805E2"/>
    <w:multiLevelType w:val="hybridMultilevel"/>
    <w:tmpl w:val="C158E062"/>
    <w:lvl w:ilvl="0" w:tplc="04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47642940">
    <w:abstractNumId w:val="12"/>
  </w:num>
  <w:num w:numId="2" w16cid:durableId="1468549121">
    <w:abstractNumId w:val="16"/>
  </w:num>
  <w:num w:numId="3" w16cid:durableId="700742499">
    <w:abstractNumId w:val="34"/>
  </w:num>
  <w:num w:numId="4" w16cid:durableId="1936984309">
    <w:abstractNumId w:val="5"/>
  </w:num>
  <w:num w:numId="5" w16cid:durableId="1544947630">
    <w:abstractNumId w:val="10"/>
  </w:num>
  <w:num w:numId="6" w16cid:durableId="1066950567">
    <w:abstractNumId w:val="39"/>
  </w:num>
  <w:num w:numId="7" w16cid:durableId="1406075853">
    <w:abstractNumId w:val="35"/>
  </w:num>
  <w:num w:numId="8" w16cid:durableId="746419237">
    <w:abstractNumId w:val="33"/>
  </w:num>
  <w:num w:numId="9" w16cid:durableId="603919909">
    <w:abstractNumId w:val="23"/>
  </w:num>
  <w:num w:numId="10" w16cid:durableId="1445272068">
    <w:abstractNumId w:val="8"/>
  </w:num>
  <w:num w:numId="11" w16cid:durableId="902522955">
    <w:abstractNumId w:val="9"/>
  </w:num>
  <w:num w:numId="12" w16cid:durableId="297416841">
    <w:abstractNumId w:val="28"/>
  </w:num>
  <w:num w:numId="13" w16cid:durableId="146015824">
    <w:abstractNumId w:val="24"/>
  </w:num>
  <w:num w:numId="14" w16cid:durableId="279847376">
    <w:abstractNumId w:val="0"/>
  </w:num>
  <w:num w:numId="15" w16cid:durableId="631057823">
    <w:abstractNumId w:val="20"/>
  </w:num>
  <w:num w:numId="16" w16cid:durableId="1321080661">
    <w:abstractNumId w:val="4"/>
  </w:num>
  <w:num w:numId="17" w16cid:durableId="1646618735">
    <w:abstractNumId w:val="38"/>
  </w:num>
  <w:num w:numId="18" w16cid:durableId="461771056">
    <w:abstractNumId w:val="17"/>
  </w:num>
  <w:num w:numId="19" w16cid:durableId="1073774405">
    <w:abstractNumId w:val="13"/>
  </w:num>
  <w:num w:numId="20" w16cid:durableId="1855266774">
    <w:abstractNumId w:val="3"/>
  </w:num>
  <w:num w:numId="21" w16cid:durableId="206651058">
    <w:abstractNumId w:val="14"/>
  </w:num>
  <w:num w:numId="22" w16cid:durableId="1474057304">
    <w:abstractNumId w:val="11"/>
  </w:num>
  <w:num w:numId="23" w16cid:durableId="83965291">
    <w:abstractNumId w:val="29"/>
  </w:num>
  <w:num w:numId="24" w16cid:durableId="1767536724">
    <w:abstractNumId w:val="27"/>
  </w:num>
  <w:num w:numId="25" w16cid:durableId="537359725">
    <w:abstractNumId w:val="15"/>
  </w:num>
  <w:num w:numId="26" w16cid:durableId="112212254">
    <w:abstractNumId w:val="7"/>
  </w:num>
  <w:num w:numId="27" w16cid:durableId="2037148068">
    <w:abstractNumId w:val="26"/>
  </w:num>
  <w:num w:numId="28" w16cid:durableId="609163952">
    <w:abstractNumId w:val="2"/>
  </w:num>
  <w:num w:numId="29" w16cid:durableId="1684546448">
    <w:abstractNumId w:val="30"/>
  </w:num>
  <w:num w:numId="30" w16cid:durableId="863177992">
    <w:abstractNumId w:val="1"/>
  </w:num>
  <w:num w:numId="31" w16cid:durableId="1959221921">
    <w:abstractNumId w:val="36"/>
  </w:num>
  <w:num w:numId="32" w16cid:durableId="979454615">
    <w:abstractNumId w:val="31"/>
  </w:num>
  <w:num w:numId="33" w16cid:durableId="1171723125">
    <w:abstractNumId w:val="32"/>
  </w:num>
  <w:num w:numId="34" w16cid:durableId="1959800934">
    <w:abstractNumId w:val="21"/>
  </w:num>
  <w:num w:numId="35" w16cid:durableId="1122184757">
    <w:abstractNumId w:val="25"/>
  </w:num>
  <w:num w:numId="36" w16cid:durableId="1862083437">
    <w:abstractNumId w:val="19"/>
  </w:num>
  <w:num w:numId="37" w16cid:durableId="2142378742">
    <w:abstractNumId w:val="37"/>
  </w:num>
  <w:num w:numId="38" w16cid:durableId="1120104088">
    <w:abstractNumId w:val="18"/>
  </w:num>
  <w:num w:numId="39" w16cid:durableId="1851866561">
    <w:abstractNumId w:val="22"/>
  </w:num>
  <w:num w:numId="40" w16cid:durableId="698552786">
    <w:abstractNumId w:val="22"/>
    <w:lvlOverride w:ilvl="0">
      <w:startOverride w:val="1"/>
    </w:lvlOverride>
  </w:num>
  <w:num w:numId="41" w16cid:durableId="1397556052">
    <w:abstractNumId w:val="22"/>
    <w:lvlOverride w:ilvl="0">
      <w:startOverride w:val="1"/>
    </w:lvlOverride>
  </w:num>
  <w:num w:numId="42" w16cid:durableId="1187599311">
    <w:abstractNumId w:val="22"/>
    <w:lvlOverride w:ilvl="0">
      <w:startOverride w:val="1"/>
    </w:lvlOverride>
  </w:num>
  <w:num w:numId="43" w16cid:durableId="1606226370">
    <w:abstractNumId w:val="22"/>
    <w:lvlOverride w:ilvl="0">
      <w:startOverride w:val="1"/>
    </w:lvlOverride>
  </w:num>
  <w:num w:numId="44" w16cid:durableId="2098672214">
    <w:abstractNumId w:val="22"/>
    <w:lvlOverride w:ilvl="0">
      <w:startOverride w:val="1"/>
    </w:lvlOverride>
  </w:num>
  <w:num w:numId="45" w16cid:durableId="324935377">
    <w:abstractNumId w:val="22"/>
    <w:lvlOverride w:ilvl="0">
      <w:startOverride w:val="1"/>
    </w:lvlOverride>
  </w:num>
  <w:num w:numId="46" w16cid:durableId="1841503614">
    <w:abstractNumId w:val="22"/>
    <w:lvlOverride w:ilvl="0">
      <w:startOverride w:val="1"/>
    </w:lvlOverride>
  </w:num>
  <w:num w:numId="47" w16cid:durableId="1244415373">
    <w:abstractNumId w:val="22"/>
    <w:lvlOverride w:ilvl="0">
      <w:startOverride w:val="1"/>
    </w:lvlOverride>
  </w:num>
  <w:num w:numId="48" w16cid:durableId="1637947533">
    <w:abstractNumId w:val="22"/>
    <w:lvlOverride w:ilvl="0">
      <w:startOverride w:val="1"/>
    </w:lvlOverride>
  </w:num>
  <w:num w:numId="49" w16cid:durableId="545528631">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de-AT" w:vendorID="64" w:dllVersion="6" w:nlCheck="1" w:checkStyle="1"/>
  <w:activeWritingStyle w:appName="MSWord" w:lang="es-MX"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MX" w:vendorID="64" w:dllVersion="0"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32"/>
    <w:rsid w:val="0000079B"/>
    <w:rsid w:val="00002E34"/>
    <w:rsid w:val="000058FA"/>
    <w:rsid w:val="00006F6B"/>
    <w:rsid w:val="00011618"/>
    <w:rsid w:val="000151C5"/>
    <w:rsid w:val="00015AF7"/>
    <w:rsid w:val="00015EA8"/>
    <w:rsid w:val="00016AFA"/>
    <w:rsid w:val="00017175"/>
    <w:rsid w:val="00020CA4"/>
    <w:rsid w:val="00021255"/>
    <w:rsid w:val="0002152B"/>
    <w:rsid w:val="00021EE3"/>
    <w:rsid w:val="0002258E"/>
    <w:rsid w:val="000244E1"/>
    <w:rsid w:val="00024B22"/>
    <w:rsid w:val="000261B1"/>
    <w:rsid w:val="000267A6"/>
    <w:rsid w:val="00026C7E"/>
    <w:rsid w:val="00030143"/>
    <w:rsid w:val="00031420"/>
    <w:rsid w:val="000318DF"/>
    <w:rsid w:val="00032FAE"/>
    <w:rsid w:val="000334CB"/>
    <w:rsid w:val="00033DCE"/>
    <w:rsid w:val="0003509C"/>
    <w:rsid w:val="00042928"/>
    <w:rsid w:val="00042AD5"/>
    <w:rsid w:val="00042D26"/>
    <w:rsid w:val="00043194"/>
    <w:rsid w:val="0004327D"/>
    <w:rsid w:val="00044499"/>
    <w:rsid w:val="000450E8"/>
    <w:rsid w:val="0004564B"/>
    <w:rsid w:val="00045781"/>
    <w:rsid w:val="000479A8"/>
    <w:rsid w:val="00047C56"/>
    <w:rsid w:val="00050D93"/>
    <w:rsid w:val="00051EC8"/>
    <w:rsid w:val="00053EE7"/>
    <w:rsid w:val="00054C8A"/>
    <w:rsid w:val="00054CC5"/>
    <w:rsid w:val="00055326"/>
    <w:rsid w:val="0005535A"/>
    <w:rsid w:val="00056741"/>
    <w:rsid w:val="00056ED3"/>
    <w:rsid w:val="0006099E"/>
    <w:rsid w:val="00060C41"/>
    <w:rsid w:val="00061C3F"/>
    <w:rsid w:val="00063B24"/>
    <w:rsid w:val="00063F48"/>
    <w:rsid w:val="00064295"/>
    <w:rsid w:val="00064EE4"/>
    <w:rsid w:val="00065194"/>
    <w:rsid w:val="00065FED"/>
    <w:rsid w:val="00066102"/>
    <w:rsid w:val="000664AC"/>
    <w:rsid w:val="00070F3C"/>
    <w:rsid w:val="00071566"/>
    <w:rsid w:val="0007397C"/>
    <w:rsid w:val="0007541F"/>
    <w:rsid w:val="00075EB4"/>
    <w:rsid w:val="00077F85"/>
    <w:rsid w:val="0008011A"/>
    <w:rsid w:val="0008052A"/>
    <w:rsid w:val="00082ECE"/>
    <w:rsid w:val="0008318D"/>
    <w:rsid w:val="00087D23"/>
    <w:rsid w:val="00087DE8"/>
    <w:rsid w:val="00091425"/>
    <w:rsid w:val="00091636"/>
    <w:rsid w:val="0009354D"/>
    <w:rsid w:val="00094291"/>
    <w:rsid w:val="00094686"/>
    <w:rsid w:val="000953EF"/>
    <w:rsid w:val="00097388"/>
    <w:rsid w:val="00097659"/>
    <w:rsid w:val="00097761"/>
    <w:rsid w:val="00097CEB"/>
    <w:rsid w:val="000A0709"/>
    <w:rsid w:val="000A0D45"/>
    <w:rsid w:val="000A1497"/>
    <w:rsid w:val="000A2384"/>
    <w:rsid w:val="000A37E3"/>
    <w:rsid w:val="000A4D53"/>
    <w:rsid w:val="000A529D"/>
    <w:rsid w:val="000A543F"/>
    <w:rsid w:val="000A6B4B"/>
    <w:rsid w:val="000A75FF"/>
    <w:rsid w:val="000B1E54"/>
    <w:rsid w:val="000B2AD9"/>
    <w:rsid w:val="000B36FD"/>
    <w:rsid w:val="000B4659"/>
    <w:rsid w:val="000B57DD"/>
    <w:rsid w:val="000B6FF7"/>
    <w:rsid w:val="000B7F7D"/>
    <w:rsid w:val="000C284B"/>
    <w:rsid w:val="000C35A9"/>
    <w:rsid w:val="000C386E"/>
    <w:rsid w:val="000C3E9C"/>
    <w:rsid w:val="000C45B6"/>
    <w:rsid w:val="000C657B"/>
    <w:rsid w:val="000C6E5C"/>
    <w:rsid w:val="000D05B8"/>
    <w:rsid w:val="000D1A12"/>
    <w:rsid w:val="000D1F52"/>
    <w:rsid w:val="000D241D"/>
    <w:rsid w:val="000D40D7"/>
    <w:rsid w:val="000D522C"/>
    <w:rsid w:val="000D5804"/>
    <w:rsid w:val="000D69D0"/>
    <w:rsid w:val="000D70B9"/>
    <w:rsid w:val="000D70E5"/>
    <w:rsid w:val="000D71B5"/>
    <w:rsid w:val="000E411E"/>
    <w:rsid w:val="000E7E55"/>
    <w:rsid w:val="000F4CDA"/>
    <w:rsid w:val="000F7449"/>
    <w:rsid w:val="00100C3E"/>
    <w:rsid w:val="00102A06"/>
    <w:rsid w:val="0010394D"/>
    <w:rsid w:val="00103B0C"/>
    <w:rsid w:val="0010633B"/>
    <w:rsid w:val="00106B16"/>
    <w:rsid w:val="00114296"/>
    <w:rsid w:val="00114C23"/>
    <w:rsid w:val="00117FB0"/>
    <w:rsid w:val="0012065D"/>
    <w:rsid w:val="001209F7"/>
    <w:rsid w:val="00123387"/>
    <w:rsid w:val="00123998"/>
    <w:rsid w:val="0012515F"/>
    <w:rsid w:val="001254B8"/>
    <w:rsid w:val="00125DAD"/>
    <w:rsid w:val="001271C4"/>
    <w:rsid w:val="0013072A"/>
    <w:rsid w:val="00130A4C"/>
    <w:rsid w:val="00130C0F"/>
    <w:rsid w:val="001311C7"/>
    <w:rsid w:val="001317B9"/>
    <w:rsid w:val="001326EA"/>
    <w:rsid w:val="001327AE"/>
    <w:rsid w:val="00132A15"/>
    <w:rsid w:val="00132D00"/>
    <w:rsid w:val="001351FD"/>
    <w:rsid w:val="00135E49"/>
    <w:rsid w:val="0013636E"/>
    <w:rsid w:val="00140930"/>
    <w:rsid w:val="00141498"/>
    <w:rsid w:val="00141AE5"/>
    <w:rsid w:val="001424B0"/>
    <w:rsid w:val="00143886"/>
    <w:rsid w:val="00143DD8"/>
    <w:rsid w:val="0014541D"/>
    <w:rsid w:val="00146F11"/>
    <w:rsid w:val="001503F1"/>
    <w:rsid w:val="0015466A"/>
    <w:rsid w:val="001553E3"/>
    <w:rsid w:val="0015580B"/>
    <w:rsid w:val="00156C93"/>
    <w:rsid w:val="00157B80"/>
    <w:rsid w:val="00160667"/>
    <w:rsid w:val="00160B4A"/>
    <w:rsid w:val="00161905"/>
    <w:rsid w:val="00162DF2"/>
    <w:rsid w:val="00163C78"/>
    <w:rsid w:val="00164082"/>
    <w:rsid w:val="0016444C"/>
    <w:rsid w:val="00165C5A"/>
    <w:rsid w:val="00167168"/>
    <w:rsid w:val="001671D0"/>
    <w:rsid w:val="001709E0"/>
    <w:rsid w:val="00170D2E"/>
    <w:rsid w:val="00171505"/>
    <w:rsid w:val="0017482B"/>
    <w:rsid w:val="00174DC4"/>
    <w:rsid w:val="0018013D"/>
    <w:rsid w:val="00180190"/>
    <w:rsid w:val="00181381"/>
    <w:rsid w:val="00182F16"/>
    <w:rsid w:val="0018300D"/>
    <w:rsid w:val="00185BCB"/>
    <w:rsid w:val="00185CDC"/>
    <w:rsid w:val="00185F89"/>
    <w:rsid w:val="00187049"/>
    <w:rsid w:val="00190033"/>
    <w:rsid w:val="001902F4"/>
    <w:rsid w:val="001905EC"/>
    <w:rsid w:val="00190B4E"/>
    <w:rsid w:val="00192351"/>
    <w:rsid w:val="00195009"/>
    <w:rsid w:val="001A10BB"/>
    <w:rsid w:val="001A2322"/>
    <w:rsid w:val="001A24F7"/>
    <w:rsid w:val="001A2F83"/>
    <w:rsid w:val="001A3129"/>
    <w:rsid w:val="001A3B70"/>
    <w:rsid w:val="001A5424"/>
    <w:rsid w:val="001A6215"/>
    <w:rsid w:val="001A772D"/>
    <w:rsid w:val="001A7A38"/>
    <w:rsid w:val="001B0451"/>
    <w:rsid w:val="001B0CA9"/>
    <w:rsid w:val="001B1752"/>
    <w:rsid w:val="001B1DB0"/>
    <w:rsid w:val="001B2CBE"/>
    <w:rsid w:val="001B3560"/>
    <w:rsid w:val="001B35EA"/>
    <w:rsid w:val="001B6951"/>
    <w:rsid w:val="001C0447"/>
    <w:rsid w:val="001C05CE"/>
    <w:rsid w:val="001C0B1D"/>
    <w:rsid w:val="001C18B5"/>
    <w:rsid w:val="001C3693"/>
    <w:rsid w:val="001C39F0"/>
    <w:rsid w:val="001C404C"/>
    <w:rsid w:val="001C5002"/>
    <w:rsid w:val="001C5D0A"/>
    <w:rsid w:val="001C7EC3"/>
    <w:rsid w:val="001D03AF"/>
    <w:rsid w:val="001D3BDC"/>
    <w:rsid w:val="001D40F5"/>
    <w:rsid w:val="001D4331"/>
    <w:rsid w:val="001D5422"/>
    <w:rsid w:val="001D56A5"/>
    <w:rsid w:val="001D6722"/>
    <w:rsid w:val="001D7372"/>
    <w:rsid w:val="001E135E"/>
    <w:rsid w:val="001E37AC"/>
    <w:rsid w:val="001E40FA"/>
    <w:rsid w:val="001E6CC3"/>
    <w:rsid w:val="001E7E64"/>
    <w:rsid w:val="001F0132"/>
    <w:rsid w:val="001F1A6C"/>
    <w:rsid w:val="001F222F"/>
    <w:rsid w:val="001F28E5"/>
    <w:rsid w:val="001F381D"/>
    <w:rsid w:val="001F4735"/>
    <w:rsid w:val="001F531C"/>
    <w:rsid w:val="001F6EEB"/>
    <w:rsid w:val="001F7C13"/>
    <w:rsid w:val="001F7D22"/>
    <w:rsid w:val="00203AB3"/>
    <w:rsid w:val="002041B8"/>
    <w:rsid w:val="00204687"/>
    <w:rsid w:val="00204769"/>
    <w:rsid w:val="002047DB"/>
    <w:rsid w:val="00205D6C"/>
    <w:rsid w:val="00210880"/>
    <w:rsid w:val="00210937"/>
    <w:rsid w:val="002174B1"/>
    <w:rsid w:val="0022066F"/>
    <w:rsid w:val="0022291C"/>
    <w:rsid w:val="00222A6D"/>
    <w:rsid w:val="002247AC"/>
    <w:rsid w:val="00226B97"/>
    <w:rsid w:val="00227135"/>
    <w:rsid w:val="00227C73"/>
    <w:rsid w:val="00230C62"/>
    <w:rsid w:val="00230D8B"/>
    <w:rsid w:val="002317F4"/>
    <w:rsid w:val="002327F2"/>
    <w:rsid w:val="00235B6E"/>
    <w:rsid w:val="00236D98"/>
    <w:rsid w:val="00237D02"/>
    <w:rsid w:val="002415A5"/>
    <w:rsid w:val="00243ACD"/>
    <w:rsid w:val="00244CDB"/>
    <w:rsid w:val="00244CE3"/>
    <w:rsid w:val="00247074"/>
    <w:rsid w:val="002526BE"/>
    <w:rsid w:val="002530FB"/>
    <w:rsid w:val="00254FBA"/>
    <w:rsid w:val="00257CA5"/>
    <w:rsid w:val="00260320"/>
    <w:rsid w:val="00261A60"/>
    <w:rsid w:val="0026287B"/>
    <w:rsid w:val="00262A22"/>
    <w:rsid w:val="00263A1A"/>
    <w:rsid w:val="00264CD4"/>
    <w:rsid w:val="002650D1"/>
    <w:rsid w:val="002658EA"/>
    <w:rsid w:val="00266C88"/>
    <w:rsid w:val="00267213"/>
    <w:rsid w:val="00267FF2"/>
    <w:rsid w:val="002700EB"/>
    <w:rsid w:val="00272B8E"/>
    <w:rsid w:val="00272C8A"/>
    <w:rsid w:val="00273375"/>
    <w:rsid w:val="0027381F"/>
    <w:rsid w:val="00274BD6"/>
    <w:rsid w:val="00276610"/>
    <w:rsid w:val="00276781"/>
    <w:rsid w:val="00276E27"/>
    <w:rsid w:val="002773F9"/>
    <w:rsid w:val="00277CE0"/>
    <w:rsid w:val="0028219B"/>
    <w:rsid w:val="002844DE"/>
    <w:rsid w:val="002851B5"/>
    <w:rsid w:val="0028684F"/>
    <w:rsid w:val="00290452"/>
    <w:rsid w:val="00290EC6"/>
    <w:rsid w:val="00292403"/>
    <w:rsid w:val="00296B1F"/>
    <w:rsid w:val="002A0185"/>
    <w:rsid w:val="002A0459"/>
    <w:rsid w:val="002A0F52"/>
    <w:rsid w:val="002A17B4"/>
    <w:rsid w:val="002B2A74"/>
    <w:rsid w:val="002C0A1C"/>
    <w:rsid w:val="002C0AEB"/>
    <w:rsid w:val="002C0F7B"/>
    <w:rsid w:val="002C1671"/>
    <w:rsid w:val="002C3D63"/>
    <w:rsid w:val="002C43A2"/>
    <w:rsid w:val="002C479A"/>
    <w:rsid w:val="002C7F9C"/>
    <w:rsid w:val="002D1317"/>
    <w:rsid w:val="002D1A84"/>
    <w:rsid w:val="002D1F2D"/>
    <w:rsid w:val="002D2950"/>
    <w:rsid w:val="002D4A52"/>
    <w:rsid w:val="002D6532"/>
    <w:rsid w:val="002E1D7B"/>
    <w:rsid w:val="002E24A1"/>
    <w:rsid w:val="002E284C"/>
    <w:rsid w:val="002E3146"/>
    <w:rsid w:val="002E50E6"/>
    <w:rsid w:val="002E5F64"/>
    <w:rsid w:val="002E64A7"/>
    <w:rsid w:val="002F0E3F"/>
    <w:rsid w:val="002F5166"/>
    <w:rsid w:val="002F528A"/>
    <w:rsid w:val="002F58D3"/>
    <w:rsid w:val="002F5DA1"/>
    <w:rsid w:val="00300E78"/>
    <w:rsid w:val="0030200C"/>
    <w:rsid w:val="0030321A"/>
    <w:rsid w:val="00304357"/>
    <w:rsid w:val="0030469B"/>
    <w:rsid w:val="00304837"/>
    <w:rsid w:val="00304B47"/>
    <w:rsid w:val="00305132"/>
    <w:rsid w:val="00305B10"/>
    <w:rsid w:val="003064E6"/>
    <w:rsid w:val="003071F4"/>
    <w:rsid w:val="0031074F"/>
    <w:rsid w:val="003114FB"/>
    <w:rsid w:val="00313085"/>
    <w:rsid w:val="00313D56"/>
    <w:rsid w:val="00316015"/>
    <w:rsid w:val="00316341"/>
    <w:rsid w:val="00320CCD"/>
    <w:rsid w:val="003218A7"/>
    <w:rsid w:val="003252D1"/>
    <w:rsid w:val="003254FB"/>
    <w:rsid w:val="003279F6"/>
    <w:rsid w:val="00331241"/>
    <w:rsid w:val="00331653"/>
    <w:rsid w:val="003324EB"/>
    <w:rsid w:val="00333445"/>
    <w:rsid w:val="00334680"/>
    <w:rsid w:val="0033469C"/>
    <w:rsid w:val="00334B13"/>
    <w:rsid w:val="00335088"/>
    <w:rsid w:val="00336186"/>
    <w:rsid w:val="003369E5"/>
    <w:rsid w:val="003403EA"/>
    <w:rsid w:val="003419A4"/>
    <w:rsid w:val="003434BD"/>
    <w:rsid w:val="0034380D"/>
    <w:rsid w:val="00345D33"/>
    <w:rsid w:val="003518BB"/>
    <w:rsid w:val="00353C4B"/>
    <w:rsid w:val="003567E5"/>
    <w:rsid w:val="0035721C"/>
    <w:rsid w:val="0036086E"/>
    <w:rsid w:val="003621A7"/>
    <w:rsid w:val="003622FD"/>
    <w:rsid w:val="0036464C"/>
    <w:rsid w:val="00364A82"/>
    <w:rsid w:val="00366310"/>
    <w:rsid w:val="00366683"/>
    <w:rsid w:val="00366B93"/>
    <w:rsid w:val="00366F78"/>
    <w:rsid w:val="003674EA"/>
    <w:rsid w:val="00367D8D"/>
    <w:rsid w:val="00367E43"/>
    <w:rsid w:val="00370043"/>
    <w:rsid w:val="00370E58"/>
    <w:rsid w:val="00370ED8"/>
    <w:rsid w:val="00372E88"/>
    <w:rsid w:val="00372FF6"/>
    <w:rsid w:val="003734BB"/>
    <w:rsid w:val="00374441"/>
    <w:rsid w:val="00374D42"/>
    <w:rsid w:val="00374E2E"/>
    <w:rsid w:val="003754D8"/>
    <w:rsid w:val="00375F42"/>
    <w:rsid w:val="0037693A"/>
    <w:rsid w:val="00377411"/>
    <w:rsid w:val="00377609"/>
    <w:rsid w:val="00380756"/>
    <w:rsid w:val="00382699"/>
    <w:rsid w:val="00382FEF"/>
    <w:rsid w:val="003842EE"/>
    <w:rsid w:val="00384862"/>
    <w:rsid w:val="00385E2B"/>
    <w:rsid w:val="00386893"/>
    <w:rsid w:val="00386C51"/>
    <w:rsid w:val="00390BBD"/>
    <w:rsid w:val="00390DBF"/>
    <w:rsid w:val="00390F30"/>
    <w:rsid w:val="0039127F"/>
    <w:rsid w:val="003924FE"/>
    <w:rsid w:val="00392501"/>
    <w:rsid w:val="00392A78"/>
    <w:rsid w:val="00392BDE"/>
    <w:rsid w:val="00395704"/>
    <w:rsid w:val="003965B9"/>
    <w:rsid w:val="00397A68"/>
    <w:rsid w:val="003A59BD"/>
    <w:rsid w:val="003A5E5E"/>
    <w:rsid w:val="003A6883"/>
    <w:rsid w:val="003B1235"/>
    <w:rsid w:val="003B1621"/>
    <w:rsid w:val="003B1F41"/>
    <w:rsid w:val="003B3F82"/>
    <w:rsid w:val="003B415F"/>
    <w:rsid w:val="003B54C3"/>
    <w:rsid w:val="003B5A0B"/>
    <w:rsid w:val="003B620D"/>
    <w:rsid w:val="003B66CB"/>
    <w:rsid w:val="003B6E77"/>
    <w:rsid w:val="003B7197"/>
    <w:rsid w:val="003C0446"/>
    <w:rsid w:val="003C14DE"/>
    <w:rsid w:val="003C263F"/>
    <w:rsid w:val="003C3E39"/>
    <w:rsid w:val="003C632A"/>
    <w:rsid w:val="003D110D"/>
    <w:rsid w:val="003D1CDA"/>
    <w:rsid w:val="003D2F7C"/>
    <w:rsid w:val="003D53FB"/>
    <w:rsid w:val="003D57EB"/>
    <w:rsid w:val="003D72A6"/>
    <w:rsid w:val="003E1547"/>
    <w:rsid w:val="003E1873"/>
    <w:rsid w:val="003E1DAC"/>
    <w:rsid w:val="003E2285"/>
    <w:rsid w:val="003E2509"/>
    <w:rsid w:val="003E28AF"/>
    <w:rsid w:val="003E35FB"/>
    <w:rsid w:val="003E556B"/>
    <w:rsid w:val="003E625C"/>
    <w:rsid w:val="003E63F6"/>
    <w:rsid w:val="003E6D44"/>
    <w:rsid w:val="003E7C19"/>
    <w:rsid w:val="003F0A7C"/>
    <w:rsid w:val="003F0E87"/>
    <w:rsid w:val="003F24D1"/>
    <w:rsid w:val="003F2C01"/>
    <w:rsid w:val="003F3B69"/>
    <w:rsid w:val="003F45A8"/>
    <w:rsid w:val="003F6A09"/>
    <w:rsid w:val="003F70EE"/>
    <w:rsid w:val="0040133C"/>
    <w:rsid w:val="004015E6"/>
    <w:rsid w:val="00401747"/>
    <w:rsid w:val="00401891"/>
    <w:rsid w:val="00402659"/>
    <w:rsid w:val="00403325"/>
    <w:rsid w:val="00404F54"/>
    <w:rsid w:val="00405600"/>
    <w:rsid w:val="00405F8A"/>
    <w:rsid w:val="0040675F"/>
    <w:rsid w:val="00406DF8"/>
    <w:rsid w:val="00407608"/>
    <w:rsid w:val="00407839"/>
    <w:rsid w:val="004107FC"/>
    <w:rsid w:val="00410A3D"/>
    <w:rsid w:val="00413E2C"/>
    <w:rsid w:val="00414775"/>
    <w:rsid w:val="00415E37"/>
    <w:rsid w:val="00415ED8"/>
    <w:rsid w:val="00416585"/>
    <w:rsid w:val="00416C72"/>
    <w:rsid w:val="004220B4"/>
    <w:rsid w:val="00422816"/>
    <w:rsid w:val="00423427"/>
    <w:rsid w:val="0042676E"/>
    <w:rsid w:val="00426F6A"/>
    <w:rsid w:val="004277A5"/>
    <w:rsid w:val="00431D18"/>
    <w:rsid w:val="00434CE7"/>
    <w:rsid w:val="0044016B"/>
    <w:rsid w:val="00440840"/>
    <w:rsid w:val="004409E6"/>
    <w:rsid w:val="00441353"/>
    <w:rsid w:val="004419CA"/>
    <w:rsid w:val="00441A2E"/>
    <w:rsid w:val="00443568"/>
    <w:rsid w:val="0044359D"/>
    <w:rsid w:val="00446DB0"/>
    <w:rsid w:val="004476FD"/>
    <w:rsid w:val="00447F2B"/>
    <w:rsid w:val="0045031F"/>
    <w:rsid w:val="0045090C"/>
    <w:rsid w:val="004520BC"/>
    <w:rsid w:val="0045295C"/>
    <w:rsid w:val="0045498F"/>
    <w:rsid w:val="00454FEC"/>
    <w:rsid w:val="00455452"/>
    <w:rsid w:val="00456302"/>
    <w:rsid w:val="004571EE"/>
    <w:rsid w:val="0045740D"/>
    <w:rsid w:val="00457800"/>
    <w:rsid w:val="00460519"/>
    <w:rsid w:val="0046072E"/>
    <w:rsid w:val="00460A84"/>
    <w:rsid w:val="00460F2B"/>
    <w:rsid w:val="00462022"/>
    <w:rsid w:val="00462240"/>
    <w:rsid w:val="0046246E"/>
    <w:rsid w:val="0046257B"/>
    <w:rsid w:val="00462FF2"/>
    <w:rsid w:val="00463F72"/>
    <w:rsid w:val="0046409A"/>
    <w:rsid w:val="00465431"/>
    <w:rsid w:val="00467F2B"/>
    <w:rsid w:val="00470572"/>
    <w:rsid w:val="004719A4"/>
    <w:rsid w:val="00471D03"/>
    <w:rsid w:val="00474701"/>
    <w:rsid w:val="00475A07"/>
    <w:rsid w:val="00475BC7"/>
    <w:rsid w:val="00476276"/>
    <w:rsid w:val="00476996"/>
    <w:rsid w:val="00476A7C"/>
    <w:rsid w:val="00480656"/>
    <w:rsid w:val="00482A2B"/>
    <w:rsid w:val="00482DF4"/>
    <w:rsid w:val="00482F19"/>
    <w:rsid w:val="004832E0"/>
    <w:rsid w:val="00484C0B"/>
    <w:rsid w:val="004852F1"/>
    <w:rsid w:val="004878E5"/>
    <w:rsid w:val="00490CC5"/>
    <w:rsid w:val="00491244"/>
    <w:rsid w:val="004919E3"/>
    <w:rsid w:val="00494090"/>
    <w:rsid w:val="00496032"/>
    <w:rsid w:val="00496E33"/>
    <w:rsid w:val="004974A7"/>
    <w:rsid w:val="004A02F8"/>
    <w:rsid w:val="004A0A92"/>
    <w:rsid w:val="004A0FEB"/>
    <w:rsid w:val="004A22E8"/>
    <w:rsid w:val="004A240F"/>
    <w:rsid w:val="004A4970"/>
    <w:rsid w:val="004A511B"/>
    <w:rsid w:val="004A5CBB"/>
    <w:rsid w:val="004B10C3"/>
    <w:rsid w:val="004B1D57"/>
    <w:rsid w:val="004B2E8A"/>
    <w:rsid w:val="004B4F12"/>
    <w:rsid w:val="004B562A"/>
    <w:rsid w:val="004B58D8"/>
    <w:rsid w:val="004B5DEF"/>
    <w:rsid w:val="004B68E6"/>
    <w:rsid w:val="004B6918"/>
    <w:rsid w:val="004C0E57"/>
    <w:rsid w:val="004C14F7"/>
    <w:rsid w:val="004C259C"/>
    <w:rsid w:val="004C3105"/>
    <w:rsid w:val="004C3864"/>
    <w:rsid w:val="004C3E0A"/>
    <w:rsid w:val="004C4252"/>
    <w:rsid w:val="004C48C5"/>
    <w:rsid w:val="004C6103"/>
    <w:rsid w:val="004C611C"/>
    <w:rsid w:val="004C66D2"/>
    <w:rsid w:val="004C683D"/>
    <w:rsid w:val="004C6888"/>
    <w:rsid w:val="004C7F3B"/>
    <w:rsid w:val="004D1A0E"/>
    <w:rsid w:val="004D1ABD"/>
    <w:rsid w:val="004D2A9F"/>
    <w:rsid w:val="004D3A35"/>
    <w:rsid w:val="004D4DF9"/>
    <w:rsid w:val="004D78E5"/>
    <w:rsid w:val="004D7ECC"/>
    <w:rsid w:val="004E417D"/>
    <w:rsid w:val="004E5BB4"/>
    <w:rsid w:val="004E6AB2"/>
    <w:rsid w:val="004E721D"/>
    <w:rsid w:val="004F1FE6"/>
    <w:rsid w:val="004F4D71"/>
    <w:rsid w:val="004F4FB2"/>
    <w:rsid w:val="004F5138"/>
    <w:rsid w:val="004F551E"/>
    <w:rsid w:val="00500B72"/>
    <w:rsid w:val="00500F67"/>
    <w:rsid w:val="0050160F"/>
    <w:rsid w:val="005020E6"/>
    <w:rsid w:val="00502CCD"/>
    <w:rsid w:val="00503D2A"/>
    <w:rsid w:val="005041A6"/>
    <w:rsid w:val="005045FD"/>
    <w:rsid w:val="0050717C"/>
    <w:rsid w:val="00507546"/>
    <w:rsid w:val="00510085"/>
    <w:rsid w:val="00510802"/>
    <w:rsid w:val="00513CB8"/>
    <w:rsid w:val="00515F09"/>
    <w:rsid w:val="00516D1B"/>
    <w:rsid w:val="005170BE"/>
    <w:rsid w:val="005170D7"/>
    <w:rsid w:val="00517FDD"/>
    <w:rsid w:val="005208F3"/>
    <w:rsid w:val="00521658"/>
    <w:rsid w:val="00522644"/>
    <w:rsid w:val="0052404D"/>
    <w:rsid w:val="00524A68"/>
    <w:rsid w:val="005270AF"/>
    <w:rsid w:val="00527659"/>
    <w:rsid w:val="00527810"/>
    <w:rsid w:val="005339DC"/>
    <w:rsid w:val="005347B2"/>
    <w:rsid w:val="00534C9D"/>
    <w:rsid w:val="00534F31"/>
    <w:rsid w:val="00535706"/>
    <w:rsid w:val="00536079"/>
    <w:rsid w:val="005362D5"/>
    <w:rsid w:val="0054128A"/>
    <w:rsid w:val="00543981"/>
    <w:rsid w:val="00544F39"/>
    <w:rsid w:val="0054550F"/>
    <w:rsid w:val="00547F91"/>
    <w:rsid w:val="00551617"/>
    <w:rsid w:val="005526A3"/>
    <w:rsid w:val="00552C5E"/>
    <w:rsid w:val="00554196"/>
    <w:rsid w:val="00556C5F"/>
    <w:rsid w:val="00557C89"/>
    <w:rsid w:val="00564BB3"/>
    <w:rsid w:val="00565836"/>
    <w:rsid w:val="00565FC0"/>
    <w:rsid w:val="00572563"/>
    <w:rsid w:val="005726F7"/>
    <w:rsid w:val="00572A1B"/>
    <w:rsid w:val="00574143"/>
    <w:rsid w:val="00575A8B"/>
    <w:rsid w:val="00576BF4"/>
    <w:rsid w:val="005776AF"/>
    <w:rsid w:val="00577AAD"/>
    <w:rsid w:val="00580BD7"/>
    <w:rsid w:val="00581B61"/>
    <w:rsid w:val="00581CF2"/>
    <w:rsid w:val="0058261E"/>
    <w:rsid w:val="00582A7D"/>
    <w:rsid w:val="005847BA"/>
    <w:rsid w:val="00591086"/>
    <w:rsid w:val="0059286B"/>
    <w:rsid w:val="00597620"/>
    <w:rsid w:val="005A0D5A"/>
    <w:rsid w:val="005A33DD"/>
    <w:rsid w:val="005A405B"/>
    <w:rsid w:val="005A4084"/>
    <w:rsid w:val="005A5921"/>
    <w:rsid w:val="005A6F99"/>
    <w:rsid w:val="005A7E2A"/>
    <w:rsid w:val="005B0CEF"/>
    <w:rsid w:val="005B2444"/>
    <w:rsid w:val="005B2BF6"/>
    <w:rsid w:val="005B2D32"/>
    <w:rsid w:val="005B355F"/>
    <w:rsid w:val="005B412D"/>
    <w:rsid w:val="005B4A4A"/>
    <w:rsid w:val="005B5961"/>
    <w:rsid w:val="005B60A0"/>
    <w:rsid w:val="005B6EED"/>
    <w:rsid w:val="005B76E9"/>
    <w:rsid w:val="005C0E7C"/>
    <w:rsid w:val="005C2B01"/>
    <w:rsid w:val="005C2F75"/>
    <w:rsid w:val="005C375B"/>
    <w:rsid w:val="005C39CC"/>
    <w:rsid w:val="005C4AEB"/>
    <w:rsid w:val="005C52F7"/>
    <w:rsid w:val="005C598F"/>
    <w:rsid w:val="005C5E9F"/>
    <w:rsid w:val="005C60C4"/>
    <w:rsid w:val="005C66BF"/>
    <w:rsid w:val="005C7E90"/>
    <w:rsid w:val="005D060B"/>
    <w:rsid w:val="005D255E"/>
    <w:rsid w:val="005D27A7"/>
    <w:rsid w:val="005D34DA"/>
    <w:rsid w:val="005D35DB"/>
    <w:rsid w:val="005D3E4F"/>
    <w:rsid w:val="005D4129"/>
    <w:rsid w:val="005D52A9"/>
    <w:rsid w:val="005D7192"/>
    <w:rsid w:val="005D7548"/>
    <w:rsid w:val="005E0C2F"/>
    <w:rsid w:val="005E12DD"/>
    <w:rsid w:val="005E32F4"/>
    <w:rsid w:val="005E47BC"/>
    <w:rsid w:val="005E48F2"/>
    <w:rsid w:val="005E5E03"/>
    <w:rsid w:val="005E726D"/>
    <w:rsid w:val="005F0FDC"/>
    <w:rsid w:val="005F1300"/>
    <w:rsid w:val="005F2CF5"/>
    <w:rsid w:val="005F543A"/>
    <w:rsid w:val="005F5DAA"/>
    <w:rsid w:val="005F76BF"/>
    <w:rsid w:val="005F7C44"/>
    <w:rsid w:val="00602D22"/>
    <w:rsid w:val="00603647"/>
    <w:rsid w:val="0060465C"/>
    <w:rsid w:val="00604A2B"/>
    <w:rsid w:val="00605745"/>
    <w:rsid w:val="00607D05"/>
    <w:rsid w:val="00611D44"/>
    <w:rsid w:val="0061333E"/>
    <w:rsid w:val="00613871"/>
    <w:rsid w:val="00613F69"/>
    <w:rsid w:val="0061477A"/>
    <w:rsid w:val="006154B1"/>
    <w:rsid w:val="00615F35"/>
    <w:rsid w:val="0061610D"/>
    <w:rsid w:val="00620762"/>
    <w:rsid w:val="00622166"/>
    <w:rsid w:val="0062413D"/>
    <w:rsid w:val="00624249"/>
    <w:rsid w:val="00624CA3"/>
    <w:rsid w:val="00624D98"/>
    <w:rsid w:val="006327C8"/>
    <w:rsid w:val="006334A0"/>
    <w:rsid w:val="00633C22"/>
    <w:rsid w:val="00635110"/>
    <w:rsid w:val="00635BF9"/>
    <w:rsid w:val="00636EA9"/>
    <w:rsid w:val="006372CC"/>
    <w:rsid w:val="00637C5A"/>
    <w:rsid w:val="00637E0E"/>
    <w:rsid w:val="006403AA"/>
    <w:rsid w:val="00641260"/>
    <w:rsid w:val="006413FD"/>
    <w:rsid w:val="00641C93"/>
    <w:rsid w:val="00644E08"/>
    <w:rsid w:val="00645CD0"/>
    <w:rsid w:val="006469E7"/>
    <w:rsid w:val="006502CC"/>
    <w:rsid w:val="0065051A"/>
    <w:rsid w:val="00650E3F"/>
    <w:rsid w:val="00651D2E"/>
    <w:rsid w:val="0065403B"/>
    <w:rsid w:val="006546FC"/>
    <w:rsid w:val="0065487A"/>
    <w:rsid w:val="00656B3D"/>
    <w:rsid w:val="006576E9"/>
    <w:rsid w:val="00657823"/>
    <w:rsid w:val="00657F98"/>
    <w:rsid w:val="006605D2"/>
    <w:rsid w:val="00660B35"/>
    <w:rsid w:val="006610DE"/>
    <w:rsid w:val="006625E0"/>
    <w:rsid w:val="00663ABD"/>
    <w:rsid w:val="0066441B"/>
    <w:rsid w:val="00664932"/>
    <w:rsid w:val="00665E12"/>
    <w:rsid w:val="006660C5"/>
    <w:rsid w:val="006677D4"/>
    <w:rsid w:val="006721BC"/>
    <w:rsid w:val="00673234"/>
    <w:rsid w:val="00673477"/>
    <w:rsid w:val="00676413"/>
    <w:rsid w:val="006768A6"/>
    <w:rsid w:val="0067692F"/>
    <w:rsid w:val="00676E5E"/>
    <w:rsid w:val="00676E89"/>
    <w:rsid w:val="00677B3B"/>
    <w:rsid w:val="00681C20"/>
    <w:rsid w:val="006824F4"/>
    <w:rsid w:val="00682E9B"/>
    <w:rsid w:val="006831CA"/>
    <w:rsid w:val="0068467C"/>
    <w:rsid w:val="006857D2"/>
    <w:rsid w:val="006904CE"/>
    <w:rsid w:val="006960BC"/>
    <w:rsid w:val="00697B91"/>
    <w:rsid w:val="006A1244"/>
    <w:rsid w:val="006A30AB"/>
    <w:rsid w:val="006A4B9E"/>
    <w:rsid w:val="006A5401"/>
    <w:rsid w:val="006A5800"/>
    <w:rsid w:val="006A595F"/>
    <w:rsid w:val="006A6096"/>
    <w:rsid w:val="006A732B"/>
    <w:rsid w:val="006B05EE"/>
    <w:rsid w:val="006B2BE4"/>
    <w:rsid w:val="006B751F"/>
    <w:rsid w:val="006B7720"/>
    <w:rsid w:val="006B7E0B"/>
    <w:rsid w:val="006C20EC"/>
    <w:rsid w:val="006C2F6F"/>
    <w:rsid w:val="006C3801"/>
    <w:rsid w:val="006C65B6"/>
    <w:rsid w:val="006C7551"/>
    <w:rsid w:val="006C7AD3"/>
    <w:rsid w:val="006C7BE8"/>
    <w:rsid w:val="006D0B46"/>
    <w:rsid w:val="006D0C79"/>
    <w:rsid w:val="006D0E17"/>
    <w:rsid w:val="006D173E"/>
    <w:rsid w:val="006D4A21"/>
    <w:rsid w:val="006D57FB"/>
    <w:rsid w:val="006D5A44"/>
    <w:rsid w:val="006E0102"/>
    <w:rsid w:val="006E1EF4"/>
    <w:rsid w:val="006E2617"/>
    <w:rsid w:val="006E2C0C"/>
    <w:rsid w:val="006E4DAD"/>
    <w:rsid w:val="006E5858"/>
    <w:rsid w:val="006E63F9"/>
    <w:rsid w:val="006E6478"/>
    <w:rsid w:val="006F300D"/>
    <w:rsid w:val="006F4391"/>
    <w:rsid w:val="006F47F8"/>
    <w:rsid w:val="006F4DCF"/>
    <w:rsid w:val="006F7518"/>
    <w:rsid w:val="00702357"/>
    <w:rsid w:val="00702965"/>
    <w:rsid w:val="0070425C"/>
    <w:rsid w:val="00704E87"/>
    <w:rsid w:val="00706C87"/>
    <w:rsid w:val="00707465"/>
    <w:rsid w:val="00710939"/>
    <w:rsid w:val="00711154"/>
    <w:rsid w:val="00712148"/>
    <w:rsid w:val="00712DFD"/>
    <w:rsid w:val="007134F0"/>
    <w:rsid w:val="00713760"/>
    <w:rsid w:val="00715BF6"/>
    <w:rsid w:val="00722FFC"/>
    <w:rsid w:val="00724B97"/>
    <w:rsid w:val="00726297"/>
    <w:rsid w:val="007271A2"/>
    <w:rsid w:val="0072791F"/>
    <w:rsid w:val="007279AF"/>
    <w:rsid w:val="00730849"/>
    <w:rsid w:val="0073285C"/>
    <w:rsid w:val="00732B79"/>
    <w:rsid w:val="00732FBE"/>
    <w:rsid w:val="007339A4"/>
    <w:rsid w:val="00733F89"/>
    <w:rsid w:val="00733FFB"/>
    <w:rsid w:val="007349FA"/>
    <w:rsid w:val="00734A0A"/>
    <w:rsid w:val="00734A6C"/>
    <w:rsid w:val="00735557"/>
    <w:rsid w:val="007357C8"/>
    <w:rsid w:val="007357F3"/>
    <w:rsid w:val="00737A85"/>
    <w:rsid w:val="00742470"/>
    <w:rsid w:val="00742989"/>
    <w:rsid w:val="00742B7E"/>
    <w:rsid w:val="00744AFA"/>
    <w:rsid w:val="00745287"/>
    <w:rsid w:val="00746825"/>
    <w:rsid w:val="00747098"/>
    <w:rsid w:val="00747F6D"/>
    <w:rsid w:val="0075065D"/>
    <w:rsid w:val="00750CF8"/>
    <w:rsid w:val="00750DAC"/>
    <w:rsid w:val="00752FE0"/>
    <w:rsid w:val="007533CE"/>
    <w:rsid w:val="00753F5B"/>
    <w:rsid w:val="00754110"/>
    <w:rsid w:val="007544D5"/>
    <w:rsid w:val="00754BD4"/>
    <w:rsid w:val="00755799"/>
    <w:rsid w:val="00760F43"/>
    <w:rsid w:val="007615B7"/>
    <w:rsid w:val="00762298"/>
    <w:rsid w:val="007624D6"/>
    <w:rsid w:val="0076298E"/>
    <w:rsid w:val="0076314C"/>
    <w:rsid w:val="0076378C"/>
    <w:rsid w:val="007658F7"/>
    <w:rsid w:val="0076591A"/>
    <w:rsid w:val="00766052"/>
    <w:rsid w:val="00767762"/>
    <w:rsid w:val="00772E67"/>
    <w:rsid w:val="00773A68"/>
    <w:rsid w:val="00776C46"/>
    <w:rsid w:val="0078058C"/>
    <w:rsid w:val="0078065C"/>
    <w:rsid w:val="00780CEE"/>
    <w:rsid w:val="007822F9"/>
    <w:rsid w:val="0078389E"/>
    <w:rsid w:val="00783D0C"/>
    <w:rsid w:val="007850A4"/>
    <w:rsid w:val="00785C10"/>
    <w:rsid w:val="00786769"/>
    <w:rsid w:val="00790040"/>
    <w:rsid w:val="007917BC"/>
    <w:rsid w:val="007926C9"/>
    <w:rsid w:val="007930BF"/>
    <w:rsid w:val="00795696"/>
    <w:rsid w:val="00796AF0"/>
    <w:rsid w:val="0079700C"/>
    <w:rsid w:val="00797C4E"/>
    <w:rsid w:val="007A0320"/>
    <w:rsid w:val="007A151F"/>
    <w:rsid w:val="007A1AB3"/>
    <w:rsid w:val="007A1C5A"/>
    <w:rsid w:val="007A31A5"/>
    <w:rsid w:val="007A46F4"/>
    <w:rsid w:val="007A5D67"/>
    <w:rsid w:val="007A72DA"/>
    <w:rsid w:val="007A74D7"/>
    <w:rsid w:val="007A7A17"/>
    <w:rsid w:val="007B0734"/>
    <w:rsid w:val="007B115C"/>
    <w:rsid w:val="007B12C3"/>
    <w:rsid w:val="007B1B65"/>
    <w:rsid w:val="007B4F18"/>
    <w:rsid w:val="007B5BB5"/>
    <w:rsid w:val="007B7A5C"/>
    <w:rsid w:val="007B7AFC"/>
    <w:rsid w:val="007B7DFC"/>
    <w:rsid w:val="007C0438"/>
    <w:rsid w:val="007C110C"/>
    <w:rsid w:val="007C32A5"/>
    <w:rsid w:val="007C3819"/>
    <w:rsid w:val="007C39D6"/>
    <w:rsid w:val="007C44AB"/>
    <w:rsid w:val="007C594F"/>
    <w:rsid w:val="007C629E"/>
    <w:rsid w:val="007C62DC"/>
    <w:rsid w:val="007C6369"/>
    <w:rsid w:val="007D22E9"/>
    <w:rsid w:val="007D2421"/>
    <w:rsid w:val="007D2FB1"/>
    <w:rsid w:val="007D4839"/>
    <w:rsid w:val="007D61C0"/>
    <w:rsid w:val="007D741E"/>
    <w:rsid w:val="007E009E"/>
    <w:rsid w:val="007E01F0"/>
    <w:rsid w:val="007E0462"/>
    <w:rsid w:val="007E197C"/>
    <w:rsid w:val="007E226B"/>
    <w:rsid w:val="007E26B8"/>
    <w:rsid w:val="007E6368"/>
    <w:rsid w:val="007F0221"/>
    <w:rsid w:val="007F0488"/>
    <w:rsid w:val="007F6B0F"/>
    <w:rsid w:val="007F7487"/>
    <w:rsid w:val="007F7CF7"/>
    <w:rsid w:val="00800642"/>
    <w:rsid w:val="00801E6D"/>
    <w:rsid w:val="008029D9"/>
    <w:rsid w:val="00802BAF"/>
    <w:rsid w:val="00802C69"/>
    <w:rsid w:val="008035C9"/>
    <w:rsid w:val="00804477"/>
    <w:rsid w:val="00804DF1"/>
    <w:rsid w:val="008054A3"/>
    <w:rsid w:val="00805FDA"/>
    <w:rsid w:val="008068C5"/>
    <w:rsid w:val="00807CFC"/>
    <w:rsid w:val="008105E2"/>
    <w:rsid w:val="008109C3"/>
    <w:rsid w:val="008118E9"/>
    <w:rsid w:val="00811AAA"/>
    <w:rsid w:val="008132D4"/>
    <w:rsid w:val="0081569D"/>
    <w:rsid w:val="00816FB7"/>
    <w:rsid w:val="008178A9"/>
    <w:rsid w:val="00817AB3"/>
    <w:rsid w:val="00822115"/>
    <w:rsid w:val="00822C02"/>
    <w:rsid w:val="008237CB"/>
    <w:rsid w:val="00823849"/>
    <w:rsid w:val="00824728"/>
    <w:rsid w:val="008257E4"/>
    <w:rsid w:val="008259C0"/>
    <w:rsid w:val="008275C8"/>
    <w:rsid w:val="00827ECC"/>
    <w:rsid w:val="0083043E"/>
    <w:rsid w:val="008311A5"/>
    <w:rsid w:val="00831C17"/>
    <w:rsid w:val="00831E10"/>
    <w:rsid w:val="00832EB9"/>
    <w:rsid w:val="0083772B"/>
    <w:rsid w:val="008379F7"/>
    <w:rsid w:val="00837A85"/>
    <w:rsid w:val="00840ECC"/>
    <w:rsid w:val="008419A5"/>
    <w:rsid w:val="0084527E"/>
    <w:rsid w:val="00845538"/>
    <w:rsid w:val="0084566F"/>
    <w:rsid w:val="008469CF"/>
    <w:rsid w:val="00846C33"/>
    <w:rsid w:val="0085281B"/>
    <w:rsid w:val="00853527"/>
    <w:rsid w:val="00853677"/>
    <w:rsid w:val="008552F3"/>
    <w:rsid w:val="00855A64"/>
    <w:rsid w:val="008572E3"/>
    <w:rsid w:val="008608BA"/>
    <w:rsid w:val="008612AC"/>
    <w:rsid w:val="008616AF"/>
    <w:rsid w:val="008628B8"/>
    <w:rsid w:val="008651D5"/>
    <w:rsid w:val="008655D8"/>
    <w:rsid w:val="00865A25"/>
    <w:rsid w:val="00870539"/>
    <w:rsid w:val="00872ACF"/>
    <w:rsid w:val="008755EF"/>
    <w:rsid w:val="00876114"/>
    <w:rsid w:val="00876CB0"/>
    <w:rsid w:val="00881983"/>
    <w:rsid w:val="008824FF"/>
    <w:rsid w:val="00883DCD"/>
    <w:rsid w:val="00884605"/>
    <w:rsid w:val="00890230"/>
    <w:rsid w:val="00891193"/>
    <w:rsid w:val="0089387C"/>
    <w:rsid w:val="00894259"/>
    <w:rsid w:val="00897C20"/>
    <w:rsid w:val="008A0A4A"/>
    <w:rsid w:val="008A107E"/>
    <w:rsid w:val="008A1081"/>
    <w:rsid w:val="008A17BE"/>
    <w:rsid w:val="008A2546"/>
    <w:rsid w:val="008A2C17"/>
    <w:rsid w:val="008A3360"/>
    <w:rsid w:val="008A35FE"/>
    <w:rsid w:val="008A3A99"/>
    <w:rsid w:val="008A4F01"/>
    <w:rsid w:val="008A5459"/>
    <w:rsid w:val="008A61D0"/>
    <w:rsid w:val="008B0D64"/>
    <w:rsid w:val="008B220C"/>
    <w:rsid w:val="008B3816"/>
    <w:rsid w:val="008B601D"/>
    <w:rsid w:val="008B6292"/>
    <w:rsid w:val="008B7E68"/>
    <w:rsid w:val="008C056D"/>
    <w:rsid w:val="008C0A6D"/>
    <w:rsid w:val="008C259C"/>
    <w:rsid w:val="008C41D4"/>
    <w:rsid w:val="008C43FF"/>
    <w:rsid w:val="008C44E9"/>
    <w:rsid w:val="008C47E6"/>
    <w:rsid w:val="008C49B2"/>
    <w:rsid w:val="008C695D"/>
    <w:rsid w:val="008C7466"/>
    <w:rsid w:val="008C7778"/>
    <w:rsid w:val="008D1AB4"/>
    <w:rsid w:val="008D2030"/>
    <w:rsid w:val="008D2AEA"/>
    <w:rsid w:val="008D484B"/>
    <w:rsid w:val="008D53A8"/>
    <w:rsid w:val="008D5BAD"/>
    <w:rsid w:val="008D6AEE"/>
    <w:rsid w:val="008D7267"/>
    <w:rsid w:val="008E0E01"/>
    <w:rsid w:val="008E0ECF"/>
    <w:rsid w:val="008E3D8D"/>
    <w:rsid w:val="008E495B"/>
    <w:rsid w:val="008E558B"/>
    <w:rsid w:val="008E626B"/>
    <w:rsid w:val="008E62EF"/>
    <w:rsid w:val="008E7059"/>
    <w:rsid w:val="008F07FA"/>
    <w:rsid w:val="008F0C4E"/>
    <w:rsid w:val="008F52BC"/>
    <w:rsid w:val="008F54E7"/>
    <w:rsid w:val="008F6146"/>
    <w:rsid w:val="008F6D27"/>
    <w:rsid w:val="008F7283"/>
    <w:rsid w:val="008F787A"/>
    <w:rsid w:val="008F7ABF"/>
    <w:rsid w:val="008F7EE3"/>
    <w:rsid w:val="00901872"/>
    <w:rsid w:val="00901915"/>
    <w:rsid w:val="00901AD9"/>
    <w:rsid w:val="009025FA"/>
    <w:rsid w:val="00903D4D"/>
    <w:rsid w:val="00905F8C"/>
    <w:rsid w:val="00907144"/>
    <w:rsid w:val="009103F4"/>
    <w:rsid w:val="009109AC"/>
    <w:rsid w:val="00913B42"/>
    <w:rsid w:val="00913F69"/>
    <w:rsid w:val="00916E33"/>
    <w:rsid w:val="00916EAE"/>
    <w:rsid w:val="009177B9"/>
    <w:rsid w:val="00920DC0"/>
    <w:rsid w:val="00921071"/>
    <w:rsid w:val="00921566"/>
    <w:rsid w:val="00921C75"/>
    <w:rsid w:val="009224BD"/>
    <w:rsid w:val="0092391F"/>
    <w:rsid w:val="00924729"/>
    <w:rsid w:val="00927623"/>
    <w:rsid w:val="00930874"/>
    <w:rsid w:val="00930995"/>
    <w:rsid w:val="009314DF"/>
    <w:rsid w:val="009318F5"/>
    <w:rsid w:val="00932C49"/>
    <w:rsid w:val="00933A17"/>
    <w:rsid w:val="0093621F"/>
    <w:rsid w:val="00937ED4"/>
    <w:rsid w:val="0094044A"/>
    <w:rsid w:val="009419B1"/>
    <w:rsid w:val="00942C82"/>
    <w:rsid w:val="00942F30"/>
    <w:rsid w:val="00943620"/>
    <w:rsid w:val="009450BE"/>
    <w:rsid w:val="009463DE"/>
    <w:rsid w:val="0095041C"/>
    <w:rsid w:val="00950C0C"/>
    <w:rsid w:val="00951647"/>
    <w:rsid w:val="009518EA"/>
    <w:rsid w:val="00952B93"/>
    <w:rsid w:val="00953A96"/>
    <w:rsid w:val="00953F6B"/>
    <w:rsid w:val="009545E1"/>
    <w:rsid w:val="009572AF"/>
    <w:rsid w:val="00957E17"/>
    <w:rsid w:val="009602BC"/>
    <w:rsid w:val="0096077D"/>
    <w:rsid w:val="00960BD0"/>
    <w:rsid w:val="00962056"/>
    <w:rsid w:val="00963868"/>
    <w:rsid w:val="00963D60"/>
    <w:rsid w:val="00965A15"/>
    <w:rsid w:val="00965A52"/>
    <w:rsid w:val="00966F29"/>
    <w:rsid w:val="00970002"/>
    <w:rsid w:val="009711C5"/>
    <w:rsid w:val="009719CD"/>
    <w:rsid w:val="009728B2"/>
    <w:rsid w:val="00973F4F"/>
    <w:rsid w:val="00975752"/>
    <w:rsid w:val="009767F5"/>
    <w:rsid w:val="009800D3"/>
    <w:rsid w:val="009802FA"/>
    <w:rsid w:val="009805F1"/>
    <w:rsid w:val="00982525"/>
    <w:rsid w:val="009825B7"/>
    <w:rsid w:val="00982EE2"/>
    <w:rsid w:val="00984614"/>
    <w:rsid w:val="009848F2"/>
    <w:rsid w:val="00984F3C"/>
    <w:rsid w:val="00986886"/>
    <w:rsid w:val="00986C24"/>
    <w:rsid w:val="00987FCA"/>
    <w:rsid w:val="009901D6"/>
    <w:rsid w:val="00990CE6"/>
    <w:rsid w:val="00991027"/>
    <w:rsid w:val="00991858"/>
    <w:rsid w:val="00991BF3"/>
    <w:rsid w:val="00991F98"/>
    <w:rsid w:val="0099321C"/>
    <w:rsid w:val="0099676A"/>
    <w:rsid w:val="00996946"/>
    <w:rsid w:val="0099725B"/>
    <w:rsid w:val="009A0321"/>
    <w:rsid w:val="009A17F0"/>
    <w:rsid w:val="009A1E50"/>
    <w:rsid w:val="009A235F"/>
    <w:rsid w:val="009A2916"/>
    <w:rsid w:val="009A2DF2"/>
    <w:rsid w:val="009A48AC"/>
    <w:rsid w:val="009A4A58"/>
    <w:rsid w:val="009A4E13"/>
    <w:rsid w:val="009A5ACF"/>
    <w:rsid w:val="009A63E4"/>
    <w:rsid w:val="009A74D3"/>
    <w:rsid w:val="009B1116"/>
    <w:rsid w:val="009B1732"/>
    <w:rsid w:val="009B18FA"/>
    <w:rsid w:val="009B3750"/>
    <w:rsid w:val="009B46FC"/>
    <w:rsid w:val="009B524E"/>
    <w:rsid w:val="009C053A"/>
    <w:rsid w:val="009C0A2D"/>
    <w:rsid w:val="009C0BC6"/>
    <w:rsid w:val="009C105C"/>
    <w:rsid w:val="009C1242"/>
    <w:rsid w:val="009C12CA"/>
    <w:rsid w:val="009C2913"/>
    <w:rsid w:val="009C67FA"/>
    <w:rsid w:val="009C72FA"/>
    <w:rsid w:val="009D040A"/>
    <w:rsid w:val="009D180F"/>
    <w:rsid w:val="009D1E66"/>
    <w:rsid w:val="009D2904"/>
    <w:rsid w:val="009D4F01"/>
    <w:rsid w:val="009D5583"/>
    <w:rsid w:val="009D5BF5"/>
    <w:rsid w:val="009E0460"/>
    <w:rsid w:val="009E22A3"/>
    <w:rsid w:val="009E2B36"/>
    <w:rsid w:val="009E30CB"/>
    <w:rsid w:val="009E47EC"/>
    <w:rsid w:val="009E4CCB"/>
    <w:rsid w:val="009E589E"/>
    <w:rsid w:val="009E61D5"/>
    <w:rsid w:val="009E747E"/>
    <w:rsid w:val="009E7D76"/>
    <w:rsid w:val="009F17A4"/>
    <w:rsid w:val="009F1FDE"/>
    <w:rsid w:val="009F25FA"/>
    <w:rsid w:val="009F315F"/>
    <w:rsid w:val="009F4392"/>
    <w:rsid w:val="009F474B"/>
    <w:rsid w:val="009F54C1"/>
    <w:rsid w:val="009F5FBD"/>
    <w:rsid w:val="009F651C"/>
    <w:rsid w:val="009F6F38"/>
    <w:rsid w:val="00A01A62"/>
    <w:rsid w:val="00A0452C"/>
    <w:rsid w:val="00A05684"/>
    <w:rsid w:val="00A05726"/>
    <w:rsid w:val="00A06B37"/>
    <w:rsid w:val="00A0706C"/>
    <w:rsid w:val="00A079B8"/>
    <w:rsid w:val="00A07C8A"/>
    <w:rsid w:val="00A10D12"/>
    <w:rsid w:val="00A11159"/>
    <w:rsid w:val="00A11F4C"/>
    <w:rsid w:val="00A11FDA"/>
    <w:rsid w:val="00A1333D"/>
    <w:rsid w:val="00A148E4"/>
    <w:rsid w:val="00A15E97"/>
    <w:rsid w:val="00A210A4"/>
    <w:rsid w:val="00A2144E"/>
    <w:rsid w:val="00A26392"/>
    <w:rsid w:val="00A263D3"/>
    <w:rsid w:val="00A27A80"/>
    <w:rsid w:val="00A31D30"/>
    <w:rsid w:val="00A3210D"/>
    <w:rsid w:val="00A324DE"/>
    <w:rsid w:val="00A324EE"/>
    <w:rsid w:val="00A32D9F"/>
    <w:rsid w:val="00A32F83"/>
    <w:rsid w:val="00A3394B"/>
    <w:rsid w:val="00A34026"/>
    <w:rsid w:val="00A404AE"/>
    <w:rsid w:val="00A412C0"/>
    <w:rsid w:val="00A4252B"/>
    <w:rsid w:val="00A4546E"/>
    <w:rsid w:val="00A4655F"/>
    <w:rsid w:val="00A47929"/>
    <w:rsid w:val="00A47C1E"/>
    <w:rsid w:val="00A5104A"/>
    <w:rsid w:val="00A5104E"/>
    <w:rsid w:val="00A510CD"/>
    <w:rsid w:val="00A51A04"/>
    <w:rsid w:val="00A51E32"/>
    <w:rsid w:val="00A535E7"/>
    <w:rsid w:val="00A539E6"/>
    <w:rsid w:val="00A54BF9"/>
    <w:rsid w:val="00A5698E"/>
    <w:rsid w:val="00A56A14"/>
    <w:rsid w:val="00A57EB7"/>
    <w:rsid w:val="00A6106C"/>
    <w:rsid w:val="00A61159"/>
    <w:rsid w:val="00A6206D"/>
    <w:rsid w:val="00A62D00"/>
    <w:rsid w:val="00A63FB5"/>
    <w:rsid w:val="00A65970"/>
    <w:rsid w:val="00A65AEC"/>
    <w:rsid w:val="00A6624A"/>
    <w:rsid w:val="00A66E15"/>
    <w:rsid w:val="00A70CCA"/>
    <w:rsid w:val="00A746D1"/>
    <w:rsid w:val="00A809B6"/>
    <w:rsid w:val="00A8147C"/>
    <w:rsid w:val="00A8216E"/>
    <w:rsid w:val="00A831C1"/>
    <w:rsid w:val="00A83BAF"/>
    <w:rsid w:val="00A84F0C"/>
    <w:rsid w:val="00A8505E"/>
    <w:rsid w:val="00A920AB"/>
    <w:rsid w:val="00A92561"/>
    <w:rsid w:val="00A92FF3"/>
    <w:rsid w:val="00A93B4B"/>
    <w:rsid w:val="00AA0820"/>
    <w:rsid w:val="00AA1F3F"/>
    <w:rsid w:val="00AA403F"/>
    <w:rsid w:val="00AA5DDD"/>
    <w:rsid w:val="00AA613E"/>
    <w:rsid w:val="00AB06DC"/>
    <w:rsid w:val="00AB272D"/>
    <w:rsid w:val="00AB2CA6"/>
    <w:rsid w:val="00AB5F3F"/>
    <w:rsid w:val="00AB7577"/>
    <w:rsid w:val="00AB7AAA"/>
    <w:rsid w:val="00AB7EF2"/>
    <w:rsid w:val="00AC0308"/>
    <w:rsid w:val="00AC0B7F"/>
    <w:rsid w:val="00AC3D88"/>
    <w:rsid w:val="00AC64E8"/>
    <w:rsid w:val="00AC7591"/>
    <w:rsid w:val="00AD0BEF"/>
    <w:rsid w:val="00AD2324"/>
    <w:rsid w:val="00AD33B5"/>
    <w:rsid w:val="00AD4124"/>
    <w:rsid w:val="00AD577C"/>
    <w:rsid w:val="00AD5AD0"/>
    <w:rsid w:val="00AD5D9A"/>
    <w:rsid w:val="00AD6518"/>
    <w:rsid w:val="00AD6C82"/>
    <w:rsid w:val="00AD7A19"/>
    <w:rsid w:val="00AE05A8"/>
    <w:rsid w:val="00AE254C"/>
    <w:rsid w:val="00AE2D69"/>
    <w:rsid w:val="00AE32F6"/>
    <w:rsid w:val="00AE401D"/>
    <w:rsid w:val="00AE544D"/>
    <w:rsid w:val="00AE794D"/>
    <w:rsid w:val="00AF11C5"/>
    <w:rsid w:val="00AF1C2D"/>
    <w:rsid w:val="00AF1D5F"/>
    <w:rsid w:val="00AF24D6"/>
    <w:rsid w:val="00AF2A0E"/>
    <w:rsid w:val="00AF2CBC"/>
    <w:rsid w:val="00AF4D92"/>
    <w:rsid w:val="00AF569F"/>
    <w:rsid w:val="00AF5ED0"/>
    <w:rsid w:val="00AF615F"/>
    <w:rsid w:val="00AF68E6"/>
    <w:rsid w:val="00AF6EC8"/>
    <w:rsid w:val="00AF7BB6"/>
    <w:rsid w:val="00B006F1"/>
    <w:rsid w:val="00B00FF9"/>
    <w:rsid w:val="00B018BD"/>
    <w:rsid w:val="00B02339"/>
    <w:rsid w:val="00B03470"/>
    <w:rsid w:val="00B038E4"/>
    <w:rsid w:val="00B04219"/>
    <w:rsid w:val="00B05A70"/>
    <w:rsid w:val="00B0635E"/>
    <w:rsid w:val="00B06628"/>
    <w:rsid w:val="00B11756"/>
    <w:rsid w:val="00B124F0"/>
    <w:rsid w:val="00B1250F"/>
    <w:rsid w:val="00B141C6"/>
    <w:rsid w:val="00B153ED"/>
    <w:rsid w:val="00B158AB"/>
    <w:rsid w:val="00B17A7B"/>
    <w:rsid w:val="00B203A4"/>
    <w:rsid w:val="00B21A32"/>
    <w:rsid w:val="00B222DE"/>
    <w:rsid w:val="00B22360"/>
    <w:rsid w:val="00B22412"/>
    <w:rsid w:val="00B22442"/>
    <w:rsid w:val="00B249B7"/>
    <w:rsid w:val="00B254A0"/>
    <w:rsid w:val="00B30389"/>
    <w:rsid w:val="00B30C86"/>
    <w:rsid w:val="00B31795"/>
    <w:rsid w:val="00B3250A"/>
    <w:rsid w:val="00B32771"/>
    <w:rsid w:val="00B34F71"/>
    <w:rsid w:val="00B351E3"/>
    <w:rsid w:val="00B35E02"/>
    <w:rsid w:val="00B3657E"/>
    <w:rsid w:val="00B37252"/>
    <w:rsid w:val="00B37E78"/>
    <w:rsid w:val="00B40065"/>
    <w:rsid w:val="00B40D32"/>
    <w:rsid w:val="00B415B9"/>
    <w:rsid w:val="00B43183"/>
    <w:rsid w:val="00B43F6B"/>
    <w:rsid w:val="00B4401D"/>
    <w:rsid w:val="00B44C37"/>
    <w:rsid w:val="00B468FA"/>
    <w:rsid w:val="00B4794E"/>
    <w:rsid w:val="00B50296"/>
    <w:rsid w:val="00B506BF"/>
    <w:rsid w:val="00B51D5A"/>
    <w:rsid w:val="00B53CDF"/>
    <w:rsid w:val="00B55BDB"/>
    <w:rsid w:val="00B5656D"/>
    <w:rsid w:val="00B5792E"/>
    <w:rsid w:val="00B6177C"/>
    <w:rsid w:val="00B617EC"/>
    <w:rsid w:val="00B62BDC"/>
    <w:rsid w:val="00B62C45"/>
    <w:rsid w:val="00B63763"/>
    <w:rsid w:val="00B64756"/>
    <w:rsid w:val="00B64E20"/>
    <w:rsid w:val="00B64F06"/>
    <w:rsid w:val="00B65AB5"/>
    <w:rsid w:val="00B662A8"/>
    <w:rsid w:val="00B66F87"/>
    <w:rsid w:val="00B673E9"/>
    <w:rsid w:val="00B70E5B"/>
    <w:rsid w:val="00B7133F"/>
    <w:rsid w:val="00B71F2F"/>
    <w:rsid w:val="00B72416"/>
    <w:rsid w:val="00B729E3"/>
    <w:rsid w:val="00B729F9"/>
    <w:rsid w:val="00B752CF"/>
    <w:rsid w:val="00B75587"/>
    <w:rsid w:val="00B76863"/>
    <w:rsid w:val="00B76877"/>
    <w:rsid w:val="00B768D8"/>
    <w:rsid w:val="00B7750D"/>
    <w:rsid w:val="00B77FE4"/>
    <w:rsid w:val="00B803E1"/>
    <w:rsid w:val="00B83055"/>
    <w:rsid w:val="00B83936"/>
    <w:rsid w:val="00B84734"/>
    <w:rsid w:val="00B851A8"/>
    <w:rsid w:val="00B86470"/>
    <w:rsid w:val="00B87432"/>
    <w:rsid w:val="00B90AAF"/>
    <w:rsid w:val="00B91504"/>
    <w:rsid w:val="00B92804"/>
    <w:rsid w:val="00B9733E"/>
    <w:rsid w:val="00B97AFA"/>
    <w:rsid w:val="00BA0196"/>
    <w:rsid w:val="00BA02DD"/>
    <w:rsid w:val="00BA1312"/>
    <w:rsid w:val="00BA16CD"/>
    <w:rsid w:val="00BA16D4"/>
    <w:rsid w:val="00BA248E"/>
    <w:rsid w:val="00BA28B6"/>
    <w:rsid w:val="00BA2C38"/>
    <w:rsid w:val="00BA35DB"/>
    <w:rsid w:val="00BA483F"/>
    <w:rsid w:val="00BA5FF6"/>
    <w:rsid w:val="00BA70E9"/>
    <w:rsid w:val="00BA73E6"/>
    <w:rsid w:val="00BA7B61"/>
    <w:rsid w:val="00BB0C75"/>
    <w:rsid w:val="00BB22D8"/>
    <w:rsid w:val="00BB4290"/>
    <w:rsid w:val="00BB5839"/>
    <w:rsid w:val="00BB6DF5"/>
    <w:rsid w:val="00BC1907"/>
    <w:rsid w:val="00BC253A"/>
    <w:rsid w:val="00BC33B1"/>
    <w:rsid w:val="00BC5EA7"/>
    <w:rsid w:val="00BC6F89"/>
    <w:rsid w:val="00BD1245"/>
    <w:rsid w:val="00BD2D4B"/>
    <w:rsid w:val="00BD306C"/>
    <w:rsid w:val="00BD45CB"/>
    <w:rsid w:val="00BD4C1B"/>
    <w:rsid w:val="00BD53AC"/>
    <w:rsid w:val="00BD6384"/>
    <w:rsid w:val="00BD6F31"/>
    <w:rsid w:val="00BE083A"/>
    <w:rsid w:val="00BE24F4"/>
    <w:rsid w:val="00BE2D3A"/>
    <w:rsid w:val="00BE2F59"/>
    <w:rsid w:val="00BE3137"/>
    <w:rsid w:val="00BE3263"/>
    <w:rsid w:val="00BE4842"/>
    <w:rsid w:val="00BE4927"/>
    <w:rsid w:val="00BE55BE"/>
    <w:rsid w:val="00BE686E"/>
    <w:rsid w:val="00BE6C78"/>
    <w:rsid w:val="00BE7A57"/>
    <w:rsid w:val="00BF00FA"/>
    <w:rsid w:val="00BF0316"/>
    <w:rsid w:val="00BF145B"/>
    <w:rsid w:val="00BF4CED"/>
    <w:rsid w:val="00BF5384"/>
    <w:rsid w:val="00C0039B"/>
    <w:rsid w:val="00C00BBF"/>
    <w:rsid w:val="00C01E9E"/>
    <w:rsid w:val="00C02FDA"/>
    <w:rsid w:val="00C05A31"/>
    <w:rsid w:val="00C078F1"/>
    <w:rsid w:val="00C10A31"/>
    <w:rsid w:val="00C11266"/>
    <w:rsid w:val="00C11413"/>
    <w:rsid w:val="00C13588"/>
    <w:rsid w:val="00C148C9"/>
    <w:rsid w:val="00C1663D"/>
    <w:rsid w:val="00C16685"/>
    <w:rsid w:val="00C20DDA"/>
    <w:rsid w:val="00C223A8"/>
    <w:rsid w:val="00C22555"/>
    <w:rsid w:val="00C24857"/>
    <w:rsid w:val="00C25AF4"/>
    <w:rsid w:val="00C26760"/>
    <w:rsid w:val="00C314F8"/>
    <w:rsid w:val="00C370ED"/>
    <w:rsid w:val="00C37101"/>
    <w:rsid w:val="00C3783A"/>
    <w:rsid w:val="00C37AB4"/>
    <w:rsid w:val="00C418A0"/>
    <w:rsid w:val="00C41D89"/>
    <w:rsid w:val="00C44CAA"/>
    <w:rsid w:val="00C458C5"/>
    <w:rsid w:val="00C45C5F"/>
    <w:rsid w:val="00C45E01"/>
    <w:rsid w:val="00C5216D"/>
    <w:rsid w:val="00C52458"/>
    <w:rsid w:val="00C52C23"/>
    <w:rsid w:val="00C53C1E"/>
    <w:rsid w:val="00C56309"/>
    <w:rsid w:val="00C563FB"/>
    <w:rsid w:val="00C64FEC"/>
    <w:rsid w:val="00C65B42"/>
    <w:rsid w:val="00C664D3"/>
    <w:rsid w:val="00C6728F"/>
    <w:rsid w:val="00C67874"/>
    <w:rsid w:val="00C67D23"/>
    <w:rsid w:val="00C71FCF"/>
    <w:rsid w:val="00C737D6"/>
    <w:rsid w:val="00C73902"/>
    <w:rsid w:val="00C74AB9"/>
    <w:rsid w:val="00C752DE"/>
    <w:rsid w:val="00C77CD2"/>
    <w:rsid w:val="00C8095F"/>
    <w:rsid w:val="00C81231"/>
    <w:rsid w:val="00C81DCB"/>
    <w:rsid w:val="00C83769"/>
    <w:rsid w:val="00C838ED"/>
    <w:rsid w:val="00C83A3B"/>
    <w:rsid w:val="00C844AA"/>
    <w:rsid w:val="00C84BFE"/>
    <w:rsid w:val="00C869E4"/>
    <w:rsid w:val="00C9216A"/>
    <w:rsid w:val="00C9303A"/>
    <w:rsid w:val="00C947F5"/>
    <w:rsid w:val="00C95112"/>
    <w:rsid w:val="00C95921"/>
    <w:rsid w:val="00C96D1B"/>
    <w:rsid w:val="00C972C2"/>
    <w:rsid w:val="00CA0B64"/>
    <w:rsid w:val="00CA2FCB"/>
    <w:rsid w:val="00CA310F"/>
    <w:rsid w:val="00CA59C9"/>
    <w:rsid w:val="00CA5FE1"/>
    <w:rsid w:val="00CB0E15"/>
    <w:rsid w:val="00CB1B7C"/>
    <w:rsid w:val="00CB25DD"/>
    <w:rsid w:val="00CB2FE3"/>
    <w:rsid w:val="00CB4054"/>
    <w:rsid w:val="00CB4D5D"/>
    <w:rsid w:val="00CB5520"/>
    <w:rsid w:val="00CB5D77"/>
    <w:rsid w:val="00CC0064"/>
    <w:rsid w:val="00CC3C7F"/>
    <w:rsid w:val="00CC4319"/>
    <w:rsid w:val="00CC484C"/>
    <w:rsid w:val="00CC68F0"/>
    <w:rsid w:val="00CC726D"/>
    <w:rsid w:val="00CC7B8E"/>
    <w:rsid w:val="00CD0A9F"/>
    <w:rsid w:val="00CD194E"/>
    <w:rsid w:val="00CD2450"/>
    <w:rsid w:val="00CD2756"/>
    <w:rsid w:val="00CD29DB"/>
    <w:rsid w:val="00CD44A5"/>
    <w:rsid w:val="00CD6ECD"/>
    <w:rsid w:val="00CD6EF8"/>
    <w:rsid w:val="00CE0DA5"/>
    <w:rsid w:val="00CE23B7"/>
    <w:rsid w:val="00CE4B6C"/>
    <w:rsid w:val="00CE71B2"/>
    <w:rsid w:val="00CE7443"/>
    <w:rsid w:val="00CE7929"/>
    <w:rsid w:val="00CE7B78"/>
    <w:rsid w:val="00CF1683"/>
    <w:rsid w:val="00CF300F"/>
    <w:rsid w:val="00CF3733"/>
    <w:rsid w:val="00CF4094"/>
    <w:rsid w:val="00CF5599"/>
    <w:rsid w:val="00CF5D30"/>
    <w:rsid w:val="00CF7212"/>
    <w:rsid w:val="00CF7BEB"/>
    <w:rsid w:val="00CF7D9D"/>
    <w:rsid w:val="00D00D6D"/>
    <w:rsid w:val="00D01B71"/>
    <w:rsid w:val="00D028DD"/>
    <w:rsid w:val="00D02A40"/>
    <w:rsid w:val="00D044B2"/>
    <w:rsid w:val="00D05809"/>
    <w:rsid w:val="00D058B9"/>
    <w:rsid w:val="00D05B9E"/>
    <w:rsid w:val="00D1232B"/>
    <w:rsid w:val="00D1341D"/>
    <w:rsid w:val="00D17865"/>
    <w:rsid w:val="00D207FC"/>
    <w:rsid w:val="00D226C0"/>
    <w:rsid w:val="00D22950"/>
    <w:rsid w:val="00D22CD9"/>
    <w:rsid w:val="00D22E3F"/>
    <w:rsid w:val="00D249AF"/>
    <w:rsid w:val="00D2595C"/>
    <w:rsid w:val="00D26F3A"/>
    <w:rsid w:val="00D27196"/>
    <w:rsid w:val="00D27F77"/>
    <w:rsid w:val="00D30F1B"/>
    <w:rsid w:val="00D3189B"/>
    <w:rsid w:val="00D3201B"/>
    <w:rsid w:val="00D321C7"/>
    <w:rsid w:val="00D32646"/>
    <w:rsid w:val="00D33324"/>
    <w:rsid w:val="00D36417"/>
    <w:rsid w:val="00D37A74"/>
    <w:rsid w:val="00D37A94"/>
    <w:rsid w:val="00D411F9"/>
    <w:rsid w:val="00D41BD2"/>
    <w:rsid w:val="00D42C4A"/>
    <w:rsid w:val="00D43316"/>
    <w:rsid w:val="00D44635"/>
    <w:rsid w:val="00D44ABC"/>
    <w:rsid w:val="00D44C48"/>
    <w:rsid w:val="00D44CA1"/>
    <w:rsid w:val="00D45213"/>
    <w:rsid w:val="00D45595"/>
    <w:rsid w:val="00D46A72"/>
    <w:rsid w:val="00D47364"/>
    <w:rsid w:val="00D476C6"/>
    <w:rsid w:val="00D50862"/>
    <w:rsid w:val="00D50912"/>
    <w:rsid w:val="00D52335"/>
    <w:rsid w:val="00D52F9F"/>
    <w:rsid w:val="00D53F00"/>
    <w:rsid w:val="00D55AA9"/>
    <w:rsid w:val="00D608F0"/>
    <w:rsid w:val="00D61893"/>
    <w:rsid w:val="00D6274C"/>
    <w:rsid w:val="00D62AFF"/>
    <w:rsid w:val="00D64228"/>
    <w:rsid w:val="00D64592"/>
    <w:rsid w:val="00D64F93"/>
    <w:rsid w:val="00D654E3"/>
    <w:rsid w:val="00D6551A"/>
    <w:rsid w:val="00D67ADA"/>
    <w:rsid w:val="00D726EC"/>
    <w:rsid w:val="00D72825"/>
    <w:rsid w:val="00D72FBA"/>
    <w:rsid w:val="00D74D61"/>
    <w:rsid w:val="00D75B18"/>
    <w:rsid w:val="00D75F1D"/>
    <w:rsid w:val="00D769A2"/>
    <w:rsid w:val="00D76CFF"/>
    <w:rsid w:val="00D77298"/>
    <w:rsid w:val="00D77BE3"/>
    <w:rsid w:val="00D80C0A"/>
    <w:rsid w:val="00D80E46"/>
    <w:rsid w:val="00D814A1"/>
    <w:rsid w:val="00D814AD"/>
    <w:rsid w:val="00D81C06"/>
    <w:rsid w:val="00D866B9"/>
    <w:rsid w:val="00D8745C"/>
    <w:rsid w:val="00D91936"/>
    <w:rsid w:val="00D92049"/>
    <w:rsid w:val="00D92B2A"/>
    <w:rsid w:val="00D942C9"/>
    <w:rsid w:val="00D94ACA"/>
    <w:rsid w:val="00D95095"/>
    <w:rsid w:val="00D95918"/>
    <w:rsid w:val="00D96EA6"/>
    <w:rsid w:val="00D979D7"/>
    <w:rsid w:val="00D97CBA"/>
    <w:rsid w:val="00DA0E26"/>
    <w:rsid w:val="00DA12FD"/>
    <w:rsid w:val="00DA15A6"/>
    <w:rsid w:val="00DA185B"/>
    <w:rsid w:val="00DA2C26"/>
    <w:rsid w:val="00DA2C35"/>
    <w:rsid w:val="00DA3847"/>
    <w:rsid w:val="00DA3AEA"/>
    <w:rsid w:val="00DA618D"/>
    <w:rsid w:val="00DA7B98"/>
    <w:rsid w:val="00DB1222"/>
    <w:rsid w:val="00DB13AA"/>
    <w:rsid w:val="00DB41C1"/>
    <w:rsid w:val="00DB4211"/>
    <w:rsid w:val="00DB44EC"/>
    <w:rsid w:val="00DB79D7"/>
    <w:rsid w:val="00DC1678"/>
    <w:rsid w:val="00DC1A2A"/>
    <w:rsid w:val="00DC2F24"/>
    <w:rsid w:val="00DD1862"/>
    <w:rsid w:val="00DD1F13"/>
    <w:rsid w:val="00DD26CC"/>
    <w:rsid w:val="00DD4E3B"/>
    <w:rsid w:val="00DD5C85"/>
    <w:rsid w:val="00DD763F"/>
    <w:rsid w:val="00DE35F1"/>
    <w:rsid w:val="00DE3DB5"/>
    <w:rsid w:val="00DE3FD0"/>
    <w:rsid w:val="00DE4A61"/>
    <w:rsid w:val="00DE558B"/>
    <w:rsid w:val="00DF0636"/>
    <w:rsid w:val="00DF112D"/>
    <w:rsid w:val="00DF319B"/>
    <w:rsid w:val="00DF4F11"/>
    <w:rsid w:val="00DF7715"/>
    <w:rsid w:val="00E00D5A"/>
    <w:rsid w:val="00E0114B"/>
    <w:rsid w:val="00E02738"/>
    <w:rsid w:val="00E03F71"/>
    <w:rsid w:val="00E04F29"/>
    <w:rsid w:val="00E05703"/>
    <w:rsid w:val="00E10AA3"/>
    <w:rsid w:val="00E11A37"/>
    <w:rsid w:val="00E12263"/>
    <w:rsid w:val="00E12762"/>
    <w:rsid w:val="00E13CCA"/>
    <w:rsid w:val="00E16772"/>
    <w:rsid w:val="00E16F82"/>
    <w:rsid w:val="00E175D4"/>
    <w:rsid w:val="00E20249"/>
    <w:rsid w:val="00E20403"/>
    <w:rsid w:val="00E20D8F"/>
    <w:rsid w:val="00E226A9"/>
    <w:rsid w:val="00E23619"/>
    <w:rsid w:val="00E23E68"/>
    <w:rsid w:val="00E24C4F"/>
    <w:rsid w:val="00E24F10"/>
    <w:rsid w:val="00E27043"/>
    <w:rsid w:val="00E304B5"/>
    <w:rsid w:val="00E322C7"/>
    <w:rsid w:val="00E32CDC"/>
    <w:rsid w:val="00E33BAD"/>
    <w:rsid w:val="00E361F3"/>
    <w:rsid w:val="00E36FB6"/>
    <w:rsid w:val="00E379CD"/>
    <w:rsid w:val="00E411C6"/>
    <w:rsid w:val="00E4440E"/>
    <w:rsid w:val="00E45AC3"/>
    <w:rsid w:val="00E46157"/>
    <w:rsid w:val="00E47962"/>
    <w:rsid w:val="00E47CEE"/>
    <w:rsid w:val="00E52224"/>
    <w:rsid w:val="00E53093"/>
    <w:rsid w:val="00E54114"/>
    <w:rsid w:val="00E54932"/>
    <w:rsid w:val="00E55B72"/>
    <w:rsid w:val="00E574AD"/>
    <w:rsid w:val="00E61FB0"/>
    <w:rsid w:val="00E63EFD"/>
    <w:rsid w:val="00E67204"/>
    <w:rsid w:val="00E71593"/>
    <w:rsid w:val="00E72148"/>
    <w:rsid w:val="00E721C4"/>
    <w:rsid w:val="00E7300B"/>
    <w:rsid w:val="00E735AF"/>
    <w:rsid w:val="00E73892"/>
    <w:rsid w:val="00E74822"/>
    <w:rsid w:val="00E760EE"/>
    <w:rsid w:val="00E769DB"/>
    <w:rsid w:val="00E83582"/>
    <w:rsid w:val="00E83647"/>
    <w:rsid w:val="00E83BE4"/>
    <w:rsid w:val="00E84B71"/>
    <w:rsid w:val="00E84C78"/>
    <w:rsid w:val="00E91A42"/>
    <w:rsid w:val="00E91C86"/>
    <w:rsid w:val="00E92C59"/>
    <w:rsid w:val="00E9691F"/>
    <w:rsid w:val="00E96924"/>
    <w:rsid w:val="00E976EB"/>
    <w:rsid w:val="00EA1484"/>
    <w:rsid w:val="00EA2079"/>
    <w:rsid w:val="00EA2C38"/>
    <w:rsid w:val="00EA33C5"/>
    <w:rsid w:val="00EA3CD0"/>
    <w:rsid w:val="00EA3DEC"/>
    <w:rsid w:val="00EA4EC0"/>
    <w:rsid w:val="00EA553F"/>
    <w:rsid w:val="00EA5CFD"/>
    <w:rsid w:val="00EA6EEA"/>
    <w:rsid w:val="00EB01E3"/>
    <w:rsid w:val="00EB033E"/>
    <w:rsid w:val="00EB07FC"/>
    <w:rsid w:val="00EB240E"/>
    <w:rsid w:val="00EB312C"/>
    <w:rsid w:val="00EB323E"/>
    <w:rsid w:val="00EB3A0E"/>
    <w:rsid w:val="00EB3AC0"/>
    <w:rsid w:val="00EB448D"/>
    <w:rsid w:val="00EB6A30"/>
    <w:rsid w:val="00EB7943"/>
    <w:rsid w:val="00EC04FE"/>
    <w:rsid w:val="00EC195B"/>
    <w:rsid w:val="00EC1E45"/>
    <w:rsid w:val="00EC2773"/>
    <w:rsid w:val="00EC2C9A"/>
    <w:rsid w:val="00EC2E59"/>
    <w:rsid w:val="00EC3BA4"/>
    <w:rsid w:val="00EC4CAA"/>
    <w:rsid w:val="00EC5220"/>
    <w:rsid w:val="00EC538B"/>
    <w:rsid w:val="00EC6646"/>
    <w:rsid w:val="00EC6EF7"/>
    <w:rsid w:val="00ED001C"/>
    <w:rsid w:val="00ED03E8"/>
    <w:rsid w:val="00ED08AE"/>
    <w:rsid w:val="00ED2BAF"/>
    <w:rsid w:val="00ED7D23"/>
    <w:rsid w:val="00EE0F0B"/>
    <w:rsid w:val="00EE1CC5"/>
    <w:rsid w:val="00EE1E4E"/>
    <w:rsid w:val="00EE3E47"/>
    <w:rsid w:val="00EE5ADC"/>
    <w:rsid w:val="00EE738E"/>
    <w:rsid w:val="00EE7549"/>
    <w:rsid w:val="00EE7FD6"/>
    <w:rsid w:val="00EF00BF"/>
    <w:rsid w:val="00EF07CC"/>
    <w:rsid w:val="00EF0A14"/>
    <w:rsid w:val="00EF2126"/>
    <w:rsid w:val="00EF22E4"/>
    <w:rsid w:val="00EF2D98"/>
    <w:rsid w:val="00EF3636"/>
    <w:rsid w:val="00EF43EF"/>
    <w:rsid w:val="00EF518D"/>
    <w:rsid w:val="00EF5DC6"/>
    <w:rsid w:val="00EF6A33"/>
    <w:rsid w:val="00EF790A"/>
    <w:rsid w:val="00EF7A60"/>
    <w:rsid w:val="00EF7B4C"/>
    <w:rsid w:val="00F0035E"/>
    <w:rsid w:val="00F0089F"/>
    <w:rsid w:val="00F009DB"/>
    <w:rsid w:val="00F01118"/>
    <w:rsid w:val="00F02361"/>
    <w:rsid w:val="00F033D0"/>
    <w:rsid w:val="00F035CD"/>
    <w:rsid w:val="00F04259"/>
    <w:rsid w:val="00F04594"/>
    <w:rsid w:val="00F053DA"/>
    <w:rsid w:val="00F06D1D"/>
    <w:rsid w:val="00F07594"/>
    <w:rsid w:val="00F102E2"/>
    <w:rsid w:val="00F11440"/>
    <w:rsid w:val="00F11F24"/>
    <w:rsid w:val="00F1335B"/>
    <w:rsid w:val="00F14752"/>
    <w:rsid w:val="00F14F2C"/>
    <w:rsid w:val="00F1556E"/>
    <w:rsid w:val="00F16196"/>
    <w:rsid w:val="00F173DB"/>
    <w:rsid w:val="00F174C5"/>
    <w:rsid w:val="00F1785A"/>
    <w:rsid w:val="00F17F6A"/>
    <w:rsid w:val="00F22055"/>
    <w:rsid w:val="00F22D2D"/>
    <w:rsid w:val="00F22DF0"/>
    <w:rsid w:val="00F2346C"/>
    <w:rsid w:val="00F264BC"/>
    <w:rsid w:val="00F27B12"/>
    <w:rsid w:val="00F31C00"/>
    <w:rsid w:val="00F331F5"/>
    <w:rsid w:val="00F3478E"/>
    <w:rsid w:val="00F34B87"/>
    <w:rsid w:val="00F3756D"/>
    <w:rsid w:val="00F37690"/>
    <w:rsid w:val="00F37A3D"/>
    <w:rsid w:val="00F4230C"/>
    <w:rsid w:val="00F44C9A"/>
    <w:rsid w:val="00F45B07"/>
    <w:rsid w:val="00F45E2A"/>
    <w:rsid w:val="00F46DC3"/>
    <w:rsid w:val="00F50810"/>
    <w:rsid w:val="00F50C3E"/>
    <w:rsid w:val="00F51E6A"/>
    <w:rsid w:val="00F52C37"/>
    <w:rsid w:val="00F53800"/>
    <w:rsid w:val="00F53B4A"/>
    <w:rsid w:val="00F5410C"/>
    <w:rsid w:val="00F54AB3"/>
    <w:rsid w:val="00F553E9"/>
    <w:rsid w:val="00F556FC"/>
    <w:rsid w:val="00F5659E"/>
    <w:rsid w:val="00F610EF"/>
    <w:rsid w:val="00F62054"/>
    <w:rsid w:val="00F62CC2"/>
    <w:rsid w:val="00F637E1"/>
    <w:rsid w:val="00F6407A"/>
    <w:rsid w:val="00F66091"/>
    <w:rsid w:val="00F66218"/>
    <w:rsid w:val="00F6712D"/>
    <w:rsid w:val="00F67D84"/>
    <w:rsid w:val="00F67F58"/>
    <w:rsid w:val="00F7081A"/>
    <w:rsid w:val="00F70A1A"/>
    <w:rsid w:val="00F72B02"/>
    <w:rsid w:val="00F72C3B"/>
    <w:rsid w:val="00F74198"/>
    <w:rsid w:val="00F744AC"/>
    <w:rsid w:val="00F75092"/>
    <w:rsid w:val="00F75436"/>
    <w:rsid w:val="00F75582"/>
    <w:rsid w:val="00F77830"/>
    <w:rsid w:val="00F807D5"/>
    <w:rsid w:val="00F82123"/>
    <w:rsid w:val="00F826EE"/>
    <w:rsid w:val="00F82B59"/>
    <w:rsid w:val="00F832C2"/>
    <w:rsid w:val="00F87030"/>
    <w:rsid w:val="00F90DB4"/>
    <w:rsid w:val="00F912BC"/>
    <w:rsid w:val="00F95489"/>
    <w:rsid w:val="00F95D95"/>
    <w:rsid w:val="00F96C01"/>
    <w:rsid w:val="00F96DAA"/>
    <w:rsid w:val="00FA191B"/>
    <w:rsid w:val="00FA1D1C"/>
    <w:rsid w:val="00FA1EC6"/>
    <w:rsid w:val="00FA38DF"/>
    <w:rsid w:val="00FA4B6B"/>
    <w:rsid w:val="00FA6480"/>
    <w:rsid w:val="00FA786B"/>
    <w:rsid w:val="00FA7928"/>
    <w:rsid w:val="00FB0371"/>
    <w:rsid w:val="00FB1DD8"/>
    <w:rsid w:val="00FB3ED1"/>
    <w:rsid w:val="00FB4C36"/>
    <w:rsid w:val="00FB5A5A"/>
    <w:rsid w:val="00FB7DA4"/>
    <w:rsid w:val="00FC20B5"/>
    <w:rsid w:val="00FC311C"/>
    <w:rsid w:val="00FC3563"/>
    <w:rsid w:val="00FC456D"/>
    <w:rsid w:val="00FC5B29"/>
    <w:rsid w:val="00FC64B2"/>
    <w:rsid w:val="00FC6F58"/>
    <w:rsid w:val="00FD0BDD"/>
    <w:rsid w:val="00FD1D02"/>
    <w:rsid w:val="00FD2728"/>
    <w:rsid w:val="00FD2B9A"/>
    <w:rsid w:val="00FD3A51"/>
    <w:rsid w:val="00FD413B"/>
    <w:rsid w:val="00FD6E86"/>
    <w:rsid w:val="00FD7B13"/>
    <w:rsid w:val="00FE153A"/>
    <w:rsid w:val="00FE2A23"/>
    <w:rsid w:val="00FE32ED"/>
    <w:rsid w:val="00FE387D"/>
    <w:rsid w:val="00FE53A4"/>
    <w:rsid w:val="00FE6683"/>
    <w:rsid w:val="00FE6B5B"/>
    <w:rsid w:val="00FE7E26"/>
    <w:rsid w:val="00FF0D18"/>
    <w:rsid w:val="00FF1193"/>
    <w:rsid w:val="00FF3276"/>
    <w:rsid w:val="00FF7B50"/>
  </w:rsids>
  <m:mathPr>
    <m:mathFont m:val="Cambria Math"/>
    <m:brkBin m:val="before"/>
    <m:brkBinSub m:val="--"/>
    <m:smallFrac m:val="0"/>
    <m:dispDef m:val="0"/>
    <m:lMargin m:val="0"/>
    <m:rMargin m:val="0"/>
    <m:defJc m:val="centerGroup"/>
    <m:wrapRight/>
    <m:intLim m:val="subSup"/>
    <m:naryLim m:val="subSup"/>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ddd"/>
    </o:shapedefaults>
    <o:shapelayout v:ext="edit">
      <o:idmap v:ext="edit" data="2"/>
    </o:shapelayout>
  </w:shapeDefaults>
  <w:decimalSymbol w:val="."/>
  <w:listSeparator w:val=","/>
  <w14:docId w14:val="0B87DAC7"/>
  <w15:docId w15:val="{5F981FE2-8C04-404F-8AD3-5CF89339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PMingLiU"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9"/>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FD2B9A"/>
    <w:pPr>
      <w:spacing w:after="200" w:line="260" w:lineRule="exact"/>
    </w:pPr>
    <w:rPr>
      <w:rFonts w:ascii="Arial" w:hAnsi="Arial"/>
      <w:lang w:val="en-GB" w:eastAsia="ja-JP"/>
    </w:rPr>
  </w:style>
  <w:style w:type="paragraph" w:styleId="Heading1">
    <w:name w:val="heading 1"/>
    <w:basedOn w:val="Normal"/>
    <w:next w:val="Normal"/>
    <w:link w:val="Heading1Char"/>
    <w:uiPriority w:val="9"/>
    <w:qFormat/>
    <w:rsid w:val="009A3BCA"/>
    <w:pPr>
      <w:keepNext/>
      <w:keepLines/>
      <w:spacing w:before="480" w:after="0"/>
      <w:outlineLvl w:val="0"/>
    </w:pPr>
    <w:rPr>
      <w:rFonts w:ascii="Calibri" w:hAnsi="Calibri"/>
      <w:b/>
      <w:bCs/>
      <w:color w:val="345A8A"/>
      <w:sz w:val="32"/>
      <w:szCs w:val="32"/>
      <w:lang w:val="x-none" w:eastAsia="x-none"/>
    </w:rPr>
  </w:style>
  <w:style w:type="paragraph" w:styleId="Heading2">
    <w:name w:val="heading 2"/>
    <w:basedOn w:val="Normal"/>
    <w:next w:val="Normal"/>
    <w:link w:val="Heading2Char"/>
    <w:uiPriority w:val="9"/>
    <w:unhideWhenUsed/>
    <w:qFormat/>
    <w:rsid w:val="001F7D22"/>
    <w:pPr>
      <w:keepNext/>
      <w:keepLines/>
      <w:spacing w:before="200" w:after="0" w:line="240" w:lineRule="auto"/>
      <w:outlineLvl w:val="1"/>
    </w:pPr>
    <w:rPr>
      <w:rFonts w:ascii="Cambria" w:eastAsia="Times New Roman" w:hAnsi="Cambria"/>
      <w:b/>
      <w:bCs/>
      <w:color w:val="4F81BD"/>
      <w:sz w:val="26"/>
      <w:szCs w:val="26"/>
      <w:lang w:eastAsia="en-GB"/>
    </w:rPr>
  </w:style>
  <w:style w:type="paragraph" w:styleId="Heading3">
    <w:name w:val="heading 3"/>
    <w:basedOn w:val="Normal"/>
    <w:next w:val="Normal"/>
    <w:link w:val="Heading3Char"/>
    <w:uiPriority w:val="9"/>
    <w:unhideWhenUsed/>
    <w:qFormat/>
    <w:rsid w:val="003D1CD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F7D22"/>
    <w:pPr>
      <w:keepNext/>
      <w:keepLines/>
      <w:spacing w:before="200" w:after="0" w:line="240" w:lineRule="auto"/>
      <w:outlineLvl w:val="3"/>
    </w:pPr>
    <w:rPr>
      <w:rFonts w:ascii="Cambria" w:eastAsia="Times New Roman" w:hAnsi="Cambria"/>
      <w:b/>
      <w:bCs/>
      <w:i/>
      <w:iCs/>
      <w:color w:val="4F81BD"/>
      <w:sz w:val="22"/>
      <w:szCs w:val="22"/>
      <w:lang w:eastAsia="en-GB"/>
    </w:rPr>
  </w:style>
  <w:style w:type="paragraph" w:styleId="Heading5">
    <w:name w:val="heading 5"/>
    <w:basedOn w:val="Normal"/>
    <w:next w:val="Normal"/>
    <w:link w:val="Heading5Char"/>
    <w:uiPriority w:val="9"/>
    <w:semiHidden/>
    <w:unhideWhenUsed/>
    <w:qFormat/>
    <w:rsid w:val="001F7D22"/>
    <w:pPr>
      <w:keepNext/>
      <w:keepLines/>
      <w:spacing w:before="200" w:after="0" w:line="240" w:lineRule="auto"/>
      <w:outlineLvl w:val="4"/>
    </w:pPr>
    <w:rPr>
      <w:rFonts w:ascii="Cambria" w:eastAsia="Times New Roman" w:hAnsi="Cambria"/>
      <w:color w:val="243F60"/>
      <w:sz w:val="22"/>
      <w:szCs w:val="22"/>
      <w:lang w:eastAsia="en-GB"/>
    </w:rPr>
  </w:style>
  <w:style w:type="paragraph" w:styleId="Heading6">
    <w:name w:val="heading 6"/>
    <w:basedOn w:val="Normal"/>
    <w:next w:val="Normal"/>
    <w:link w:val="Heading6Char"/>
    <w:uiPriority w:val="9"/>
    <w:semiHidden/>
    <w:unhideWhenUsed/>
    <w:qFormat/>
    <w:rsid w:val="001F7D22"/>
    <w:pPr>
      <w:keepNext/>
      <w:keepLines/>
      <w:spacing w:before="200" w:after="0" w:line="240" w:lineRule="auto"/>
      <w:outlineLvl w:val="5"/>
    </w:pPr>
    <w:rPr>
      <w:rFonts w:ascii="Cambria" w:eastAsia="Times New Roman" w:hAnsi="Cambria"/>
      <w:i/>
      <w:iCs/>
      <w:color w:val="243F60"/>
      <w:sz w:val="22"/>
      <w:szCs w:val="22"/>
      <w:lang w:eastAsia="en-GB"/>
    </w:rPr>
  </w:style>
  <w:style w:type="paragraph" w:styleId="Heading7">
    <w:name w:val="heading 7"/>
    <w:basedOn w:val="Normal"/>
    <w:next w:val="Normal"/>
    <w:link w:val="Heading7Char"/>
    <w:uiPriority w:val="9"/>
    <w:semiHidden/>
    <w:unhideWhenUsed/>
    <w:qFormat/>
    <w:rsid w:val="001F7D22"/>
    <w:pPr>
      <w:keepNext/>
      <w:keepLines/>
      <w:spacing w:before="200" w:after="0" w:line="240" w:lineRule="auto"/>
      <w:outlineLvl w:val="6"/>
    </w:pPr>
    <w:rPr>
      <w:rFonts w:ascii="Cambria" w:eastAsia="Times New Roman" w:hAnsi="Cambria"/>
      <w:i/>
      <w:iCs/>
      <w:color w:val="404040"/>
      <w:sz w:val="22"/>
      <w:szCs w:val="22"/>
      <w:lang w:eastAsia="en-GB"/>
    </w:rPr>
  </w:style>
  <w:style w:type="paragraph" w:styleId="Heading8">
    <w:name w:val="heading 8"/>
    <w:basedOn w:val="Normal"/>
    <w:next w:val="Normal"/>
    <w:link w:val="Heading8Char"/>
    <w:uiPriority w:val="9"/>
    <w:semiHidden/>
    <w:unhideWhenUsed/>
    <w:qFormat/>
    <w:rsid w:val="001F7D22"/>
    <w:pPr>
      <w:keepNext/>
      <w:keepLines/>
      <w:spacing w:before="200" w:after="0" w:line="240" w:lineRule="auto"/>
      <w:outlineLvl w:val="7"/>
    </w:pPr>
    <w:rPr>
      <w:rFonts w:ascii="Cambria" w:eastAsia="Times New Roman" w:hAnsi="Cambria"/>
      <w:color w:val="404040"/>
      <w:lang w:eastAsia="en-GB"/>
    </w:rPr>
  </w:style>
  <w:style w:type="paragraph" w:styleId="Heading9">
    <w:name w:val="heading 9"/>
    <w:basedOn w:val="Normal"/>
    <w:next w:val="Normal"/>
    <w:link w:val="Heading9Char"/>
    <w:uiPriority w:val="9"/>
    <w:semiHidden/>
    <w:unhideWhenUsed/>
    <w:qFormat/>
    <w:rsid w:val="001F7D22"/>
    <w:pPr>
      <w:keepNext/>
      <w:keepLines/>
      <w:spacing w:before="200" w:after="0" w:line="240" w:lineRule="auto"/>
      <w:outlineLvl w:val="8"/>
    </w:pPr>
    <w:rPr>
      <w:rFonts w:ascii="Cambria" w:eastAsia="Times New Roman" w:hAnsi="Cambria"/>
      <w:i/>
      <w:iCs/>
      <w:color w:val="4040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11">
    <w:name w:val="Colorful Shading - Accent 11"/>
    <w:hidden/>
    <w:uiPriority w:val="99"/>
    <w:semiHidden/>
    <w:rsid w:val="007A7FDD"/>
    <w:rPr>
      <w:sz w:val="24"/>
      <w:szCs w:val="24"/>
      <w:lang w:val="en-US" w:eastAsia="ja-JP"/>
    </w:rPr>
  </w:style>
  <w:style w:type="paragraph" w:styleId="BalloonText">
    <w:name w:val="Balloon Text"/>
    <w:basedOn w:val="Normal"/>
    <w:link w:val="BalloonTextChar"/>
    <w:uiPriority w:val="99"/>
    <w:semiHidden/>
    <w:unhideWhenUsed/>
    <w:rsid w:val="007A7FD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A7FDD"/>
    <w:rPr>
      <w:rFonts w:ascii="Lucida Grande" w:hAnsi="Lucida Grande" w:cs="Lucida Grande"/>
      <w:sz w:val="18"/>
      <w:szCs w:val="18"/>
    </w:rPr>
  </w:style>
  <w:style w:type="table" w:styleId="TableGrid">
    <w:name w:val="Table Grid"/>
    <w:basedOn w:val="TableNormal"/>
    <w:uiPriority w:val="59"/>
    <w:rsid w:val="007A7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7B3E5D"/>
    <w:pPr>
      <w:spacing w:after="200"/>
    </w:pPr>
    <w:rPr>
      <w:rFonts w:ascii="Arial" w:hAnsi="Arial"/>
      <w:color w:val="000000"/>
      <w:szCs w:val="22"/>
      <w:lang w:val="en-US" w:eastAsia="en-US" w:bidi="en-US"/>
    </w:rPr>
  </w:style>
  <w:style w:type="paragraph" w:customStyle="1" w:styleId="Tableheadings">
    <w:name w:val="Table headings"/>
    <w:qFormat/>
    <w:rsid w:val="00C24E7D"/>
    <w:pPr>
      <w:spacing w:after="200"/>
    </w:pPr>
    <w:rPr>
      <w:rFonts w:ascii="Arial" w:hAnsi="Arial"/>
      <w:b/>
      <w:bCs/>
      <w:color w:val="000000"/>
      <w:szCs w:val="24"/>
      <w:lang w:val="en-US" w:eastAsia="en-US" w:bidi="en-US"/>
    </w:rPr>
  </w:style>
  <w:style w:type="paragraph" w:styleId="Header">
    <w:name w:val="header"/>
    <w:basedOn w:val="Normal"/>
    <w:link w:val="HeaderChar"/>
    <w:uiPriority w:val="99"/>
    <w:unhideWhenUsed/>
    <w:rsid w:val="006812F4"/>
    <w:pPr>
      <w:tabs>
        <w:tab w:val="center" w:pos="4320"/>
        <w:tab w:val="right" w:pos="8640"/>
      </w:tabs>
      <w:spacing w:after="0"/>
    </w:pPr>
    <w:rPr>
      <w:lang w:val="x-none" w:eastAsia="x-none"/>
    </w:rPr>
  </w:style>
  <w:style w:type="paragraph" w:customStyle="1" w:styleId="Masterheading">
    <w:name w:val="Master heading"/>
    <w:qFormat/>
    <w:rsid w:val="00015EA8"/>
    <w:pPr>
      <w:spacing w:after="300"/>
    </w:pPr>
    <w:rPr>
      <w:rFonts w:ascii="Arial" w:hAnsi="Arial"/>
      <w:color w:val="000000"/>
      <w:sz w:val="44"/>
      <w:szCs w:val="56"/>
      <w:lang w:val="en-US" w:eastAsia="ja-JP"/>
    </w:rPr>
  </w:style>
  <w:style w:type="paragraph" w:customStyle="1" w:styleId="Partheading">
    <w:name w:val="Part heading"/>
    <w:qFormat/>
    <w:rsid w:val="00CA1D16"/>
    <w:pPr>
      <w:spacing w:after="300"/>
    </w:pPr>
    <w:rPr>
      <w:rFonts w:ascii="Arial" w:hAnsi="Arial"/>
      <w:color w:val="FFFFFF"/>
      <w:sz w:val="32"/>
      <w:szCs w:val="32"/>
      <w:lang w:val="en-US" w:eastAsia="ja-JP"/>
    </w:rPr>
  </w:style>
  <w:style w:type="paragraph" w:customStyle="1" w:styleId="Maintitle">
    <w:name w:val="Main title"/>
    <w:qFormat/>
    <w:rsid w:val="00EB18A2"/>
    <w:pPr>
      <w:spacing w:after="100"/>
    </w:pPr>
    <w:rPr>
      <w:rFonts w:ascii="Arial" w:hAnsi="Arial"/>
      <w:b/>
      <w:bCs/>
      <w:color w:val="000000"/>
      <w:sz w:val="28"/>
      <w:szCs w:val="28"/>
      <w:lang w:val="en-US" w:eastAsia="ja-JP"/>
    </w:rPr>
  </w:style>
  <w:style w:type="paragraph" w:customStyle="1" w:styleId="Subtitle">
    <w:name w:val="Sub title"/>
    <w:link w:val="SubtitleChar"/>
    <w:qFormat/>
    <w:rsid w:val="009213B5"/>
    <w:pPr>
      <w:pBdr>
        <w:bottom w:val="dotted" w:sz="8" w:space="5" w:color="000000"/>
      </w:pBdr>
      <w:spacing w:before="200" w:after="200"/>
    </w:pPr>
    <w:rPr>
      <w:rFonts w:ascii="Arial" w:hAnsi="Arial"/>
      <w:b/>
      <w:color w:val="000000"/>
      <w:sz w:val="28"/>
      <w:szCs w:val="24"/>
      <w:lang w:val="en-US" w:eastAsia="ja-JP"/>
    </w:rPr>
  </w:style>
  <w:style w:type="character" w:customStyle="1" w:styleId="HeaderChar">
    <w:name w:val="Header Char"/>
    <w:link w:val="Header"/>
    <w:uiPriority w:val="99"/>
    <w:rsid w:val="006812F4"/>
    <w:rPr>
      <w:rFonts w:ascii="Arial" w:hAnsi="Arial"/>
      <w:sz w:val="20"/>
      <w:szCs w:val="20"/>
    </w:rPr>
  </w:style>
  <w:style w:type="paragraph" w:styleId="Footer">
    <w:name w:val="footer"/>
    <w:basedOn w:val="Normal"/>
    <w:link w:val="FooterChar"/>
    <w:uiPriority w:val="99"/>
    <w:unhideWhenUsed/>
    <w:rsid w:val="006812F4"/>
    <w:pPr>
      <w:tabs>
        <w:tab w:val="center" w:pos="4320"/>
        <w:tab w:val="right" w:pos="8640"/>
      </w:tabs>
      <w:spacing w:after="0"/>
    </w:pPr>
    <w:rPr>
      <w:lang w:val="x-none" w:eastAsia="x-none"/>
    </w:rPr>
  </w:style>
  <w:style w:type="character" w:customStyle="1" w:styleId="FooterChar">
    <w:name w:val="Footer Char"/>
    <w:link w:val="Footer"/>
    <w:uiPriority w:val="99"/>
    <w:rsid w:val="006812F4"/>
    <w:rPr>
      <w:rFonts w:ascii="Arial" w:hAnsi="Arial"/>
      <w:sz w:val="20"/>
      <w:szCs w:val="20"/>
    </w:rPr>
  </w:style>
  <w:style w:type="character" w:styleId="PageNumber">
    <w:name w:val="page number"/>
    <w:basedOn w:val="DefaultParagraphFont"/>
    <w:unhideWhenUsed/>
    <w:rsid w:val="00342BEF"/>
  </w:style>
  <w:style w:type="paragraph" w:styleId="DocumentMap">
    <w:name w:val="Document Map"/>
    <w:basedOn w:val="Normal"/>
    <w:link w:val="DocumentMapChar"/>
    <w:uiPriority w:val="99"/>
    <w:semiHidden/>
    <w:unhideWhenUsed/>
    <w:rsid w:val="007B3E5D"/>
    <w:pPr>
      <w:spacing w:after="0"/>
    </w:pPr>
    <w:rPr>
      <w:rFonts w:ascii="Lucida Grande" w:hAnsi="Lucida Grande"/>
      <w:lang w:val="x-none" w:eastAsia="x-none"/>
    </w:rPr>
  </w:style>
  <w:style w:type="character" w:customStyle="1" w:styleId="DocumentMapChar">
    <w:name w:val="Document Map Char"/>
    <w:link w:val="DocumentMap"/>
    <w:uiPriority w:val="99"/>
    <w:semiHidden/>
    <w:rsid w:val="007B3E5D"/>
    <w:rPr>
      <w:rFonts w:ascii="Lucida Grande" w:hAnsi="Lucida Grande" w:cs="Lucida Grande"/>
    </w:rPr>
  </w:style>
  <w:style w:type="paragraph" w:customStyle="1" w:styleId="Tablesubhead">
    <w:name w:val="Table subhead"/>
    <w:qFormat/>
    <w:rsid w:val="00AF6FFB"/>
    <w:pPr>
      <w:spacing w:after="260"/>
    </w:pPr>
    <w:rPr>
      <w:rFonts w:ascii="Arial" w:hAnsi="Arial"/>
      <w:b/>
      <w:bCs/>
      <w:color w:val="000000"/>
      <w:szCs w:val="24"/>
      <w:lang w:val="en-US" w:eastAsia="en-US" w:bidi="en-US"/>
    </w:rPr>
  </w:style>
  <w:style w:type="paragraph" w:customStyle="1" w:styleId="Subtitles1x">
    <w:name w:val="Subtitles 1.x"/>
    <w:qFormat/>
    <w:rsid w:val="00F915FD"/>
    <w:pPr>
      <w:pBdr>
        <w:top w:val="dotted" w:sz="4" w:space="5" w:color="auto"/>
        <w:bottom w:val="dotted" w:sz="4" w:space="5" w:color="auto"/>
      </w:pBdr>
      <w:spacing w:after="200"/>
    </w:pPr>
    <w:rPr>
      <w:rFonts w:ascii="Arial" w:hAnsi="Arial"/>
      <w:b/>
      <w:color w:val="000000"/>
      <w:sz w:val="24"/>
      <w:szCs w:val="24"/>
      <w:lang w:val="en-US" w:eastAsia="ja-JP"/>
    </w:rPr>
  </w:style>
  <w:style w:type="paragraph" w:customStyle="1" w:styleId="ColorfulList-Accent11">
    <w:name w:val="Colorful List - Accent 11"/>
    <w:basedOn w:val="Normal"/>
    <w:uiPriority w:val="34"/>
    <w:qFormat/>
    <w:rsid w:val="00FE30BD"/>
    <w:pPr>
      <w:contextualSpacing/>
    </w:pPr>
  </w:style>
  <w:style w:type="paragraph" w:styleId="FootnoteText">
    <w:name w:val="footnote text"/>
    <w:link w:val="FootnoteTextChar"/>
    <w:uiPriority w:val="99"/>
    <w:unhideWhenUsed/>
    <w:rsid w:val="00E22A55"/>
    <w:pPr>
      <w:widowControl w:val="0"/>
    </w:pPr>
    <w:rPr>
      <w:rFonts w:ascii="Arial" w:hAnsi="Arial"/>
      <w:sz w:val="16"/>
      <w:szCs w:val="16"/>
      <w:lang w:val="en-GB" w:eastAsia="en-GB"/>
    </w:rPr>
  </w:style>
  <w:style w:type="character" w:customStyle="1" w:styleId="FootnoteTextChar">
    <w:name w:val="Footnote Text Char"/>
    <w:link w:val="FootnoteText"/>
    <w:uiPriority w:val="99"/>
    <w:rsid w:val="00E22A55"/>
    <w:rPr>
      <w:rFonts w:ascii="Arial" w:hAnsi="Arial"/>
      <w:sz w:val="16"/>
      <w:szCs w:val="16"/>
      <w:lang w:bidi="ar-SA"/>
    </w:rPr>
  </w:style>
  <w:style w:type="character" w:styleId="FootnoteReference">
    <w:name w:val="footnote reference"/>
    <w:uiPriority w:val="99"/>
    <w:unhideWhenUsed/>
    <w:rsid w:val="001E71F0"/>
    <w:rPr>
      <w:vertAlign w:val="superscript"/>
    </w:rPr>
  </w:style>
  <w:style w:type="character" w:styleId="Hyperlink">
    <w:name w:val="Hyperlink"/>
    <w:uiPriority w:val="99"/>
    <w:unhideWhenUsed/>
    <w:rsid w:val="009213B5"/>
    <w:rPr>
      <w:color w:val="0000FF"/>
      <w:u w:val="single"/>
    </w:rPr>
  </w:style>
  <w:style w:type="paragraph" w:customStyle="1" w:styleId="Tablebodytext">
    <w:name w:val="Table body text"/>
    <w:qFormat/>
    <w:rsid w:val="000226E7"/>
    <w:pPr>
      <w:spacing w:after="260" w:line="260" w:lineRule="exact"/>
    </w:pPr>
    <w:rPr>
      <w:rFonts w:ascii="Arial" w:hAnsi="Arial"/>
      <w:color w:val="000000"/>
      <w:lang w:val="en-US" w:eastAsia="en-US" w:bidi="en-US"/>
    </w:rPr>
  </w:style>
  <w:style w:type="character" w:customStyle="1" w:styleId="Heading1Char">
    <w:name w:val="Heading 1 Char"/>
    <w:link w:val="Heading1"/>
    <w:uiPriority w:val="9"/>
    <w:rsid w:val="009A3BCA"/>
    <w:rPr>
      <w:rFonts w:ascii="Calibri" w:eastAsia="PMingLiU" w:hAnsi="Calibri" w:cs="Times New Roman"/>
      <w:b/>
      <w:bCs/>
      <w:color w:val="345A8A"/>
      <w:sz w:val="32"/>
      <w:szCs w:val="32"/>
    </w:rPr>
  </w:style>
  <w:style w:type="character" w:styleId="CommentReference">
    <w:name w:val="annotation reference"/>
    <w:uiPriority w:val="99"/>
    <w:unhideWhenUsed/>
    <w:rsid w:val="006A4901"/>
    <w:rPr>
      <w:sz w:val="16"/>
      <w:szCs w:val="16"/>
    </w:rPr>
  </w:style>
  <w:style w:type="paragraph" w:styleId="CommentText">
    <w:name w:val="annotation text"/>
    <w:basedOn w:val="Normal"/>
    <w:link w:val="CommentTextChar"/>
    <w:uiPriority w:val="99"/>
    <w:unhideWhenUsed/>
    <w:rsid w:val="006A4901"/>
    <w:pPr>
      <w:spacing w:line="240" w:lineRule="auto"/>
    </w:pPr>
    <w:rPr>
      <w:lang w:val="x-none" w:eastAsia="x-none"/>
    </w:rPr>
  </w:style>
  <w:style w:type="character" w:customStyle="1" w:styleId="CommentTextChar">
    <w:name w:val="Comment Text Char"/>
    <w:link w:val="CommentText"/>
    <w:uiPriority w:val="99"/>
    <w:rsid w:val="006A490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A4901"/>
    <w:rPr>
      <w:b/>
      <w:bCs/>
    </w:rPr>
  </w:style>
  <w:style w:type="character" w:customStyle="1" w:styleId="CommentSubjectChar">
    <w:name w:val="Comment Subject Char"/>
    <w:link w:val="CommentSubject"/>
    <w:uiPriority w:val="99"/>
    <w:semiHidden/>
    <w:rsid w:val="006A4901"/>
    <w:rPr>
      <w:rFonts w:ascii="Arial" w:hAnsi="Arial"/>
      <w:b/>
      <w:bCs/>
      <w:sz w:val="20"/>
      <w:szCs w:val="20"/>
    </w:rPr>
  </w:style>
  <w:style w:type="paragraph" w:customStyle="1" w:styleId="Sqbullets">
    <w:name w:val="Sq bullets"/>
    <w:basedOn w:val="ColorfulList-Accent11"/>
    <w:qFormat/>
    <w:rsid w:val="00AF6FFB"/>
    <w:pPr>
      <w:numPr>
        <w:numId w:val="2"/>
      </w:numPr>
      <w:tabs>
        <w:tab w:val="left" w:pos="425"/>
        <w:tab w:val="left" w:pos="851"/>
      </w:tabs>
      <w:spacing w:after="260"/>
      <w:contextualSpacing w:val="0"/>
    </w:pPr>
  </w:style>
  <w:style w:type="paragraph" w:styleId="NoSpacing">
    <w:name w:val="No Spacing"/>
    <w:link w:val="NoSpacingChar"/>
    <w:uiPriority w:val="1"/>
    <w:qFormat/>
    <w:rsid w:val="00EB448D"/>
    <w:rPr>
      <w:rFonts w:ascii="Calibri" w:eastAsia="Times New Roman" w:hAnsi="Calibri" w:cs="Arial"/>
      <w:sz w:val="22"/>
      <w:szCs w:val="22"/>
    </w:rPr>
  </w:style>
  <w:style w:type="paragraph" w:styleId="TOC1">
    <w:name w:val="toc 1"/>
    <w:basedOn w:val="Normal"/>
    <w:next w:val="Normal"/>
    <w:autoRedefine/>
    <w:uiPriority w:val="39"/>
    <w:unhideWhenUsed/>
    <w:rsid w:val="00F331F5"/>
    <w:pPr>
      <w:keepLines/>
      <w:tabs>
        <w:tab w:val="right" w:leader="dot" w:pos="8992"/>
      </w:tabs>
      <w:spacing w:after="120"/>
      <w:ind w:left="720" w:right="720" w:hanging="720"/>
    </w:pPr>
    <w:rPr>
      <w:rFonts w:eastAsia="Times New Roman" w:cs="Arial"/>
      <w:lang w:eastAsia="en-US"/>
    </w:rPr>
  </w:style>
  <w:style w:type="character" w:customStyle="1" w:styleId="NoSpacingChar">
    <w:name w:val="No Spacing Char"/>
    <w:link w:val="NoSpacing"/>
    <w:uiPriority w:val="1"/>
    <w:rsid w:val="00EB448D"/>
    <w:rPr>
      <w:rFonts w:ascii="Calibri" w:eastAsia="Times New Roman" w:hAnsi="Calibri" w:cs="Arial"/>
      <w:sz w:val="22"/>
      <w:szCs w:val="22"/>
    </w:rPr>
  </w:style>
  <w:style w:type="paragraph" w:styleId="ListParagraph">
    <w:name w:val="List Paragraph"/>
    <w:basedOn w:val="Normal"/>
    <w:uiPriority w:val="34"/>
    <w:qFormat/>
    <w:rsid w:val="00F50810"/>
    <w:pPr>
      <w:spacing w:after="0" w:line="240" w:lineRule="auto"/>
      <w:ind w:left="720"/>
      <w:contextualSpacing/>
    </w:pPr>
    <w:rPr>
      <w:rFonts w:ascii="Calibri" w:eastAsia="Calibri" w:hAnsi="Calibri"/>
      <w:sz w:val="22"/>
      <w:szCs w:val="22"/>
      <w:lang w:eastAsia="en-GB"/>
    </w:rPr>
  </w:style>
  <w:style w:type="character" w:customStyle="1" w:styleId="head5">
    <w:name w:val="head5"/>
    <w:rsid w:val="0035721C"/>
    <w:rPr>
      <w:b w:val="0"/>
      <w:bCs w:val="0"/>
      <w:color w:val="333333"/>
      <w:sz w:val="23"/>
      <w:szCs w:val="23"/>
    </w:rPr>
  </w:style>
  <w:style w:type="paragraph" w:customStyle="1" w:styleId="normalbullet">
    <w:name w:val="normalbullet"/>
    <w:basedOn w:val="Normal"/>
    <w:rsid w:val="00B5792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uiPriority w:val="9"/>
    <w:rsid w:val="003D1CDA"/>
    <w:rPr>
      <w:rFonts w:ascii="Cambria" w:eastAsia="Times New Roman" w:hAnsi="Cambria" w:cs="Times New Roman"/>
      <w:b/>
      <w:bCs/>
      <w:sz w:val="26"/>
      <w:szCs w:val="26"/>
      <w:lang w:val="en-GB" w:eastAsia="ja-JP"/>
    </w:rPr>
  </w:style>
  <w:style w:type="paragraph" w:customStyle="1" w:styleId="Default">
    <w:name w:val="Default"/>
    <w:rsid w:val="00DA3847"/>
    <w:pPr>
      <w:autoSpaceDE w:val="0"/>
      <w:autoSpaceDN w:val="0"/>
      <w:adjustRightInd w:val="0"/>
    </w:pPr>
    <w:rPr>
      <w:rFonts w:ascii="Arial" w:eastAsia="Calibri" w:hAnsi="Arial" w:cs="Arial"/>
      <w:color w:val="000000"/>
      <w:sz w:val="24"/>
      <w:szCs w:val="24"/>
      <w:lang w:val="en-GB" w:eastAsia="en-US"/>
    </w:rPr>
  </w:style>
  <w:style w:type="character" w:styleId="Strong">
    <w:name w:val="Strong"/>
    <w:uiPriority w:val="22"/>
    <w:qFormat/>
    <w:rsid w:val="00DA0E26"/>
    <w:rPr>
      <w:b/>
      <w:bCs/>
    </w:rPr>
  </w:style>
  <w:style w:type="character" w:customStyle="1" w:styleId="Heading2Char">
    <w:name w:val="Heading 2 Char"/>
    <w:link w:val="Heading2"/>
    <w:uiPriority w:val="9"/>
    <w:rsid w:val="001F7D22"/>
    <w:rPr>
      <w:rFonts w:eastAsia="Times New Roman"/>
      <w:b/>
      <w:bCs/>
      <w:color w:val="4F81BD"/>
      <w:sz w:val="26"/>
      <w:szCs w:val="26"/>
      <w:lang w:val="en-GB" w:eastAsia="en-GB"/>
    </w:rPr>
  </w:style>
  <w:style w:type="character" w:customStyle="1" w:styleId="Heading4Char">
    <w:name w:val="Heading 4 Char"/>
    <w:link w:val="Heading4"/>
    <w:uiPriority w:val="9"/>
    <w:semiHidden/>
    <w:rsid w:val="001F7D22"/>
    <w:rPr>
      <w:rFonts w:eastAsia="Times New Roman"/>
      <w:b/>
      <w:bCs/>
      <w:i/>
      <w:iCs/>
      <w:color w:val="4F81BD"/>
      <w:sz w:val="22"/>
      <w:szCs w:val="22"/>
      <w:lang w:val="en-GB" w:eastAsia="en-GB"/>
    </w:rPr>
  </w:style>
  <w:style w:type="character" w:customStyle="1" w:styleId="Heading5Char">
    <w:name w:val="Heading 5 Char"/>
    <w:link w:val="Heading5"/>
    <w:uiPriority w:val="9"/>
    <w:semiHidden/>
    <w:rsid w:val="001F7D22"/>
    <w:rPr>
      <w:rFonts w:eastAsia="Times New Roman"/>
      <w:color w:val="243F60"/>
      <w:sz w:val="22"/>
      <w:szCs w:val="22"/>
      <w:lang w:val="en-GB" w:eastAsia="en-GB"/>
    </w:rPr>
  </w:style>
  <w:style w:type="character" w:customStyle="1" w:styleId="Heading6Char">
    <w:name w:val="Heading 6 Char"/>
    <w:link w:val="Heading6"/>
    <w:uiPriority w:val="9"/>
    <w:semiHidden/>
    <w:rsid w:val="001F7D22"/>
    <w:rPr>
      <w:rFonts w:eastAsia="Times New Roman"/>
      <w:i/>
      <w:iCs/>
      <w:color w:val="243F60"/>
      <w:sz w:val="22"/>
      <w:szCs w:val="22"/>
      <w:lang w:val="en-GB" w:eastAsia="en-GB"/>
    </w:rPr>
  </w:style>
  <w:style w:type="character" w:customStyle="1" w:styleId="Heading7Char">
    <w:name w:val="Heading 7 Char"/>
    <w:link w:val="Heading7"/>
    <w:uiPriority w:val="9"/>
    <w:semiHidden/>
    <w:rsid w:val="001F7D22"/>
    <w:rPr>
      <w:rFonts w:eastAsia="Times New Roman"/>
      <w:i/>
      <w:iCs/>
      <w:color w:val="404040"/>
      <w:sz w:val="22"/>
      <w:szCs w:val="22"/>
      <w:lang w:val="en-GB" w:eastAsia="en-GB"/>
    </w:rPr>
  </w:style>
  <w:style w:type="character" w:customStyle="1" w:styleId="Heading8Char">
    <w:name w:val="Heading 8 Char"/>
    <w:link w:val="Heading8"/>
    <w:uiPriority w:val="9"/>
    <w:semiHidden/>
    <w:rsid w:val="001F7D22"/>
    <w:rPr>
      <w:rFonts w:eastAsia="Times New Roman"/>
      <w:color w:val="404040"/>
      <w:lang w:val="en-GB" w:eastAsia="en-GB"/>
    </w:rPr>
  </w:style>
  <w:style w:type="character" w:customStyle="1" w:styleId="Heading9Char">
    <w:name w:val="Heading 9 Char"/>
    <w:link w:val="Heading9"/>
    <w:uiPriority w:val="9"/>
    <w:semiHidden/>
    <w:rsid w:val="001F7D22"/>
    <w:rPr>
      <w:rFonts w:eastAsia="Times New Roman"/>
      <w:i/>
      <w:iCs/>
      <w:color w:val="404040"/>
      <w:lang w:val="en-GB" w:eastAsia="en-GB"/>
    </w:rPr>
  </w:style>
  <w:style w:type="paragraph" w:styleId="NormalWeb">
    <w:name w:val="Normal (Web)"/>
    <w:basedOn w:val="Normal"/>
    <w:uiPriority w:val="99"/>
    <w:unhideWhenUsed/>
    <w:rsid w:val="001F7D2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ijstalinea">
    <w:name w:val="Lijstalinea"/>
    <w:basedOn w:val="Normal"/>
    <w:uiPriority w:val="99"/>
    <w:qFormat/>
    <w:rsid w:val="00A6206D"/>
    <w:pPr>
      <w:spacing w:line="276" w:lineRule="auto"/>
      <w:ind w:left="720"/>
      <w:contextualSpacing/>
    </w:pPr>
    <w:rPr>
      <w:rFonts w:ascii="Calibri" w:eastAsia="SimSun" w:hAnsi="Calibri" w:cs="Calibri"/>
      <w:sz w:val="22"/>
      <w:szCs w:val="22"/>
      <w:lang w:eastAsia="zh-CN"/>
    </w:rPr>
  </w:style>
  <w:style w:type="paragraph" w:styleId="BodyText3">
    <w:name w:val="Body Text 3"/>
    <w:basedOn w:val="Normal"/>
    <w:link w:val="BodyText3Char"/>
    <w:uiPriority w:val="99"/>
    <w:semiHidden/>
    <w:rsid w:val="00A6206D"/>
    <w:pPr>
      <w:autoSpaceDE w:val="0"/>
      <w:autoSpaceDN w:val="0"/>
      <w:adjustRightInd w:val="0"/>
      <w:spacing w:after="0" w:line="240" w:lineRule="auto"/>
    </w:pPr>
    <w:rPr>
      <w:rFonts w:eastAsia="SimSun" w:cs="Arial"/>
      <w:lang w:val="en-US" w:eastAsia="en-US"/>
    </w:rPr>
  </w:style>
  <w:style w:type="character" w:customStyle="1" w:styleId="BodyText3Char">
    <w:name w:val="Body Text 3 Char"/>
    <w:link w:val="BodyText3"/>
    <w:uiPriority w:val="99"/>
    <w:semiHidden/>
    <w:rsid w:val="00A6206D"/>
    <w:rPr>
      <w:rFonts w:ascii="Arial" w:eastAsia="SimSun" w:hAnsi="Arial" w:cs="Arial"/>
      <w:lang w:val="en-US" w:eastAsia="en-US"/>
    </w:rPr>
  </w:style>
  <w:style w:type="paragraph" w:styleId="Title">
    <w:name w:val="Title"/>
    <w:basedOn w:val="Normal"/>
    <w:link w:val="TitleChar"/>
    <w:qFormat/>
    <w:rsid w:val="00B71F2F"/>
    <w:pPr>
      <w:widowControl w:val="0"/>
      <w:spacing w:after="0" w:line="360" w:lineRule="auto"/>
      <w:jc w:val="center"/>
      <w:outlineLvl w:val="0"/>
    </w:pPr>
    <w:rPr>
      <w:rFonts w:ascii="GarmdITC Lt BT" w:eastAsia="Times New Roman" w:hAnsi="GarmdITC Lt BT"/>
      <w:sz w:val="32"/>
      <w:lang w:val="fr-FR" w:eastAsia="fr-FR"/>
    </w:rPr>
  </w:style>
  <w:style w:type="character" w:customStyle="1" w:styleId="TitleChar">
    <w:name w:val="Title Char"/>
    <w:link w:val="Title"/>
    <w:rsid w:val="00B71F2F"/>
    <w:rPr>
      <w:rFonts w:ascii="GarmdITC Lt BT" w:eastAsia="Times New Roman" w:hAnsi="GarmdITC Lt BT"/>
      <w:sz w:val="32"/>
    </w:rPr>
  </w:style>
  <w:style w:type="paragraph" w:customStyle="1" w:styleId="Para">
    <w:name w:val="Para"/>
    <w:basedOn w:val="Normal"/>
    <w:uiPriority w:val="99"/>
    <w:rsid w:val="00F53B4A"/>
    <w:pPr>
      <w:widowControl w:val="0"/>
      <w:tabs>
        <w:tab w:val="left" w:pos="567"/>
      </w:tabs>
      <w:spacing w:before="120" w:after="0" w:line="240" w:lineRule="auto"/>
    </w:pPr>
    <w:rPr>
      <w:rFonts w:ascii="Times New Roman" w:eastAsia="Times New Roman" w:hAnsi="Times New Roman"/>
      <w:color w:val="000000"/>
      <w:sz w:val="24"/>
      <w:szCs w:val="24"/>
      <w:lang w:eastAsia="en-US"/>
    </w:rPr>
  </w:style>
  <w:style w:type="table" w:styleId="MediumGrid3-Accent1">
    <w:name w:val="Medium Grid 3 Accent 1"/>
    <w:basedOn w:val="TableNormal"/>
    <w:uiPriority w:val="69"/>
    <w:rsid w:val="00B203A4"/>
    <w:rPr>
      <w:rFonts w:ascii="Times New Roman" w:eastAsia="Times New Roman" w:hAnsi="Times New Roman"/>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Revision">
    <w:name w:val="Revision"/>
    <w:hidden/>
    <w:uiPriority w:val="71"/>
    <w:rsid w:val="00C95921"/>
    <w:rPr>
      <w:rFonts w:ascii="Arial" w:hAnsi="Arial"/>
      <w:lang w:val="en-GB" w:eastAsia="ja-JP"/>
    </w:rPr>
  </w:style>
  <w:style w:type="paragraph" w:styleId="EndnoteText">
    <w:name w:val="endnote text"/>
    <w:basedOn w:val="Normal"/>
    <w:link w:val="EndnoteTextChar"/>
    <w:uiPriority w:val="99"/>
    <w:semiHidden/>
    <w:unhideWhenUsed/>
    <w:rsid w:val="00EF7A60"/>
    <w:pPr>
      <w:spacing w:after="0" w:line="240" w:lineRule="auto"/>
    </w:pPr>
  </w:style>
  <w:style w:type="character" w:customStyle="1" w:styleId="EndnoteTextChar">
    <w:name w:val="Endnote Text Char"/>
    <w:basedOn w:val="DefaultParagraphFont"/>
    <w:link w:val="EndnoteText"/>
    <w:uiPriority w:val="99"/>
    <w:semiHidden/>
    <w:rsid w:val="00EF7A60"/>
    <w:rPr>
      <w:rFonts w:ascii="Arial" w:hAnsi="Arial"/>
      <w:lang w:val="en-GB" w:eastAsia="ja-JP"/>
    </w:rPr>
  </w:style>
  <w:style w:type="character" w:styleId="EndnoteReference">
    <w:name w:val="endnote reference"/>
    <w:basedOn w:val="DefaultParagraphFont"/>
    <w:uiPriority w:val="99"/>
    <w:semiHidden/>
    <w:unhideWhenUsed/>
    <w:rsid w:val="00EF7A60"/>
    <w:rPr>
      <w:vertAlign w:val="superscript"/>
    </w:rPr>
  </w:style>
  <w:style w:type="character" w:styleId="UnresolvedMention">
    <w:name w:val="Unresolved Mention"/>
    <w:basedOn w:val="DefaultParagraphFont"/>
    <w:uiPriority w:val="99"/>
    <w:semiHidden/>
    <w:unhideWhenUsed/>
    <w:rsid w:val="00B006F1"/>
    <w:rPr>
      <w:color w:val="605E5C"/>
      <w:shd w:val="clear" w:color="auto" w:fill="E1DFDD"/>
    </w:rPr>
  </w:style>
  <w:style w:type="character" w:styleId="FollowedHyperlink">
    <w:name w:val="FollowedHyperlink"/>
    <w:basedOn w:val="DefaultParagraphFont"/>
    <w:uiPriority w:val="99"/>
    <w:semiHidden/>
    <w:unhideWhenUsed/>
    <w:rsid w:val="00304357"/>
    <w:rPr>
      <w:color w:val="800080" w:themeColor="followedHyperlink"/>
      <w:u w:val="single"/>
    </w:rPr>
  </w:style>
  <w:style w:type="paragraph" w:customStyle="1" w:styleId="Normal1">
    <w:name w:val="Normal1"/>
    <w:basedOn w:val="Normal"/>
    <w:rsid w:val="001E37AC"/>
    <w:pPr>
      <w:spacing w:before="100" w:beforeAutospacing="1" w:after="100" w:afterAutospacing="1" w:line="240" w:lineRule="auto"/>
    </w:pPr>
    <w:rPr>
      <w:rFonts w:ascii="Times New Roman" w:eastAsia="Times New Roman" w:hAnsi="Times New Roman"/>
      <w:sz w:val="24"/>
      <w:szCs w:val="24"/>
      <w:lang w:val="es-CL" w:eastAsia="es-CL"/>
    </w:rPr>
  </w:style>
  <w:style w:type="table" w:customStyle="1" w:styleId="MittleresRaster3-Akzent11">
    <w:name w:val="Mittleres Raster 3 - Akzent 11"/>
    <w:basedOn w:val="TableNormal"/>
    <w:uiPriority w:val="69"/>
    <w:semiHidden/>
    <w:rsid w:val="00D55AA9"/>
    <w:rPr>
      <w:rFonts w:ascii="Times New Roman" w:eastAsia="Times New Roman" w:hAnsi="Times New Roman"/>
      <w:lang w:val="en-US" w:eastAsia="en-US"/>
      <w14:ligatures w14:val="standardContextua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BodyTextIndent3">
    <w:name w:val="Body Text Indent 3"/>
    <w:basedOn w:val="Normal"/>
    <w:link w:val="BodyTextIndent3Char"/>
    <w:uiPriority w:val="99"/>
    <w:semiHidden/>
    <w:unhideWhenUsed/>
    <w:rsid w:val="00382F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82FEF"/>
    <w:rPr>
      <w:rFonts w:ascii="Arial" w:hAnsi="Arial"/>
      <w:sz w:val="16"/>
      <w:szCs w:val="16"/>
      <w:lang w:val="en-GB" w:eastAsia="ja-JP"/>
    </w:rPr>
  </w:style>
  <w:style w:type="paragraph" w:customStyle="1" w:styleId="BodyTextContinued">
    <w:name w:val="Body Text Continued"/>
    <w:basedOn w:val="Subtitle"/>
    <w:link w:val="BodyTextContinuedChar"/>
    <w:rsid w:val="00263A1A"/>
    <w:pPr>
      <w:tabs>
        <w:tab w:val="left" w:pos="851"/>
      </w:tabs>
      <w:spacing w:after="240"/>
      <w:outlineLvl w:val="0"/>
    </w:pPr>
    <w:rPr>
      <w:lang w:val="en-GB"/>
    </w:rPr>
  </w:style>
  <w:style w:type="character" w:customStyle="1" w:styleId="SubtitleChar">
    <w:name w:val="Sub title Char"/>
    <w:basedOn w:val="DefaultParagraphFont"/>
    <w:link w:val="Subtitle"/>
    <w:rsid w:val="00263A1A"/>
    <w:rPr>
      <w:rFonts w:ascii="Arial" w:hAnsi="Arial"/>
      <w:b/>
      <w:color w:val="000000"/>
      <w:sz w:val="28"/>
      <w:szCs w:val="24"/>
      <w:lang w:val="en-US" w:eastAsia="ja-JP"/>
    </w:rPr>
  </w:style>
  <w:style w:type="character" w:customStyle="1" w:styleId="BodyTextContinuedChar">
    <w:name w:val="Body Text Continued Char"/>
    <w:basedOn w:val="SubtitleChar"/>
    <w:link w:val="BodyTextContinued"/>
    <w:rsid w:val="00263A1A"/>
    <w:rPr>
      <w:rFonts w:ascii="Arial" w:hAnsi="Arial"/>
      <w:b/>
      <w:color w:val="000000"/>
      <w:sz w:val="28"/>
      <w:szCs w:val="24"/>
      <w:lang w:val="en-GB" w:eastAsia="ja-JP"/>
    </w:rPr>
  </w:style>
  <w:style w:type="paragraph" w:customStyle="1" w:styleId="OUTLINEACont1">
    <w:name w:val="OUTLINEA Cont 1"/>
    <w:basedOn w:val="Normal"/>
    <w:next w:val="BodyText"/>
    <w:link w:val="OUTLINEACont1Char"/>
    <w:rsid w:val="00263A1A"/>
    <w:pPr>
      <w:keepNext/>
      <w:tabs>
        <w:tab w:val="left" w:pos="720"/>
      </w:tabs>
      <w:spacing w:after="240"/>
      <w:ind w:left="720"/>
    </w:pPr>
    <w:rPr>
      <w:rFonts w:eastAsia="SimSun" w:cs="Arial"/>
      <w:lang w:eastAsia="en-US"/>
    </w:rPr>
  </w:style>
  <w:style w:type="character" w:customStyle="1" w:styleId="OUTLINEACont1Char">
    <w:name w:val="OUTLINEA Cont 1 Char"/>
    <w:basedOn w:val="SubtitleChar"/>
    <w:link w:val="OUTLINEACont1"/>
    <w:rsid w:val="00263A1A"/>
    <w:rPr>
      <w:rFonts w:ascii="Arial" w:eastAsia="SimSun" w:hAnsi="Arial" w:cs="Arial"/>
      <w:b w:val="0"/>
      <w:color w:val="000000"/>
      <w:sz w:val="28"/>
      <w:szCs w:val="24"/>
      <w:lang w:val="en-GB" w:eastAsia="en-US"/>
    </w:rPr>
  </w:style>
  <w:style w:type="paragraph" w:customStyle="1" w:styleId="OUTLINEACont2">
    <w:name w:val="OUTLINEA Cont 2"/>
    <w:basedOn w:val="Normal"/>
    <w:next w:val="BodyText"/>
    <w:link w:val="OUTLINEACont2Char"/>
    <w:rsid w:val="00263A1A"/>
    <w:pPr>
      <w:tabs>
        <w:tab w:val="left" w:pos="1440"/>
      </w:tabs>
      <w:spacing w:after="240"/>
      <w:ind w:left="1440"/>
    </w:pPr>
    <w:rPr>
      <w:rFonts w:eastAsia="SimSun" w:cs="Arial"/>
      <w:lang w:eastAsia="en-US"/>
    </w:rPr>
  </w:style>
  <w:style w:type="character" w:customStyle="1" w:styleId="OUTLINEACont2Char">
    <w:name w:val="OUTLINEA Cont 2 Char"/>
    <w:basedOn w:val="SubtitleChar"/>
    <w:link w:val="OUTLINEACont2"/>
    <w:rsid w:val="00263A1A"/>
    <w:rPr>
      <w:rFonts w:ascii="Arial" w:eastAsia="SimSun" w:hAnsi="Arial" w:cs="Arial"/>
      <w:b w:val="0"/>
      <w:color w:val="000000"/>
      <w:sz w:val="28"/>
      <w:szCs w:val="24"/>
      <w:lang w:val="en-GB" w:eastAsia="en-US"/>
    </w:rPr>
  </w:style>
  <w:style w:type="paragraph" w:customStyle="1" w:styleId="OUTLINEACont3">
    <w:name w:val="OUTLINEA Cont 3"/>
    <w:basedOn w:val="Normal"/>
    <w:next w:val="BodyText"/>
    <w:link w:val="OUTLINEACont3Char"/>
    <w:rsid w:val="00263A1A"/>
    <w:pPr>
      <w:tabs>
        <w:tab w:val="left" w:pos="2160"/>
      </w:tabs>
      <w:spacing w:after="240"/>
      <w:ind w:left="2160"/>
    </w:pPr>
    <w:rPr>
      <w:rFonts w:eastAsia="SimSun" w:cs="Arial"/>
      <w:lang w:eastAsia="en-US"/>
    </w:rPr>
  </w:style>
  <w:style w:type="character" w:customStyle="1" w:styleId="OUTLINEACont3Char">
    <w:name w:val="OUTLINEA Cont 3 Char"/>
    <w:basedOn w:val="SubtitleChar"/>
    <w:link w:val="OUTLINEACont3"/>
    <w:rsid w:val="00263A1A"/>
    <w:rPr>
      <w:rFonts w:ascii="Arial" w:eastAsia="SimSun" w:hAnsi="Arial" w:cs="Arial"/>
      <w:b w:val="0"/>
      <w:color w:val="000000"/>
      <w:sz w:val="28"/>
      <w:szCs w:val="24"/>
      <w:lang w:val="en-GB" w:eastAsia="en-US"/>
    </w:rPr>
  </w:style>
  <w:style w:type="paragraph" w:customStyle="1" w:styleId="OUTLINEACont4">
    <w:name w:val="OUTLINEA Cont 4"/>
    <w:basedOn w:val="Normal"/>
    <w:next w:val="BodyText"/>
    <w:link w:val="OUTLINEACont4Char"/>
    <w:rsid w:val="00263A1A"/>
    <w:pPr>
      <w:tabs>
        <w:tab w:val="left" w:pos="2880"/>
      </w:tabs>
      <w:spacing w:after="240"/>
      <w:ind w:left="2880"/>
    </w:pPr>
    <w:rPr>
      <w:rFonts w:eastAsia="SimSun" w:cs="Arial"/>
      <w:lang w:eastAsia="en-US"/>
    </w:rPr>
  </w:style>
  <w:style w:type="character" w:customStyle="1" w:styleId="OUTLINEACont4Char">
    <w:name w:val="OUTLINEA Cont 4 Char"/>
    <w:basedOn w:val="SubtitleChar"/>
    <w:link w:val="OUTLINEACont4"/>
    <w:rsid w:val="00263A1A"/>
    <w:rPr>
      <w:rFonts w:ascii="Arial" w:eastAsia="SimSun" w:hAnsi="Arial" w:cs="Arial"/>
      <w:b w:val="0"/>
      <w:color w:val="000000"/>
      <w:sz w:val="28"/>
      <w:szCs w:val="24"/>
      <w:lang w:val="en-GB" w:eastAsia="en-US"/>
    </w:rPr>
  </w:style>
  <w:style w:type="paragraph" w:customStyle="1" w:styleId="OUTLINEACont5">
    <w:name w:val="OUTLINEA Cont 5"/>
    <w:basedOn w:val="Normal"/>
    <w:next w:val="BodyText"/>
    <w:link w:val="OUTLINEACont5Char"/>
    <w:rsid w:val="00263A1A"/>
    <w:pPr>
      <w:tabs>
        <w:tab w:val="left" w:pos="3600"/>
      </w:tabs>
      <w:spacing w:after="240"/>
      <w:ind w:left="3600"/>
    </w:pPr>
    <w:rPr>
      <w:rFonts w:eastAsia="SimSun" w:cs="Arial"/>
      <w:lang w:eastAsia="en-US"/>
    </w:rPr>
  </w:style>
  <w:style w:type="character" w:customStyle="1" w:styleId="OUTLINEACont5Char">
    <w:name w:val="OUTLINEA Cont 5 Char"/>
    <w:basedOn w:val="SubtitleChar"/>
    <w:link w:val="OUTLINEACont5"/>
    <w:rsid w:val="00263A1A"/>
    <w:rPr>
      <w:rFonts w:ascii="Arial" w:eastAsia="SimSun" w:hAnsi="Arial" w:cs="Arial"/>
      <w:b w:val="0"/>
      <w:color w:val="000000"/>
      <w:sz w:val="28"/>
      <w:szCs w:val="24"/>
      <w:lang w:val="en-GB" w:eastAsia="en-US"/>
    </w:rPr>
  </w:style>
  <w:style w:type="paragraph" w:customStyle="1" w:styleId="OUTLINEACont6">
    <w:name w:val="OUTLINEA Cont 6"/>
    <w:basedOn w:val="Normal"/>
    <w:next w:val="BodyText"/>
    <w:link w:val="OUTLINEACont6Char"/>
    <w:rsid w:val="00263A1A"/>
    <w:pPr>
      <w:tabs>
        <w:tab w:val="left" w:pos="3600"/>
      </w:tabs>
      <w:spacing w:after="240"/>
      <w:ind w:left="3600"/>
    </w:pPr>
    <w:rPr>
      <w:rFonts w:eastAsia="SimSun" w:cs="Arial"/>
      <w:lang w:eastAsia="en-US"/>
    </w:rPr>
  </w:style>
  <w:style w:type="character" w:customStyle="1" w:styleId="OUTLINEACont6Char">
    <w:name w:val="OUTLINEA Cont 6 Char"/>
    <w:basedOn w:val="SubtitleChar"/>
    <w:link w:val="OUTLINEACont6"/>
    <w:rsid w:val="00263A1A"/>
    <w:rPr>
      <w:rFonts w:ascii="Arial" w:eastAsia="SimSun" w:hAnsi="Arial" w:cs="Arial"/>
      <w:b w:val="0"/>
      <w:color w:val="000000"/>
      <w:sz w:val="28"/>
      <w:szCs w:val="24"/>
      <w:lang w:val="en-GB" w:eastAsia="en-US"/>
    </w:rPr>
  </w:style>
  <w:style w:type="paragraph" w:customStyle="1" w:styleId="OUTLINEACont7">
    <w:name w:val="OUTLINEA Cont 7"/>
    <w:basedOn w:val="Normal"/>
    <w:next w:val="BodyText"/>
    <w:link w:val="OUTLINEACont7Char"/>
    <w:rsid w:val="00263A1A"/>
    <w:pPr>
      <w:tabs>
        <w:tab w:val="left" w:pos="3600"/>
      </w:tabs>
      <w:spacing w:after="240"/>
      <w:ind w:left="3600"/>
    </w:pPr>
    <w:rPr>
      <w:rFonts w:eastAsia="SimSun" w:cs="Arial"/>
      <w:lang w:eastAsia="en-US"/>
    </w:rPr>
  </w:style>
  <w:style w:type="character" w:customStyle="1" w:styleId="OUTLINEACont7Char">
    <w:name w:val="OUTLINEA Cont 7 Char"/>
    <w:basedOn w:val="SubtitleChar"/>
    <w:link w:val="OUTLINEACont7"/>
    <w:rsid w:val="00263A1A"/>
    <w:rPr>
      <w:rFonts w:ascii="Arial" w:eastAsia="SimSun" w:hAnsi="Arial" w:cs="Arial"/>
      <w:b w:val="0"/>
      <w:color w:val="000000"/>
      <w:sz w:val="28"/>
      <w:szCs w:val="24"/>
      <w:lang w:val="en-GB" w:eastAsia="en-US"/>
    </w:rPr>
  </w:style>
  <w:style w:type="paragraph" w:customStyle="1" w:styleId="OUTLINEACont8">
    <w:name w:val="OUTLINEA Cont 8"/>
    <w:basedOn w:val="Normal"/>
    <w:next w:val="BodyText"/>
    <w:link w:val="OUTLINEACont8Char"/>
    <w:rsid w:val="00263A1A"/>
    <w:pPr>
      <w:tabs>
        <w:tab w:val="left" w:pos="3600"/>
      </w:tabs>
      <w:spacing w:after="240"/>
      <w:ind w:left="3600"/>
    </w:pPr>
    <w:rPr>
      <w:rFonts w:eastAsia="SimSun" w:cs="Arial"/>
      <w:lang w:eastAsia="en-US"/>
    </w:rPr>
  </w:style>
  <w:style w:type="character" w:customStyle="1" w:styleId="OUTLINEACont8Char">
    <w:name w:val="OUTLINEA Cont 8 Char"/>
    <w:basedOn w:val="SubtitleChar"/>
    <w:link w:val="OUTLINEACont8"/>
    <w:rsid w:val="00263A1A"/>
    <w:rPr>
      <w:rFonts w:ascii="Arial" w:eastAsia="SimSun" w:hAnsi="Arial" w:cs="Arial"/>
      <w:b w:val="0"/>
      <w:color w:val="000000"/>
      <w:sz w:val="28"/>
      <w:szCs w:val="24"/>
      <w:lang w:val="en-GB" w:eastAsia="en-US"/>
    </w:rPr>
  </w:style>
  <w:style w:type="paragraph" w:customStyle="1" w:styleId="OUTLINEACont9">
    <w:name w:val="OUTLINEA Cont 9"/>
    <w:basedOn w:val="Normal"/>
    <w:next w:val="BodyText"/>
    <w:link w:val="OUTLINEACont9Char"/>
    <w:rsid w:val="00263A1A"/>
    <w:pPr>
      <w:tabs>
        <w:tab w:val="left" w:pos="3600"/>
      </w:tabs>
      <w:spacing w:after="240"/>
      <w:ind w:left="3600"/>
    </w:pPr>
    <w:rPr>
      <w:rFonts w:eastAsia="SimSun" w:cs="Arial"/>
      <w:lang w:eastAsia="en-US"/>
    </w:rPr>
  </w:style>
  <w:style w:type="character" w:customStyle="1" w:styleId="OUTLINEACont9Char">
    <w:name w:val="OUTLINEA Cont 9 Char"/>
    <w:basedOn w:val="SubtitleChar"/>
    <w:link w:val="OUTLINEACont9"/>
    <w:rsid w:val="00263A1A"/>
    <w:rPr>
      <w:rFonts w:ascii="Arial" w:eastAsia="SimSun" w:hAnsi="Arial" w:cs="Arial"/>
      <w:b w:val="0"/>
      <w:color w:val="000000"/>
      <w:sz w:val="28"/>
      <w:szCs w:val="24"/>
      <w:lang w:val="en-GB" w:eastAsia="en-US"/>
    </w:rPr>
  </w:style>
  <w:style w:type="paragraph" w:styleId="BodyText">
    <w:name w:val="Body Text"/>
    <w:basedOn w:val="Normal"/>
    <w:link w:val="BodyTextChar"/>
    <w:uiPriority w:val="99"/>
    <w:semiHidden/>
    <w:unhideWhenUsed/>
    <w:rsid w:val="00263A1A"/>
    <w:pPr>
      <w:spacing w:after="120"/>
    </w:pPr>
  </w:style>
  <w:style w:type="character" w:customStyle="1" w:styleId="BodyTextChar">
    <w:name w:val="Body Text Char"/>
    <w:basedOn w:val="DefaultParagraphFont"/>
    <w:link w:val="BodyText"/>
    <w:uiPriority w:val="99"/>
    <w:semiHidden/>
    <w:rsid w:val="00263A1A"/>
    <w:rPr>
      <w:rFonts w:ascii="Arial" w:hAnsi="Arial"/>
      <w:lang w:val="en-GB" w:eastAsia="ja-JP"/>
    </w:rPr>
  </w:style>
  <w:style w:type="paragraph" w:customStyle="1" w:styleId="OUTLINEAL1">
    <w:name w:val="OUTLINEA_L1"/>
    <w:basedOn w:val="Normal"/>
    <w:next w:val="BodyText"/>
    <w:link w:val="OUTLINEAL1Char"/>
    <w:rsid w:val="00982525"/>
    <w:pPr>
      <w:keepNext/>
      <w:pageBreakBefore/>
      <w:numPr>
        <w:numId w:val="38"/>
      </w:numPr>
      <w:pBdr>
        <w:bottom w:val="dotted" w:sz="4" w:space="1" w:color="auto"/>
      </w:pBdr>
      <w:spacing w:after="240"/>
      <w:ind w:left="584" w:hanging="357"/>
      <w:outlineLvl w:val="0"/>
    </w:pPr>
    <w:rPr>
      <w:rFonts w:ascii="Arial Bold" w:eastAsia="SimSun" w:hAnsi="Arial Bold" w:cs="Arial Bold"/>
      <w:b/>
      <w:sz w:val="24"/>
      <w:lang w:eastAsia="en-US"/>
    </w:rPr>
  </w:style>
  <w:style w:type="character" w:customStyle="1" w:styleId="OUTLINEAL1Char">
    <w:name w:val="OUTLINEA_L1 Char"/>
    <w:basedOn w:val="SubtitleChar"/>
    <w:link w:val="OUTLINEAL1"/>
    <w:rsid w:val="00982525"/>
    <w:rPr>
      <w:rFonts w:ascii="Arial Bold" w:eastAsia="SimSun" w:hAnsi="Arial Bold" w:cs="Arial Bold"/>
      <w:b/>
      <w:color w:val="000000"/>
      <w:sz w:val="24"/>
      <w:szCs w:val="24"/>
      <w:lang w:val="en-GB" w:eastAsia="en-US"/>
    </w:rPr>
  </w:style>
  <w:style w:type="paragraph" w:customStyle="1" w:styleId="OUTLINEAL2">
    <w:name w:val="OUTLINEA_L2"/>
    <w:basedOn w:val="Normal"/>
    <w:next w:val="BodyText"/>
    <w:link w:val="OUTLINEAL2Char"/>
    <w:rsid w:val="00476276"/>
    <w:pPr>
      <w:numPr>
        <w:numId w:val="39"/>
      </w:numPr>
      <w:pBdr>
        <w:top w:val="dotted" w:sz="4" w:space="1" w:color="auto"/>
        <w:bottom w:val="dotted" w:sz="4" w:space="1" w:color="auto"/>
      </w:pBdr>
      <w:spacing w:after="280" w:line="320" w:lineRule="exact"/>
      <w:outlineLvl w:val="1"/>
    </w:pPr>
    <w:rPr>
      <w:rFonts w:ascii="Arial Bold" w:eastAsia="SimSun" w:hAnsi="Arial Bold" w:cs="Arial Bold"/>
      <w:b/>
      <w:bCs/>
      <w:i/>
      <w:iCs/>
      <w:lang w:eastAsia="en-US"/>
    </w:rPr>
  </w:style>
  <w:style w:type="character" w:customStyle="1" w:styleId="OUTLINEAL2Char">
    <w:name w:val="OUTLINEA_L2 Char"/>
    <w:basedOn w:val="SubtitleChar"/>
    <w:link w:val="OUTLINEAL2"/>
    <w:rsid w:val="00503D2A"/>
    <w:rPr>
      <w:rFonts w:ascii="Arial Bold" w:eastAsia="SimSun" w:hAnsi="Arial Bold" w:cs="Arial Bold"/>
      <w:b/>
      <w:bCs/>
      <w:i/>
      <w:iCs/>
      <w:color w:val="000000"/>
      <w:sz w:val="28"/>
      <w:szCs w:val="24"/>
      <w:lang w:val="en-GB" w:eastAsia="en-US"/>
    </w:rPr>
  </w:style>
  <w:style w:type="paragraph" w:customStyle="1" w:styleId="OUTLINEAL3">
    <w:name w:val="OUTLINEA_L3"/>
    <w:basedOn w:val="Normal"/>
    <w:next w:val="BodyText"/>
    <w:link w:val="OUTLINEAL3Char"/>
    <w:rsid w:val="00263A1A"/>
    <w:pPr>
      <w:numPr>
        <w:ilvl w:val="2"/>
        <w:numId w:val="38"/>
      </w:numPr>
      <w:spacing w:after="240"/>
      <w:outlineLvl w:val="2"/>
    </w:pPr>
    <w:rPr>
      <w:rFonts w:eastAsia="SimSun" w:cs="Arial"/>
      <w:lang w:eastAsia="en-US"/>
    </w:rPr>
  </w:style>
  <w:style w:type="character" w:customStyle="1" w:styleId="OUTLINEAL3Char">
    <w:name w:val="OUTLINEA_L3 Char"/>
    <w:basedOn w:val="SubtitleChar"/>
    <w:link w:val="OUTLINEAL3"/>
    <w:rsid w:val="00263A1A"/>
    <w:rPr>
      <w:rFonts w:ascii="Arial" w:eastAsia="SimSun" w:hAnsi="Arial" w:cs="Arial"/>
      <w:b w:val="0"/>
      <w:color w:val="000000"/>
      <w:sz w:val="28"/>
      <w:szCs w:val="24"/>
      <w:lang w:val="en-GB" w:eastAsia="en-US"/>
    </w:rPr>
  </w:style>
  <w:style w:type="paragraph" w:customStyle="1" w:styleId="OUTLINEAL4">
    <w:name w:val="OUTLINEA_L4"/>
    <w:basedOn w:val="Normal"/>
    <w:next w:val="BodyText"/>
    <w:link w:val="OUTLINEAL4Char"/>
    <w:rsid w:val="00263A1A"/>
    <w:pPr>
      <w:numPr>
        <w:ilvl w:val="3"/>
        <w:numId w:val="38"/>
      </w:numPr>
      <w:spacing w:after="240"/>
      <w:outlineLvl w:val="3"/>
    </w:pPr>
    <w:rPr>
      <w:rFonts w:eastAsia="SimSun" w:cs="Arial"/>
      <w:lang w:eastAsia="en-US"/>
    </w:rPr>
  </w:style>
  <w:style w:type="character" w:customStyle="1" w:styleId="OUTLINEAL4Char">
    <w:name w:val="OUTLINEA_L4 Char"/>
    <w:basedOn w:val="SubtitleChar"/>
    <w:link w:val="OUTLINEAL4"/>
    <w:rsid w:val="00263A1A"/>
    <w:rPr>
      <w:rFonts w:ascii="Arial" w:eastAsia="SimSun" w:hAnsi="Arial" w:cs="Arial"/>
      <w:b w:val="0"/>
      <w:color w:val="000000"/>
      <w:sz w:val="28"/>
      <w:szCs w:val="24"/>
      <w:lang w:val="en-GB" w:eastAsia="en-US"/>
    </w:rPr>
  </w:style>
  <w:style w:type="paragraph" w:customStyle="1" w:styleId="OUTLINEAL5">
    <w:name w:val="OUTLINEA_L5"/>
    <w:basedOn w:val="Normal"/>
    <w:next w:val="BodyText"/>
    <w:link w:val="OUTLINEAL5Char"/>
    <w:rsid w:val="00263A1A"/>
    <w:pPr>
      <w:numPr>
        <w:ilvl w:val="4"/>
        <w:numId w:val="38"/>
      </w:numPr>
      <w:spacing w:after="240"/>
      <w:outlineLvl w:val="4"/>
    </w:pPr>
    <w:rPr>
      <w:rFonts w:eastAsia="SimSun" w:cs="Arial"/>
      <w:lang w:eastAsia="en-US"/>
    </w:rPr>
  </w:style>
  <w:style w:type="character" w:customStyle="1" w:styleId="OUTLINEAL5Char">
    <w:name w:val="OUTLINEA_L5 Char"/>
    <w:basedOn w:val="SubtitleChar"/>
    <w:link w:val="OUTLINEAL5"/>
    <w:rsid w:val="00263A1A"/>
    <w:rPr>
      <w:rFonts w:ascii="Arial" w:eastAsia="SimSun" w:hAnsi="Arial" w:cs="Arial"/>
      <w:b w:val="0"/>
      <w:color w:val="000000"/>
      <w:sz w:val="28"/>
      <w:szCs w:val="24"/>
      <w:lang w:val="en-GB" w:eastAsia="en-US"/>
    </w:rPr>
  </w:style>
  <w:style w:type="paragraph" w:customStyle="1" w:styleId="OUTLINEAL6">
    <w:name w:val="OUTLINEA_L6"/>
    <w:basedOn w:val="Normal"/>
    <w:next w:val="BodyText"/>
    <w:link w:val="OUTLINEAL6Char"/>
    <w:rsid w:val="00263A1A"/>
    <w:pPr>
      <w:numPr>
        <w:ilvl w:val="5"/>
        <w:numId w:val="38"/>
      </w:numPr>
      <w:spacing w:after="240"/>
      <w:outlineLvl w:val="5"/>
    </w:pPr>
    <w:rPr>
      <w:rFonts w:eastAsia="SimSun" w:cs="Arial"/>
      <w:lang w:eastAsia="en-US"/>
    </w:rPr>
  </w:style>
  <w:style w:type="character" w:customStyle="1" w:styleId="OUTLINEAL6Char">
    <w:name w:val="OUTLINEA_L6 Char"/>
    <w:basedOn w:val="SubtitleChar"/>
    <w:link w:val="OUTLINEAL6"/>
    <w:rsid w:val="00263A1A"/>
    <w:rPr>
      <w:rFonts w:ascii="Arial" w:eastAsia="SimSun" w:hAnsi="Arial" w:cs="Arial"/>
      <w:b w:val="0"/>
      <w:color w:val="000000"/>
      <w:sz w:val="28"/>
      <w:szCs w:val="24"/>
      <w:lang w:val="en-GB" w:eastAsia="en-US"/>
    </w:rPr>
  </w:style>
  <w:style w:type="paragraph" w:customStyle="1" w:styleId="OUTLINEAL7">
    <w:name w:val="OUTLINEA_L7"/>
    <w:basedOn w:val="Normal"/>
    <w:next w:val="BodyText"/>
    <w:link w:val="OUTLINEAL7Char"/>
    <w:rsid w:val="00263A1A"/>
    <w:pPr>
      <w:numPr>
        <w:ilvl w:val="6"/>
        <w:numId w:val="38"/>
      </w:numPr>
      <w:spacing w:after="240"/>
      <w:outlineLvl w:val="6"/>
    </w:pPr>
    <w:rPr>
      <w:rFonts w:eastAsia="SimSun" w:cs="Arial"/>
      <w:lang w:eastAsia="en-US"/>
    </w:rPr>
  </w:style>
  <w:style w:type="character" w:customStyle="1" w:styleId="OUTLINEAL7Char">
    <w:name w:val="OUTLINEA_L7 Char"/>
    <w:basedOn w:val="SubtitleChar"/>
    <w:link w:val="OUTLINEAL7"/>
    <w:rsid w:val="00263A1A"/>
    <w:rPr>
      <w:rFonts w:ascii="Arial" w:eastAsia="SimSun" w:hAnsi="Arial" w:cs="Arial"/>
      <w:b w:val="0"/>
      <w:color w:val="000000"/>
      <w:sz w:val="28"/>
      <w:szCs w:val="24"/>
      <w:lang w:val="en-GB" w:eastAsia="en-US"/>
    </w:rPr>
  </w:style>
  <w:style w:type="paragraph" w:customStyle="1" w:styleId="OUTLINEAL8">
    <w:name w:val="OUTLINEA_L8"/>
    <w:basedOn w:val="Normal"/>
    <w:next w:val="BodyText"/>
    <w:link w:val="OUTLINEAL8Char"/>
    <w:rsid w:val="00263A1A"/>
    <w:pPr>
      <w:numPr>
        <w:ilvl w:val="7"/>
        <w:numId w:val="38"/>
      </w:numPr>
      <w:spacing w:after="240"/>
      <w:outlineLvl w:val="7"/>
    </w:pPr>
    <w:rPr>
      <w:rFonts w:eastAsia="SimSun" w:cs="Arial"/>
      <w:lang w:eastAsia="en-US"/>
    </w:rPr>
  </w:style>
  <w:style w:type="character" w:customStyle="1" w:styleId="OUTLINEAL8Char">
    <w:name w:val="OUTLINEA_L8 Char"/>
    <w:basedOn w:val="SubtitleChar"/>
    <w:link w:val="OUTLINEAL8"/>
    <w:rsid w:val="00263A1A"/>
    <w:rPr>
      <w:rFonts w:ascii="Arial" w:eastAsia="SimSun" w:hAnsi="Arial" w:cs="Arial"/>
      <w:b w:val="0"/>
      <w:color w:val="000000"/>
      <w:sz w:val="28"/>
      <w:szCs w:val="24"/>
      <w:lang w:val="en-GB" w:eastAsia="en-US"/>
    </w:rPr>
  </w:style>
  <w:style w:type="paragraph" w:customStyle="1" w:styleId="OUTLINEAL9">
    <w:name w:val="OUTLINEA_L9"/>
    <w:basedOn w:val="Normal"/>
    <w:next w:val="BodyText"/>
    <w:link w:val="OUTLINEAL9Char"/>
    <w:rsid w:val="00263A1A"/>
    <w:pPr>
      <w:numPr>
        <w:ilvl w:val="8"/>
        <w:numId w:val="38"/>
      </w:numPr>
      <w:spacing w:after="240"/>
      <w:outlineLvl w:val="8"/>
    </w:pPr>
    <w:rPr>
      <w:rFonts w:eastAsia="SimSun" w:cs="Arial"/>
      <w:lang w:eastAsia="en-US"/>
    </w:rPr>
  </w:style>
  <w:style w:type="character" w:customStyle="1" w:styleId="OUTLINEAL9Char">
    <w:name w:val="OUTLINEA_L9 Char"/>
    <w:basedOn w:val="SubtitleChar"/>
    <w:link w:val="OUTLINEAL9"/>
    <w:rsid w:val="00263A1A"/>
    <w:rPr>
      <w:rFonts w:ascii="Arial" w:eastAsia="SimSun" w:hAnsi="Arial" w:cs="Arial"/>
      <w:b w:val="0"/>
      <w:color w:val="000000"/>
      <w:sz w:val="28"/>
      <w:szCs w:val="24"/>
      <w:lang w:val="en-GB" w:eastAsia="en-US"/>
    </w:rPr>
  </w:style>
  <w:style w:type="paragraph" w:styleId="Subtitle0">
    <w:name w:val="Subtitle"/>
    <w:basedOn w:val="Normal"/>
    <w:next w:val="Normal"/>
    <w:link w:val="SubtitleChar0"/>
    <w:uiPriority w:val="11"/>
    <w:qFormat/>
    <w:rsid w:val="00117FB0"/>
    <w:pPr>
      <w:numPr>
        <w:ilvl w:val="1"/>
      </w:numPr>
      <w:spacing w:after="160"/>
      <w:outlineLvl w:val="0"/>
    </w:pPr>
    <w:rPr>
      <w:rFonts w:asciiTheme="minorHAnsi" w:eastAsiaTheme="minorEastAsia" w:hAnsiTheme="minorHAnsi" w:cstheme="minorBidi"/>
      <w:color w:val="5A5A5A" w:themeColor="text1" w:themeTint="A5"/>
      <w:spacing w:val="15"/>
      <w:sz w:val="22"/>
      <w:szCs w:val="22"/>
    </w:rPr>
  </w:style>
  <w:style w:type="character" w:customStyle="1" w:styleId="SubtitleChar0">
    <w:name w:val="Subtitle Char"/>
    <w:basedOn w:val="DefaultParagraphFont"/>
    <w:link w:val="Subtitle0"/>
    <w:uiPriority w:val="11"/>
    <w:rsid w:val="00117FB0"/>
    <w:rPr>
      <w:rFonts w:asciiTheme="minorHAnsi" w:eastAsiaTheme="minorEastAsia" w:hAnsiTheme="minorHAnsi" w:cstheme="minorBidi"/>
      <w:color w:val="5A5A5A" w:themeColor="text1" w:themeTint="A5"/>
      <w:spacing w:val="15"/>
      <w:sz w:val="22"/>
      <w:szCs w:val="22"/>
      <w:lang w:val="en-GB" w:eastAsia="ja-JP"/>
    </w:rPr>
  </w:style>
  <w:style w:type="paragraph" w:customStyle="1" w:styleId="TOCHeader">
    <w:name w:val="TOC Header"/>
    <w:basedOn w:val="Normal"/>
    <w:rsid w:val="00117FB0"/>
    <w:pPr>
      <w:spacing w:after="0" w:line="240" w:lineRule="auto"/>
      <w:ind w:left="115" w:right="115"/>
      <w:jc w:val="center"/>
    </w:pPr>
    <w:rPr>
      <w:rFonts w:eastAsia="Times New Roman" w:cs="Arial"/>
      <w:lang w:val="en-US" w:eastAsia="en-US"/>
    </w:rPr>
  </w:style>
  <w:style w:type="paragraph" w:styleId="TableofAuthorities">
    <w:name w:val="table of authorities"/>
    <w:basedOn w:val="Normal"/>
    <w:next w:val="Normal"/>
    <w:uiPriority w:val="99"/>
    <w:semiHidden/>
    <w:unhideWhenUsed/>
    <w:rsid w:val="00117FB0"/>
    <w:pPr>
      <w:spacing w:after="0"/>
      <w:ind w:left="200" w:hanging="200"/>
    </w:pPr>
  </w:style>
  <w:style w:type="paragraph" w:styleId="TOC2">
    <w:name w:val="toc 2"/>
    <w:basedOn w:val="Normal"/>
    <w:next w:val="Normal"/>
    <w:autoRedefine/>
    <w:uiPriority w:val="39"/>
    <w:unhideWhenUsed/>
    <w:rsid w:val="00117FB0"/>
    <w:pPr>
      <w:keepLines/>
      <w:tabs>
        <w:tab w:val="right" w:leader="dot" w:pos="8992"/>
      </w:tabs>
      <w:spacing w:after="120"/>
      <w:ind w:left="1440" w:right="720" w:hanging="720"/>
    </w:pPr>
    <w:rPr>
      <w:rFonts w:eastAsia="Times New Roman" w:cs="Arial"/>
      <w:lang w:eastAsia="en-US"/>
    </w:rPr>
  </w:style>
  <w:style w:type="paragraph" w:styleId="TOC3">
    <w:name w:val="toc 3"/>
    <w:basedOn w:val="Normal"/>
    <w:next w:val="Normal"/>
    <w:autoRedefine/>
    <w:uiPriority w:val="39"/>
    <w:unhideWhenUsed/>
    <w:rsid w:val="00F331F5"/>
    <w:pPr>
      <w:keepLines/>
      <w:tabs>
        <w:tab w:val="left" w:pos="2160"/>
        <w:tab w:val="right" w:leader="dot" w:pos="8992"/>
      </w:tabs>
      <w:spacing w:after="120"/>
      <w:ind w:left="2160" w:right="720" w:hanging="720"/>
    </w:pPr>
    <w:rPr>
      <w:rFonts w:eastAsia="Times New Roman" w:cs="Arial"/>
      <w:lang w:eastAsia="en-US"/>
    </w:rPr>
  </w:style>
  <w:style w:type="paragraph" w:styleId="TOC4">
    <w:name w:val="toc 4"/>
    <w:basedOn w:val="Normal"/>
    <w:next w:val="Normal"/>
    <w:autoRedefine/>
    <w:uiPriority w:val="39"/>
    <w:semiHidden/>
    <w:unhideWhenUsed/>
    <w:rsid w:val="00117FB0"/>
    <w:pPr>
      <w:keepLines/>
      <w:tabs>
        <w:tab w:val="right" w:leader="dot" w:pos="8992"/>
      </w:tabs>
      <w:spacing w:after="120"/>
      <w:ind w:left="2880" w:right="720" w:hanging="720"/>
    </w:pPr>
    <w:rPr>
      <w:rFonts w:eastAsia="Times New Roman" w:cs="Arial"/>
      <w:lang w:eastAsia="en-US"/>
    </w:rPr>
  </w:style>
  <w:style w:type="paragraph" w:styleId="TOC5">
    <w:name w:val="toc 5"/>
    <w:basedOn w:val="Normal"/>
    <w:next w:val="Normal"/>
    <w:autoRedefine/>
    <w:uiPriority w:val="39"/>
    <w:semiHidden/>
    <w:unhideWhenUsed/>
    <w:rsid w:val="00117FB0"/>
    <w:pPr>
      <w:keepLines/>
      <w:tabs>
        <w:tab w:val="right" w:leader="dot" w:pos="8992"/>
      </w:tabs>
      <w:spacing w:after="120"/>
      <w:ind w:left="3600" w:right="720" w:hanging="720"/>
    </w:pPr>
    <w:rPr>
      <w:rFonts w:eastAsia="Times New Roman" w:cs="Arial"/>
      <w:lang w:eastAsia="en-US"/>
    </w:rPr>
  </w:style>
  <w:style w:type="paragraph" w:styleId="TOC6">
    <w:name w:val="toc 6"/>
    <w:basedOn w:val="Normal"/>
    <w:next w:val="Normal"/>
    <w:autoRedefine/>
    <w:uiPriority w:val="39"/>
    <w:semiHidden/>
    <w:unhideWhenUsed/>
    <w:rsid w:val="00117FB0"/>
    <w:pPr>
      <w:keepLines/>
      <w:tabs>
        <w:tab w:val="right" w:leader="dot" w:pos="8992"/>
      </w:tabs>
      <w:spacing w:after="120"/>
      <w:ind w:left="4320" w:right="720" w:hanging="720"/>
    </w:pPr>
    <w:rPr>
      <w:rFonts w:eastAsia="Times New Roman" w:cs="Arial"/>
      <w:lang w:eastAsia="en-US"/>
    </w:rPr>
  </w:style>
  <w:style w:type="paragraph" w:styleId="TOC7">
    <w:name w:val="toc 7"/>
    <w:basedOn w:val="Normal"/>
    <w:next w:val="Normal"/>
    <w:autoRedefine/>
    <w:uiPriority w:val="39"/>
    <w:semiHidden/>
    <w:unhideWhenUsed/>
    <w:rsid w:val="00117FB0"/>
    <w:pPr>
      <w:keepLines/>
      <w:tabs>
        <w:tab w:val="right" w:leader="dot" w:pos="8992"/>
      </w:tabs>
      <w:spacing w:after="120"/>
      <w:ind w:left="5040" w:right="720" w:hanging="720"/>
    </w:pPr>
    <w:rPr>
      <w:rFonts w:eastAsia="Times New Roman" w:cs="Arial"/>
      <w:lang w:eastAsia="en-US"/>
    </w:rPr>
  </w:style>
  <w:style w:type="paragraph" w:styleId="TOC8">
    <w:name w:val="toc 8"/>
    <w:basedOn w:val="Normal"/>
    <w:next w:val="Normal"/>
    <w:autoRedefine/>
    <w:uiPriority w:val="39"/>
    <w:semiHidden/>
    <w:unhideWhenUsed/>
    <w:rsid w:val="00117FB0"/>
    <w:pPr>
      <w:keepLines/>
      <w:tabs>
        <w:tab w:val="right" w:leader="dot" w:pos="8992"/>
      </w:tabs>
      <w:spacing w:after="120"/>
      <w:ind w:left="5760" w:right="720" w:hanging="720"/>
    </w:pPr>
    <w:rPr>
      <w:rFonts w:eastAsia="Times New Roman" w:cs="Arial"/>
      <w:lang w:eastAsia="en-US"/>
    </w:rPr>
  </w:style>
  <w:style w:type="paragraph" w:styleId="TOC9">
    <w:name w:val="toc 9"/>
    <w:basedOn w:val="Normal"/>
    <w:next w:val="Normal"/>
    <w:autoRedefine/>
    <w:uiPriority w:val="39"/>
    <w:semiHidden/>
    <w:unhideWhenUsed/>
    <w:rsid w:val="00117FB0"/>
    <w:pPr>
      <w:keepLines/>
      <w:tabs>
        <w:tab w:val="right" w:leader="dot" w:pos="8992"/>
      </w:tabs>
      <w:spacing w:after="120"/>
      <w:ind w:left="6480" w:right="720" w:hanging="720"/>
    </w:pPr>
    <w:rPr>
      <w:rFonts w:eastAsia="Times New Roman"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783937">
      <w:bodyDiv w:val="1"/>
      <w:marLeft w:val="0"/>
      <w:marRight w:val="0"/>
      <w:marTop w:val="0"/>
      <w:marBottom w:val="0"/>
      <w:divBdr>
        <w:top w:val="none" w:sz="0" w:space="0" w:color="auto"/>
        <w:left w:val="none" w:sz="0" w:space="0" w:color="auto"/>
        <w:bottom w:val="none" w:sz="0" w:space="0" w:color="auto"/>
        <w:right w:val="none" w:sz="0" w:space="0" w:color="auto"/>
      </w:divBdr>
    </w:div>
    <w:div w:id="385957049">
      <w:bodyDiv w:val="1"/>
      <w:marLeft w:val="0"/>
      <w:marRight w:val="0"/>
      <w:marTop w:val="0"/>
      <w:marBottom w:val="0"/>
      <w:divBdr>
        <w:top w:val="none" w:sz="0" w:space="0" w:color="auto"/>
        <w:left w:val="none" w:sz="0" w:space="0" w:color="auto"/>
        <w:bottom w:val="none" w:sz="0" w:space="0" w:color="auto"/>
        <w:right w:val="none" w:sz="0" w:space="0" w:color="auto"/>
      </w:divBdr>
    </w:div>
    <w:div w:id="475953620">
      <w:bodyDiv w:val="1"/>
      <w:marLeft w:val="0"/>
      <w:marRight w:val="0"/>
      <w:marTop w:val="0"/>
      <w:marBottom w:val="0"/>
      <w:divBdr>
        <w:top w:val="none" w:sz="0" w:space="0" w:color="auto"/>
        <w:left w:val="none" w:sz="0" w:space="0" w:color="auto"/>
        <w:bottom w:val="none" w:sz="0" w:space="0" w:color="auto"/>
        <w:right w:val="none" w:sz="0" w:space="0" w:color="auto"/>
      </w:divBdr>
    </w:div>
    <w:div w:id="515072992">
      <w:bodyDiv w:val="1"/>
      <w:marLeft w:val="0"/>
      <w:marRight w:val="0"/>
      <w:marTop w:val="0"/>
      <w:marBottom w:val="0"/>
      <w:divBdr>
        <w:top w:val="none" w:sz="0" w:space="0" w:color="auto"/>
        <w:left w:val="none" w:sz="0" w:space="0" w:color="auto"/>
        <w:bottom w:val="none" w:sz="0" w:space="0" w:color="auto"/>
        <w:right w:val="none" w:sz="0" w:space="0" w:color="auto"/>
      </w:divBdr>
    </w:div>
    <w:div w:id="558638795">
      <w:bodyDiv w:val="1"/>
      <w:marLeft w:val="0"/>
      <w:marRight w:val="0"/>
      <w:marTop w:val="0"/>
      <w:marBottom w:val="0"/>
      <w:divBdr>
        <w:top w:val="none" w:sz="0" w:space="0" w:color="auto"/>
        <w:left w:val="none" w:sz="0" w:space="0" w:color="auto"/>
        <w:bottom w:val="none" w:sz="0" w:space="0" w:color="auto"/>
        <w:right w:val="none" w:sz="0" w:space="0" w:color="auto"/>
      </w:divBdr>
    </w:div>
    <w:div w:id="1009940810">
      <w:bodyDiv w:val="1"/>
      <w:marLeft w:val="0"/>
      <w:marRight w:val="0"/>
      <w:marTop w:val="0"/>
      <w:marBottom w:val="0"/>
      <w:divBdr>
        <w:top w:val="none" w:sz="0" w:space="0" w:color="auto"/>
        <w:left w:val="none" w:sz="0" w:space="0" w:color="auto"/>
        <w:bottom w:val="none" w:sz="0" w:space="0" w:color="auto"/>
        <w:right w:val="none" w:sz="0" w:space="0" w:color="auto"/>
      </w:divBdr>
    </w:div>
    <w:div w:id="1365253715">
      <w:bodyDiv w:val="1"/>
      <w:marLeft w:val="0"/>
      <w:marRight w:val="0"/>
      <w:marTop w:val="0"/>
      <w:marBottom w:val="0"/>
      <w:divBdr>
        <w:top w:val="none" w:sz="0" w:space="0" w:color="auto"/>
        <w:left w:val="none" w:sz="0" w:space="0" w:color="auto"/>
        <w:bottom w:val="none" w:sz="0" w:space="0" w:color="auto"/>
        <w:right w:val="none" w:sz="0" w:space="0" w:color="auto"/>
      </w:divBdr>
    </w:div>
    <w:div w:id="1370572343">
      <w:bodyDiv w:val="1"/>
      <w:marLeft w:val="0"/>
      <w:marRight w:val="0"/>
      <w:marTop w:val="0"/>
      <w:marBottom w:val="0"/>
      <w:divBdr>
        <w:top w:val="none" w:sz="0" w:space="0" w:color="auto"/>
        <w:left w:val="none" w:sz="0" w:space="0" w:color="auto"/>
        <w:bottom w:val="none" w:sz="0" w:space="0" w:color="auto"/>
        <w:right w:val="none" w:sz="0" w:space="0" w:color="auto"/>
      </w:divBdr>
    </w:div>
    <w:div w:id="1489322356">
      <w:bodyDiv w:val="1"/>
      <w:marLeft w:val="0"/>
      <w:marRight w:val="0"/>
      <w:marTop w:val="0"/>
      <w:marBottom w:val="0"/>
      <w:divBdr>
        <w:top w:val="none" w:sz="0" w:space="0" w:color="auto"/>
        <w:left w:val="none" w:sz="0" w:space="0" w:color="auto"/>
        <w:bottom w:val="none" w:sz="0" w:space="0" w:color="auto"/>
        <w:right w:val="none" w:sz="0" w:space="0" w:color="auto"/>
      </w:divBdr>
    </w:div>
    <w:div w:id="1588223353">
      <w:bodyDiv w:val="1"/>
      <w:marLeft w:val="0"/>
      <w:marRight w:val="0"/>
      <w:marTop w:val="0"/>
      <w:marBottom w:val="0"/>
      <w:divBdr>
        <w:top w:val="none" w:sz="0" w:space="0" w:color="auto"/>
        <w:left w:val="none" w:sz="0" w:space="0" w:color="auto"/>
        <w:bottom w:val="none" w:sz="0" w:space="0" w:color="auto"/>
        <w:right w:val="none" w:sz="0" w:space="0" w:color="auto"/>
      </w:divBdr>
    </w:div>
    <w:div w:id="1604000188">
      <w:bodyDiv w:val="1"/>
      <w:marLeft w:val="0"/>
      <w:marRight w:val="0"/>
      <w:marTop w:val="0"/>
      <w:marBottom w:val="0"/>
      <w:divBdr>
        <w:top w:val="none" w:sz="0" w:space="0" w:color="auto"/>
        <w:left w:val="none" w:sz="0" w:space="0" w:color="auto"/>
        <w:bottom w:val="none" w:sz="0" w:space="0" w:color="auto"/>
        <w:right w:val="none" w:sz="0" w:space="0" w:color="auto"/>
      </w:divBdr>
    </w:div>
    <w:div w:id="1671328471">
      <w:bodyDiv w:val="1"/>
      <w:marLeft w:val="0"/>
      <w:marRight w:val="0"/>
      <w:marTop w:val="0"/>
      <w:marBottom w:val="0"/>
      <w:divBdr>
        <w:top w:val="none" w:sz="0" w:space="0" w:color="auto"/>
        <w:left w:val="none" w:sz="0" w:space="0" w:color="auto"/>
        <w:bottom w:val="none" w:sz="0" w:space="0" w:color="auto"/>
        <w:right w:val="none" w:sz="0" w:space="0" w:color="auto"/>
      </w:divBdr>
    </w:div>
    <w:div w:id="1767187851">
      <w:bodyDiv w:val="1"/>
      <w:marLeft w:val="0"/>
      <w:marRight w:val="0"/>
      <w:marTop w:val="0"/>
      <w:marBottom w:val="0"/>
      <w:divBdr>
        <w:top w:val="none" w:sz="0" w:space="0" w:color="auto"/>
        <w:left w:val="none" w:sz="0" w:space="0" w:color="auto"/>
        <w:bottom w:val="none" w:sz="0" w:space="0" w:color="auto"/>
        <w:right w:val="none" w:sz="0" w:space="0" w:color="auto"/>
      </w:divBdr>
    </w:div>
    <w:div w:id="1947417437">
      <w:bodyDiv w:val="1"/>
      <w:marLeft w:val="0"/>
      <w:marRight w:val="0"/>
      <w:marTop w:val="0"/>
      <w:marBottom w:val="0"/>
      <w:divBdr>
        <w:top w:val="none" w:sz="0" w:space="0" w:color="auto"/>
        <w:left w:val="none" w:sz="0" w:space="0" w:color="auto"/>
        <w:bottom w:val="none" w:sz="0" w:space="0" w:color="auto"/>
        <w:right w:val="none" w:sz="0" w:space="0" w:color="auto"/>
      </w:divBdr>
    </w:div>
    <w:div w:id="2144997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ublications@iccwbo.org"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en.wikipedia.org/wiki/Philosophy_of_business" TargetMode="External"/><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justice.gov/atr/page/file/1182001/download" TargetMode="External"/><Relationship Id="rId18" Type="http://schemas.openxmlformats.org/officeDocument/2006/relationships/hyperlink" Target="https://www.justice.gov/criminal/criminal-fraud/file/1292051/dl?inline" TargetMode="External"/><Relationship Id="rId26" Type="http://schemas.openxmlformats.org/officeDocument/2006/relationships/hyperlink" Target="https://cdn.cade.gov.br/Portal/centrais-de-conteudo/publicacoes/guias-do-cade/compliance-guidelines-final-version.pdf" TargetMode="External"/><Relationship Id="rId39" Type="http://schemas.openxmlformats.org/officeDocument/2006/relationships/hyperlink" Target="https://competition-bureau.canada.ca/how-we-foster-competition/compliance-and-enforcement/core-principles-credible-and-effective-compliance-program" TargetMode="External"/><Relationship Id="rId21" Type="http://schemas.openxmlformats.org/officeDocument/2006/relationships/hyperlink" Target="https://uohs.gov.cz/en/competition/decisions-guidelines-and-other-documents.html" TargetMode="External"/><Relationship Id="rId34" Type="http://schemas.openxmlformats.org/officeDocument/2006/relationships/hyperlink" Target="https://www.justice.gov/criminal-fraud/compliance" TargetMode="External"/><Relationship Id="rId7" Type="http://schemas.openxmlformats.org/officeDocument/2006/relationships/hyperlink" Target="https://one.oecd.org/document/DAF/COMP/WP3/M(2021)1/ANN1/FINAL/en/pdf" TargetMode="External"/><Relationship Id="rId12" Type="http://schemas.openxmlformats.org/officeDocument/2006/relationships/hyperlink" Target="https://competition-bureau.canada.ca/how-we-foster-competition/compliance-and-enforcement/compliance-hub" TargetMode="External"/><Relationship Id="rId17" Type="http://schemas.openxmlformats.org/officeDocument/2006/relationships/hyperlink" Target="https://www.justice.gov/criminal/criminal-fraud/foreign-corrupt-practices-act" TargetMode="External"/><Relationship Id="rId25" Type="http://schemas.openxmlformats.org/officeDocument/2006/relationships/hyperlink" Target="https://en.agcm.it/dotcmsdoc/guidelines-compliance/guidelines_compliance.pdf" TargetMode="External"/><Relationship Id="rId33" Type="http://schemas.openxmlformats.org/officeDocument/2006/relationships/hyperlink" Target="https://ised-isde.canada.ca/site/competition-bureau-canada/en/how-we-foster-competition/consultations/consultation-new-compliance-portal" TargetMode="External"/><Relationship Id="rId38" Type="http://schemas.openxmlformats.org/officeDocument/2006/relationships/hyperlink" Target="https://competition-bureau.canada.ca/how-we-foster-competition/compliance-and-enforcement/core-principles-credible-and-effective-compliance-program" TargetMode="External"/><Relationship Id="rId2" Type="http://schemas.openxmlformats.org/officeDocument/2006/relationships/hyperlink" Target="https://www.justice.gov/d9/pages/attachments/2022/09/15/2022.09.15_ccag_memo.pdf" TargetMode="External"/><Relationship Id="rId16" Type="http://schemas.openxmlformats.org/officeDocument/2006/relationships/hyperlink" Target="https://www.gov.uk/government/publications/bribery-act-2010-guidance" TargetMode="External"/><Relationship Id="rId20" Type="http://schemas.openxmlformats.org/officeDocument/2006/relationships/hyperlink" Target="https://www.sec.gov/spotlight/fcpa/fcpa-resource-guide.pdf" TargetMode="External"/><Relationship Id="rId29" Type="http://schemas.openxmlformats.org/officeDocument/2006/relationships/hyperlink" Target="https://competition-bureau.canada.ca/how-we-foster-competition/compliance-and-enforcement/core-principles-credible-and-effective-compliance-program" TargetMode="External"/><Relationship Id="rId1" Type="http://schemas.openxmlformats.org/officeDocument/2006/relationships/hyperlink" Target="https://www.justice.gov/atr/page/file/1182001/download" TargetMode="External"/><Relationship Id="rId6" Type="http://schemas.openxmlformats.org/officeDocument/2006/relationships/hyperlink" Target="https://www.justice.gov/atr/page/file/1182001/dl" TargetMode="External"/><Relationship Id="rId11" Type="http://schemas.openxmlformats.org/officeDocument/2006/relationships/hyperlink" Target="https://www.justice.gov/atr/page/file/1182001/download" TargetMode="External"/><Relationship Id="rId24" Type="http://schemas.openxmlformats.org/officeDocument/2006/relationships/hyperlink" Target="https://www.justice.gov/atr/page/file/1182001/dl" TargetMode="External"/><Relationship Id="rId32" Type="http://schemas.openxmlformats.org/officeDocument/2006/relationships/hyperlink" Target="https://academic.oup.com/jeclap/article-abstract/3/3/260/1819965" TargetMode="External"/><Relationship Id="rId37" Type="http://schemas.openxmlformats.org/officeDocument/2006/relationships/hyperlink" Target="https://www.ussc.gov/guidelines/2023-guidelines-manual/annotated-2023-chapter-8" TargetMode="External"/><Relationship Id="rId5" Type="http://schemas.openxmlformats.org/officeDocument/2006/relationships/hyperlink" Target="https://competition-bureau.canada.ca/how-we-foster-competition/compliance-and-enforcement/specific-areas-enforcement-bureau" TargetMode="External"/><Relationship Id="rId15" Type="http://schemas.openxmlformats.org/officeDocument/2006/relationships/hyperlink" Target="https://www.autoritedelaconcurrence.fr/sites/default/files/2022-06/Conformite_nouveau%20doc-cadre_VEN.pdf" TargetMode="External"/><Relationship Id="rId23" Type="http://schemas.openxmlformats.org/officeDocument/2006/relationships/hyperlink" Target="https://www.accc.gov.au/system/files/Guidelines%20on%20ACCC%20approach%20to%20penalties%20in%20competition%20and%20consumer%20law%20matters.pdf" TargetMode="External"/><Relationship Id="rId28" Type="http://schemas.openxmlformats.org/officeDocument/2006/relationships/hyperlink" Target="https://ised-isde.canada.ca/site/competition-bureau-canada/en/how-we-foster-competition/consultations/consultation-new-compliance-portal" TargetMode="External"/><Relationship Id="rId36" Type="http://schemas.openxmlformats.org/officeDocument/2006/relationships/hyperlink" Target="http://www.law.cornell.edu/uscode/text/15/chapter-98" TargetMode="External"/><Relationship Id="rId10" Type="http://schemas.openxmlformats.org/officeDocument/2006/relationships/hyperlink" Target="https://competition-bureau.canada.ca/how-we-foster-competition/compliance-and-enforcement/compliance-hub" TargetMode="External"/><Relationship Id="rId19" Type="http://schemas.openxmlformats.org/officeDocument/2006/relationships/hyperlink" Target="https://eur01.safelinks.protection.outlook.com/?url=https%3A%2F%2Fwww.justice.gov%2Fcriminal%2Fcriminal-fraud%2Ffcpa-resource-guide&amp;data=05%7C02%7Ccaroline.inthavisay%40iccwbo.org%7Cdf3684a9b8ab4a5ec06308dc895dd93e%7Cc541a3c6520b49ce82202228ac7c3626%7C0%7C0%7C638536283953862021%7CUnknown%7CTWFpbGZsb3d8eyJWIjoiMC4wLjAwMDAiLCJQIjoiV2luMzIiLCJBTiI6Ik1haWwiLCJXVCI6Mn0%3D%7C0%7C%7C%7C&amp;sdata=Ldz78pU6yLEw1dZfo1vryaGRAKvT8fq%2BkBehYOjo1I4%3D&amp;reserved=0" TargetMode="External"/><Relationship Id="rId31" Type="http://schemas.openxmlformats.org/officeDocument/2006/relationships/hyperlink" Target="https://www.gov.uk/government/publications/competition-law-risk-a-short-guide" TargetMode="External"/><Relationship Id="rId4" Type="http://schemas.openxmlformats.org/officeDocument/2006/relationships/hyperlink" Target="https://www.autoritedelaconcurrence.fr/sites/default/files/2022-06/Conformite_nouveau%20doc-cadre_VEN.pdf" TargetMode="External"/><Relationship Id="rId9" Type="http://schemas.openxmlformats.org/officeDocument/2006/relationships/hyperlink" Target="https://www.justice.gov/atr/page/file/1182001/download" TargetMode="External"/><Relationship Id="rId14" Type="http://schemas.openxmlformats.org/officeDocument/2006/relationships/hyperlink" Target="https://competition-bureau.canada.ca/how-we-foster-competition/compliance-and-enforcement/compliance-hub" TargetMode="External"/><Relationship Id="rId22" Type="http://schemas.openxmlformats.org/officeDocument/2006/relationships/hyperlink" Target="https://ised-isde.canada.ca/site/competition-bureau-canada/en/how-we-foster-competition/consultations/consultation-new-compliance-portal" TargetMode="External"/><Relationship Id="rId27" Type="http://schemas.openxmlformats.org/officeDocument/2006/relationships/hyperlink" Target="https://www.cccs.gov.sg/faq/compliance-with-competition-law" TargetMode="External"/><Relationship Id="rId30" Type="http://schemas.openxmlformats.org/officeDocument/2006/relationships/hyperlink" Target="https://www.justice.gov/atr/page/file/1182001/dl" TargetMode="External"/><Relationship Id="rId35" Type="http://schemas.openxmlformats.org/officeDocument/2006/relationships/hyperlink" Target="https://www.ussc.gov/guidelines/2023-guidelines-manual/annotated-2023-chapter-8" TargetMode="External"/><Relationship Id="rId8" Type="http://schemas.openxmlformats.org/officeDocument/2006/relationships/hyperlink" Target="https://op.europa.eu/en/publication-detail/-/publication/78f46c48-e03e-4c36-bbbe-aa08c2514d7a/language-en" TargetMode="External"/><Relationship Id="rId3" Type="http://schemas.openxmlformats.org/officeDocument/2006/relationships/hyperlink" Target="https://competition-bureau.canada.ca/how-we-foster-competition/compliance-and-enforcement/compliance-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 C L O U D _ U K ! 2 2 7 4 3 1 4 6 7 . 5 < / d o c u m e n t i d >  
     < s e n d e r i d > 3 9 1 2 1 < / s e n d e r i d >  
     < s e n d e r e m a i l > D A N R O S K I S @ E V E R S H E D S - S U T H E R L A N D . C O M < / s e n d e r e m a i l >  
     < l a s t m o d i f i e d > 2 0 2 4 - 0 5 - 1 4 T 1 2 : 5 6 : 0 0 . 0 0 0 0 0 0 0 + 0 2 : 0 0 < / l a s t m o d i f i e d >  
     < d a t a b a s e > C L O U D _ U K < / 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8968e0caecc32a6fd8d76ae6b4d77c79">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d367642df93db7449e041da641ef2b4a"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SharedWithUsers xmlns="465ae127-5d1e-48f1-8bba-a4710e9de403">
      <UserInfo>
        <DisplayName>INTHAVISAY Caroline</DisplayName>
        <AccountId>34</AccountId>
        <AccountType/>
      </UserInfo>
    </SharedWithUsers>
  </documentManagement>
</p:properties>
</file>

<file path=customXml/item6.xml>��< ? x m l   v e r s i o n = " 1 . 0 "   e n c o d i n g = " u t f - 1 6 " ? > < p r o p e r t i e s   x m l n s = " h t t p : / / w w w . i m a n a g e . c o m / w o r k / x m l s c h e m a " >  
     < d o c u m e n t i d > C L O U D _ E U ! 2 0 3 2 3 7 8 0 4 . 1 < / d o c u m e n t i d >  
     < s e n d e r i d > 3 9 1 2 1 < / s e n d e r i d >  
     < s e n d e r e m a i l > D A N R O S K I S @ E V E R S H E D S - S U T H E R L A N D . C O M < / s e n d e r e m a i l >  
     < l a s t m o d i f i e d > 2 0 2 4 - 0 5 - 3 1 T 1 3 : 2 4 : 0 0 . 0 0 0 0 0 0 0 + 0 2 : 0 0 < / l a s t m o d i f i e d >  
     < d a t a b a s e > C L O U D _ E U < / d a t a b a s e >  
 < / p r o p e r t i e s > 
</file>

<file path=customXml/itemProps1.xml><?xml version="1.0" encoding="utf-8"?>
<ds:datastoreItem xmlns:ds="http://schemas.openxmlformats.org/officeDocument/2006/customXml" ds:itemID="{B3AF215A-2892-40DD-85EF-831415F311BF}">
  <ds:schemaRefs>
    <ds:schemaRef ds:uri="http://www.imanage.com/work/xmlschema"/>
  </ds:schemaRefs>
</ds:datastoreItem>
</file>

<file path=customXml/itemProps2.xml><?xml version="1.0" encoding="utf-8"?>
<ds:datastoreItem xmlns:ds="http://schemas.openxmlformats.org/officeDocument/2006/customXml" ds:itemID="{860BF724-89C9-44F5-B2F4-F3CBE8AB1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264161-86B7-43D2-8437-3F83C2AF3810}">
  <ds:schemaRefs>
    <ds:schemaRef ds:uri="http://schemas.microsoft.com/sharepoint/v3/contenttype/forms"/>
  </ds:schemaRefs>
</ds:datastoreItem>
</file>

<file path=customXml/itemProps4.xml><?xml version="1.0" encoding="utf-8"?>
<ds:datastoreItem xmlns:ds="http://schemas.openxmlformats.org/officeDocument/2006/customXml" ds:itemID="{D4AB26AB-1AED-4E83-AFE2-99DCCCA990B5}">
  <ds:schemaRefs>
    <ds:schemaRef ds:uri="http://schemas.openxmlformats.org/officeDocument/2006/bibliography"/>
  </ds:schemaRefs>
</ds:datastoreItem>
</file>

<file path=customXml/itemProps5.xml><?xml version="1.0" encoding="utf-8"?>
<ds:datastoreItem xmlns:ds="http://schemas.openxmlformats.org/officeDocument/2006/customXml" ds:itemID="{4CB1F6DE-1FBD-4753-9998-2269F8A0A346}">
  <ds:schemaRefs>
    <ds:schemaRef ds:uri="http://schemas.microsoft.com/office/2006/metadata/properties"/>
    <ds:schemaRef ds:uri="http://schemas.microsoft.com/office/infopath/2007/PartnerControls"/>
    <ds:schemaRef ds:uri="fecf7fcc-4ac6-4448-a404-5e4417a2ee04"/>
    <ds:schemaRef ds:uri="598f140b-4145-4024-8bcc-6d7083f15a24"/>
    <ds:schemaRef ds:uri="465ae127-5d1e-48f1-8bba-a4710e9de403"/>
  </ds:schemaRefs>
</ds:datastoreItem>
</file>

<file path=customXml/itemProps6.xml><?xml version="1.0" encoding="utf-8"?>
<ds:datastoreItem xmlns:ds="http://schemas.openxmlformats.org/officeDocument/2006/customXml" ds:itemID="{2A3A7C73-C8D3-4331-BC9B-735D0471E12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14578</Words>
  <Characters>83100</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97484</CharactersWithSpaces>
  <SharedDoc>false</SharedDoc>
  <HLinks>
    <vt:vector size="42" baseType="variant">
      <vt:variant>
        <vt:i4>3342382</vt:i4>
      </vt:variant>
      <vt:variant>
        <vt:i4>3</vt:i4>
      </vt:variant>
      <vt:variant>
        <vt:i4>0</vt:i4>
      </vt:variant>
      <vt:variant>
        <vt:i4>5</vt:i4>
      </vt:variant>
      <vt:variant>
        <vt:lpwstr>http://www.iccwbo.org/copyright-and-trademarks/</vt:lpwstr>
      </vt:variant>
      <vt:variant>
        <vt:lpwstr/>
      </vt:variant>
      <vt:variant>
        <vt:i4>3866682</vt:i4>
      </vt:variant>
      <vt:variant>
        <vt:i4>15</vt:i4>
      </vt:variant>
      <vt:variant>
        <vt:i4>0</vt:i4>
      </vt:variant>
      <vt:variant>
        <vt:i4>5</vt:i4>
      </vt:variant>
      <vt:variant>
        <vt:lpwstr>http://pib.nic.in/newsite/erelease.aspx?relid=91809</vt:lpwstr>
      </vt:variant>
      <vt:variant>
        <vt:lpwstr/>
      </vt:variant>
      <vt:variant>
        <vt:i4>3866682</vt:i4>
      </vt:variant>
      <vt:variant>
        <vt:i4>12</vt:i4>
      </vt:variant>
      <vt:variant>
        <vt:i4>0</vt:i4>
      </vt:variant>
      <vt:variant>
        <vt:i4>5</vt:i4>
      </vt:variant>
      <vt:variant>
        <vt:lpwstr>http://pib.nic.in/newsite/erelease.aspx?relid=91809</vt:lpwstr>
      </vt:variant>
      <vt:variant>
        <vt:lpwstr/>
      </vt:variant>
      <vt:variant>
        <vt:i4>3866682</vt:i4>
      </vt:variant>
      <vt:variant>
        <vt:i4>9</vt:i4>
      </vt:variant>
      <vt:variant>
        <vt:i4>0</vt:i4>
      </vt:variant>
      <vt:variant>
        <vt:i4>5</vt:i4>
      </vt:variant>
      <vt:variant>
        <vt:lpwstr>http://pib.nic.in/newsite/erelease.aspx?relid=91809</vt:lpwstr>
      </vt:variant>
      <vt:variant>
        <vt:lpwstr/>
      </vt:variant>
      <vt:variant>
        <vt:i4>3866682</vt:i4>
      </vt:variant>
      <vt:variant>
        <vt:i4>6</vt:i4>
      </vt:variant>
      <vt:variant>
        <vt:i4>0</vt:i4>
      </vt:variant>
      <vt:variant>
        <vt:i4>5</vt:i4>
      </vt:variant>
      <vt:variant>
        <vt:lpwstr>http://pib.nic.in/newsite/erelease.aspx?relid=91809</vt:lpwstr>
      </vt:variant>
      <vt:variant>
        <vt:lpwstr/>
      </vt:variant>
      <vt:variant>
        <vt:i4>1900556</vt:i4>
      </vt:variant>
      <vt:variant>
        <vt:i4>3</vt:i4>
      </vt:variant>
      <vt:variant>
        <vt:i4>0</vt:i4>
      </vt:variant>
      <vt:variant>
        <vt:i4>5</vt:i4>
      </vt:variant>
      <vt:variant>
        <vt:lpwstr>http://www.competitionbureau.gc.ca/eic/site/cb-bc.nsf/vwapj/CorporateCompliancePrograms-sept-2010-e.pdf/$FILE/CorporateCompliancePrograms-sept-2010-e.pdf</vt:lpwstr>
      </vt:variant>
      <vt:variant>
        <vt:lpwstr/>
      </vt:variant>
      <vt:variant>
        <vt:i4>5963778</vt:i4>
      </vt:variant>
      <vt:variant>
        <vt:i4>0</vt:i4>
      </vt:variant>
      <vt:variant>
        <vt:i4>0</vt:i4>
      </vt:variant>
      <vt:variant>
        <vt:i4>5</vt:i4>
      </vt:variant>
      <vt:variant>
        <vt:lpwstr>http://en.wikipedia.org/wiki/Philosophy_of_business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Gordon</dc:creator>
  <cp:lastModifiedBy>INTHAVISAY Caroline</cp:lastModifiedBy>
  <cp:revision>11</cp:revision>
  <cp:lastPrinted>1900-01-01T05:00:00Z</cp:lastPrinted>
  <dcterms:created xsi:type="dcterms:W3CDTF">2024-06-19T09:19:00Z</dcterms:created>
  <dcterms:modified xsi:type="dcterms:W3CDTF">2024-07-01T16:08:00Z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791f77-3d39-4d72-9277-ac879ec799ed_Enabled">
    <vt:lpwstr>true</vt:lpwstr>
  </property>
  <property fmtid="{D5CDD505-2E9C-101B-9397-08002B2CF9AE}" pid="3" name="MSIP_Label_36791f77-3d39-4d72-9277-ac879ec799ed_SetDate">
    <vt:lpwstr>2024-05-02T12:42:59Z</vt:lpwstr>
  </property>
  <property fmtid="{D5CDD505-2E9C-101B-9397-08002B2CF9AE}" pid="4" name="MSIP_Label_36791f77-3d39-4d72-9277-ac879ec799ed_Method">
    <vt:lpwstr>Standard</vt:lpwstr>
  </property>
  <property fmtid="{D5CDD505-2E9C-101B-9397-08002B2CF9AE}" pid="5" name="MSIP_Label_36791f77-3d39-4d72-9277-ac879ec799ed_Name">
    <vt:lpwstr>restricted-default</vt:lpwstr>
  </property>
  <property fmtid="{D5CDD505-2E9C-101B-9397-08002B2CF9AE}" pid="6" name="MSIP_Label_36791f77-3d39-4d72-9277-ac879ec799ed_SiteId">
    <vt:lpwstr>254ba93e-1f6f-48f3-90e6-e2766664b477</vt:lpwstr>
  </property>
  <property fmtid="{D5CDD505-2E9C-101B-9397-08002B2CF9AE}" pid="7" name="MSIP_Label_36791f77-3d39-4d72-9277-ac879ec799ed_ActionId">
    <vt:lpwstr>4f8312dc-8611-4018-81c0-f85a7b82f622</vt:lpwstr>
  </property>
  <property fmtid="{D5CDD505-2E9C-101B-9397-08002B2CF9AE}" pid="8" name="MSIP_Label_36791f77-3d39-4d72-9277-ac879ec799ed_ContentBits">
    <vt:lpwstr>0</vt:lpwstr>
  </property>
  <property fmtid="{D5CDD505-2E9C-101B-9397-08002B2CF9AE}" pid="9" name="ContentTypeId">
    <vt:lpwstr>0x01010094818AE115A3A9419A412E1B8FF46FE3</vt:lpwstr>
  </property>
  <property fmtid="{D5CDD505-2E9C-101B-9397-08002B2CF9AE}" pid="10" name="MediaServiceImageTags">
    <vt:lpwstr/>
  </property>
</Properties>
</file>