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EE1A" w14:textId="34AB0923" w:rsidR="00B9292B" w:rsidRPr="008120EF" w:rsidRDefault="00B9292B" w:rsidP="009827BF">
      <w:pPr>
        <w:spacing w:line="360" w:lineRule="auto"/>
        <w:jc w:val="right"/>
        <w:rPr>
          <w:rStyle w:val="normaltextrun"/>
          <w:rFonts w:ascii="Gellix" w:hAnsi="Gellix"/>
          <w:sz w:val="21"/>
          <w:szCs w:val="21"/>
        </w:rPr>
      </w:pPr>
      <w:r w:rsidRPr="008120EF">
        <w:rPr>
          <w:rStyle w:val="normaltextrun"/>
          <w:rFonts w:ascii="Gellix" w:hAnsi="Gellix"/>
          <w:sz w:val="21"/>
          <w:szCs w:val="21"/>
        </w:rPr>
        <w:t>Stockholm, 19 April 2024</w:t>
      </w:r>
    </w:p>
    <w:p w14:paraId="0380391C" w14:textId="77777777" w:rsidR="00B9292B" w:rsidRDefault="00B9292B" w:rsidP="00BF6804">
      <w:pPr>
        <w:spacing w:line="360" w:lineRule="auto"/>
        <w:rPr>
          <w:rStyle w:val="normaltextrun"/>
          <w:rFonts w:ascii="Gellix" w:hAnsi="Gellix"/>
          <w:sz w:val="28"/>
          <w:szCs w:val="28"/>
        </w:rPr>
      </w:pPr>
    </w:p>
    <w:p w14:paraId="33155E94" w14:textId="56833B21" w:rsidR="003F5625" w:rsidRPr="00BF6804" w:rsidRDefault="00BF6804" w:rsidP="00BF6804">
      <w:pPr>
        <w:spacing w:line="360" w:lineRule="auto"/>
        <w:rPr>
          <w:rStyle w:val="normaltextrun"/>
          <w:rFonts w:ascii="Gellix" w:hAnsi="Gellix"/>
          <w:sz w:val="28"/>
          <w:szCs w:val="28"/>
        </w:rPr>
      </w:pPr>
      <w:r w:rsidRPr="00BF6804">
        <w:rPr>
          <w:rStyle w:val="normaltextrun"/>
          <w:rFonts w:ascii="Gellix" w:hAnsi="Gellix"/>
          <w:sz w:val="28"/>
          <w:szCs w:val="28"/>
        </w:rPr>
        <w:t>ICC Sweden Comments for the Revision of ICC’s Advertising and Marketing Communications Code</w:t>
      </w:r>
    </w:p>
    <w:p w14:paraId="08A135C9" w14:textId="2D18AA0C" w:rsidR="00BF6804" w:rsidRDefault="00BF6804" w:rsidP="00BF6804">
      <w:pPr>
        <w:spacing w:line="360" w:lineRule="auto"/>
        <w:rPr>
          <w:rFonts w:ascii="Gellix" w:hAnsi="Gellix"/>
          <w:sz w:val="22"/>
          <w:szCs w:val="22"/>
        </w:rPr>
      </w:pPr>
      <w:r w:rsidRPr="001444BF">
        <w:rPr>
          <w:rFonts w:ascii="Gellix" w:hAnsi="Gellix"/>
          <w:sz w:val="22"/>
          <w:szCs w:val="22"/>
        </w:rPr>
        <w:t>We welcome this opportunity to share our thoughts, ideas, and comments on the draft for the ICC Advertising and Marketing Communications Code. These comments have been prepared in close dialogue with ICC Sweden’s Marketing Committee, which gathers senior experts from across the Swedish business community. Below you will find suggestions and comments considering the substance of some articles and sections. In parallel you may also find our proposed changes in detail through track changes in separate document</w:t>
      </w:r>
      <w:r w:rsidR="0039334F">
        <w:rPr>
          <w:rFonts w:ascii="Gellix" w:hAnsi="Gellix"/>
          <w:sz w:val="22"/>
          <w:szCs w:val="22"/>
        </w:rPr>
        <w:t>s</w:t>
      </w:r>
      <w:r w:rsidRPr="001444BF">
        <w:rPr>
          <w:rFonts w:ascii="Gellix" w:hAnsi="Gellix"/>
          <w:sz w:val="22"/>
          <w:szCs w:val="22"/>
        </w:rPr>
        <w:t>.</w:t>
      </w:r>
      <w:r w:rsidR="007C6B45">
        <w:rPr>
          <w:rFonts w:ascii="Gellix" w:hAnsi="Gellix"/>
          <w:sz w:val="22"/>
          <w:szCs w:val="22"/>
        </w:rPr>
        <w:t xml:space="preserve"> </w:t>
      </w:r>
      <w:r w:rsidRPr="001444BF">
        <w:rPr>
          <w:rFonts w:ascii="Gellix" w:hAnsi="Gellix"/>
          <w:sz w:val="22"/>
          <w:szCs w:val="22"/>
        </w:rPr>
        <w:t>In those documents you will also find additional text edits, not enumerated below.</w:t>
      </w:r>
      <w:r w:rsidR="004A4BE4">
        <w:rPr>
          <w:rFonts w:ascii="Gellix" w:hAnsi="Gellix"/>
          <w:sz w:val="22"/>
          <w:szCs w:val="22"/>
        </w:rPr>
        <w:t xml:space="preserve"> </w:t>
      </w:r>
      <w:r w:rsidR="0059757C">
        <w:rPr>
          <w:rFonts w:ascii="Gellix" w:hAnsi="Gellix"/>
          <w:sz w:val="22"/>
          <w:szCs w:val="22"/>
        </w:rPr>
        <w:t xml:space="preserve">In addition to those suggestions, we also suggest thoroughly examining the frameworks/statements </w:t>
      </w:r>
      <w:r w:rsidR="006D4158">
        <w:rPr>
          <w:rFonts w:ascii="Gellix" w:hAnsi="Gellix"/>
          <w:sz w:val="22"/>
          <w:szCs w:val="22"/>
        </w:rPr>
        <w:t xml:space="preserve">referenced </w:t>
      </w:r>
      <w:r w:rsidR="0059757C">
        <w:rPr>
          <w:rFonts w:ascii="Gellix" w:hAnsi="Gellix"/>
          <w:sz w:val="22"/>
          <w:szCs w:val="22"/>
        </w:rPr>
        <w:t xml:space="preserve">throughout the entire Code. Some may no longer be relevant, while others may be missing. </w:t>
      </w:r>
      <w:r w:rsidRPr="001444BF">
        <w:rPr>
          <w:rFonts w:ascii="Gellix" w:hAnsi="Gellix"/>
          <w:sz w:val="22"/>
          <w:szCs w:val="22"/>
        </w:rPr>
        <w:t xml:space="preserve">We hope that you will give these comments due consideration and look forward </w:t>
      </w:r>
      <w:r w:rsidR="009E2950">
        <w:rPr>
          <w:rFonts w:ascii="Gellix" w:hAnsi="Gellix"/>
          <w:sz w:val="22"/>
          <w:szCs w:val="22"/>
        </w:rPr>
        <w:t xml:space="preserve">to </w:t>
      </w:r>
      <w:r w:rsidRPr="001444BF">
        <w:rPr>
          <w:rFonts w:ascii="Gellix" w:hAnsi="Gellix"/>
          <w:sz w:val="22"/>
          <w:szCs w:val="22"/>
        </w:rPr>
        <w:t>engaging with you in the continued process of revising the Code.</w:t>
      </w:r>
    </w:p>
    <w:p w14:paraId="3ACABECC" w14:textId="77777777" w:rsidR="00CB62F1" w:rsidRPr="00B9292B" w:rsidRDefault="00CB62F1" w:rsidP="00BF6804">
      <w:pPr>
        <w:spacing w:line="360" w:lineRule="auto"/>
        <w:rPr>
          <w:rFonts w:ascii="Gellix" w:hAnsi="Gellix"/>
          <w:sz w:val="22"/>
          <w:szCs w:val="22"/>
        </w:rPr>
      </w:pPr>
    </w:p>
    <w:p w14:paraId="247735E4" w14:textId="1B9DC392" w:rsidR="00E66C8F" w:rsidRDefault="00E66C8F" w:rsidP="00BF6804">
      <w:pPr>
        <w:spacing w:line="360" w:lineRule="auto"/>
        <w:rPr>
          <w:rFonts w:ascii="Gellix" w:hAnsi="Gellix"/>
          <w:sz w:val="22"/>
          <w:szCs w:val="22"/>
        </w:rPr>
      </w:pPr>
      <w:r>
        <w:rPr>
          <w:rFonts w:ascii="Gellix" w:hAnsi="Gellix"/>
          <w:sz w:val="22"/>
          <w:szCs w:val="22"/>
        </w:rPr>
        <w:t>GENERAL PROVISIONS</w:t>
      </w:r>
    </w:p>
    <w:p w14:paraId="4020FA3C" w14:textId="5217F1F5" w:rsidR="00E66C8F" w:rsidRPr="007A7488" w:rsidRDefault="007A7488" w:rsidP="00BF6804">
      <w:pPr>
        <w:spacing w:line="360" w:lineRule="auto"/>
        <w:rPr>
          <w:rFonts w:ascii="Gellix" w:hAnsi="Gellix"/>
          <w:b/>
          <w:bCs/>
          <w:sz w:val="22"/>
          <w:szCs w:val="22"/>
        </w:rPr>
      </w:pPr>
      <w:r w:rsidRPr="007A7488">
        <w:rPr>
          <w:rFonts w:ascii="Gellix" w:hAnsi="Gellix"/>
          <w:b/>
          <w:bCs/>
          <w:sz w:val="22"/>
          <w:szCs w:val="22"/>
        </w:rPr>
        <w:t>Table of contents</w:t>
      </w:r>
    </w:p>
    <w:p w14:paraId="47F73CC3" w14:textId="5813547F" w:rsidR="007A7488" w:rsidRDefault="007A7488" w:rsidP="007A7488">
      <w:pPr>
        <w:pStyle w:val="ListParagraph"/>
        <w:numPr>
          <w:ilvl w:val="0"/>
          <w:numId w:val="18"/>
        </w:numPr>
        <w:spacing w:line="360" w:lineRule="auto"/>
        <w:rPr>
          <w:rFonts w:ascii="Gellix" w:hAnsi="Gellix"/>
          <w:sz w:val="22"/>
          <w:szCs w:val="22"/>
        </w:rPr>
      </w:pPr>
      <w:r>
        <w:rPr>
          <w:rFonts w:ascii="Gellix" w:hAnsi="Gellix"/>
          <w:sz w:val="22"/>
          <w:szCs w:val="22"/>
        </w:rPr>
        <w:t xml:space="preserve">We very much welcome the changes made to the structure and disposition. </w:t>
      </w:r>
      <w:r w:rsidR="00DB6F8F">
        <w:rPr>
          <w:rFonts w:ascii="Gellix" w:hAnsi="Gellix"/>
          <w:sz w:val="22"/>
          <w:szCs w:val="22"/>
        </w:rPr>
        <w:t>It makes it much clearer for users where they can find information</w:t>
      </w:r>
      <w:r w:rsidR="00740988">
        <w:rPr>
          <w:rFonts w:ascii="Gellix" w:hAnsi="Gellix"/>
          <w:sz w:val="22"/>
          <w:szCs w:val="22"/>
        </w:rPr>
        <w:t>.</w:t>
      </w:r>
    </w:p>
    <w:p w14:paraId="1F430894" w14:textId="48014B0F" w:rsidR="00641984" w:rsidRDefault="00641984" w:rsidP="00641984">
      <w:pPr>
        <w:pStyle w:val="ListParagraph"/>
        <w:numPr>
          <w:ilvl w:val="0"/>
          <w:numId w:val="18"/>
        </w:numPr>
        <w:spacing w:line="360" w:lineRule="auto"/>
        <w:rPr>
          <w:rFonts w:ascii="Gellix" w:hAnsi="Gellix"/>
          <w:sz w:val="22"/>
          <w:szCs w:val="22"/>
        </w:rPr>
      </w:pPr>
      <w:r>
        <w:rPr>
          <w:rFonts w:ascii="Gellix" w:hAnsi="Gellix"/>
          <w:sz w:val="22"/>
          <w:szCs w:val="22"/>
        </w:rPr>
        <w:t xml:space="preserve">The Frameworks should be in alphabetical order. </w:t>
      </w:r>
      <w:r w:rsidR="00740988">
        <w:rPr>
          <w:rFonts w:ascii="Gellix" w:hAnsi="Gellix"/>
          <w:sz w:val="22"/>
          <w:szCs w:val="22"/>
        </w:rPr>
        <w:t>Should our other guidance, e.g. on automatic renewals, diversity and inclusion and statement on AI be included in the Annex?</w:t>
      </w:r>
    </w:p>
    <w:p w14:paraId="1DFF4FCF" w14:textId="77777777" w:rsidR="00E71FDE" w:rsidRPr="00E71FDE" w:rsidRDefault="00E71FDE" w:rsidP="00E71FDE">
      <w:pPr>
        <w:spacing w:line="360" w:lineRule="auto"/>
        <w:rPr>
          <w:rFonts w:ascii="Gellix" w:hAnsi="Gellix"/>
          <w:sz w:val="22"/>
          <w:szCs w:val="22"/>
        </w:rPr>
      </w:pPr>
    </w:p>
    <w:p w14:paraId="273250E3" w14:textId="047128D5" w:rsidR="00641984" w:rsidRPr="00E71FDE" w:rsidRDefault="00E71FDE" w:rsidP="00641984">
      <w:pPr>
        <w:spacing w:line="360" w:lineRule="auto"/>
        <w:rPr>
          <w:rFonts w:ascii="Gellix" w:hAnsi="Gellix"/>
          <w:b/>
          <w:bCs/>
          <w:sz w:val="22"/>
          <w:szCs w:val="22"/>
        </w:rPr>
      </w:pPr>
      <w:r w:rsidRPr="00E71FDE">
        <w:rPr>
          <w:rFonts w:ascii="Gellix" w:hAnsi="Gellix"/>
          <w:b/>
          <w:bCs/>
          <w:sz w:val="22"/>
          <w:szCs w:val="22"/>
        </w:rPr>
        <w:t xml:space="preserve">Purpose of the Code </w:t>
      </w:r>
    </w:p>
    <w:p w14:paraId="2F004829" w14:textId="264C17C1" w:rsidR="007A7488" w:rsidRPr="00404586" w:rsidRDefault="00E71FDE">
      <w:pPr>
        <w:pStyle w:val="ListParagraph"/>
        <w:numPr>
          <w:ilvl w:val="0"/>
          <w:numId w:val="18"/>
        </w:numPr>
        <w:spacing w:line="360" w:lineRule="auto"/>
        <w:rPr>
          <w:rFonts w:ascii="Gellix" w:hAnsi="Gellix"/>
          <w:sz w:val="22"/>
          <w:szCs w:val="22"/>
        </w:rPr>
      </w:pPr>
      <w:r w:rsidRPr="00404586">
        <w:rPr>
          <w:rFonts w:ascii="Gellix" w:hAnsi="Gellix"/>
          <w:sz w:val="22"/>
          <w:szCs w:val="22"/>
        </w:rPr>
        <w:t xml:space="preserve">Under Special responsibility, we suggest </w:t>
      </w:r>
      <w:proofErr w:type="gramStart"/>
      <w:r w:rsidRPr="00404586">
        <w:rPr>
          <w:rFonts w:ascii="Gellix" w:hAnsi="Gellix"/>
          <w:sz w:val="22"/>
          <w:szCs w:val="22"/>
        </w:rPr>
        <w:t>to add</w:t>
      </w:r>
      <w:proofErr w:type="gramEnd"/>
      <w:r w:rsidRPr="00404586">
        <w:rPr>
          <w:rFonts w:ascii="Gellix" w:hAnsi="Gellix"/>
          <w:sz w:val="22"/>
          <w:szCs w:val="22"/>
        </w:rPr>
        <w:t xml:space="preserve"> “social and environmental sustainability”</w:t>
      </w:r>
      <w:r w:rsidR="00404586" w:rsidRPr="00404586">
        <w:rPr>
          <w:rFonts w:ascii="Gellix" w:hAnsi="Gellix"/>
          <w:sz w:val="22"/>
          <w:szCs w:val="22"/>
        </w:rPr>
        <w:t>.</w:t>
      </w:r>
      <w:r w:rsidR="00404586" w:rsidRPr="00DF63EA">
        <w:rPr>
          <w:rFonts w:ascii="Helvetica Neue" w:eastAsia="Times New Roman" w:hAnsi="Helvetica Neue" w:cs="Helvetica Neue"/>
          <w:sz w:val="26"/>
          <w:szCs w:val="26"/>
        </w:rPr>
        <w:t xml:space="preserve"> </w:t>
      </w:r>
      <w:r w:rsidR="00404586" w:rsidRPr="00DF63EA">
        <w:rPr>
          <w:rFonts w:ascii="Gellix" w:hAnsi="Gellix"/>
          <w:sz w:val="22"/>
          <w:szCs w:val="22"/>
        </w:rPr>
        <w:t xml:space="preserve">Considering the regulatory developments in these areas, this is becoming an increasingly important special responsibility for marketers. It would be good to recognize this here as well. </w:t>
      </w:r>
    </w:p>
    <w:p w14:paraId="68E0F165" w14:textId="66A5171E" w:rsidR="00E71FDE" w:rsidRPr="00E71FDE" w:rsidRDefault="00E71FDE" w:rsidP="007A7488">
      <w:pPr>
        <w:spacing w:line="360" w:lineRule="auto"/>
        <w:rPr>
          <w:rFonts w:ascii="Gellix" w:hAnsi="Gellix"/>
          <w:b/>
          <w:bCs/>
          <w:sz w:val="22"/>
          <w:szCs w:val="22"/>
        </w:rPr>
      </w:pPr>
      <w:r w:rsidRPr="00E71FDE">
        <w:rPr>
          <w:rFonts w:ascii="Gellix" w:hAnsi="Gellix"/>
          <w:b/>
          <w:bCs/>
          <w:sz w:val="22"/>
          <w:szCs w:val="22"/>
        </w:rPr>
        <w:t xml:space="preserve">Code Structure and interaction with related codes and </w:t>
      </w:r>
      <w:proofErr w:type="gramStart"/>
      <w:r w:rsidRPr="00E71FDE">
        <w:rPr>
          <w:rFonts w:ascii="Gellix" w:hAnsi="Gellix"/>
          <w:b/>
          <w:bCs/>
          <w:sz w:val="22"/>
          <w:szCs w:val="22"/>
        </w:rPr>
        <w:t>guidance</w:t>
      </w:r>
      <w:proofErr w:type="gramEnd"/>
    </w:p>
    <w:p w14:paraId="29B801F3" w14:textId="30127C1E" w:rsidR="00E71FDE" w:rsidRDefault="00A032B9" w:rsidP="00E71FDE">
      <w:pPr>
        <w:pStyle w:val="ListParagraph"/>
        <w:numPr>
          <w:ilvl w:val="0"/>
          <w:numId w:val="18"/>
        </w:numPr>
        <w:spacing w:line="360" w:lineRule="auto"/>
        <w:rPr>
          <w:rFonts w:ascii="Gellix" w:hAnsi="Gellix"/>
          <w:sz w:val="22"/>
          <w:szCs w:val="22"/>
        </w:rPr>
      </w:pPr>
      <w:r>
        <w:rPr>
          <w:rFonts w:ascii="Gellix" w:hAnsi="Gellix"/>
          <w:sz w:val="22"/>
          <w:szCs w:val="22"/>
        </w:rPr>
        <w:t>We opt for alternative 2 regarding the structure of the Chapters, i.e. to maintain the current order and put the Chapter on Children and Teens last</w:t>
      </w:r>
      <w:r w:rsidR="004753E8">
        <w:rPr>
          <w:rFonts w:ascii="Gellix" w:hAnsi="Gellix"/>
          <w:sz w:val="22"/>
          <w:szCs w:val="22"/>
        </w:rPr>
        <w:t xml:space="preserve">. </w:t>
      </w:r>
    </w:p>
    <w:p w14:paraId="7939C90A" w14:textId="301B3974" w:rsidR="004753E8" w:rsidRPr="00E71FDE" w:rsidRDefault="004753E8" w:rsidP="00E71FDE">
      <w:pPr>
        <w:pStyle w:val="ListParagraph"/>
        <w:numPr>
          <w:ilvl w:val="0"/>
          <w:numId w:val="18"/>
        </w:numPr>
        <w:spacing w:line="360" w:lineRule="auto"/>
        <w:rPr>
          <w:rFonts w:ascii="Gellix" w:hAnsi="Gellix"/>
          <w:sz w:val="22"/>
          <w:szCs w:val="22"/>
        </w:rPr>
      </w:pPr>
      <w:r>
        <w:rPr>
          <w:rFonts w:ascii="Gellix" w:hAnsi="Gellix"/>
          <w:sz w:val="22"/>
          <w:szCs w:val="22"/>
        </w:rPr>
        <w:t xml:space="preserve">Is it necessary to </w:t>
      </w:r>
      <w:r w:rsidR="00F17A80">
        <w:rPr>
          <w:rFonts w:ascii="Gellix" w:hAnsi="Gellix"/>
          <w:sz w:val="22"/>
          <w:szCs w:val="22"/>
        </w:rPr>
        <w:t xml:space="preserve">enumerate </w:t>
      </w:r>
      <w:proofErr w:type="gramStart"/>
      <w:r w:rsidR="00F17A80">
        <w:rPr>
          <w:rFonts w:ascii="Gellix" w:hAnsi="Gellix"/>
          <w:sz w:val="22"/>
          <w:szCs w:val="22"/>
        </w:rPr>
        <w:t>all of</w:t>
      </w:r>
      <w:proofErr w:type="gramEnd"/>
      <w:r w:rsidR="00F17A80">
        <w:rPr>
          <w:rFonts w:ascii="Gellix" w:hAnsi="Gellix"/>
          <w:sz w:val="22"/>
          <w:szCs w:val="22"/>
        </w:rPr>
        <w:t xml:space="preserve"> the codes and frameworks here? It could be easier to instead refer to Annex II. </w:t>
      </w:r>
      <w:r w:rsidR="00646CFA">
        <w:rPr>
          <w:rFonts w:ascii="Gellix" w:hAnsi="Gellix"/>
          <w:sz w:val="22"/>
          <w:szCs w:val="22"/>
        </w:rPr>
        <w:t>In ge</w:t>
      </w:r>
      <w:r w:rsidR="00CB62F1">
        <w:rPr>
          <w:rFonts w:ascii="Gellix" w:hAnsi="Gellix"/>
          <w:sz w:val="22"/>
          <w:szCs w:val="22"/>
        </w:rPr>
        <w:t xml:space="preserve">neral, we suggest </w:t>
      </w:r>
      <w:proofErr w:type="gramStart"/>
      <w:r w:rsidR="00CB62F1">
        <w:rPr>
          <w:rFonts w:ascii="Gellix" w:hAnsi="Gellix"/>
          <w:sz w:val="22"/>
          <w:szCs w:val="22"/>
        </w:rPr>
        <w:t>to look</w:t>
      </w:r>
      <w:proofErr w:type="gramEnd"/>
      <w:r w:rsidR="00CB62F1">
        <w:rPr>
          <w:rFonts w:ascii="Gellix" w:hAnsi="Gellix"/>
          <w:sz w:val="22"/>
          <w:szCs w:val="22"/>
        </w:rPr>
        <w:t xml:space="preserve"> over the frameworks/statements to see if they are still relevant to the Code. </w:t>
      </w:r>
    </w:p>
    <w:p w14:paraId="21E62CD1" w14:textId="77777777" w:rsidR="00E66C8F" w:rsidRDefault="00E66C8F" w:rsidP="00BF6804">
      <w:pPr>
        <w:spacing w:line="360" w:lineRule="auto"/>
        <w:rPr>
          <w:rFonts w:ascii="Gellix" w:hAnsi="Gellix"/>
          <w:sz w:val="22"/>
          <w:szCs w:val="22"/>
        </w:rPr>
      </w:pPr>
    </w:p>
    <w:p w14:paraId="30A29703" w14:textId="4881C773" w:rsidR="005404F4" w:rsidRPr="005404F4" w:rsidRDefault="005404F4" w:rsidP="00BF6804">
      <w:pPr>
        <w:spacing w:line="360" w:lineRule="auto"/>
        <w:rPr>
          <w:rFonts w:ascii="Gellix" w:hAnsi="Gellix"/>
          <w:b/>
          <w:bCs/>
          <w:sz w:val="22"/>
          <w:szCs w:val="22"/>
        </w:rPr>
      </w:pPr>
      <w:r w:rsidRPr="005404F4">
        <w:rPr>
          <w:rFonts w:ascii="Gellix" w:hAnsi="Gellix"/>
          <w:b/>
          <w:bCs/>
          <w:sz w:val="22"/>
          <w:szCs w:val="22"/>
        </w:rPr>
        <w:t xml:space="preserve">Illustrative examples where examination reveals whether the code is </w:t>
      </w:r>
      <w:proofErr w:type="gramStart"/>
      <w:r w:rsidRPr="005404F4">
        <w:rPr>
          <w:rFonts w:ascii="Gellix" w:hAnsi="Gellix"/>
          <w:b/>
          <w:bCs/>
          <w:sz w:val="22"/>
          <w:szCs w:val="22"/>
        </w:rPr>
        <w:t>applicable</w:t>
      </w:r>
      <w:proofErr w:type="gramEnd"/>
    </w:p>
    <w:p w14:paraId="769A0439" w14:textId="0671B147" w:rsidR="00153406" w:rsidRDefault="00F921C6" w:rsidP="005404F4">
      <w:pPr>
        <w:pStyle w:val="ListParagraph"/>
        <w:numPr>
          <w:ilvl w:val="0"/>
          <w:numId w:val="18"/>
        </w:numPr>
        <w:spacing w:line="360" w:lineRule="auto"/>
        <w:rPr>
          <w:rFonts w:ascii="Gellix" w:hAnsi="Gellix"/>
          <w:sz w:val="22"/>
          <w:szCs w:val="22"/>
        </w:rPr>
      </w:pPr>
      <w:r>
        <w:rPr>
          <w:rFonts w:ascii="Gellix" w:hAnsi="Gellix"/>
          <w:sz w:val="22"/>
          <w:szCs w:val="22"/>
        </w:rPr>
        <w:t>The text currently says that the Code covers “misleading use of private labels or marks”</w:t>
      </w:r>
      <w:r w:rsidR="00092B41">
        <w:rPr>
          <w:rFonts w:ascii="Gellix" w:hAnsi="Gellix"/>
          <w:sz w:val="22"/>
          <w:szCs w:val="22"/>
        </w:rPr>
        <w:t>. However, the Code is relevant for all use, not only misleading ones.</w:t>
      </w:r>
    </w:p>
    <w:p w14:paraId="2287A481" w14:textId="7EF776EB" w:rsidR="005404F4" w:rsidRPr="005404F4" w:rsidRDefault="009245B4" w:rsidP="005404F4">
      <w:pPr>
        <w:pStyle w:val="ListParagraph"/>
        <w:numPr>
          <w:ilvl w:val="0"/>
          <w:numId w:val="18"/>
        </w:numPr>
        <w:spacing w:line="360" w:lineRule="auto"/>
        <w:rPr>
          <w:rFonts w:ascii="Gellix" w:hAnsi="Gellix"/>
          <w:sz w:val="22"/>
          <w:szCs w:val="22"/>
        </w:rPr>
      </w:pPr>
      <w:r>
        <w:rPr>
          <w:rFonts w:ascii="Gellix" w:hAnsi="Gellix"/>
          <w:sz w:val="22"/>
          <w:szCs w:val="22"/>
        </w:rPr>
        <w:t xml:space="preserve">We suggest </w:t>
      </w:r>
      <w:proofErr w:type="gramStart"/>
      <w:r>
        <w:rPr>
          <w:rFonts w:ascii="Gellix" w:hAnsi="Gellix"/>
          <w:sz w:val="22"/>
          <w:szCs w:val="22"/>
        </w:rPr>
        <w:t>to use</w:t>
      </w:r>
      <w:proofErr w:type="gramEnd"/>
      <w:r>
        <w:rPr>
          <w:rFonts w:ascii="Gellix" w:hAnsi="Gellix"/>
          <w:sz w:val="22"/>
          <w:szCs w:val="22"/>
        </w:rPr>
        <w:t xml:space="preserve"> the term “packaging” rather than “packing”, considering that “packaging” is used later in the Code. </w:t>
      </w:r>
    </w:p>
    <w:p w14:paraId="6732BE4D" w14:textId="77777777" w:rsidR="00E66C8F" w:rsidRDefault="00E66C8F" w:rsidP="00BF6804">
      <w:pPr>
        <w:spacing w:line="360" w:lineRule="auto"/>
        <w:rPr>
          <w:rFonts w:ascii="Gellix" w:hAnsi="Gellix"/>
          <w:sz w:val="22"/>
          <w:szCs w:val="22"/>
        </w:rPr>
      </w:pPr>
    </w:p>
    <w:p w14:paraId="556A7D92" w14:textId="2A2BCD1F" w:rsidR="00E66C8F" w:rsidRPr="003B2765" w:rsidRDefault="003B2765" w:rsidP="00BF6804">
      <w:pPr>
        <w:spacing w:line="360" w:lineRule="auto"/>
        <w:rPr>
          <w:rFonts w:ascii="Gellix" w:hAnsi="Gellix"/>
          <w:b/>
          <w:bCs/>
          <w:sz w:val="22"/>
          <w:szCs w:val="22"/>
        </w:rPr>
      </w:pPr>
      <w:r w:rsidRPr="003B2765">
        <w:rPr>
          <w:rFonts w:ascii="Gellix" w:hAnsi="Gellix"/>
          <w:b/>
          <w:bCs/>
          <w:sz w:val="22"/>
          <w:szCs w:val="22"/>
        </w:rPr>
        <w:t xml:space="preserve">General Definitions in the Code </w:t>
      </w:r>
    </w:p>
    <w:p w14:paraId="6F0B6EBA" w14:textId="5CF0E1E9" w:rsidR="003B2765" w:rsidRDefault="003B2765" w:rsidP="003B2765">
      <w:pPr>
        <w:pStyle w:val="ListParagraph"/>
        <w:numPr>
          <w:ilvl w:val="0"/>
          <w:numId w:val="18"/>
        </w:numPr>
        <w:spacing w:line="360" w:lineRule="auto"/>
        <w:rPr>
          <w:rFonts w:ascii="Gellix" w:hAnsi="Gellix"/>
          <w:sz w:val="22"/>
          <w:szCs w:val="22"/>
        </w:rPr>
      </w:pPr>
      <w:r>
        <w:rPr>
          <w:rFonts w:ascii="Gellix" w:hAnsi="Gellix"/>
          <w:sz w:val="22"/>
          <w:szCs w:val="22"/>
        </w:rPr>
        <w:t xml:space="preserve">Please double-check the used </w:t>
      </w:r>
      <w:r w:rsidR="00B9529E">
        <w:rPr>
          <w:rFonts w:ascii="Gellix" w:hAnsi="Gellix"/>
          <w:sz w:val="22"/>
          <w:szCs w:val="22"/>
        </w:rPr>
        <w:t xml:space="preserve">citation marks </w:t>
      </w:r>
      <w:r w:rsidR="0047741A">
        <w:rPr>
          <w:rFonts w:ascii="Gellix" w:hAnsi="Gellix"/>
          <w:sz w:val="22"/>
          <w:szCs w:val="22"/>
        </w:rPr>
        <w:t xml:space="preserve">throughout the list. E.g. ‘claim’ and “consumer”. </w:t>
      </w:r>
    </w:p>
    <w:p w14:paraId="266FA577" w14:textId="5E2B41AC" w:rsidR="005D6F6D" w:rsidRDefault="005D6F6D" w:rsidP="003B2765">
      <w:pPr>
        <w:pStyle w:val="ListParagraph"/>
        <w:numPr>
          <w:ilvl w:val="0"/>
          <w:numId w:val="18"/>
        </w:numPr>
        <w:spacing w:line="360" w:lineRule="auto"/>
        <w:rPr>
          <w:rFonts w:ascii="Gellix" w:hAnsi="Gellix"/>
          <w:sz w:val="22"/>
          <w:szCs w:val="22"/>
        </w:rPr>
      </w:pPr>
      <w:r>
        <w:rPr>
          <w:rFonts w:ascii="Gellix" w:hAnsi="Gellix"/>
          <w:sz w:val="22"/>
          <w:szCs w:val="22"/>
        </w:rPr>
        <w:t xml:space="preserve">Under </w:t>
      </w:r>
      <w:r w:rsidR="00C5289F">
        <w:rPr>
          <w:rFonts w:ascii="Gellix" w:hAnsi="Gellix"/>
          <w:sz w:val="22"/>
          <w:szCs w:val="22"/>
        </w:rPr>
        <w:t>“</w:t>
      </w:r>
      <w:r>
        <w:rPr>
          <w:rFonts w:ascii="Gellix" w:hAnsi="Gellix"/>
          <w:sz w:val="22"/>
          <w:szCs w:val="22"/>
        </w:rPr>
        <w:t>influencers</w:t>
      </w:r>
      <w:r w:rsidR="00C5289F">
        <w:rPr>
          <w:rFonts w:ascii="Gellix" w:hAnsi="Gellix"/>
          <w:sz w:val="22"/>
          <w:szCs w:val="22"/>
        </w:rPr>
        <w:t>”</w:t>
      </w:r>
      <w:r>
        <w:rPr>
          <w:rFonts w:ascii="Gellix" w:hAnsi="Gellix"/>
          <w:sz w:val="22"/>
          <w:szCs w:val="22"/>
        </w:rPr>
        <w:t xml:space="preserve">, we suggest </w:t>
      </w:r>
      <w:proofErr w:type="gramStart"/>
      <w:r>
        <w:rPr>
          <w:rFonts w:ascii="Gellix" w:hAnsi="Gellix"/>
          <w:sz w:val="22"/>
          <w:szCs w:val="22"/>
        </w:rPr>
        <w:t>to remove</w:t>
      </w:r>
      <w:proofErr w:type="gramEnd"/>
      <w:r>
        <w:rPr>
          <w:rFonts w:ascii="Gellix" w:hAnsi="Gellix"/>
          <w:sz w:val="22"/>
          <w:szCs w:val="22"/>
        </w:rPr>
        <w:t xml:space="preserve"> the last part, i.e. “(sometimes known as nano-influencers)”. This does not add anything, and risks </w:t>
      </w:r>
      <w:r w:rsidR="00B03A0E">
        <w:rPr>
          <w:rFonts w:ascii="Gellix" w:hAnsi="Gellix"/>
          <w:sz w:val="22"/>
          <w:szCs w:val="22"/>
        </w:rPr>
        <w:t>becoming ir</w:t>
      </w:r>
      <w:r>
        <w:rPr>
          <w:rFonts w:ascii="Gellix" w:hAnsi="Gellix"/>
          <w:sz w:val="22"/>
          <w:szCs w:val="22"/>
        </w:rPr>
        <w:t xml:space="preserve">relevant if the term changes. </w:t>
      </w:r>
    </w:p>
    <w:p w14:paraId="399E5670" w14:textId="716D3EBA" w:rsidR="005D6F6D" w:rsidRPr="003B2765" w:rsidRDefault="005D6F6D" w:rsidP="003B2765">
      <w:pPr>
        <w:pStyle w:val="ListParagraph"/>
        <w:numPr>
          <w:ilvl w:val="0"/>
          <w:numId w:val="18"/>
        </w:numPr>
        <w:spacing w:line="360" w:lineRule="auto"/>
        <w:rPr>
          <w:rFonts w:ascii="Gellix" w:hAnsi="Gellix"/>
          <w:sz w:val="22"/>
          <w:szCs w:val="22"/>
        </w:rPr>
      </w:pPr>
      <w:r>
        <w:rPr>
          <w:rFonts w:ascii="Gellix" w:hAnsi="Gellix"/>
          <w:sz w:val="22"/>
          <w:szCs w:val="22"/>
        </w:rPr>
        <w:t xml:space="preserve">Under </w:t>
      </w:r>
      <w:r w:rsidR="00C5289F">
        <w:rPr>
          <w:rFonts w:ascii="Gellix" w:hAnsi="Gellix"/>
          <w:sz w:val="22"/>
          <w:szCs w:val="22"/>
        </w:rPr>
        <w:t xml:space="preserve">“mobile”, we suggest </w:t>
      </w:r>
      <w:proofErr w:type="gramStart"/>
      <w:r w:rsidR="00C5289F">
        <w:rPr>
          <w:rFonts w:ascii="Gellix" w:hAnsi="Gellix"/>
          <w:sz w:val="22"/>
          <w:szCs w:val="22"/>
        </w:rPr>
        <w:t>to add</w:t>
      </w:r>
      <w:proofErr w:type="gramEnd"/>
      <w:r w:rsidR="00C5289F">
        <w:rPr>
          <w:rFonts w:ascii="Gellix" w:hAnsi="Gellix"/>
          <w:sz w:val="22"/>
          <w:szCs w:val="22"/>
        </w:rPr>
        <w:t xml:space="preserve"> “(SIM)” after “subscriber identity module”. There is a greater chance the average person know</w:t>
      </w:r>
      <w:r w:rsidR="00343EB5">
        <w:rPr>
          <w:rFonts w:ascii="Gellix" w:hAnsi="Gellix"/>
          <w:sz w:val="22"/>
          <w:szCs w:val="22"/>
        </w:rPr>
        <w:t>s</w:t>
      </w:r>
      <w:r w:rsidR="00C5289F">
        <w:rPr>
          <w:rFonts w:ascii="Gellix" w:hAnsi="Gellix"/>
          <w:sz w:val="22"/>
          <w:szCs w:val="22"/>
        </w:rPr>
        <w:t xml:space="preserve"> what the former is rather than the latter. </w:t>
      </w:r>
    </w:p>
    <w:p w14:paraId="120DAC3D" w14:textId="77777777" w:rsidR="00E66C8F" w:rsidRDefault="00E66C8F" w:rsidP="00BF6804">
      <w:pPr>
        <w:spacing w:line="360" w:lineRule="auto"/>
        <w:rPr>
          <w:rFonts w:ascii="Gellix" w:hAnsi="Gellix"/>
          <w:sz w:val="22"/>
          <w:szCs w:val="22"/>
        </w:rPr>
      </w:pPr>
    </w:p>
    <w:p w14:paraId="384C0F5B" w14:textId="3DEBE243" w:rsidR="006851FC" w:rsidRPr="006851FC" w:rsidRDefault="006851FC" w:rsidP="00BF6804">
      <w:pPr>
        <w:spacing w:line="360" w:lineRule="auto"/>
        <w:rPr>
          <w:rFonts w:ascii="Gellix" w:hAnsi="Gellix"/>
          <w:b/>
          <w:bCs/>
          <w:sz w:val="22"/>
          <w:szCs w:val="22"/>
        </w:rPr>
      </w:pPr>
      <w:r w:rsidRPr="006851FC">
        <w:rPr>
          <w:rFonts w:ascii="Gellix" w:hAnsi="Gellix"/>
          <w:b/>
          <w:bCs/>
          <w:sz w:val="22"/>
          <w:szCs w:val="22"/>
        </w:rPr>
        <w:t>18.2 Influencer marketing communications</w:t>
      </w:r>
    </w:p>
    <w:p w14:paraId="320A8E1E" w14:textId="77777777" w:rsidR="00C5086B" w:rsidRDefault="00420E67" w:rsidP="00441850">
      <w:pPr>
        <w:pStyle w:val="ListParagraph"/>
        <w:numPr>
          <w:ilvl w:val="0"/>
          <w:numId w:val="18"/>
        </w:numPr>
        <w:spacing w:line="360" w:lineRule="auto"/>
        <w:rPr>
          <w:rFonts w:ascii="Gellix" w:hAnsi="Gellix"/>
          <w:sz w:val="22"/>
          <w:szCs w:val="22"/>
        </w:rPr>
      </w:pPr>
      <w:r w:rsidRPr="00441850">
        <w:rPr>
          <w:rFonts w:ascii="Gellix" w:hAnsi="Gellix"/>
          <w:sz w:val="22"/>
          <w:szCs w:val="22"/>
        </w:rPr>
        <w:t xml:space="preserve">We suggest to </w:t>
      </w:r>
      <w:proofErr w:type="gramStart"/>
      <w:r w:rsidRPr="00441850">
        <w:rPr>
          <w:rFonts w:ascii="Gellix" w:hAnsi="Gellix"/>
          <w:sz w:val="22"/>
          <w:szCs w:val="22"/>
        </w:rPr>
        <w:t>use ”immediately</w:t>
      </w:r>
      <w:proofErr w:type="gramEnd"/>
      <w:r w:rsidRPr="00441850">
        <w:rPr>
          <w:rFonts w:ascii="Gellix" w:hAnsi="Gellix"/>
          <w:sz w:val="22"/>
          <w:szCs w:val="22"/>
        </w:rPr>
        <w:t xml:space="preserve">” as previously has been done, rather than ”obviously”. Otherwise, this could have practical consequences, as ’obviously identifiable’ does not ensure that the identification of the marketing communication is made from the start. </w:t>
      </w:r>
      <w:proofErr w:type="gramStart"/>
      <w:r w:rsidRPr="00441850">
        <w:rPr>
          <w:rFonts w:ascii="Gellix" w:hAnsi="Gellix"/>
          <w:sz w:val="22"/>
          <w:szCs w:val="22"/>
        </w:rPr>
        <w:t>”Immediately</w:t>
      </w:r>
      <w:proofErr w:type="gramEnd"/>
      <w:r w:rsidRPr="00441850">
        <w:rPr>
          <w:rFonts w:ascii="Gellix" w:hAnsi="Gellix"/>
          <w:sz w:val="22"/>
          <w:szCs w:val="22"/>
        </w:rPr>
        <w:t>” has been important for self-regulatory praxis as there is a time aspect to ”immediately”, that there is not to ”obviously”.</w:t>
      </w:r>
      <w:r w:rsidR="00441850">
        <w:rPr>
          <w:rFonts w:ascii="Gellix" w:hAnsi="Gellix"/>
          <w:sz w:val="22"/>
          <w:szCs w:val="22"/>
        </w:rPr>
        <w:t xml:space="preserve"> </w:t>
      </w:r>
      <w:r w:rsidRPr="00441850">
        <w:rPr>
          <w:rFonts w:ascii="Gellix" w:hAnsi="Gellix"/>
          <w:sz w:val="22"/>
          <w:szCs w:val="22"/>
        </w:rPr>
        <w:t xml:space="preserve">The change </w:t>
      </w:r>
      <w:proofErr w:type="gramStart"/>
      <w:r w:rsidRPr="00441850">
        <w:rPr>
          <w:rFonts w:ascii="Gellix" w:hAnsi="Gellix"/>
          <w:sz w:val="22"/>
          <w:szCs w:val="22"/>
        </w:rPr>
        <w:t>to ”obviously</w:t>
      </w:r>
      <w:proofErr w:type="gramEnd"/>
      <w:r w:rsidRPr="00441850">
        <w:rPr>
          <w:rFonts w:ascii="Gellix" w:hAnsi="Gellix"/>
          <w:sz w:val="22"/>
          <w:szCs w:val="22"/>
        </w:rPr>
        <w:t xml:space="preserve">” also seems unnecessary, when the rest of the article seems to be trying to define that the practical meaning of ”obviously” is that marketing communications should be immediately identifiable. </w:t>
      </w:r>
    </w:p>
    <w:p w14:paraId="495FAF81" w14:textId="7016B429" w:rsidR="00117791" w:rsidRDefault="00117791" w:rsidP="00441850">
      <w:pPr>
        <w:pStyle w:val="ListParagraph"/>
        <w:numPr>
          <w:ilvl w:val="0"/>
          <w:numId w:val="18"/>
        </w:numPr>
        <w:spacing w:line="360" w:lineRule="auto"/>
        <w:rPr>
          <w:rFonts w:ascii="Gellix" w:hAnsi="Gellix"/>
          <w:sz w:val="22"/>
          <w:szCs w:val="22"/>
        </w:rPr>
      </w:pPr>
      <w:r>
        <w:rPr>
          <w:rFonts w:ascii="Gellix" w:hAnsi="Gellix"/>
          <w:sz w:val="22"/>
          <w:szCs w:val="22"/>
        </w:rPr>
        <w:t xml:space="preserve">Add a clarification, that the article applies to situations when the influencer is marketing their own brand or products. </w:t>
      </w:r>
      <w:r w:rsidR="00406C5D">
        <w:rPr>
          <w:rFonts w:ascii="Gellix" w:hAnsi="Gellix"/>
          <w:sz w:val="22"/>
          <w:szCs w:val="22"/>
        </w:rPr>
        <w:t xml:space="preserve">While this is already clear from the definition of "influencer marketing”, it is good to emphasize it again here in the applicable article. </w:t>
      </w:r>
    </w:p>
    <w:p w14:paraId="0A5759D2" w14:textId="7B416B6D" w:rsidR="008761F4" w:rsidRPr="00455079" w:rsidRDefault="008761F4" w:rsidP="008761F4">
      <w:pPr>
        <w:spacing w:line="360" w:lineRule="auto"/>
        <w:ind w:left="360"/>
        <w:rPr>
          <w:rFonts w:ascii="Gellix" w:hAnsi="Gellix"/>
          <w:b/>
          <w:bCs/>
          <w:sz w:val="22"/>
          <w:szCs w:val="22"/>
        </w:rPr>
      </w:pPr>
      <w:r w:rsidRPr="00455079">
        <w:rPr>
          <w:rFonts w:ascii="Gellix" w:hAnsi="Gellix"/>
          <w:b/>
          <w:bCs/>
          <w:sz w:val="22"/>
          <w:szCs w:val="22"/>
        </w:rPr>
        <w:t>24 Code Responsibility</w:t>
      </w:r>
    </w:p>
    <w:p w14:paraId="3505F0C9" w14:textId="4215FA2D" w:rsidR="008761F4" w:rsidRPr="00455079" w:rsidRDefault="008761F4" w:rsidP="008761F4">
      <w:pPr>
        <w:pStyle w:val="ListParagraph"/>
        <w:numPr>
          <w:ilvl w:val="0"/>
          <w:numId w:val="18"/>
        </w:numPr>
        <w:spacing w:line="360" w:lineRule="auto"/>
        <w:rPr>
          <w:rFonts w:ascii="Gellix" w:hAnsi="Gellix"/>
          <w:sz w:val="22"/>
          <w:szCs w:val="22"/>
        </w:rPr>
      </w:pPr>
      <w:r w:rsidRPr="00455079">
        <w:rPr>
          <w:rFonts w:ascii="Gellix" w:hAnsi="Gellix"/>
          <w:sz w:val="22"/>
          <w:szCs w:val="22"/>
        </w:rPr>
        <w:t xml:space="preserve">Consider </w:t>
      </w:r>
      <w:proofErr w:type="gramStart"/>
      <w:r w:rsidRPr="00455079">
        <w:rPr>
          <w:rFonts w:ascii="Gellix" w:hAnsi="Gellix"/>
          <w:sz w:val="22"/>
          <w:szCs w:val="22"/>
        </w:rPr>
        <w:t>if ”professional</w:t>
      </w:r>
      <w:proofErr w:type="gramEnd"/>
      <w:r w:rsidRPr="00455079">
        <w:rPr>
          <w:rFonts w:ascii="Gellix" w:hAnsi="Gellix"/>
          <w:sz w:val="22"/>
          <w:szCs w:val="22"/>
        </w:rPr>
        <w:t xml:space="preserve"> knowledge” is the right term. Is there a risk that it suggests that the responsibility to respect the rules of the Code depends on one’s professional knowledge of the Code? </w:t>
      </w:r>
      <w:proofErr w:type="gramStart"/>
      <w:r w:rsidRPr="00455079">
        <w:rPr>
          <w:rFonts w:ascii="Gellix" w:hAnsi="Gellix"/>
          <w:sz w:val="22"/>
          <w:szCs w:val="22"/>
        </w:rPr>
        <w:t>Could ”insight</w:t>
      </w:r>
      <w:proofErr w:type="gramEnd"/>
      <w:r w:rsidRPr="00455079">
        <w:rPr>
          <w:rFonts w:ascii="Gellix" w:hAnsi="Gellix"/>
          <w:sz w:val="22"/>
          <w:szCs w:val="22"/>
        </w:rPr>
        <w:t>” be a better choice of word?</w:t>
      </w:r>
    </w:p>
    <w:p w14:paraId="4A0F565E" w14:textId="77777777" w:rsidR="00E66C8F" w:rsidRPr="001444BF" w:rsidRDefault="00E66C8F" w:rsidP="00BF6804">
      <w:pPr>
        <w:spacing w:line="360" w:lineRule="auto"/>
        <w:rPr>
          <w:rFonts w:ascii="Gellix" w:hAnsi="Gellix"/>
          <w:sz w:val="22"/>
          <w:szCs w:val="22"/>
        </w:rPr>
      </w:pPr>
    </w:p>
    <w:p w14:paraId="55DA1866" w14:textId="16A732E7" w:rsidR="003F5625" w:rsidRPr="001444BF" w:rsidRDefault="00BF6804" w:rsidP="00BF6804">
      <w:pPr>
        <w:spacing w:line="360" w:lineRule="auto"/>
        <w:rPr>
          <w:rStyle w:val="normaltextrun"/>
          <w:rFonts w:ascii="Gellix" w:hAnsi="Gellix"/>
          <w:sz w:val="22"/>
          <w:szCs w:val="22"/>
        </w:rPr>
      </w:pPr>
      <w:r w:rsidRPr="001444BF">
        <w:rPr>
          <w:rStyle w:val="normaltextrun"/>
          <w:rFonts w:ascii="Gellix" w:hAnsi="Gellix"/>
          <w:sz w:val="22"/>
          <w:szCs w:val="22"/>
        </w:rPr>
        <w:t>CHAPTER A: SALES PROMOTION</w:t>
      </w:r>
    </w:p>
    <w:p w14:paraId="0A572E49" w14:textId="2CE8A752" w:rsidR="00BF6804" w:rsidRPr="001444BF" w:rsidRDefault="00BF6804" w:rsidP="00BF6804">
      <w:pPr>
        <w:spacing w:line="360" w:lineRule="auto"/>
        <w:rPr>
          <w:rStyle w:val="normaltextrun"/>
          <w:rFonts w:ascii="Gellix" w:hAnsi="Gellix"/>
          <w:b/>
          <w:bCs/>
          <w:sz w:val="22"/>
          <w:szCs w:val="22"/>
        </w:rPr>
      </w:pPr>
      <w:r w:rsidRPr="001444BF">
        <w:rPr>
          <w:rStyle w:val="normaltextrun"/>
          <w:rFonts w:ascii="Gellix" w:hAnsi="Gellix"/>
          <w:b/>
          <w:bCs/>
          <w:sz w:val="22"/>
          <w:szCs w:val="22"/>
        </w:rPr>
        <w:t>Introduction</w:t>
      </w:r>
    </w:p>
    <w:p w14:paraId="4C2716E7" w14:textId="1E37D063" w:rsidR="00BF6804" w:rsidRPr="001444BF" w:rsidRDefault="00F060E9" w:rsidP="00BF6804">
      <w:pPr>
        <w:pStyle w:val="ListParagraph"/>
        <w:numPr>
          <w:ilvl w:val="0"/>
          <w:numId w:val="17"/>
        </w:numPr>
        <w:spacing w:line="360" w:lineRule="auto"/>
        <w:rPr>
          <w:rStyle w:val="normaltextrun"/>
          <w:rFonts w:ascii="Gellix" w:hAnsi="Gellix"/>
          <w:sz w:val="22"/>
          <w:szCs w:val="22"/>
        </w:rPr>
      </w:pPr>
      <w:r>
        <w:rPr>
          <w:rStyle w:val="normaltextrun"/>
          <w:rFonts w:ascii="Gellix" w:hAnsi="Gellix"/>
          <w:sz w:val="22"/>
          <w:szCs w:val="22"/>
        </w:rPr>
        <w:t>We suggest</w:t>
      </w:r>
      <w:r w:rsidR="000B0ADC">
        <w:rPr>
          <w:rStyle w:val="normaltextrun"/>
          <w:rFonts w:ascii="Gellix" w:hAnsi="Gellix"/>
          <w:sz w:val="22"/>
          <w:szCs w:val="22"/>
        </w:rPr>
        <w:t xml:space="preserve"> </w:t>
      </w:r>
      <w:r w:rsidR="00F42223">
        <w:rPr>
          <w:rStyle w:val="normaltextrun"/>
          <w:rFonts w:ascii="Gellix" w:hAnsi="Gellix"/>
          <w:sz w:val="22"/>
          <w:szCs w:val="22"/>
        </w:rPr>
        <w:t>the following introduction</w:t>
      </w:r>
      <w:r w:rsidR="00161D7C">
        <w:rPr>
          <w:rStyle w:val="normaltextrun"/>
          <w:rFonts w:ascii="Gellix" w:hAnsi="Gellix"/>
          <w:sz w:val="22"/>
          <w:szCs w:val="22"/>
        </w:rPr>
        <w:t xml:space="preserve">, which </w:t>
      </w:r>
      <w:r w:rsidR="00EA6578">
        <w:rPr>
          <w:rStyle w:val="normaltextrun"/>
          <w:rFonts w:ascii="Gellix" w:hAnsi="Gellix"/>
          <w:sz w:val="22"/>
          <w:szCs w:val="22"/>
        </w:rPr>
        <w:t xml:space="preserve">is </w:t>
      </w:r>
      <w:r w:rsidR="001C678A">
        <w:rPr>
          <w:rStyle w:val="normaltextrun"/>
          <w:rFonts w:ascii="Gellix" w:hAnsi="Gellix"/>
          <w:sz w:val="22"/>
          <w:szCs w:val="22"/>
        </w:rPr>
        <w:t>a bit shorter than the current version</w:t>
      </w:r>
      <w:r w:rsidR="00F42223">
        <w:rPr>
          <w:rStyle w:val="normaltextrun"/>
          <w:rFonts w:ascii="Gellix" w:hAnsi="Gellix"/>
          <w:sz w:val="22"/>
          <w:szCs w:val="22"/>
        </w:rPr>
        <w:t xml:space="preserve">: </w:t>
      </w:r>
      <w:r w:rsidR="009428C6">
        <w:rPr>
          <w:rStyle w:val="normaltextrun"/>
          <w:rFonts w:ascii="Gellix" w:hAnsi="Gellix"/>
          <w:sz w:val="22"/>
          <w:szCs w:val="22"/>
        </w:rPr>
        <w:t>“</w:t>
      </w:r>
      <w:r w:rsidR="009428C6" w:rsidRPr="00CB62F1">
        <w:rPr>
          <w:rFonts w:ascii="Gellix" w:hAnsi="Gellix"/>
          <w:sz w:val="22"/>
          <w:szCs w:val="22"/>
        </w:rPr>
        <w:t xml:space="preserve">This Chapter is to be read in conjunction with the General Provisions as well as the chapters relating to the scope, </w:t>
      </w:r>
      <w:proofErr w:type="gramStart"/>
      <w:r w:rsidR="009428C6" w:rsidRPr="00CB62F1">
        <w:rPr>
          <w:rFonts w:ascii="Gellix" w:hAnsi="Gellix"/>
          <w:sz w:val="22"/>
          <w:szCs w:val="22"/>
        </w:rPr>
        <w:t>application</w:t>
      </w:r>
      <w:proofErr w:type="gramEnd"/>
      <w:r w:rsidR="009428C6" w:rsidRPr="00CB62F1">
        <w:rPr>
          <w:rFonts w:ascii="Gellix" w:hAnsi="Gellix"/>
          <w:sz w:val="22"/>
          <w:szCs w:val="22"/>
        </w:rPr>
        <w:t xml:space="preserve"> and definitions of the Code (Chapters II–III). This chapter is a subset and a further specification of the principles set out in those chapters, which all apply to sales promotion. Terms used here have the same meaning as in the General Definitions above, unless stated otherwise. </w:t>
      </w:r>
      <w:r w:rsidR="009428C6" w:rsidRPr="00455079">
        <w:rPr>
          <w:rFonts w:ascii="Gellix" w:hAnsi="Gellix"/>
          <w:sz w:val="22"/>
          <w:szCs w:val="22"/>
        </w:rPr>
        <w:t xml:space="preserve">Terms specific to sales promotion are defined below.”  </w:t>
      </w:r>
      <w:r w:rsidR="001C678A" w:rsidRPr="00455079">
        <w:rPr>
          <w:rFonts w:ascii="Gellix" w:hAnsi="Gellix"/>
          <w:sz w:val="22"/>
          <w:szCs w:val="22"/>
        </w:rPr>
        <w:t xml:space="preserve">The same </w:t>
      </w:r>
      <w:r w:rsidR="001871CC">
        <w:rPr>
          <w:rFonts w:ascii="Gellix" w:hAnsi="Gellix"/>
          <w:sz w:val="22"/>
          <w:szCs w:val="22"/>
        </w:rPr>
        <w:t xml:space="preserve">introduction should be used in all chapters, with necessary adjustments. </w:t>
      </w:r>
    </w:p>
    <w:p w14:paraId="69C1C3E9" w14:textId="77777777" w:rsidR="00E62652" w:rsidRDefault="00E62652" w:rsidP="00E62652">
      <w:pPr>
        <w:spacing w:after="0" w:line="360" w:lineRule="auto"/>
        <w:rPr>
          <w:rFonts w:ascii="Gellix" w:hAnsi="Gellix"/>
          <w:b/>
          <w:bCs/>
          <w:noProof/>
          <w:color w:val="auto"/>
          <w:sz w:val="22"/>
          <w:szCs w:val="22"/>
        </w:rPr>
      </w:pPr>
    </w:p>
    <w:p w14:paraId="377B8292" w14:textId="521E8290" w:rsidR="0071712D" w:rsidRDefault="0071712D" w:rsidP="00E62652">
      <w:pPr>
        <w:spacing w:after="0" w:line="360" w:lineRule="auto"/>
        <w:rPr>
          <w:rFonts w:ascii="Gellix" w:hAnsi="Gellix"/>
          <w:noProof/>
          <w:color w:val="auto"/>
          <w:sz w:val="22"/>
          <w:szCs w:val="22"/>
        </w:rPr>
      </w:pPr>
      <w:r>
        <w:rPr>
          <w:rFonts w:ascii="Gellix" w:hAnsi="Gellix"/>
          <w:noProof/>
          <w:color w:val="auto"/>
          <w:sz w:val="22"/>
          <w:szCs w:val="22"/>
        </w:rPr>
        <w:t>CHAPTER B: SPONSORSHIP</w:t>
      </w:r>
    </w:p>
    <w:p w14:paraId="1143ECEE" w14:textId="584EA28F" w:rsidR="0071712D" w:rsidRPr="0071712D" w:rsidRDefault="0071712D" w:rsidP="00E62652">
      <w:pPr>
        <w:spacing w:after="0" w:line="360" w:lineRule="auto"/>
        <w:rPr>
          <w:rFonts w:ascii="Gellix" w:hAnsi="Gellix"/>
          <w:b/>
          <w:bCs/>
          <w:noProof/>
          <w:color w:val="auto"/>
          <w:sz w:val="22"/>
          <w:szCs w:val="22"/>
        </w:rPr>
      </w:pPr>
      <w:r w:rsidRPr="0071712D">
        <w:rPr>
          <w:rFonts w:ascii="Gellix" w:hAnsi="Gellix"/>
          <w:b/>
          <w:bCs/>
          <w:noProof/>
          <w:color w:val="auto"/>
          <w:sz w:val="22"/>
          <w:szCs w:val="22"/>
        </w:rPr>
        <w:t>Introduction</w:t>
      </w:r>
    </w:p>
    <w:p w14:paraId="1E5A6114" w14:textId="70F6DC48" w:rsidR="0071712D" w:rsidRPr="001444BF" w:rsidRDefault="0071712D" w:rsidP="0071712D">
      <w:pPr>
        <w:pStyle w:val="ListParagraph"/>
        <w:numPr>
          <w:ilvl w:val="0"/>
          <w:numId w:val="17"/>
        </w:numPr>
        <w:spacing w:line="360" w:lineRule="auto"/>
        <w:rPr>
          <w:rStyle w:val="normaltextrun"/>
          <w:rFonts w:ascii="Gellix" w:hAnsi="Gellix"/>
          <w:sz w:val="22"/>
          <w:szCs w:val="22"/>
        </w:rPr>
      </w:pPr>
      <w:r>
        <w:rPr>
          <w:rStyle w:val="normaltextrun"/>
          <w:rFonts w:ascii="Gellix" w:hAnsi="Gellix"/>
          <w:sz w:val="22"/>
          <w:szCs w:val="22"/>
        </w:rPr>
        <w:t>We suggest t</w:t>
      </w:r>
      <w:r w:rsidR="0001301C">
        <w:rPr>
          <w:rStyle w:val="normaltextrun"/>
          <w:rFonts w:ascii="Gellix" w:hAnsi="Gellix"/>
          <w:sz w:val="22"/>
          <w:szCs w:val="22"/>
        </w:rPr>
        <w:t xml:space="preserve">he following introduction: </w:t>
      </w:r>
      <w:r w:rsidR="00BB19A9">
        <w:rPr>
          <w:rStyle w:val="normaltextrun"/>
          <w:rFonts w:ascii="Gellix" w:hAnsi="Gellix"/>
          <w:sz w:val="22"/>
          <w:szCs w:val="22"/>
        </w:rPr>
        <w:t>“</w:t>
      </w:r>
      <w:r w:rsidR="00BB19A9" w:rsidRPr="00CB62F1">
        <w:rPr>
          <w:rFonts w:ascii="Gellix" w:hAnsi="Gellix"/>
          <w:sz w:val="22"/>
          <w:szCs w:val="22"/>
        </w:rPr>
        <w:t xml:space="preserve">This Chapter is to be read in conjunction with the General Provisions as well as the chapters relating to the scope, </w:t>
      </w:r>
      <w:proofErr w:type="gramStart"/>
      <w:r w:rsidR="00BB19A9" w:rsidRPr="00CB62F1">
        <w:rPr>
          <w:rFonts w:ascii="Gellix" w:hAnsi="Gellix"/>
          <w:sz w:val="22"/>
          <w:szCs w:val="22"/>
        </w:rPr>
        <w:t>application</w:t>
      </w:r>
      <w:proofErr w:type="gramEnd"/>
      <w:r w:rsidR="00BB19A9" w:rsidRPr="00CB62F1">
        <w:rPr>
          <w:rFonts w:ascii="Gellix" w:hAnsi="Gellix"/>
          <w:sz w:val="22"/>
          <w:szCs w:val="22"/>
        </w:rPr>
        <w:t xml:space="preserve"> and definitions of the Code (Chapters II–III). This chapter is a subset and a further specification of the principles set out in those chapters, which all apply to sponsorship. Terms used here have the same meaning as in the General Definitions above, unless stated otherwise. </w:t>
      </w:r>
      <w:r w:rsidR="00BB19A9" w:rsidRPr="00BB19A9">
        <w:rPr>
          <w:rFonts w:ascii="Gellix" w:hAnsi="Gellix"/>
          <w:sz w:val="22"/>
          <w:szCs w:val="22"/>
          <w:lang w:val="sv-SE"/>
        </w:rPr>
        <w:t xml:space="preserve">Terms </w:t>
      </w:r>
      <w:proofErr w:type="spellStart"/>
      <w:r w:rsidR="00BB19A9" w:rsidRPr="00BB19A9">
        <w:rPr>
          <w:rFonts w:ascii="Gellix" w:hAnsi="Gellix"/>
          <w:sz w:val="22"/>
          <w:szCs w:val="22"/>
          <w:lang w:val="sv-SE"/>
        </w:rPr>
        <w:t>specific</w:t>
      </w:r>
      <w:proofErr w:type="spellEnd"/>
      <w:r w:rsidR="00BB19A9" w:rsidRPr="00BB19A9">
        <w:rPr>
          <w:rFonts w:ascii="Gellix" w:hAnsi="Gellix"/>
          <w:sz w:val="22"/>
          <w:szCs w:val="22"/>
          <w:lang w:val="sv-SE"/>
        </w:rPr>
        <w:t xml:space="preserve"> to sponsorship </w:t>
      </w:r>
      <w:proofErr w:type="spellStart"/>
      <w:r w:rsidR="00BB19A9" w:rsidRPr="00BB19A9">
        <w:rPr>
          <w:rFonts w:ascii="Gellix" w:hAnsi="Gellix"/>
          <w:sz w:val="22"/>
          <w:szCs w:val="22"/>
          <w:lang w:val="sv-SE"/>
        </w:rPr>
        <w:t>are</w:t>
      </w:r>
      <w:proofErr w:type="spellEnd"/>
      <w:r w:rsidR="00BB19A9" w:rsidRPr="00BB19A9">
        <w:rPr>
          <w:rFonts w:ascii="Gellix" w:hAnsi="Gellix"/>
          <w:sz w:val="22"/>
          <w:szCs w:val="22"/>
          <w:lang w:val="sv-SE"/>
        </w:rPr>
        <w:t xml:space="preserve"> </w:t>
      </w:r>
      <w:proofErr w:type="spellStart"/>
      <w:r w:rsidR="00BB19A9" w:rsidRPr="00BB19A9">
        <w:rPr>
          <w:rFonts w:ascii="Gellix" w:hAnsi="Gellix"/>
          <w:sz w:val="22"/>
          <w:szCs w:val="22"/>
          <w:lang w:val="sv-SE"/>
        </w:rPr>
        <w:t>defined</w:t>
      </w:r>
      <w:proofErr w:type="spellEnd"/>
      <w:r w:rsidR="00BB19A9" w:rsidRPr="00BB19A9">
        <w:rPr>
          <w:rFonts w:ascii="Gellix" w:hAnsi="Gellix"/>
          <w:sz w:val="22"/>
          <w:szCs w:val="22"/>
          <w:lang w:val="sv-SE"/>
        </w:rPr>
        <w:t xml:space="preserve"> </w:t>
      </w:r>
      <w:proofErr w:type="spellStart"/>
      <w:r w:rsidR="00BB19A9" w:rsidRPr="00BB19A9">
        <w:rPr>
          <w:rFonts w:ascii="Gellix" w:hAnsi="Gellix"/>
          <w:sz w:val="22"/>
          <w:szCs w:val="22"/>
          <w:lang w:val="sv-SE"/>
        </w:rPr>
        <w:t>below</w:t>
      </w:r>
      <w:proofErr w:type="spellEnd"/>
      <w:r w:rsidR="00BB19A9" w:rsidRPr="00BB19A9">
        <w:rPr>
          <w:rFonts w:ascii="Gellix" w:hAnsi="Gellix"/>
          <w:sz w:val="22"/>
          <w:szCs w:val="22"/>
          <w:lang w:val="sv-SE"/>
        </w:rPr>
        <w:t>.</w:t>
      </w:r>
      <w:r w:rsidR="00BB19A9">
        <w:rPr>
          <w:rFonts w:ascii="Gellix" w:hAnsi="Gellix"/>
          <w:sz w:val="22"/>
          <w:szCs w:val="22"/>
          <w:lang w:val="sv-SE"/>
        </w:rPr>
        <w:t>”</w:t>
      </w:r>
    </w:p>
    <w:p w14:paraId="4D8BBF0C" w14:textId="48CFA83F" w:rsidR="0071712D" w:rsidRDefault="0071712D" w:rsidP="0071712D">
      <w:pPr>
        <w:spacing w:after="0" w:line="360" w:lineRule="auto"/>
        <w:rPr>
          <w:rFonts w:ascii="Gellix" w:hAnsi="Gellix"/>
          <w:noProof/>
          <w:color w:val="auto"/>
          <w:sz w:val="22"/>
          <w:szCs w:val="22"/>
        </w:rPr>
      </w:pPr>
    </w:p>
    <w:p w14:paraId="680BECDC" w14:textId="7F6C0236" w:rsidR="0071712D" w:rsidRPr="0071712D" w:rsidRDefault="0071712D" w:rsidP="0071712D">
      <w:pPr>
        <w:spacing w:after="0" w:line="360" w:lineRule="auto"/>
        <w:rPr>
          <w:rFonts w:ascii="Gellix" w:hAnsi="Gellix"/>
          <w:b/>
          <w:bCs/>
          <w:noProof/>
          <w:color w:val="auto"/>
          <w:sz w:val="22"/>
          <w:szCs w:val="22"/>
        </w:rPr>
      </w:pPr>
      <w:r w:rsidRPr="0071712D">
        <w:rPr>
          <w:rFonts w:ascii="Gellix" w:hAnsi="Gellix"/>
          <w:b/>
          <w:bCs/>
          <w:noProof/>
          <w:color w:val="auto"/>
          <w:sz w:val="22"/>
          <w:szCs w:val="22"/>
        </w:rPr>
        <w:t>Article B1 – Principles governing sponsorship</w:t>
      </w:r>
    </w:p>
    <w:p w14:paraId="5953A4CC" w14:textId="6BC40AB6" w:rsidR="0071712D" w:rsidRPr="0071712D" w:rsidRDefault="009B3470" w:rsidP="0071712D">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As </w:t>
      </w:r>
      <w:r w:rsidR="0064424E">
        <w:rPr>
          <w:rFonts w:ascii="Gellix" w:hAnsi="Gellix"/>
          <w:noProof/>
          <w:color w:val="auto"/>
          <w:sz w:val="22"/>
          <w:szCs w:val="22"/>
        </w:rPr>
        <w:t>previously</w:t>
      </w:r>
      <w:r>
        <w:rPr>
          <w:rFonts w:ascii="Gellix" w:hAnsi="Gellix"/>
          <w:noProof/>
          <w:color w:val="auto"/>
          <w:sz w:val="22"/>
          <w:szCs w:val="22"/>
        </w:rPr>
        <w:t xml:space="preserve"> suggested, we believe it would be better to remove all of the bullet points in this article</w:t>
      </w:r>
      <w:r w:rsidR="0064424E">
        <w:rPr>
          <w:rFonts w:ascii="Gellix" w:hAnsi="Gellix"/>
          <w:noProof/>
          <w:color w:val="auto"/>
          <w:sz w:val="22"/>
          <w:szCs w:val="22"/>
        </w:rPr>
        <w:t xml:space="preserve"> to ensure </w:t>
      </w:r>
      <w:r w:rsidR="00A852E0">
        <w:rPr>
          <w:rFonts w:ascii="Gellix" w:hAnsi="Gellix"/>
          <w:noProof/>
          <w:color w:val="auto"/>
          <w:sz w:val="22"/>
          <w:szCs w:val="22"/>
        </w:rPr>
        <w:t xml:space="preserve">consistency </w:t>
      </w:r>
      <w:r w:rsidR="0064424E">
        <w:rPr>
          <w:rFonts w:ascii="Gellix" w:hAnsi="Gellix"/>
          <w:noProof/>
          <w:color w:val="auto"/>
          <w:sz w:val="22"/>
          <w:szCs w:val="22"/>
        </w:rPr>
        <w:t xml:space="preserve">for readers. </w:t>
      </w:r>
    </w:p>
    <w:p w14:paraId="5A4459F4" w14:textId="77777777" w:rsidR="0071712D" w:rsidRDefault="0071712D" w:rsidP="00E62652">
      <w:pPr>
        <w:spacing w:after="0" w:line="360" w:lineRule="auto"/>
        <w:rPr>
          <w:rFonts w:ascii="Gellix" w:hAnsi="Gellix"/>
          <w:b/>
          <w:bCs/>
          <w:noProof/>
          <w:color w:val="auto"/>
          <w:sz w:val="22"/>
          <w:szCs w:val="22"/>
        </w:rPr>
      </w:pPr>
    </w:p>
    <w:p w14:paraId="2A067681" w14:textId="59C968F6" w:rsidR="00083AD1" w:rsidRDefault="00083AD1" w:rsidP="00E62652">
      <w:pPr>
        <w:spacing w:after="0" w:line="360" w:lineRule="auto"/>
        <w:rPr>
          <w:rFonts w:ascii="Gellix" w:hAnsi="Gellix"/>
          <w:noProof/>
          <w:color w:val="auto"/>
          <w:sz w:val="22"/>
          <w:szCs w:val="22"/>
        </w:rPr>
      </w:pPr>
      <w:r>
        <w:rPr>
          <w:rFonts w:ascii="Gellix" w:hAnsi="Gellix"/>
          <w:noProof/>
          <w:color w:val="auto"/>
          <w:sz w:val="22"/>
          <w:szCs w:val="22"/>
        </w:rPr>
        <w:t xml:space="preserve">CHAPTER C: DATA DRIVEN MARKETING, DIGITAL MARKETING AND DIRECT MARKETING COMMUNICATIONS </w:t>
      </w:r>
    </w:p>
    <w:p w14:paraId="28FEE5FC" w14:textId="067941E4" w:rsidR="00083AD1" w:rsidRPr="00083AD1" w:rsidRDefault="00083AD1" w:rsidP="00E62652">
      <w:pPr>
        <w:spacing w:after="0" w:line="360" w:lineRule="auto"/>
        <w:rPr>
          <w:rFonts w:ascii="Gellix" w:hAnsi="Gellix"/>
          <w:b/>
          <w:bCs/>
          <w:noProof/>
          <w:color w:val="auto"/>
          <w:sz w:val="22"/>
          <w:szCs w:val="22"/>
        </w:rPr>
      </w:pPr>
      <w:r w:rsidRPr="00083AD1">
        <w:rPr>
          <w:rFonts w:ascii="Gellix" w:hAnsi="Gellix"/>
          <w:b/>
          <w:bCs/>
          <w:noProof/>
          <w:color w:val="auto"/>
          <w:sz w:val="22"/>
          <w:szCs w:val="22"/>
        </w:rPr>
        <w:t>Introduction</w:t>
      </w:r>
    </w:p>
    <w:p w14:paraId="19E32A5E" w14:textId="4E112D79" w:rsidR="00083AD1" w:rsidRPr="001444BF" w:rsidRDefault="00083AD1" w:rsidP="00083AD1">
      <w:pPr>
        <w:pStyle w:val="ListParagraph"/>
        <w:numPr>
          <w:ilvl w:val="0"/>
          <w:numId w:val="17"/>
        </w:numPr>
        <w:spacing w:line="360" w:lineRule="auto"/>
        <w:rPr>
          <w:rStyle w:val="normaltextrun"/>
          <w:rFonts w:ascii="Gellix" w:hAnsi="Gellix"/>
          <w:sz w:val="22"/>
          <w:szCs w:val="22"/>
        </w:rPr>
      </w:pPr>
      <w:r>
        <w:rPr>
          <w:rStyle w:val="normaltextrun"/>
          <w:rFonts w:ascii="Gellix" w:hAnsi="Gellix"/>
          <w:sz w:val="22"/>
          <w:szCs w:val="22"/>
        </w:rPr>
        <w:t xml:space="preserve">We suggest </w:t>
      </w:r>
      <w:r w:rsidR="00E261F7">
        <w:rPr>
          <w:rStyle w:val="normaltextrun"/>
          <w:rFonts w:ascii="Gellix" w:hAnsi="Gellix"/>
          <w:sz w:val="22"/>
          <w:szCs w:val="22"/>
        </w:rPr>
        <w:t xml:space="preserve">the following introduction: </w:t>
      </w:r>
      <w:r w:rsidR="004901B1">
        <w:rPr>
          <w:rStyle w:val="normaltextrun"/>
          <w:rFonts w:ascii="Gellix" w:hAnsi="Gellix"/>
          <w:sz w:val="22"/>
          <w:szCs w:val="22"/>
        </w:rPr>
        <w:t>“</w:t>
      </w:r>
      <w:r w:rsidR="004901B1" w:rsidRPr="00CB62F1">
        <w:rPr>
          <w:rFonts w:ascii="Gellix" w:hAnsi="Gellix"/>
          <w:sz w:val="22"/>
          <w:szCs w:val="22"/>
        </w:rPr>
        <w:t xml:space="preserve">This Chapter is to be read in conjunction with the General Provisions as well as the chapters relating to the scope, </w:t>
      </w:r>
      <w:proofErr w:type="gramStart"/>
      <w:r w:rsidR="004901B1" w:rsidRPr="00CB62F1">
        <w:rPr>
          <w:rFonts w:ascii="Gellix" w:hAnsi="Gellix"/>
          <w:sz w:val="22"/>
          <w:szCs w:val="22"/>
        </w:rPr>
        <w:t>application</w:t>
      </w:r>
      <w:proofErr w:type="gramEnd"/>
      <w:r w:rsidR="004901B1" w:rsidRPr="00CB62F1">
        <w:rPr>
          <w:rFonts w:ascii="Gellix" w:hAnsi="Gellix"/>
          <w:sz w:val="22"/>
          <w:szCs w:val="22"/>
        </w:rPr>
        <w:t xml:space="preserve"> and definitions of the Code (Chapters II–III). This chapter is a subset and a further specification of the principles set out in those chapters, which all apply to data driven marketing, digital </w:t>
      </w:r>
      <w:proofErr w:type="gramStart"/>
      <w:r w:rsidR="004901B1" w:rsidRPr="00CB62F1">
        <w:rPr>
          <w:rFonts w:ascii="Gellix" w:hAnsi="Gellix"/>
          <w:sz w:val="22"/>
          <w:szCs w:val="22"/>
        </w:rPr>
        <w:t>marketing</w:t>
      </w:r>
      <w:proofErr w:type="gramEnd"/>
      <w:r w:rsidR="004901B1" w:rsidRPr="00CB62F1">
        <w:rPr>
          <w:rFonts w:ascii="Gellix" w:hAnsi="Gellix"/>
          <w:sz w:val="22"/>
          <w:szCs w:val="22"/>
        </w:rPr>
        <w:t xml:space="preserve"> and direct marketing communications. Terms used here have the same meaning as in the General Definitions above, unless stated otherwise. </w:t>
      </w:r>
      <w:r w:rsidR="004901B1" w:rsidRPr="004901B1">
        <w:rPr>
          <w:rFonts w:ascii="Gellix" w:hAnsi="Gellix"/>
          <w:sz w:val="22"/>
          <w:szCs w:val="22"/>
          <w:lang w:val="sv-SE"/>
        </w:rPr>
        <w:t xml:space="preserve">Terms </w:t>
      </w:r>
      <w:proofErr w:type="spellStart"/>
      <w:r w:rsidR="004901B1" w:rsidRPr="004901B1">
        <w:rPr>
          <w:rFonts w:ascii="Gellix" w:hAnsi="Gellix"/>
          <w:sz w:val="22"/>
          <w:szCs w:val="22"/>
          <w:lang w:val="sv-SE"/>
        </w:rPr>
        <w:t>specific</w:t>
      </w:r>
      <w:proofErr w:type="spellEnd"/>
      <w:r w:rsidR="004901B1" w:rsidRPr="004901B1">
        <w:rPr>
          <w:rFonts w:ascii="Gellix" w:hAnsi="Gellix"/>
          <w:sz w:val="22"/>
          <w:szCs w:val="22"/>
          <w:lang w:val="sv-SE"/>
        </w:rPr>
        <w:t xml:space="preserve"> to </w:t>
      </w:r>
      <w:proofErr w:type="spellStart"/>
      <w:r w:rsidR="004901B1" w:rsidRPr="004901B1">
        <w:rPr>
          <w:rFonts w:ascii="Gellix" w:hAnsi="Gellix"/>
          <w:sz w:val="22"/>
          <w:szCs w:val="22"/>
          <w:lang w:val="sv-SE"/>
        </w:rPr>
        <w:t>this</w:t>
      </w:r>
      <w:proofErr w:type="spellEnd"/>
      <w:r w:rsidR="004901B1" w:rsidRPr="004901B1">
        <w:rPr>
          <w:rFonts w:ascii="Gellix" w:hAnsi="Gellix"/>
          <w:sz w:val="22"/>
          <w:szCs w:val="22"/>
          <w:lang w:val="sv-SE"/>
        </w:rPr>
        <w:t xml:space="preserve"> </w:t>
      </w:r>
      <w:proofErr w:type="spellStart"/>
      <w:r w:rsidR="004901B1" w:rsidRPr="004901B1">
        <w:rPr>
          <w:rFonts w:ascii="Gellix" w:hAnsi="Gellix"/>
          <w:sz w:val="22"/>
          <w:szCs w:val="22"/>
          <w:lang w:val="sv-SE"/>
        </w:rPr>
        <w:t>chapter</w:t>
      </w:r>
      <w:proofErr w:type="spellEnd"/>
      <w:r w:rsidR="004901B1" w:rsidRPr="004901B1">
        <w:rPr>
          <w:rFonts w:ascii="Gellix" w:hAnsi="Gellix"/>
          <w:sz w:val="22"/>
          <w:szCs w:val="22"/>
          <w:lang w:val="sv-SE"/>
        </w:rPr>
        <w:t xml:space="preserve"> </w:t>
      </w:r>
      <w:proofErr w:type="spellStart"/>
      <w:r w:rsidR="004901B1" w:rsidRPr="004901B1">
        <w:rPr>
          <w:rFonts w:ascii="Gellix" w:hAnsi="Gellix"/>
          <w:sz w:val="22"/>
          <w:szCs w:val="22"/>
          <w:lang w:val="sv-SE"/>
        </w:rPr>
        <w:t>are</w:t>
      </w:r>
      <w:proofErr w:type="spellEnd"/>
      <w:r w:rsidR="004901B1" w:rsidRPr="004901B1">
        <w:rPr>
          <w:rFonts w:ascii="Gellix" w:hAnsi="Gellix"/>
          <w:sz w:val="22"/>
          <w:szCs w:val="22"/>
          <w:lang w:val="sv-SE"/>
        </w:rPr>
        <w:t xml:space="preserve"> </w:t>
      </w:r>
      <w:proofErr w:type="spellStart"/>
      <w:r w:rsidR="004901B1" w:rsidRPr="004901B1">
        <w:rPr>
          <w:rFonts w:ascii="Gellix" w:hAnsi="Gellix"/>
          <w:sz w:val="22"/>
          <w:szCs w:val="22"/>
          <w:lang w:val="sv-SE"/>
        </w:rPr>
        <w:t>defined</w:t>
      </w:r>
      <w:proofErr w:type="spellEnd"/>
      <w:r w:rsidR="004901B1" w:rsidRPr="004901B1">
        <w:rPr>
          <w:rFonts w:ascii="Gellix" w:hAnsi="Gellix"/>
          <w:sz w:val="22"/>
          <w:szCs w:val="22"/>
          <w:lang w:val="sv-SE"/>
        </w:rPr>
        <w:t xml:space="preserve"> </w:t>
      </w:r>
      <w:proofErr w:type="spellStart"/>
      <w:r w:rsidR="004901B1" w:rsidRPr="004901B1">
        <w:rPr>
          <w:rFonts w:ascii="Gellix" w:hAnsi="Gellix"/>
          <w:sz w:val="22"/>
          <w:szCs w:val="22"/>
          <w:lang w:val="sv-SE"/>
        </w:rPr>
        <w:t>below</w:t>
      </w:r>
      <w:proofErr w:type="spellEnd"/>
      <w:r w:rsidR="004901B1" w:rsidRPr="004901B1">
        <w:rPr>
          <w:rFonts w:ascii="Gellix" w:hAnsi="Gellix"/>
          <w:sz w:val="22"/>
          <w:szCs w:val="22"/>
          <w:lang w:val="sv-SE"/>
        </w:rPr>
        <w:t>.</w:t>
      </w:r>
      <w:r w:rsidR="004901B1">
        <w:rPr>
          <w:rFonts w:ascii="Gellix" w:hAnsi="Gellix"/>
          <w:sz w:val="22"/>
          <w:szCs w:val="22"/>
          <w:lang w:val="sv-SE"/>
        </w:rPr>
        <w:t>”</w:t>
      </w:r>
      <w:r w:rsidR="004901B1" w:rsidRPr="004901B1">
        <w:rPr>
          <w:rFonts w:ascii="Gellix" w:hAnsi="Gellix"/>
          <w:sz w:val="22"/>
          <w:szCs w:val="22"/>
          <w:lang w:val="sv-SE"/>
        </w:rPr>
        <w:t> </w:t>
      </w:r>
    </w:p>
    <w:p w14:paraId="08AEB7BD" w14:textId="29A76FF9" w:rsidR="00083AD1" w:rsidRDefault="00083AD1" w:rsidP="005E1D8C">
      <w:pPr>
        <w:spacing w:after="0" w:line="360" w:lineRule="auto"/>
        <w:rPr>
          <w:rFonts w:ascii="Gellix" w:hAnsi="Gellix"/>
          <w:noProof/>
          <w:color w:val="auto"/>
          <w:sz w:val="22"/>
          <w:szCs w:val="22"/>
        </w:rPr>
      </w:pPr>
    </w:p>
    <w:p w14:paraId="0FFC2D22" w14:textId="2BB63A55" w:rsidR="005E1D8C" w:rsidRPr="005E1D8C" w:rsidRDefault="005E1D8C" w:rsidP="005E1D8C">
      <w:pPr>
        <w:spacing w:after="0" w:line="360" w:lineRule="auto"/>
        <w:rPr>
          <w:rFonts w:ascii="Gellix" w:hAnsi="Gellix"/>
          <w:b/>
          <w:bCs/>
          <w:noProof/>
          <w:color w:val="auto"/>
          <w:sz w:val="22"/>
          <w:szCs w:val="22"/>
        </w:rPr>
      </w:pPr>
      <w:r w:rsidRPr="005E1D8C">
        <w:rPr>
          <w:rFonts w:ascii="Gellix" w:hAnsi="Gellix"/>
          <w:b/>
          <w:bCs/>
          <w:noProof/>
          <w:color w:val="auto"/>
          <w:sz w:val="22"/>
          <w:szCs w:val="22"/>
        </w:rPr>
        <w:t>Scope of Chapter C</w:t>
      </w:r>
    </w:p>
    <w:p w14:paraId="10866854" w14:textId="11E7BEF9" w:rsidR="0071712D" w:rsidRPr="00EF2C1A" w:rsidRDefault="005E1D8C" w:rsidP="00E62652">
      <w:pPr>
        <w:pStyle w:val="ListParagraph"/>
        <w:numPr>
          <w:ilvl w:val="0"/>
          <w:numId w:val="17"/>
        </w:numPr>
        <w:spacing w:after="0" w:line="360" w:lineRule="auto"/>
        <w:rPr>
          <w:rFonts w:ascii="Gellix" w:hAnsi="Gellix"/>
          <w:noProof/>
          <w:color w:val="auto"/>
          <w:sz w:val="22"/>
          <w:szCs w:val="22"/>
        </w:rPr>
      </w:pPr>
      <w:r w:rsidRPr="00787216">
        <w:rPr>
          <w:rFonts w:ascii="Gellix" w:hAnsi="Gellix"/>
          <w:noProof/>
          <w:color w:val="auto"/>
          <w:sz w:val="22"/>
          <w:szCs w:val="22"/>
        </w:rPr>
        <w:t xml:space="preserve">Remove the reference to the ICC Code Centre website. </w:t>
      </w:r>
      <w:r w:rsidR="000E6135">
        <w:rPr>
          <w:rFonts w:ascii="Gellix" w:hAnsi="Gellix"/>
          <w:noProof/>
          <w:color w:val="auto"/>
          <w:sz w:val="22"/>
          <w:szCs w:val="22"/>
        </w:rPr>
        <w:t xml:space="preserve">The website no longer belongs to the ICC. </w:t>
      </w:r>
      <w:r w:rsidRPr="00787216">
        <w:rPr>
          <w:rFonts w:ascii="Gellix" w:hAnsi="Gellix"/>
          <w:noProof/>
          <w:color w:val="auto"/>
          <w:sz w:val="22"/>
          <w:szCs w:val="22"/>
        </w:rPr>
        <w:t xml:space="preserve">It refers to </w:t>
      </w:r>
      <w:r w:rsidR="00787216" w:rsidRPr="00787216">
        <w:rPr>
          <w:rFonts w:ascii="Gellix" w:hAnsi="Gellix"/>
          <w:noProof/>
          <w:color w:val="auto"/>
          <w:sz w:val="22"/>
          <w:szCs w:val="22"/>
        </w:rPr>
        <w:t xml:space="preserve">an </w:t>
      </w:r>
      <w:r w:rsidR="00DD4998" w:rsidRPr="00787216">
        <w:rPr>
          <w:rFonts w:ascii="Gellix" w:hAnsi="Gellix"/>
          <w:noProof/>
          <w:color w:val="auto"/>
          <w:sz w:val="22"/>
          <w:szCs w:val="22"/>
        </w:rPr>
        <w:t>adult</w:t>
      </w:r>
      <w:r w:rsidR="00DD4998">
        <w:rPr>
          <w:rFonts w:ascii="Gellix" w:hAnsi="Gellix"/>
          <w:noProof/>
          <w:color w:val="auto"/>
          <w:sz w:val="22"/>
          <w:szCs w:val="22"/>
        </w:rPr>
        <w:t xml:space="preserve">-content </w:t>
      </w:r>
      <w:r w:rsidR="00787216" w:rsidRPr="00787216">
        <w:rPr>
          <w:rFonts w:ascii="Gellix" w:hAnsi="Gellix"/>
          <w:noProof/>
          <w:color w:val="auto"/>
          <w:sz w:val="22"/>
          <w:szCs w:val="22"/>
        </w:rPr>
        <w:t xml:space="preserve">website. </w:t>
      </w:r>
    </w:p>
    <w:p w14:paraId="6D65CB13" w14:textId="77777777" w:rsidR="00E62652" w:rsidRPr="001444BF" w:rsidRDefault="00E62652" w:rsidP="00E62652">
      <w:pPr>
        <w:spacing w:after="0" w:line="360" w:lineRule="auto"/>
        <w:rPr>
          <w:rFonts w:ascii="Gellix" w:hAnsi="Gellix"/>
          <w:b/>
          <w:bCs/>
          <w:noProof/>
          <w:color w:val="auto"/>
          <w:sz w:val="22"/>
          <w:szCs w:val="22"/>
        </w:rPr>
      </w:pPr>
    </w:p>
    <w:p w14:paraId="4D9D3DAD" w14:textId="14E16523" w:rsidR="004B780C" w:rsidRPr="001444BF" w:rsidRDefault="00E62652" w:rsidP="00E62652">
      <w:pPr>
        <w:spacing w:after="0" w:line="360" w:lineRule="auto"/>
        <w:rPr>
          <w:rFonts w:ascii="Gellix" w:hAnsi="Gellix"/>
          <w:noProof/>
          <w:color w:val="auto"/>
          <w:sz w:val="22"/>
          <w:szCs w:val="22"/>
        </w:rPr>
      </w:pPr>
      <w:r w:rsidRPr="001444BF">
        <w:rPr>
          <w:rFonts w:ascii="Gellix" w:hAnsi="Gellix"/>
          <w:noProof/>
          <w:color w:val="auto"/>
          <w:sz w:val="22"/>
          <w:szCs w:val="22"/>
        </w:rPr>
        <w:t xml:space="preserve">CHAPTER D: </w:t>
      </w:r>
      <w:r w:rsidR="004B780C" w:rsidRPr="001444BF">
        <w:rPr>
          <w:rFonts w:ascii="Gellix" w:hAnsi="Gellix"/>
          <w:noProof/>
          <w:color w:val="auto"/>
          <w:sz w:val="22"/>
          <w:szCs w:val="22"/>
        </w:rPr>
        <w:t>ENVIRONMENTAL CLAIMS IN MARKETING COMMUNICATIONS</w:t>
      </w:r>
    </w:p>
    <w:p w14:paraId="440289F8" w14:textId="16443488" w:rsidR="004B780C" w:rsidRPr="001444BF" w:rsidRDefault="005941C8" w:rsidP="00E62652">
      <w:pPr>
        <w:spacing w:after="0" w:line="360" w:lineRule="auto"/>
        <w:rPr>
          <w:rFonts w:ascii="Gellix" w:hAnsi="Gellix"/>
          <w:b/>
          <w:bCs/>
          <w:noProof/>
          <w:color w:val="auto"/>
          <w:sz w:val="22"/>
          <w:szCs w:val="22"/>
        </w:rPr>
      </w:pPr>
      <w:r w:rsidRPr="001444BF">
        <w:rPr>
          <w:rFonts w:ascii="Gellix" w:hAnsi="Gellix"/>
          <w:b/>
          <w:bCs/>
          <w:noProof/>
          <w:color w:val="auto"/>
          <w:sz w:val="22"/>
          <w:szCs w:val="22"/>
        </w:rPr>
        <w:t>Introduction</w:t>
      </w:r>
    </w:p>
    <w:p w14:paraId="3298AAFC" w14:textId="76515D96" w:rsidR="00602E20" w:rsidRDefault="00DE23E8" w:rsidP="00774484">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We suggest the following introduction: </w:t>
      </w:r>
      <w:r w:rsidR="00250AB9">
        <w:rPr>
          <w:rFonts w:ascii="Gellix" w:hAnsi="Gellix"/>
          <w:noProof/>
          <w:color w:val="auto"/>
          <w:sz w:val="22"/>
          <w:szCs w:val="22"/>
        </w:rPr>
        <w:t>“</w:t>
      </w:r>
      <w:r w:rsidR="00250AB9" w:rsidRPr="00CB62F1">
        <w:rPr>
          <w:rFonts w:ascii="Gellix" w:hAnsi="Gellix"/>
          <w:noProof/>
          <w:color w:val="auto"/>
          <w:sz w:val="22"/>
          <w:szCs w:val="22"/>
        </w:rPr>
        <w:t>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environmental marketing communications. Terms used here have the same meaning as in the General Definitions above, unless stated otherwise. Terms specific to environmental claims are defined below. Additional guidance is available in the ICC Framework for Responsible Environmental Marketing Communications.</w:t>
      </w:r>
      <w:r w:rsidR="00250AB9">
        <w:rPr>
          <w:rFonts w:ascii="Gellix" w:hAnsi="Gellix"/>
          <w:noProof/>
          <w:color w:val="auto"/>
          <w:sz w:val="22"/>
          <w:szCs w:val="22"/>
        </w:rPr>
        <w:t>”</w:t>
      </w:r>
    </w:p>
    <w:p w14:paraId="74EE790C" w14:textId="77777777" w:rsidR="00774484" w:rsidRPr="00774484" w:rsidRDefault="00774484" w:rsidP="00774484">
      <w:pPr>
        <w:spacing w:after="0" w:line="360" w:lineRule="auto"/>
        <w:rPr>
          <w:rFonts w:ascii="Gellix" w:hAnsi="Gellix"/>
          <w:noProof/>
          <w:color w:val="auto"/>
          <w:sz w:val="22"/>
          <w:szCs w:val="22"/>
        </w:rPr>
      </w:pPr>
    </w:p>
    <w:p w14:paraId="75DD5E00" w14:textId="13F511CA" w:rsidR="00E41CAE" w:rsidRDefault="0028573F" w:rsidP="0028573F">
      <w:pPr>
        <w:spacing w:after="0" w:line="360" w:lineRule="auto"/>
        <w:rPr>
          <w:rFonts w:ascii="Gellix" w:hAnsi="Gellix"/>
          <w:noProof/>
          <w:color w:val="auto"/>
          <w:sz w:val="22"/>
          <w:szCs w:val="22"/>
        </w:rPr>
      </w:pPr>
      <w:r w:rsidRPr="001444BF">
        <w:rPr>
          <w:rFonts w:ascii="Gellix" w:hAnsi="Gellix"/>
          <w:b/>
          <w:bCs/>
          <w:noProof/>
          <w:color w:val="auto"/>
          <w:sz w:val="22"/>
          <w:szCs w:val="22"/>
        </w:rPr>
        <w:t>Scope and application of Chapter D</w:t>
      </w:r>
    </w:p>
    <w:p w14:paraId="3B9CCBEF" w14:textId="66B0CAD4" w:rsidR="00E41CAE" w:rsidRPr="00CB62F1" w:rsidRDefault="00E41CAE" w:rsidP="00CB62F1">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The last para </w:t>
      </w:r>
      <w:r w:rsidR="005E64DF">
        <w:rPr>
          <w:rFonts w:ascii="Gellix" w:hAnsi="Gellix"/>
          <w:noProof/>
          <w:color w:val="auto"/>
          <w:sz w:val="22"/>
          <w:szCs w:val="22"/>
        </w:rPr>
        <w:t xml:space="preserve">should </w:t>
      </w:r>
      <w:r>
        <w:rPr>
          <w:rFonts w:ascii="Gellix" w:hAnsi="Gellix"/>
          <w:noProof/>
          <w:color w:val="auto"/>
          <w:sz w:val="22"/>
          <w:szCs w:val="22"/>
        </w:rPr>
        <w:t>be written together with the second para</w:t>
      </w:r>
      <w:r w:rsidR="005E64DF">
        <w:rPr>
          <w:rFonts w:ascii="Gellix" w:hAnsi="Gellix"/>
          <w:noProof/>
          <w:color w:val="auto"/>
          <w:sz w:val="22"/>
          <w:szCs w:val="22"/>
        </w:rPr>
        <w:t xml:space="preserve"> </w:t>
      </w:r>
      <w:r w:rsidR="005E64DF" w:rsidRPr="005E64DF">
        <w:rPr>
          <w:rFonts w:ascii="Gellix" w:hAnsi="Gellix"/>
          <w:noProof/>
          <w:color w:val="auto"/>
          <w:sz w:val="22"/>
          <w:szCs w:val="22"/>
        </w:rPr>
        <w:t>under the Scope, since these both applies to the scope of this chapter. It is logical that references to further guidance in the form of the Framework is placed last</w:t>
      </w:r>
      <w:r>
        <w:rPr>
          <w:rFonts w:ascii="Gellix" w:hAnsi="Gellix"/>
          <w:noProof/>
          <w:color w:val="auto"/>
          <w:sz w:val="22"/>
          <w:szCs w:val="22"/>
        </w:rPr>
        <w:t xml:space="preserve">. </w:t>
      </w:r>
    </w:p>
    <w:p w14:paraId="17C5FB69" w14:textId="77777777" w:rsidR="009138F5" w:rsidRPr="001444BF" w:rsidRDefault="009138F5" w:rsidP="00E41CAE">
      <w:pPr>
        <w:spacing w:after="0" w:line="360" w:lineRule="auto"/>
        <w:rPr>
          <w:noProof/>
        </w:rPr>
      </w:pPr>
    </w:p>
    <w:p w14:paraId="07534ECD" w14:textId="67485DCC" w:rsidR="00663B1F" w:rsidRDefault="009138F5" w:rsidP="00CB62F1">
      <w:pPr>
        <w:spacing w:after="0" w:line="360" w:lineRule="auto"/>
        <w:rPr>
          <w:rFonts w:ascii="Gellix" w:hAnsi="Gellix"/>
          <w:noProof/>
          <w:color w:val="auto"/>
          <w:sz w:val="22"/>
          <w:szCs w:val="22"/>
        </w:rPr>
      </w:pPr>
      <w:r w:rsidRPr="00663B1F">
        <w:rPr>
          <w:rFonts w:ascii="Gellix" w:hAnsi="Gellix"/>
          <w:b/>
          <w:bCs/>
          <w:noProof/>
          <w:color w:val="auto"/>
          <w:sz w:val="22"/>
          <w:szCs w:val="22"/>
        </w:rPr>
        <w:t>Article D2.1 – General Approach</w:t>
      </w:r>
    </w:p>
    <w:p w14:paraId="6A97DC9A" w14:textId="61D8F651" w:rsidR="00663B1F" w:rsidRPr="00CB62F1" w:rsidRDefault="00663B1F" w:rsidP="00CB62F1">
      <w:pPr>
        <w:pStyle w:val="ListParagraph"/>
        <w:numPr>
          <w:ilvl w:val="0"/>
          <w:numId w:val="17"/>
        </w:numPr>
        <w:spacing w:after="0" w:line="360" w:lineRule="auto"/>
        <w:rPr>
          <w:rFonts w:ascii="Gellix" w:hAnsi="Gellix"/>
          <w:noProof/>
          <w:color w:val="auto"/>
          <w:sz w:val="22"/>
          <w:szCs w:val="22"/>
        </w:rPr>
      </w:pPr>
      <w:r w:rsidRPr="00563418">
        <w:rPr>
          <w:rFonts w:ascii="Gellix" w:hAnsi="Gellix"/>
          <w:noProof/>
          <w:color w:val="auto"/>
          <w:sz w:val="22"/>
          <w:szCs w:val="22"/>
        </w:rPr>
        <w:t>Consider removing the fifth para. This is already explained in the Framework.</w:t>
      </w:r>
    </w:p>
    <w:p w14:paraId="40047882" w14:textId="77777777" w:rsidR="00473544" w:rsidRPr="001444BF" w:rsidRDefault="00473544" w:rsidP="00473544">
      <w:pPr>
        <w:spacing w:after="0" w:line="360" w:lineRule="auto"/>
        <w:rPr>
          <w:rFonts w:ascii="Gellix" w:hAnsi="Gellix"/>
          <w:noProof/>
          <w:color w:val="auto"/>
          <w:sz w:val="22"/>
          <w:szCs w:val="22"/>
        </w:rPr>
      </w:pPr>
    </w:p>
    <w:p w14:paraId="09B169B9" w14:textId="71DA0306" w:rsidR="00473544" w:rsidRPr="00CB62F1" w:rsidRDefault="00473544" w:rsidP="00473544">
      <w:pPr>
        <w:spacing w:after="0" w:line="360" w:lineRule="auto"/>
        <w:rPr>
          <w:rFonts w:ascii="Gellix" w:hAnsi="Gellix"/>
          <w:b/>
          <w:color w:val="auto"/>
          <w:sz w:val="22"/>
          <w:szCs w:val="22"/>
        </w:rPr>
      </w:pPr>
      <w:r w:rsidRPr="001444BF">
        <w:rPr>
          <w:rFonts w:ascii="Gellix" w:hAnsi="Gellix"/>
          <w:b/>
          <w:bCs/>
          <w:noProof/>
          <w:color w:val="auto"/>
          <w:sz w:val="22"/>
          <w:szCs w:val="22"/>
        </w:rPr>
        <w:t xml:space="preserve">Article D2.2 – Vague or general, non-specifc claims </w:t>
      </w:r>
    </w:p>
    <w:p w14:paraId="257F80E1" w14:textId="6CB855A9" w:rsidR="00473544" w:rsidRPr="001444BF" w:rsidRDefault="007E5A09" w:rsidP="00473544">
      <w:pPr>
        <w:pStyle w:val="ListParagraph"/>
        <w:numPr>
          <w:ilvl w:val="0"/>
          <w:numId w:val="17"/>
        </w:numPr>
        <w:spacing w:after="0" w:line="360" w:lineRule="auto"/>
        <w:rPr>
          <w:rFonts w:ascii="Gellix" w:hAnsi="Gellix"/>
          <w:noProof/>
          <w:color w:val="auto"/>
          <w:sz w:val="22"/>
          <w:szCs w:val="22"/>
        </w:rPr>
      </w:pPr>
      <w:r w:rsidRPr="001444BF">
        <w:rPr>
          <w:rFonts w:ascii="Gellix" w:hAnsi="Gellix"/>
          <w:noProof/>
          <w:color w:val="auto"/>
          <w:sz w:val="22"/>
          <w:szCs w:val="22"/>
        </w:rPr>
        <w:t xml:space="preserve">Regarding the sentence starting with “Claims such as..” in the first para, we suggest to keep the old sentence </w:t>
      </w:r>
      <w:r w:rsidR="00C510C2" w:rsidRPr="001444BF">
        <w:rPr>
          <w:rFonts w:ascii="Gellix" w:hAnsi="Gellix"/>
          <w:noProof/>
          <w:color w:val="auto"/>
          <w:sz w:val="22"/>
          <w:szCs w:val="22"/>
        </w:rPr>
        <w:t xml:space="preserve">in order the make it </w:t>
      </w:r>
      <w:r w:rsidR="009E0C65" w:rsidRPr="001444BF">
        <w:rPr>
          <w:rFonts w:ascii="Gellix" w:hAnsi="Gellix"/>
          <w:noProof/>
          <w:color w:val="auto"/>
          <w:sz w:val="22"/>
          <w:szCs w:val="22"/>
        </w:rPr>
        <w:t>comprehend</w:t>
      </w:r>
      <w:r w:rsidR="009E0C65">
        <w:rPr>
          <w:rFonts w:ascii="Gellix" w:hAnsi="Gellix"/>
          <w:noProof/>
          <w:color w:val="auto"/>
          <w:sz w:val="22"/>
          <w:szCs w:val="22"/>
        </w:rPr>
        <w:t>i</w:t>
      </w:r>
      <w:r w:rsidR="009E0C65" w:rsidRPr="001444BF">
        <w:rPr>
          <w:rFonts w:ascii="Gellix" w:hAnsi="Gellix"/>
          <w:noProof/>
          <w:color w:val="auto"/>
          <w:sz w:val="22"/>
          <w:szCs w:val="22"/>
        </w:rPr>
        <w:t xml:space="preserve">ble </w:t>
      </w:r>
      <w:r w:rsidR="00C510C2" w:rsidRPr="001444BF">
        <w:rPr>
          <w:rFonts w:ascii="Gellix" w:hAnsi="Gellix"/>
          <w:noProof/>
          <w:color w:val="auto"/>
          <w:sz w:val="22"/>
          <w:szCs w:val="22"/>
        </w:rPr>
        <w:t xml:space="preserve">with the rest of the para. </w:t>
      </w:r>
      <w:r w:rsidR="008E4363">
        <w:rPr>
          <w:rFonts w:ascii="Gellix" w:hAnsi="Gellix"/>
          <w:noProof/>
          <w:color w:val="auto"/>
          <w:sz w:val="22"/>
          <w:szCs w:val="22"/>
        </w:rPr>
        <w:t>“</w:t>
      </w:r>
      <w:r w:rsidR="008A1536" w:rsidRPr="00CB62F1">
        <w:rPr>
          <w:rFonts w:ascii="Gellix" w:hAnsi="Gellix"/>
          <w:noProof/>
          <w:color w:val="auto"/>
          <w:sz w:val="22"/>
          <w:szCs w:val="22"/>
        </w:rPr>
        <w:t>If this is not the case, general environmental claims should either be qualified or avoided. In particular, claims such as…”</w:t>
      </w:r>
    </w:p>
    <w:p w14:paraId="1EA6985B" w14:textId="54C280BC" w:rsidR="00802468" w:rsidRPr="001444BF" w:rsidRDefault="00802468" w:rsidP="00473544">
      <w:pPr>
        <w:pStyle w:val="ListParagraph"/>
        <w:numPr>
          <w:ilvl w:val="0"/>
          <w:numId w:val="17"/>
        </w:numPr>
        <w:spacing w:after="0" w:line="360" w:lineRule="auto"/>
        <w:rPr>
          <w:rFonts w:ascii="Gellix" w:hAnsi="Gellix"/>
          <w:noProof/>
          <w:color w:val="auto"/>
          <w:sz w:val="22"/>
          <w:szCs w:val="22"/>
        </w:rPr>
      </w:pPr>
      <w:r w:rsidRPr="001444BF">
        <w:rPr>
          <w:rFonts w:ascii="Gellix" w:hAnsi="Gellix"/>
          <w:noProof/>
          <w:color w:val="auto"/>
          <w:sz w:val="22"/>
          <w:szCs w:val="22"/>
        </w:rPr>
        <w:t xml:space="preserve">We suggest to remove the last para. It risks lowering the bar for what is acceptable in terms of environmental claims. </w:t>
      </w:r>
      <w:r w:rsidR="000940D9">
        <w:rPr>
          <w:rFonts w:ascii="Gellix" w:hAnsi="Gellix"/>
          <w:noProof/>
          <w:color w:val="auto"/>
          <w:sz w:val="22"/>
          <w:szCs w:val="22"/>
        </w:rPr>
        <w:t xml:space="preserve">In case it </w:t>
      </w:r>
      <w:r w:rsidR="00E24713">
        <w:rPr>
          <w:rFonts w:ascii="Gellix" w:hAnsi="Gellix"/>
          <w:noProof/>
          <w:color w:val="auto"/>
          <w:sz w:val="22"/>
          <w:szCs w:val="22"/>
        </w:rPr>
        <w:t xml:space="preserve">is kept, </w:t>
      </w:r>
      <w:r w:rsidR="00E24713" w:rsidRPr="00E24713">
        <w:rPr>
          <w:rFonts w:ascii="Gellix" w:hAnsi="Gellix"/>
          <w:noProof/>
          <w:color w:val="auto"/>
          <w:sz w:val="22"/>
          <w:szCs w:val="22"/>
        </w:rPr>
        <w:t>it is important to recognize that markets should not only avoid, they should never state or imply that an entire product, facility or operation is sustainable without qualification simply because it has some positive environmental benefits.</w:t>
      </w:r>
    </w:p>
    <w:p w14:paraId="2AEDDEBE" w14:textId="77777777" w:rsidR="00E0435E" w:rsidRPr="006E7130" w:rsidRDefault="00E0435E" w:rsidP="00E0435E">
      <w:pPr>
        <w:spacing w:after="0" w:line="360" w:lineRule="auto"/>
        <w:rPr>
          <w:rFonts w:ascii="Gellix" w:hAnsi="Gellix"/>
          <w:noProof/>
          <w:color w:val="auto"/>
          <w:sz w:val="22"/>
          <w:szCs w:val="22"/>
        </w:rPr>
      </w:pPr>
    </w:p>
    <w:p w14:paraId="67A00C80" w14:textId="32FB1341" w:rsidR="00E0435E" w:rsidRPr="001444BF" w:rsidRDefault="00E0435E" w:rsidP="00E0435E">
      <w:pPr>
        <w:spacing w:after="0" w:line="360" w:lineRule="auto"/>
        <w:rPr>
          <w:rFonts w:ascii="Gellix" w:hAnsi="Gellix"/>
          <w:b/>
          <w:bCs/>
          <w:noProof/>
          <w:color w:val="auto"/>
          <w:sz w:val="22"/>
          <w:szCs w:val="22"/>
        </w:rPr>
      </w:pPr>
      <w:r w:rsidRPr="001444BF">
        <w:rPr>
          <w:rFonts w:ascii="Gellix" w:hAnsi="Gellix"/>
          <w:b/>
          <w:bCs/>
          <w:noProof/>
          <w:color w:val="auto"/>
          <w:sz w:val="22"/>
          <w:szCs w:val="22"/>
        </w:rPr>
        <w:t xml:space="preserve">Article D6 – Claims regarding components and elements </w:t>
      </w:r>
    </w:p>
    <w:p w14:paraId="25FDA144" w14:textId="62D6BD19" w:rsidR="006601ED" w:rsidRPr="001444BF" w:rsidRDefault="006601ED" w:rsidP="00E0435E">
      <w:pPr>
        <w:pStyle w:val="ListParagraph"/>
        <w:numPr>
          <w:ilvl w:val="0"/>
          <w:numId w:val="17"/>
        </w:numPr>
        <w:spacing w:after="0" w:line="360" w:lineRule="auto"/>
        <w:rPr>
          <w:rFonts w:ascii="Gellix" w:hAnsi="Gellix"/>
          <w:noProof/>
          <w:color w:val="auto"/>
          <w:sz w:val="22"/>
          <w:szCs w:val="22"/>
        </w:rPr>
      </w:pPr>
      <w:r w:rsidRPr="001444BF">
        <w:rPr>
          <w:rFonts w:ascii="Gellix" w:hAnsi="Gellix"/>
          <w:noProof/>
          <w:color w:val="auto"/>
          <w:sz w:val="22"/>
          <w:szCs w:val="22"/>
        </w:rPr>
        <w:t>Move the fourth footnote to the end of th</w:t>
      </w:r>
      <w:r w:rsidR="00660869" w:rsidRPr="001444BF">
        <w:rPr>
          <w:rFonts w:ascii="Gellix" w:hAnsi="Gellix"/>
          <w:noProof/>
          <w:color w:val="auto"/>
          <w:sz w:val="22"/>
          <w:szCs w:val="22"/>
        </w:rPr>
        <w:t xml:space="preserve">e of the sentence. </w:t>
      </w:r>
    </w:p>
    <w:p w14:paraId="6E112770" w14:textId="77777777" w:rsidR="00631179" w:rsidRPr="001444BF" w:rsidRDefault="00631179" w:rsidP="00631179">
      <w:pPr>
        <w:spacing w:after="0" w:line="360" w:lineRule="auto"/>
        <w:rPr>
          <w:rFonts w:ascii="Gellix" w:hAnsi="Gellix"/>
          <w:noProof/>
          <w:color w:val="auto"/>
          <w:sz w:val="22"/>
          <w:szCs w:val="22"/>
        </w:rPr>
      </w:pPr>
    </w:p>
    <w:p w14:paraId="3197CFD4" w14:textId="43F733F7" w:rsidR="00631179" w:rsidRPr="001444BF" w:rsidRDefault="00631179" w:rsidP="00631179">
      <w:pPr>
        <w:spacing w:after="0" w:line="360" w:lineRule="auto"/>
        <w:rPr>
          <w:rFonts w:ascii="Gellix" w:hAnsi="Gellix"/>
          <w:b/>
          <w:bCs/>
          <w:noProof/>
          <w:color w:val="auto"/>
          <w:sz w:val="22"/>
          <w:szCs w:val="22"/>
        </w:rPr>
      </w:pPr>
      <w:r w:rsidRPr="001444BF">
        <w:rPr>
          <w:rFonts w:ascii="Gellix" w:hAnsi="Gellix"/>
          <w:b/>
          <w:bCs/>
          <w:noProof/>
          <w:color w:val="auto"/>
          <w:sz w:val="22"/>
          <w:szCs w:val="22"/>
        </w:rPr>
        <w:t xml:space="preserve">Additional </w:t>
      </w:r>
      <w:r w:rsidR="00647B20" w:rsidRPr="001444BF">
        <w:rPr>
          <w:rFonts w:ascii="Gellix" w:hAnsi="Gellix"/>
          <w:b/>
          <w:bCs/>
          <w:noProof/>
          <w:color w:val="auto"/>
          <w:sz w:val="22"/>
          <w:szCs w:val="22"/>
        </w:rPr>
        <w:t>guid</w:t>
      </w:r>
      <w:r w:rsidR="00647B20">
        <w:rPr>
          <w:rFonts w:ascii="Gellix" w:hAnsi="Gellix"/>
          <w:b/>
          <w:bCs/>
          <w:noProof/>
          <w:color w:val="auto"/>
          <w:sz w:val="22"/>
          <w:szCs w:val="22"/>
        </w:rPr>
        <w:t>a</w:t>
      </w:r>
      <w:r w:rsidR="00647B20" w:rsidRPr="001444BF">
        <w:rPr>
          <w:rFonts w:ascii="Gellix" w:hAnsi="Gellix"/>
          <w:b/>
          <w:bCs/>
          <w:noProof/>
          <w:color w:val="auto"/>
          <w:sz w:val="22"/>
          <w:szCs w:val="22"/>
        </w:rPr>
        <w:t>nce</w:t>
      </w:r>
    </w:p>
    <w:p w14:paraId="79EFAE30" w14:textId="62CF1497" w:rsidR="00457204" w:rsidRDefault="00457204" w:rsidP="00CB62F1">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Consider if this section is needed, since the Framework has been properly introduced already in the Scope and Application section of this chapter. </w:t>
      </w:r>
    </w:p>
    <w:p w14:paraId="0E7F6D82" w14:textId="1FB75B45" w:rsidR="00193299" w:rsidRPr="00CB62F1" w:rsidRDefault="00457204" w:rsidP="00CB62F1">
      <w:pPr>
        <w:pStyle w:val="ListParagraph"/>
        <w:numPr>
          <w:ilvl w:val="0"/>
          <w:numId w:val="17"/>
        </w:numPr>
        <w:spacing w:after="0" w:line="360" w:lineRule="auto"/>
        <w:rPr>
          <w:rFonts w:ascii="Gellix" w:hAnsi="Gellix"/>
          <w:noProof/>
          <w:color w:val="auto"/>
          <w:sz w:val="22"/>
          <w:szCs w:val="22"/>
        </w:rPr>
      </w:pPr>
      <w:r w:rsidRPr="007163EC">
        <w:rPr>
          <w:rFonts w:ascii="Gellix" w:hAnsi="Gellix"/>
          <w:noProof/>
          <w:color w:val="auto"/>
          <w:sz w:val="22"/>
          <w:szCs w:val="22"/>
        </w:rPr>
        <w:t>Th</w:t>
      </w:r>
      <w:r>
        <w:rPr>
          <w:rFonts w:ascii="Gellix" w:hAnsi="Gellix"/>
          <w:noProof/>
          <w:color w:val="auto"/>
          <w:sz w:val="22"/>
          <w:szCs w:val="22"/>
        </w:rPr>
        <w:t>e</w:t>
      </w:r>
      <w:r w:rsidRPr="007163EC">
        <w:rPr>
          <w:rFonts w:ascii="Gellix" w:hAnsi="Gellix"/>
          <w:noProof/>
          <w:color w:val="auto"/>
          <w:sz w:val="22"/>
          <w:szCs w:val="22"/>
        </w:rPr>
        <w:t xml:space="preserve"> </w:t>
      </w:r>
      <w:r w:rsidR="007163EC" w:rsidRPr="007163EC">
        <w:rPr>
          <w:rFonts w:ascii="Gellix" w:hAnsi="Gellix"/>
          <w:noProof/>
          <w:color w:val="auto"/>
          <w:sz w:val="22"/>
          <w:szCs w:val="22"/>
        </w:rPr>
        <w:t>link</w:t>
      </w:r>
      <w:r>
        <w:rPr>
          <w:rFonts w:ascii="Gellix" w:hAnsi="Gellix"/>
          <w:noProof/>
          <w:color w:val="auto"/>
          <w:sz w:val="22"/>
          <w:szCs w:val="22"/>
        </w:rPr>
        <w:t xml:space="preserve"> to </w:t>
      </w:r>
      <w:r w:rsidR="003105AC">
        <w:rPr>
          <w:rFonts w:ascii="Gellix" w:hAnsi="Gellix"/>
          <w:noProof/>
          <w:color w:val="auto"/>
          <w:sz w:val="22"/>
          <w:szCs w:val="22"/>
        </w:rPr>
        <w:t>the C</w:t>
      </w:r>
      <w:r>
        <w:rPr>
          <w:rFonts w:ascii="Gellix" w:hAnsi="Gellix"/>
          <w:noProof/>
          <w:color w:val="auto"/>
          <w:sz w:val="22"/>
          <w:szCs w:val="22"/>
        </w:rPr>
        <w:t>ode</w:t>
      </w:r>
      <w:r w:rsidR="003105AC">
        <w:rPr>
          <w:rFonts w:ascii="Gellix" w:hAnsi="Gellix"/>
          <w:noProof/>
          <w:color w:val="auto"/>
          <w:sz w:val="22"/>
          <w:szCs w:val="22"/>
        </w:rPr>
        <w:t xml:space="preserve"> C</w:t>
      </w:r>
      <w:r>
        <w:rPr>
          <w:rFonts w:ascii="Gellix" w:hAnsi="Gellix"/>
          <w:noProof/>
          <w:color w:val="auto"/>
          <w:sz w:val="22"/>
          <w:szCs w:val="22"/>
        </w:rPr>
        <w:t>entre</w:t>
      </w:r>
      <w:r w:rsidR="007163EC" w:rsidRPr="007163EC">
        <w:rPr>
          <w:rFonts w:ascii="Gellix" w:hAnsi="Gellix"/>
          <w:noProof/>
          <w:color w:val="auto"/>
          <w:sz w:val="22"/>
          <w:szCs w:val="22"/>
        </w:rPr>
        <w:t xml:space="preserve"> is no longer </w:t>
      </w:r>
      <w:r w:rsidR="003105AC">
        <w:rPr>
          <w:rFonts w:ascii="Gellix" w:hAnsi="Gellix"/>
          <w:noProof/>
          <w:color w:val="auto"/>
          <w:sz w:val="22"/>
          <w:szCs w:val="22"/>
        </w:rPr>
        <w:t>owned by the ICC</w:t>
      </w:r>
      <w:r w:rsidR="007163EC" w:rsidRPr="007163EC">
        <w:rPr>
          <w:rFonts w:ascii="Gellix" w:hAnsi="Gellix"/>
          <w:noProof/>
          <w:color w:val="auto"/>
          <w:sz w:val="22"/>
          <w:szCs w:val="22"/>
        </w:rPr>
        <w:t>.</w:t>
      </w:r>
      <w:r w:rsidR="003105AC">
        <w:rPr>
          <w:rFonts w:ascii="Gellix" w:hAnsi="Gellix"/>
          <w:noProof/>
          <w:color w:val="auto"/>
          <w:sz w:val="22"/>
          <w:szCs w:val="22"/>
        </w:rPr>
        <w:t xml:space="preserve"> It refers to an adult-content website.</w:t>
      </w:r>
      <w:r w:rsidR="007163EC" w:rsidRPr="007163EC">
        <w:rPr>
          <w:rFonts w:ascii="Gellix" w:hAnsi="Gellix"/>
          <w:noProof/>
          <w:color w:val="auto"/>
          <w:sz w:val="22"/>
          <w:szCs w:val="22"/>
        </w:rPr>
        <w:t xml:space="preserve"> </w:t>
      </w:r>
      <w:r w:rsidR="007B3E01" w:rsidRPr="001444BF">
        <w:rPr>
          <w:rFonts w:ascii="Gellix" w:hAnsi="Gellix"/>
          <w:noProof/>
          <w:color w:val="auto"/>
          <w:sz w:val="22"/>
          <w:szCs w:val="22"/>
        </w:rPr>
        <w:t xml:space="preserve">Remove the link and refer to the marketing page on the website instead. </w:t>
      </w:r>
    </w:p>
    <w:p w14:paraId="6DCFDF29" w14:textId="77777777" w:rsidR="00193299" w:rsidRDefault="00193299" w:rsidP="00193299">
      <w:pPr>
        <w:spacing w:after="0" w:line="360" w:lineRule="auto"/>
        <w:rPr>
          <w:rFonts w:ascii="Gellix" w:hAnsi="Gellix"/>
          <w:noProof/>
          <w:color w:val="auto"/>
          <w:sz w:val="22"/>
          <w:szCs w:val="22"/>
        </w:rPr>
      </w:pPr>
    </w:p>
    <w:p w14:paraId="55A4A38F" w14:textId="46CE2A1A" w:rsidR="00193299" w:rsidRDefault="00193299" w:rsidP="00193299">
      <w:pPr>
        <w:spacing w:after="0" w:line="360" w:lineRule="auto"/>
        <w:rPr>
          <w:rFonts w:ascii="Gellix" w:hAnsi="Gellix"/>
          <w:noProof/>
          <w:color w:val="auto"/>
          <w:sz w:val="22"/>
          <w:szCs w:val="22"/>
        </w:rPr>
      </w:pPr>
      <w:r>
        <w:rPr>
          <w:rFonts w:ascii="Gellix" w:hAnsi="Gellix"/>
          <w:noProof/>
          <w:color w:val="auto"/>
          <w:sz w:val="22"/>
          <w:szCs w:val="22"/>
        </w:rPr>
        <w:t xml:space="preserve">CHAPTER X: CHILDREN AND TEENS </w:t>
      </w:r>
    </w:p>
    <w:p w14:paraId="2D8045A7" w14:textId="1C6D0402" w:rsidR="00193299" w:rsidRDefault="00193299" w:rsidP="00193299">
      <w:pPr>
        <w:spacing w:after="0" w:line="360" w:lineRule="auto"/>
        <w:rPr>
          <w:rFonts w:ascii="Gellix" w:hAnsi="Gellix"/>
          <w:b/>
          <w:bCs/>
          <w:noProof/>
          <w:color w:val="auto"/>
          <w:sz w:val="22"/>
          <w:szCs w:val="22"/>
        </w:rPr>
      </w:pPr>
      <w:r w:rsidRPr="00CB62F1">
        <w:rPr>
          <w:rFonts w:ascii="Gellix" w:hAnsi="Gellix"/>
          <w:b/>
          <w:bCs/>
          <w:noProof/>
          <w:color w:val="auto"/>
          <w:sz w:val="22"/>
          <w:szCs w:val="22"/>
        </w:rPr>
        <w:t>Introduction</w:t>
      </w:r>
    </w:p>
    <w:p w14:paraId="106997DD" w14:textId="3432305D" w:rsidR="00435422" w:rsidRPr="00335F62" w:rsidRDefault="00435422" w:rsidP="00CB62F1">
      <w:pPr>
        <w:pStyle w:val="ListParagraph"/>
        <w:numPr>
          <w:ilvl w:val="0"/>
          <w:numId w:val="17"/>
        </w:numPr>
        <w:spacing w:after="0" w:line="360" w:lineRule="auto"/>
        <w:rPr>
          <w:rFonts w:ascii="Gellix" w:hAnsi="Gellix"/>
          <w:noProof/>
          <w:color w:val="auto"/>
          <w:sz w:val="22"/>
          <w:szCs w:val="22"/>
        </w:rPr>
      </w:pPr>
      <w:r w:rsidRPr="00CB62F1">
        <w:rPr>
          <w:rFonts w:ascii="Gellix" w:hAnsi="Gellix"/>
          <w:noProof/>
          <w:color w:val="auto"/>
          <w:sz w:val="22"/>
          <w:szCs w:val="22"/>
        </w:rPr>
        <w:t xml:space="preserve">We suggest the following introduction: </w:t>
      </w:r>
      <w:r w:rsidR="00117960">
        <w:rPr>
          <w:rFonts w:ascii="Gellix" w:hAnsi="Gellix"/>
          <w:noProof/>
          <w:color w:val="auto"/>
          <w:sz w:val="22"/>
          <w:szCs w:val="22"/>
        </w:rPr>
        <w:t>“</w:t>
      </w:r>
      <w:r w:rsidR="00335F62" w:rsidRPr="00CB62F1">
        <w:rPr>
          <w:rFonts w:ascii="Gellix" w:hAnsi="Gellix"/>
          <w:noProof/>
          <w:color w:val="auto"/>
          <w:sz w:val="22"/>
          <w:szCs w:val="22"/>
        </w:rPr>
        <w:t>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to marketing communications directed to children or teens. Terms used here have the same meaning as in the General Definitions above, unless stated otherwise.</w:t>
      </w:r>
      <w:r w:rsidR="00117960">
        <w:rPr>
          <w:rFonts w:ascii="Gellix" w:hAnsi="Gellix"/>
          <w:noProof/>
          <w:color w:val="auto"/>
          <w:sz w:val="22"/>
          <w:szCs w:val="22"/>
        </w:rPr>
        <w:t>”</w:t>
      </w:r>
    </w:p>
    <w:p w14:paraId="3228B366" w14:textId="77777777" w:rsidR="00193299" w:rsidRDefault="00193299" w:rsidP="00193299">
      <w:pPr>
        <w:spacing w:after="0" w:line="360" w:lineRule="auto"/>
        <w:rPr>
          <w:rFonts w:ascii="Gellix" w:hAnsi="Gellix"/>
          <w:noProof/>
          <w:color w:val="auto"/>
          <w:sz w:val="22"/>
          <w:szCs w:val="22"/>
        </w:rPr>
      </w:pPr>
    </w:p>
    <w:p w14:paraId="6BDFD477" w14:textId="1A419AA1" w:rsidR="00193299" w:rsidRPr="00CB62F1" w:rsidRDefault="00C312BD" w:rsidP="00193299">
      <w:pPr>
        <w:spacing w:after="0" w:line="360" w:lineRule="auto"/>
        <w:rPr>
          <w:rFonts w:ascii="Gellix" w:hAnsi="Gellix"/>
          <w:b/>
          <w:bCs/>
          <w:noProof/>
          <w:color w:val="auto"/>
          <w:sz w:val="22"/>
          <w:szCs w:val="22"/>
        </w:rPr>
      </w:pPr>
      <w:r w:rsidRPr="00CB62F1">
        <w:rPr>
          <w:rFonts w:ascii="Gellix" w:hAnsi="Gellix"/>
          <w:b/>
          <w:bCs/>
          <w:noProof/>
          <w:color w:val="auto"/>
          <w:sz w:val="22"/>
          <w:szCs w:val="22"/>
        </w:rPr>
        <w:t>Article X1 – General Principles</w:t>
      </w:r>
    </w:p>
    <w:p w14:paraId="3D23EC19" w14:textId="56A0854B" w:rsidR="00C312BD" w:rsidRDefault="00C312BD" w:rsidP="00C312BD">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We suggest to remove the </w:t>
      </w:r>
      <w:r w:rsidR="00C9549A">
        <w:rPr>
          <w:rFonts w:ascii="Gellix" w:hAnsi="Gellix"/>
          <w:noProof/>
          <w:color w:val="auto"/>
          <w:sz w:val="22"/>
          <w:szCs w:val="22"/>
        </w:rPr>
        <w:t>numbering of the paras</w:t>
      </w:r>
      <w:r>
        <w:rPr>
          <w:rFonts w:ascii="Gellix" w:hAnsi="Gellix"/>
          <w:noProof/>
          <w:color w:val="auto"/>
          <w:sz w:val="22"/>
          <w:szCs w:val="22"/>
        </w:rPr>
        <w:t>. If kept, consider us</w:t>
      </w:r>
      <w:r w:rsidR="001619FA">
        <w:rPr>
          <w:rFonts w:ascii="Gellix" w:hAnsi="Gellix"/>
          <w:noProof/>
          <w:color w:val="auto"/>
          <w:sz w:val="22"/>
          <w:szCs w:val="22"/>
        </w:rPr>
        <w:t>ing</w:t>
      </w:r>
      <w:r>
        <w:rPr>
          <w:rFonts w:ascii="Gellix" w:hAnsi="Gellix"/>
          <w:noProof/>
          <w:color w:val="auto"/>
          <w:sz w:val="22"/>
          <w:szCs w:val="22"/>
        </w:rPr>
        <w:t xml:space="preserve"> bullet </w:t>
      </w:r>
      <w:r w:rsidR="00627307">
        <w:rPr>
          <w:rFonts w:ascii="Gellix" w:hAnsi="Gellix"/>
          <w:noProof/>
          <w:color w:val="auto"/>
          <w:sz w:val="22"/>
          <w:szCs w:val="22"/>
        </w:rPr>
        <w:t xml:space="preserve">points to align with the rest of the code. </w:t>
      </w:r>
    </w:p>
    <w:p w14:paraId="51A61B8C" w14:textId="77777777" w:rsidR="008612AD" w:rsidRPr="009827BF" w:rsidRDefault="008612AD" w:rsidP="009827BF">
      <w:pPr>
        <w:spacing w:after="0" w:line="360" w:lineRule="auto"/>
        <w:rPr>
          <w:rFonts w:ascii="Gellix" w:hAnsi="Gellix"/>
          <w:noProof/>
          <w:color w:val="auto"/>
          <w:sz w:val="22"/>
          <w:szCs w:val="22"/>
        </w:rPr>
      </w:pPr>
    </w:p>
    <w:p w14:paraId="218BFF2F" w14:textId="20A41429" w:rsidR="00EB2B48" w:rsidRDefault="00EB2B48" w:rsidP="008612AD">
      <w:pPr>
        <w:spacing w:after="0" w:line="360" w:lineRule="auto"/>
        <w:rPr>
          <w:rFonts w:ascii="Gellix" w:hAnsi="Gellix"/>
          <w:b/>
          <w:bCs/>
          <w:noProof/>
          <w:color w:val="auto"/>
          <w:sz w:val="22"/>
          <w:szCs w:val="22"/>
        </w:rPr>
      </w:pPr>
      <w:r w:rsidRPr="009827BF">
        <w:rPr>
          <w:rFonts w:ascii="Gellix" w:hAnsi="Gellix"/>
          <w:b/>
          <w:bCs/>
          <w:noProof/>
          <w:color w:val="auto"/>
          <w:sz w:val="22"/>
          <w:szCs w:val="22"/>
        </w:rPr>
        <w:t xml:space="preserve">Article X4 </w:t>
      </w:r>
      <w:r w:rsidR="008612AD" w:rsidRPr="009827BF">
        <w:rPr>
          <w:rFonts w:ascii="Gellix" w:hAnsi="Gellix"/>
          <w:b/>
          <w:bCs/>
          <w:noProof/>
          <w:color w:val="auto"/>
          <w:sz w:val="22"/>
          <w:szCs w:val="22"/>
        </w:rPr>
        <w:t>–</w:t>
      </w:r>
      <w:r w:rsidRPr="009827BF">
        <w:rPr>
          <w:rFonts w:ascii="Gellix" w:hAnsi="Gellix"/>
          <w:b/>
          <w:bCs/>
          <w:noProof/>
          <w:color w:val="auto"/>
          <w:sz w:val="22"/>
          <w:szCs w:val="22"/>
        </w:rPr>
        <w:t xml:space="preserve"> </w:t>
      </w:r>
      <w:r w:rsidR="008612AD" w:rsidRPr="009827BF">
        <w:rPr>
          <w:rFonts w:ascii="Gellix" w:hAnsi="Gellix"/>
          <w:b/>
          <w:bCs/>
          <w:noProof/>
          <w:color w:val="auto"/>
          <w:sz w:val="22"/>
          <w:szCs w:val="22"/>
        </w:rPr>
        <w:t>Social values</w:t>
      </w:r>
    </w:p>
    <w:p w14:paraId="39006009" w14:textId="38A96F94" w:rsidR="008612AD" w:rsidRDefault="008612AD" w:rsidP="00995BB5">
      <w:pPr>
        <w:pStyle w:val="ListParagraph"/>
        <w:numPr>
          <w:ilvl w:val="0"/>
          <w:numId w:val="17"/>
        </w:numPr>
        <w:spacing w:after="0" w:line="360" w:lineRule="auto"/>
        <w:rPr>
          <w:rFonts w:ascii="Gellix" w:hAnsi="Gellix"/>
          <w:noProof/>
          <w:color w:val="auto"/>
          <w:sz w:val="22"/>
          <w:szCs w:val="22"/>
        </w:rPr>
      </w:pPr>
      <w:r w:rsidRPr="009827BF">
        <w:rPr>
          <w:rFonts w:ascii="Gellix" w:hAnsi="Gellix"/>
          <w:noProof/>
          <w:color w:val="auto"/>
          <w:sz w:val="22"/>
          <w:szCs w:val="22"/>
        </w:rPr>
        <w:t>In the last para</w:t>
      </w:r>
      <w:r w:rsidR="00D702FF" w:rsidRPr="009827BF">
        <w:rPr>
          <w:rFonts w:ascii="Gellix" w:hAnsi="Gellix"/>
          <w:noProof/>
          <w:color w:val="auto"/>
          <w:sz w:val="22"/>
          <w:szCs w:val="22"/>
        </w:rPr>
        <w:t xml:space="preserve"> regarding the obtaining of permission </w:t>
      </w:r>
      <w:r w:rsidR="008A7697" w:rsidRPr="009827BF">
        <w:rPr>
          <w:rFonts w:ascii="Gellix" w:hAnsi="Gellix"/>
          <w:noProof/>
          <w:color w:val="auto"/>
          <w:sz w:val="22"/>
          <w:szCs w:val="22"/>
        </w:rPr>
        <w:t>of</w:t>
      </w:r>
      <w:r w:rsidR="00D702FF" w:rsidRPr="009827BF">
        <w:rPr>
          <w:rFonts w:ascii="Gellix" w:hAnsi="Gellix"/>
          <w:noProof/>
          <w:color w:val="auto"/>
          <w:sz w:val="22"/>
          <w:szCs w:val="22"/>
        </w:rPr>
        <w:t xml:space="preserve"> a parent, legal guardian or appropriate adult</w:t>
      </w:r>
      <w:r w:rsidR="008A7697" w:rsidRPr="009827BF">
        <w:rPr>
          <w:rFonts w:ascii="Gellix" w:hAnsi="Gellix"/>
          <w:noProof/>
          <w:color w:val="auto"/>
          <w:sz w:val="22"/>
          <w:szCs w:val="22"/>
        </w:rPr>
        <w:t xml:space="preserve">, change “encourage” to “require”. It should not be optional. </w:t>
      </w:r>
    </w:p>
    <w:p w14:paraId="4DC2256B" w14:textId="77777777" w:rsidR="00E24713" w:rsidRPr="009827BF" w:rsidRDefault="00E24713" w:rsidP="009827BF">
      <w:pPr>
        <w:pStyle w:val="ListParagraph"/>
        <w:spacing w:after="0" w:line="360" w:lineRule="auto"/>
        <w:rPr>
          <w:rFonts w:ascii="Gellix" w:hAnsi="Gellix"/>
          <w:noProof/>
          <w:color w:val="auto"/>
          <w:sz w:val="22"/>
          <w:szCs w:val="22"/>
        </w:rPr>
      </w:pPr>
    </w:p>
    <w:p w14:paraId="209F7C56" w14:textId="691DC8AB" w:rsidR="00995BB5" w:rsidRPr="009827BF" w:rsidRDefault="00995BB5" w:rsidP="008612AD">
      <w:pPr>
        <w:spacing w:after="0" w:line="360" w:lineRule="auto"/>
        <w:rPr>
          <w:rFonts w:ascii="Gellix" w:hAnsi="Gellix"/>
          <w:b/>
          <w:bCs/>
          <w:noProof/>
          <w:color w:val="auto"/>
          <w:sz w:val="22"/>
          <w:szCs w:val="22"/>
        </w:rPr>
      </w:pPr>
      <w:r w:rsidRPr="009827BF">
        <w:rPr>
          <w:rFonts w:ascii="Gellix" w:hAnsi="Gellix"/>
          <w:b/>
          <w:bCs/>
          <w:noProof/>
          <w:color w:val="auto"/>
          <w:sz w:val="22"/>
          <w:szCs w:val="22"/>
        </w:rPr>
        <w:t>Article X5 – Children’s personal data</w:t>
      </w:r>
    </w:p>
    <w:p w14:paraId="6CCD9117" w14:textId="01C8F7D0" w:rsidR="00995BB5" w:rsidRPr="009827BF" w:rsidRDefault="00995BB5" w:rsidP="009827BF">
      <w:pPr>
        <w:pStyle w:val="ListParagraph"/>
        <w:numPr>
          <w:ilvl w:val="0"/>
          <w:numId w:val="17"/>
        </w:numPr>
        <w:spacing w:after="0" w:line="360" w:lineRule="auto"/>
        <w:rPr>
          <w:rFonts w:ascii="Gellix" w:hAnsi="Gellix"/>
          <w:noProof/>
          <w:color w:val="auto"/>
          <w:sz w:val="22"/>
          <w:szCs w:val="22"/>
        </w:rPr>
      </w:pPr>
      <w:r>
        <w:rPr>
          <w:rFonts w:ascii="Gellix" w:hAnsi="Gellix"/>
          <w:noProof/>
          <w:color w:val="auto"/>
          <w:sz w:val="22"/>
          <w:szCs w:val="22"/>
        </w:rPr>
        <w:t xml:space="preserve">Align the last two bullets with Art 22 of the GP. Here it says “where consent is needed”, whereas in Art 22, it reads more like a general requirement. </w:t>
      </w:r>
    </w:p>
    <w:p w14:paraId="22DA97B8" w14:textId="77777777" w:rsidR="00995BB5" w:rsidRPr="009827BF" w:rsidRDefault="00995BB5" w:rsidP="009827BF">
      <w:pPr>
        <w:spacing w:after="0" w:line="360" w:lineRule="auto"/>
        <w:rPr>
          <w:rFonts w:ascii="Gellix" w:hAnsi="Gellix"/>
          <w:noProof/>
          <w:color w:val="auto"/>
          <w:sz w:val="22"/>
          <w:szCs w:val="22"/>
        </w:rPr>
      </w:pPr>
    </w:p>
    <w:p w14:paraId="31375BF8" w14:textId="1067B6BC" w:rsidR="00C811A4" w:rsidRPr="00CB62F1" w:rsidRDefault="0001511C" w:rsidP="00CB62F1">
      <w:pPr>
        <w:spacing w:after="0" w:line="360" w:lineRule="auto"/>
        <w:rPr>
          <w:rFonts w:ascii="Gellix" w:hAnsi="Gellix"/>
          <w:noProof/>
          <w:color w:val="auto"/>
          <w:sz w:val="22"/>
          <w:szCs w:val="22"/>
        </w:rPr>
      </w:pPr>
      <w:r w:rsidRPr="00CB62F1">
        <w:rPr>
          <w:rFonts w:ascii="Gellix" w:hAnsi="Gellix"/>
          <w:noProof/>
          <w:color w:val="auto"/>
          <w:sz w:val="22"/>
          <w:szCs w:val="22"/>
        </w:rPr>
        <w:t xml:space="preserve"> </w:t>
      </w:r>
    </w:p>
    <w:sectPr w:rsidR="00C811A4" w:rsidRPr="00CB62F1" w:rsidSect="00180CFE">
      <w:headerReference w:type="even" r:id="rId11"/>
      <w:footerReference w:type="even" r:id="rId12"/>
      <w:headerReference w:type="first" r:id="rId13"/>
      <w:footerReference w:type="first" r:id="rId14"/>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A6F55" w14:textId="77777777" w:rsidR="00180CFE" w:rsidRDefault="00180CFE" w:rsidP="000222B2">
      <w:r>
        <w:separator/>
      </w:r>
    </w:p>
    <w:p w14:paraId="522DD14A" w14:textId="77777777" w:rsidR="00180CFE" w:rsidRDefault="00180CFE" w:rsidP="000222B2"/>
    <w:p w14:paraId="42C2F3AD" w14:textId="77777777" w:rsidR="00180CFE" w:rsidRDefault="00180CFE" w:rsidP="000222B2"/>
    <w:p w14:paraId="4C0B0DFC" w14:textId="77777777" w:rsidR="00180CFE" w:rsidRDefault="00180CFE" w:rsidP="000222B2"/>
    <w:p w14:paraId="5F246A17" w14:textId="77777777" w:rsidR="00180CFE" w:rsidRDefault="00180CFE" w:rsidP="000222B2"/>
    <w:p w14:paraId="1306E3A1" w14:textId="77777777" w:rsidR="00180CFE" w:rsidRDefault="00180CFE" w:rsidP="000222B2"/>
  </w:endnote>
  <w:endnote w:type="continuationSeparator" w:id="0">
    <w:p w14:paraId="505FA8DC" w14:textId="77777777" w:rsidR="00180CFE" w:rsidRDefault="00180CFE" w:rsidP="000222B2">
      <w:r>
        <w:continuationSeparator/>
      </w:r>
    </w:p>
    <w:p w14:paraId="00DDEC92" w14:textId="77777777" w:rsidR="00180CFE" w:rsidRDefault="00180CFE" w:rsidP="000222B2"/>
    <w:p w14:paraId="5CC95F0D" w14:textId="77777777" w:rsidR="00180CFE" w:rsidRDefault="00180CFE" w:rsidP="000222B2"/>
    <w:p w14:paraId="3450508A" w14:textId="77777777" w:rsidR="00180CFE" w:rsidRDefault="00180CFE" w:rsidP="000222B2"/>
    <w:p w14:paraId="082E82C5" w14:textId="77777777" w:rsidR="00180CFE" w:rsidRDefault="00180CFE" w:rsidP="000222B2"/>
    <w:p w14:paraId="7B5B81BA" w14:textId="77777777" w:rsidR="00180CFE" w:rsidRDefault="00180CFE" w:rsidP="000222B2"/>
  </w:endnote>
  <w:endnote w:type="continuationNotice" w:id="1">
    <w:p w14:paraId="2EAF123B" w14:textId="77777777" w:rsidR="00180CFE" w:rsidRDefault="00180C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altName w:val="Calibri"/>
    <w:charset w:val="4D"/>
    <w:family w:val="auto"/>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regular">
    <w:panose1 w:val="00000000000000000000"/>
    <w:charset w:val="00"/>
    <w:family w:val="roman"/>
    <w:notTrueType/>
    <w:pitch w:val="default"/>
  </w:font>
  <w:font w:name="Gotham Medium">
    <w:altName w:val="Calibri"/>
    <w:charset w:val="00"/>
    <w:family w:val="auto"/>
    <w:notTrueType/>
    <w:pitch w:val="variable"/>
    <w:sig w:usb0="A00002FF" w:usb1="4000005B" w:usb2="00000000" w:usb3="00000000" w:csb0="0000009F" w:csb1="00000000"/>
  </w:font>
  <w:font w:name="MinionPro-Regular">
    <w:charset w:val="4D"/>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EndPr>
      <w:rPr>
        <w:rStyle w:val="PageNumber"/>
      </w:rPr>
    </w:sdtEndPr>
    <w:sdtContent>
      <w:p w14:paraId="1516123D" w14:textId="77777777"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0AC66862" w14:textId="77777777"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789F303F" w14:textId="77777777" w:rsidR="00A83441" w:rsidRDefault="00A83441" w:rsidP="000222B2"/>
  <w:p w14:paraId="0E0AC704" w14:textId="77777777" w:rsidR="00713BED" w:rsidRDefault="00713BED" w:rsidP="000222B2"/>
  <w:p w14:paraId="4E81AE1B" w14:textId="77777777" w:rsidR="00713BED" w:rsidRDefault="00713BED" w:rsidP="000222B2"/>
  <w:p w14:paraId="600130DA" w14:textId="77777777" w:rsidR="004D071C" w:rsidRDefault="004D071C" w:rsidP="000222B2"/>
  <w:p w14:paraId="28BBFC61" w14:textId="77777777" w:rsidR="004D071C" w:rsidRDefault="004D071C" w:rsidP="000222B2"/>
  <w:p w14:paraId="4ECDDF44"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5867"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proofErr w:type="spellStart"/>
    <w:r>
      <w:rPr>
        <w:sz w:val="16"/>
        <w:szCs w:val="16"/>
      </w:rPr>
      <w:t>Storgatan</w:t>
    </w:r>
    <w:proofErr w:type="spellEnd"/>
    <w:r>
      <w:rPr>
        <w:sz w:val="16"/>
        <w:szCs w:val="16"/>
      </w:rPr>
      <w:t xml:space="preserve"> 19, 114 51 Stockholm</w:t>
    </w:r>
  </w:p>
  <w:p w14:paraId="45DF3CE9" w14:textId="77777777" w:rsidR="00854E38" w:rsidRPr="009C63BD" w:rsidRDefault="00854E38" w:rsidP="00854E38">
    <w:pPr>
      <w:spacing w:line="276" w:lineRule="auto"/>
      <w:rPr>
        <w:sz w:val="16"/>
        <w:szCs w:val="16"/>
      </w:rPr>
    </w:pPr>
    <w:r>
      <w:rPr>
        <w:sz w:val="16"/>
        <w:szCs w:val="16"/>
      </w:rPr>
      <w:t>+46 (0)8 </w:t>
    </w:r>
    <w:proofErr w:type="gramStart"/>
    <w:r>
      <w:rPr>
        <w:sz w:val="16"/>
        <w:szCs w:val="16"/>
      </w:rPr>
      <w:t>440  89</w:t>
    </w:r>
    <w:proofErr w:type="gramEnd"/>
    <w:r>
      <w:rPr>
        <w:sz w:val="16"/>
        <w:szCs w:val="16"/>
      </w:rPr>
      <w:t xml:space="preserve">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20309A27"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B25C" w14:textId="77777777" w:rsidR="00180CFE" w:rsidRDefault="00180CFE" w:rsidP="000222B2">
      <w:r>
        <w:separator/>
      </w:r>
    </w:p>
    <w:p w14:paraId="22762C72" w14:textId="77777777" w:rsidR="00180CFE" w:rsidRDefault="00180CFE" w:rsidP="000222B2"/>
    <w:p w14:paraId="2A93CDA8" w14:textId="77777777" w:rsidR="00180CFE" w:rsidRDefault="00180CFE" w:rsidP="000222B2"/>
    <w:p w14:paraId="0345815F" w14:textId="77777777" w:rsidR="00180CFE" w:rsidRDefault="00180CFE" w:rsidP="000222B2"/>
    <w:p w14:paraId="1C80DD19" w14:textId="77777777" w:rsidR="00180CFE" w:rsidRDefault="00180CFE" w:rsidP="000222B2"/>
    <w:p w14:paraId="16AEDBC8" w14:textId="77777777" w:rsidR="00180CFE" w:rsidRDefault="00180CFE" w:rsidP="000222B2"/>
  </w:footnote>
  <w:footnote w:type="continuationSeparator" w:id="0">
    <w:p w14:paraId="1DE7B870" w14:textId="77777777" w:rsidR="00180CFE" w:rsidRDefault="00180CFE" w:rsidP="000222B2">
      <w:r>
        <w:continuationSeparator/>
      </w:r>
    </w:p>
    <w:p w14:paraId="5D9B5104" w14:textId="77777777" w:rsidR="00180CFE" w:rsidRDefault="00180CFE" w:rsidP="000222B2"/>
    <w:p w14:paraId="2A7FE65D" w14:textId="77777777" w:rsidR="00180CFE" w:rsidRDefault="00180CFE" w:rsidP="000222B2"/>
    <w:p w14:paraId="07B54472" w14:textId="77777777" w:rsidR="00180CFE" w:rsidRDefault="00180CFE" w:rsidP="000222B2"/>
    <w:p w14:paraId="500F87E7" w14:textId="77777777" w:rsidR="00180CFE" w:rsidRDefault="00180CFE" w:rsidP="000222B2"/>
    <w:p w14:paraId="7EDD957C" w14:textId="77777777" w:rsidR="00180CFE" w:rsidRDefault="00180CFE" w:rsidP="000222B2"/>
  </w:footnote>
  <w:footnote w:type="continuationNotice" w:id="1">
    <w:p w14:paraId="04CAD9DD" w14:textId="77777777" w:rsidR="00180CFE" w:rsidRDefault="00180C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7BC5" w14:textId="77777777" w:rsidR="00155E25" w:rsidRDefault="00155E25" w:rsidP="000222B2">
    <w:pPr>
      <w:pStyle w:val="Header"/>
    </w:pPr>
  </w:p>
  <w:p w14:paraId="099B0E56" w14:textId="77777777" w:rsidR="004D071C" w:rsidRDefault="004D071C" w:rsidP="000222B2"/>
  <w:p w14:paraId="1C819D96" w14:textId="77777777" w:rsidR="004D071C" w:rsidRDefault="004D071C" w:rsidP="000222B2"/>
  <w:p w14:paraId="33873AA4"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072B" w14:textId="77777777" w:rsidR="00713BED" w:rsidRDefault="00713BED" w:rsidP="00833DE3"/>
  <w:p w14:paraId="74E3D542" w14:textId="77777777" w:rsidR="00240027" w:rsidRDefault="00240027" w:rsidP="00833DE3">
    <w:r>
      <w:br/>
    </w:r>
  </w:p>
  <w:p w14:paraId="6379409B"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003C7EBD" wp14:editId="2BD6B848">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6459C1"/>
    <w:multiLevelType w:val="hybridMultilevel"/>
    <w:tmpl w:val="EA08CFA2"/>
    <w:lvl w:ilvl="0" w:tplc="CEE606D8">
      <w:start w:val="2"/>
      <w:numFmt w:val="bullet"/>
      <w:lvlText w:val="-"/>
      <w:lvlJc w:val="left"/>
      <w:pPr>
        <w:ind w:left="720" w:hanging="360"/>
      </w:pPr>
      <w:rPr>
        <w:rFonts w:ascii="Gellix" w:eastAsia="ヒラギノ角ゴ Pro W3" w:hAnsi="Gellix"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362C6"/>
    <w:multiLevelType w:val="hybridMultilevel"/>
    <w:tmpl w:val="677EE404"/>
    <w:lvl w:ilvl="0" w:tplc="7512ADF6">
      <w:start w:val="2024"/>
      <w:numFmt w:val="bullet"/>
      <w:lvlText w:val="-"/>
      <w:lvlJc w:val="left"/>
      <w:pPr>
        <w:ind w:left="720" w:hanging="360"/>
      </w:pPr>
      <w:rPr>
        <w:rFonts w:ascii="Gellix" w:eastAsia="ヒラギノ角ゴ Pro W3" w:hAnsi="Gellix"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1"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3"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4"/>
  </w:num>
  <w:num w:numId="2" w16cid:durableId="635992341">
    <w:abstractNumId w:val="13"/>
  </w:num>
  <w:num w:numId="3" w16cid:durableId="2048794710">
    <w:abstractNumId w:val="11"/>
  </w:num>
  <w:num w:numId="4" w16cid:durableId="1829708508">
    <w:abstractNumId w:val="10"/>
  </w:num>
  <w:num w:numId="5" w16cid:durableId="435175558">
    <w:abstractNumId w:val="12"/>
  </w:num>
  <w:num w:numId="6" w16cid:durableId="1439636879">
    <w:abstractNumId w:val="7"/>
  </w:num>
  <w:num w:numId="7" w16cid:durableId="1797213110">
    <w:abstractNumId w:val="2"/>
  </w:num>
  <w:num w:numId="8" w16cid:durableId="2114587002">
    <w:abstractNumId w:val="6"/>
  </w:num>
  <w:num w:numId="9" w16cid:durableId="968777797">
    <w:abstractNumId w:val="10"/>
    <w:lvlOverride w:ilvl="0">
      <w:startOverride w:val="1"/>
    </w:lvlOverride>
  </w:num>
  <w:num w:numId="10" w16cid:durableId="603415736">
    <w:abstractNumId w:val="16"/>
  </w:num>
  <w:num w:numId="11" w16cid:durableId="783114883">
    <w:abstractNumId w:val="4"/>
  </w:num>
  <w:num w:numId="12" w16cid:durableId="68625500">
    <w:abstractNumId w:val="5"/>
  </w:num>
  <w:num w:numId="13" w16cid:durableId="758218543">
    <w:abstractNumId w:val="0"/>
  </w:num>
  <w:num w:numId="14" w16cid:durableId="418672943">
    <w:abstractNumId w:val="9"/>
  </w:num>
  <w:num w:numId="15" w16cid:durableId="357968599">
    <w:abstractNumId w:val="15"/>
  </w:num>
  <w:num w:numId="16" w16cid:durableId="1632710449">
    <w:abstractNumId w:val="1"/>
  </w:num>
  <w:num w:numId="17" w16cid:durableId="792286735">
    <w:abstractNumId w:val="8"/>
  </w:num>
  <w:num w:numId="18" w16cid:durableId="721364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04"/>
    <w:rsid w:val="0000085E"/>
    <w:rsid w:val="00005B26"/>
    <w:rsid w:val="00005FE1"/>
    <w:rsid w:val="0001301C"/>
    <w:rsid w:val="0001511C"/>
    <w:rsid w:val="00015B9A"/>
    <w:rsid w:val="00020BE4"/>
    <w:rsid w:val="000222B2"/>
    <w:rsid w:val="00025D1F"/>
    <w:rsid w:val="00025E29"/>
    <w:rsid w:val="00027564"/>
    <w:rsid w:val="00031842"/>
    <w:rsid w:val="00031E2C"/>
    <w:rsid w:val="00033B5D"/>
    <w:rsid w:val="0003494A"/>
    <w:rsid w:val="00056AE6"/>
    <w:rsid w:val="00057873"/>
    <w:rsid w:val="000624DD"/>
    <w:rsid w:val="00066853"/>
    <w:rsid w:val="00066E2E"/>
    <w:rsid w:val="00066FB3"/>
    <w:rsid w:val="000731F6"/>
    <w:rsid w:val="00073C9B"/>
    <w:rsid w:val="00076260"/>
    <w:rsid w:val="000804A3"/>
    <w:rsid w:val="00081CF0"/>
    <w:rsid w:val="00083AD1"/>
    <w:rsid w:val="00090CD6"/>
    <w:rsid w:val="0009104F"/>
    <w:rsid w:val="0009106C"/>
    <w:rsid w:val="00092B41"/>
    <w:rsid w:val="000940D9"/>
    <w:rsid w:val="000A3105"/>
    <w:rsid w:val="000B0ADC"/>
    <w:rsid w:val="000B46FC"/>
    <w:rsid w:val="000C2AE0"/>
    <w:rsid w:val="000C30D2"/>
    <w:rsid w:val="000D14D9"/>
    <w:rsid w:val="000D49B7"/>
    <w:rsid w:val="000E2DBE"/>
    <w:rsid w:val="000E33A2"/>
    <w:rsid w:val="000E3EFB"/>
    <w:rsid w:val="000E6135"/>
    <w:rsid w:val="000E6F97"/>
    <w:rsid w:val="000F4B12"/>
    <w:rsid w:val="00100A48"/>
    <w:rsid w:val="001038D2"/>
    <w:rsid w:val="00105633"/>
    <w:rsid w:val="001068A9"/>
    <w:rsid w:val="001111BB"/>
    <w:rsid w:val="00112A3E"/>
    <w:rsid w:val="0011614F"/>
    <w:rsid w:val="001167E2"/>
    <w:rsid w:val="00117791"/>
    <w:rsid w:val="00117960"/>
    <w:rsid w:val="00121CDD"/>
    <w:rsid w:val="0012295E"/>
    <w:rsid w:val="00135A76"/>
    <w:rsid w:val="00135CA4"/>
    <w:rsid w:val="00136F6B"/>
    <w:rsid w:val="001432B7"/>
    <w:rsid w:val="001444BF"/>
    <w:rsid w:val="00150573"/>
    <w:rsid w:val="00153406"/>
    <w:rsid w:val="00155E25"/>
    <w:rsid w:val="001619FA"/>
    <w:rsid w:val="00161D7C"/>
    <w:rsid w:val="00162B26"/>
    <w:rsid w:val="00164D7E"/>
    <w:rsid w:val="00167A50"/>
    <w:rsid w:val="00170CE2"/>
    <w:rsid w:val="00170E8D"/>
    <w:rsid w:val="00180CFE"/>
    <w:rsid w:val="00182256"/>
    <w:rsid w:val="00185CDE"/>
    <w:rsid w:val="00185D6E"/>
    <w:rsid w:val="00186FE9"/>
    <w:rsid w:val="001871CC"/>
    <w:rsid w:val="00191910"/>
    <w:rsid w:val="00193299"/>
    <w:rsid w:val="001934A3"/>
    <w:rsid w:val="00194940"/>
    <w:rsid w:val="0019639E"/>
    <w:rsid w:val="001C3083"/>
    <w:rsid w:val="001C30D7"/>
    <w:rsid w:val="001C678A"/>
    <w:rsid w:val="001D001D"/>
    <w:rsid w:val="001D1167"/>
    <w:rsid w:val="001D13F7"/>
    <w:rsid w:val="001D373D"/>
    <w:rsid w:val="001E0D4A"/>
    <w:rsid w:val="001E4FDB"/>
    <w:rsid w:val="001E7B2A"/>
    <w:rsid w:val="001F1DBB"/>
    <w:rsid w:val="001F3488"/>
    <w:rsid w:val="001F387D"/>
    <w:rsid w:val="00200339"/>
    <w:rsid w:val="00202AF6"/>
    <w:rsid w:val="00202DA5"/>
    <w:rsid w:val="00203D45"/>
    <w:rsid w:val="00210280"/>
    <w:rsid w:val="00210D94"/>
    <w:rsid w:val="0021386A"/>
    <w:rsid w:val="0021453F"/>
    <w:rsid w:val="002169CB"/>
    <w:rsid w:val="00220931"/>
    <w:rsid w:val="00225DDC"/>
    <w:rsid w:val="00233F14"/>
    <w:rsid w:val="00240027"/>
    <w:rsid w:val="002400A4"/>
    <w:rsid w:val="00243B70"/>
    <w:rsid w:val="00250AB9"/>
    <w:rsid w:val="00263B1F"/>
    <w:rsid w:val="00265BAB"/>
    <w:rsid w:val="0026785D"/>
    <w:rsid w:val="00270284"/>
    <w:rsid w:val="00274109"/>
    <w:rsid w:val="0027423C"/>
    <w:rsid w:val="00276BA1"/>
    <w:rsid w:val="002771C7"/>
    <w:rsid w:val="00280347"/>
    <w:rsid w:val="00281207"/>
    <w:rsid w:val="00284831"/>
    <w:rsid w:val="00285613"/>
    <w:rsid w:val="0028573F"/>
    <w:rsid w:val="00294CAA"/>
    <w:rsid w:val="00295EA5"/>
    <w:rsid w:val="00297294"/>
    <w:rsid w:val="002A64A3"/>
    <w:rsid w:val="002A70D9"/>
    <w:rsid w:val="002B413F"/>
    <w:rsid w:val="002B5995"/>
    <w:rsid w:val="002C70CF"/>
    <w:rsid w:val="002E0FAE"/>
    <w:rsid w:val="002E230A"/>
    <w:rsid w:val="002E31D7"/>
    <w:rsid w:val="002E7D05"/>
    <w:rsid w:val="002F59F1"/>
    <w:rsid w:val="002F5AA4"/>
    <w:rsid w:val="002F79EA"/>
    <w:rsid w:val="00300E8C"/>
    <w:rsid w:val="0030526C"/>
    <w:rsid w:val="003077F8"/>
    <w:rsid w:val="003105AC"/>
    <w:rsid w:val="00324CEE"/>
    <w:rsid w:val="00324DD6"/>
    <w:rsid w:val="00325812"/>
    <w:rsid w:val="00325F18"/>
    <w:rsid w:val="00331899"/>
    <w:rsid w:val="003321CD"/>
    <w:rsid w:val="00334FE0"/>
    <w:rsid w:val="00335F62"/>
    <w:rsid w:val="003407FB"/>
    <w:rsid w:val="00340A8F"/>
    <w:rsid w:val="00343EB5"/>
    <w:rsid w:val="00345BBA"/>
    <w:rsid w:val="0035342B"/>
    <w:rsid w:val="003637FD"/>
    <w:rsid w:val="00367115"/>
    <w:rsid w:val="0037150D"/>
    <w:rsid w:val="00372ED9"/>
    <w:rsid w:val="0038466C"/>
    <w:rsid w:val="00385D56"/>
    <w:rsid w:val="00385FC7"/>
    <w:rsid w:val="0039334F"/>
    <w:rsid w:val="003A2696"/>
    <w:rsid w:val="003A2D6C"/>
    <w:rsid w:val="003A4365"/>
    <w:rsid w:val="003A4AFA"/>
    <w:rsid w:val="003B2765"/>
    <w:rsid w:val="003B49DA"/>
    <w:rsid w:val="003C43E7"/>
    <w:rsid w:val="003C4D6B"/>
    <w:rsid w:val="003C5FE2"/>
    <w:rsid w:val="003C7D63"/>
    <w:rsid w:val="003D1B0C"/>
    <w:rsid w:val="003D4828"/>
    <w:rsid w:val="003E4C3E"/>
    <w:rsid w:val="003E5488"/>
    <w:rsid w:val="003E659C"/>
    <w:rsid w:val="003F5625"/>
    <w:rsid w:val="00401981"/>
    <w:rsid w:val="00404586"/>
    <w:rsid w:val="00406C5D"/>
    <w:rsid w:val="00411DCE"/>
    <w:rsid w:val="004139C4"/>
    <w:rsid w:val="00420E67"/>
    <w:rsid w:val="0042225E"/>
    <w:rsid w:val="00422417"/>
    <w:rsid w:val="00424223"/>
    <w:rsid w:val="00425558"/>
    <w:rsid w:val="004277DD"/>
    <w:rsid w:val="004321B9"/>
    <w:rsid w:val="0043253F"/>
    <w:rsid w:val="00435422"/>
    <w:rsid w:val="004358DE"/>
    <w:rsid w:val="00441850"/>
    <w:rsid w:val="004421DD"/>
    <w:rsid w:val="0044286F"/>
    <w:rsid w:val="00443AD5"/>
    <w:rsid w:val="00447E8F"/>
    <w:rsid w:val="00451115"/>
    <w:rsid w:val="00453863"/>
    <w:rsid w:val="00455079"/>
    <w:rsid w:val="0045547F"/>
    <w:rsid w:val="00457204"/>
    <w:rsid w:val="00457BDE"/>
    <w:rsid w:val="00460DD1"/>
    <w:rsid w:val="00471979"/>
    <w:rsid w:val="004733A1"/>
    <w:rsid w:val="00473544"/>
    <w:rsid w:val="004753E8"/>
    <w:rsid w:val="004769BB"/>
    <w:rsid w:val="0047741A"/>
    <w:rsid w:val="0048226B"/>
    <w:rsid w:val="004900AE"/>
    <w:rsid w:val="004901B1"/>
    <w:rsid w:val="004917D8"/>
    <w:rsid w:val="004923C4"/>
    <w:rsid w:val="004A4BE4"/>
    <w:rsid w:val="004B06ED"/>
    <w:rsid w:val="004B2579"/>
    <w:rsid w:val="004B280F"/>
    <w:rsid w:val="004B2CB5"/>
    <w:rsid w:val="004B7677"/>
    <w:rsid w:val="004B780C"/>
    <w:rsid w:val="004B7EFE"/>
    <w:rsid w:val="004C135E"/>
    <w:rsid w:val="004C556C"/>
    <w:rsid w:val="004C5696"/>
    <w:rsid w:val="004C73E6"/>
    <w:rsid w:val="004D071C"/>
    <w:rsid w:val="004D6E9B"/>
    <w:rsid w:val="004E3C5C"/>
    <w:rsid w:val="004F5470"/>
    <w:rsid w:val="00502E89"/>
    <w:rsid w:val="00504BEB"/>
    <w:rsid w:val="00504E87"/>
    <w:rsid w:val="00506A06"/>
    <w:rsid w:val="00516255"/>
    <w:rsid w:val="005212F2"/>
    <w:rsid w:val="00527A46"/>
    <w:rsid w:val="005404F4"/>
    <w:rsid w:val="005428D3"/>
    <w:rsid w:val="005507AF"/>
    <w:rsid w:val="00551F5A"/>
    <w:rsid w:val="0055363F"/>
    <w:rsid w:val="005553E4"/>
    <w:rsid w:val="00556DA0"/>
    <w:rsid w:val="0056385B"/>
    <w:rsid w:val="005707B6"/>
    <w:rsid w:val="00571AD1"/>
    <w:rsid w:val="00574968"/>
    <w:rsid w:val="00580B5B"/>
    <w:rsid w:val="00587F9C"/>
    <w:rsid w:val="005941C8"/>
    <w:rsid w:val="005968D5"/>
    <w:rsid w:val="0059757C"/>
    <w:rsid w:val="005A3059"/>
    <w:rsid w:val="005A419B"/>
    <w:rsid w:val="005A644E"/>
    <w:rsid w:val="005B188E"/>
    <w:rsid w:val="005B2476"/>
    <w:rsid w:val="005B5C2D"/>
    <w:rsid w:val="005B6307"/>
    <w:rsid w:val="005B6593"/>
    <w:rsid w:val="005D4128"/>
    <w:rsid w:val="005D6F6D"/>
    <w:rsid w:val="005E0323"/>
    <w:rsid w:val="005E1D8C"/>
    <w:rsid w:val="005E5255"/>
    <w:rsid w:val="005E64DF"/>
    <w:rsid w:val="00601A18"/>
    <w:rsid w:val="00602E20"/>
    <w:rsid w:val="00617BDC"/>
    <w:rsid w:val="00622006"/>
    <w:rsid w:val="0062313F"/>
    <w:rsid w:val="00627307"/>
    <w:rsid w:val="00631179"/>
    <w:rsid w:val="00636AA9"/>
    <w:rsid w:val="00641984"/>
    <w:rsid w:val="0064424E"/>
    <w:rsid w:val="0064672D"/>
    <w:rsid w:val="00646CFA"/>
    <w:rsid w:val="00647B20"/>
    <w:rsid w:val="00657ABB"/>
    <w:rsid w:val="006601ED"/>
    <w:rsid w:val="00660869"/>
    <w:rsid w:val="00663B1F"/>
    <w:rsid w:val="006851FC"/>
    <w:rsid w:val="0068656D"/>
    <w:rsid w:val="00691AF1"/>
    <w:rsid w:val="006A03A1"/>
    <w:rsid w:val="006A5618"/>
    <w:rsid w:val="006A680B"/>
    <w:rsid w:val="006A7F96"/>
    <w:rsid w:val="006B2ADE"/>
    <w:rsid w:val="006B3750"/>
    <w:rsid w:val="006B4096"/>
    <w:rsid w:val="006B6976"/>
    <w:rsid w:val="006B6CBB"/>
    <w:rsid w:val="006B7D26"/>
    <w:rsid w:val="006C09D2"/>
    <w:rsid w:val="006D03FA"/>
    <w:rsid w:val="006D1CCD"/>
    <w:rsid w:val="006D376A"/>
    <w:rsid w:val="006D4158"/>
    <w:rsid w:val="006D72B4"/>
    <w:rsid w:val="006E08EE"/>
    <w:rsid w:val="006E33B2"/>
    <w:rsid w:val="006E7130"/>
    <w:rsid w:val="006E7C8A"/>
    <w:rsid w:val="006F2109"/>
    <w:rsid w:val="006F6E99"/>
    <w:rsid w:val="00701973"/>
    <w:rsid w:val="00702239"/>
    <w:rsid w:val="00713BED"/>
    <w:rsid w:val="007163EC"/>
    <w:rsid w:val="0071712D"/>
    <w:rsid w:val="007202D1"/>
    <w:rsid w:val="00732577"/>
    <w:rsid w:val="007353CC"/>
    <w:rsid w:val="007407A2"/>
    <w:rsid w:val="00740988"/>
    <w:rsid w:val="00746A66"/>
    <w:rsid w:val="00747C4A"/>
    <w:rsid w:val="007509F3"/>
    <w:rsid w:val="00751B80"/>
    <w:rsid w:val="00756101"/>
    <w:rsid w:val="00774484"/>
    <w:rsid w:val="007753BF"/>
    <w:rsid w:val="00780276"/>
    <w:rsid w:val="00781468"/>
    <w:rsid w:val="0078704E"/>
    <w:rsid w:val="00787216"/>
    <w:rsid w:val="00790FC7"/>
    <w:rsid w:val="007A6F0E"/>
    <w:rsid w:val="007A7488"/>
    <w:rsid w:val="007A7755"/>
    <w:rsid w:val="007B1058"/>
    <w:rsid w:val="007B152B"/>
    <w:rsid w:val="007B3E01"/>
    <w:rsid w:val="007B4197"/>
    <w:rsid w:val="007B5B65"/>
    <w:rsid w:val="007B7D53"/>
    <w:rsid w:val="007B7E6C"/>
    <w:rsid w:val="007C0CE2"/>
    <w:rsid w:val="007C263A"/>
    <w:rsid w:val="007C6B45"/>
    <w:rsid w:val="007C741C"/>
    <w:rsid w:val="007D00BE"/>
    <w:rsid w:val="007D0530"/>
    <w:rsid w:val="007D0BCB"/>
    <w:rsid w:val="007D1F1D"/>
    <w:rsid w:val="007D2D44"/>
    <w:rsid w:val="007D4EF0"/>
    <w:rsid w:val="007E0093"/>
    <w:rsid w:val="007E3EEE"/>
    <w:rsid w:val="007E43E3"/>
    <w:rsid w:val="007E5A09"/>
    <w:rsid w:val="007E730C"/>
    <w:rsid w:val="007E762B"/>
    <w:rsid w:val="007F041C"/>
    <w:rsid w:val="007F120F"/>
    <w:rsid w:val="007F7060"/>
    <w:rsid w:val="00802468"/>
    <w:rsid w:val="008070AD"/>
    <w:rsid w:val="008073B5"/>
    <w:rsid w:val="0081173F"/>
    <w:rsid w:val="008120EF"/>
    <w:rsid w:val="008200E2"/>
    <w:rsid w:val="0082383A"/>
    <w:rsid w:val="0083224C"/>
    <w:rsid w:val="00833DE3"/>
    <w:rsid w:val="00840B04"/>
    <w:rsid w:val="00841BC9"/>
    <w:rsid w:val="008449DA"/>
    <w:rsid w:val="00847619"/>
    <w:rsid w:val="00854E38"/>
    <w:rsid w:val="00855839"/>
    <w:rsid w:val="008612AD"/>
    <w:rsid w:val="00866B80"/>
    <w:rsid w:val="00867D39"/>
    <w:rsid w:val="00870D09"/>
    <w:rsid w:val="008739E3"/>
    <w:rsid w:val="00875AD8"/>
    <w:rsid w:val="008761F4"/>
    <w:rsid w:val="00880752"/>
    <w:rsid w:val="0088136A"/>
    <w:rsid w:val="00885DF1"/>
    <w:rsid w:val="00887849"/>
    <w:rsid w:val="008933FA"/>
    <w:rsid w:val="00894761"/>
    <w:rsid w:val="00897133"/>
    <w:rsid w:val="00897AFC"/>
    <w:rsid w:val="008A0B54"/>
    <w:rsid w:val="008A1536"/>
    <w:rsid w:val="008A7253"/>
    <w:rsid w:val="008A7697"/>
    <w:rsid w:val="008B0979"/>
    <w:rsid w:val="008B6DA3"/>
    <w:rsid w:val="008B6F92"/>
    <w:rsid w:val="008C7234"/>
    <w:rsid w:val="008C7CFE"/>
    <w:rsid w:val="008D0750"/>
    <w:rsid w:val="008D0A62"/>
    <w:rsid w:val="008D1F56"/>
    <w:rsid w:val="008E2972"/>
    <w:rsid w:val="008E4363"/>
    <w:rsid w:val="008F4CA6"/>
    <w:rsid w:val="008F7BB2"/>
    <w:rsid w:val="0090626B"/>
    <w:rsid w:val="00907CAC"/>
    <w:rsid w:val="009138F5"/>
    <w:rsid w:val="00917590"/>
    <w:rsid w:val="0092130C"/>
    <w:rsid w:val="0092267A"/>
    <w:rsid w:val="009239FB"/>
    <w:rsid w:val="009245B4"/>
    <w:rsid w:val="00926781"/>
    <w:rsid w:val="00934723"/>
    <w:rsid w:val="009428C6"/>
    <w:rsid w:val="009429AB"/>
    <w:rsid w:val="00945FD7"/>
    <w:rsid w:val="00947B8D"/>
    <w:rsid w:val="00956786"/>
    <w:rsid w:val="009652DD"/>
    <w:rsid w:val="00973404"/>
    <w:rsid w:val="00981D39"/>
    <w:rsid w:val="009827BF"/>
    <w:rsid w:val="009871EF"/>
    <w:rsid w:val="00995BB5"/>
    <w:rsid w:val="00997DC0"/>
    <w:rsid w:val="009A14A7"/>
    <w:rsid w:val="009A1B4C"/>
    <w:rsid w:val="009A5D45"/>
    <w:rsid w:val="009A7349"/>
    <w:rsid w:val="009A7998"/>
    <w:rsid w:val="009B0E91"/>
    <w:rsid w:val="009B3470"/>
    <w:rsid w:val="009B39E8"/>
    <w:rsid w:val="009C4882"/>
    <w:rsid w:val="009C63BD"/>
    <w:rsid w:val="009C6478"/>
    <w:rsid w:val="009C6F9E"/>
    <w:rsid w:val="009D4641"/>
    <w:rsid w:val="009E0C65"/>
    <w:rsid w:val="009E2950"/>
    <w:rsid w:val="009E42CF"/>
    <w:rsid w:val="009F007E"/>
    <w:rsid w:val="009F0E22"/>
    <w:rsid w:val="009F431B"/>
    <w:rsid w:val="009F5411"/>
    <w:rsid w:val="009F6830"/>
    <w:rsid w:val="00A026B8"/>
    <w:rsid w:val="00A032B9"/>
    <w:rsid w:val="00A03AFF"/>
    <w:rsid w:val="00A04E77"/>
    <w:rsid w:val="00A06FD3"/>
    <w:rsid w:val="00A1594F"/>
    <w:rsid w:val="00A1685F"/>
    <w:rsid w:val="00A16BA3"/>
    <w:rsid w:val="00A20724"/>
    <w:rsid w:val="00A2334C"/>
    <w:rsid w:val="00A37FE6"/>
    <w:rsid w:val="00A40884"/>
    <w:rsid w:val="00A425CA"/>
    <w:rsid w:val="00A431C5"/>
    <w:rsid w:val="00A44A18"/>
    <w:rsid w:val="00A456A2"/>
    <w:rsid w:val="00A47BC3"/>
    <w:rsid w:val="00A57603"/>
    <w:rsid w:val="00A577BC"/>
    <w:rsid w:val="00A6181C"/>
    <w:rsid w:val="00A66786"/>
    <w:rsid w:val="00A7503B"/>
    <w:rsid w:val="00A75CAF"/>
    <w:rsid w:val="00A77A05"/>
    <w:rsid w:val="00A80C77"/>
    <w:rsid w:val="00A83441"/>
    <w:rsid w:val="00A83B5C"/>
    <w:rsid w:val="00A852E0"/>
    <w:rsid w:val="00AA5140"/>
    <w:rsid w:val="00AB1A1B"/>
    <w:rsid w:val="00AC1ED1"/>
    <w:rsid w:val="00AC528A"/>
    <w:rsid w:val="00AC57F7"/>
    <w:rsid w:val="00AC7799"/>
    <w:rsid w:val="00AC7BC8"/>
    <w:rsid w:val="00AD2825"/>
    <w:rsid w:val="00AD48FC"/>
    <w:rsid w:val="00AE006D"/>
    <w:rsid w:val="00AF3AFB"/>
    <w:rsid w:val="00AF3B5A"/>
    <w:rsid w:val="00AF3CD4"/>
    <w:rsid w:val="00AF46DF"/>
    <w:rsid w:val="00B00DB2"/>
    <w:rsid w:val="00B01B4A"/>
    <w:rsid w:val="00B03A0E"/>
    <w:rsid w:val="00B07AA3"/>
    <w:rsid w:val="00B07E52"/>
    <w:rsid w:val="00B10E6B"/>
    <w:rsid w:val="00B20144"/>
    <w:rsid w:val="00B20248"/>
    <w:rsid w:val="00B260C8"/>
    <w:rsid w:val="00B4143F"/>
    <w:rsid w:val="00B43A02"/>
    <w:rsid w:val="00B43E5F"/>
    <w:rsid w:val="00B46DF9"/>
    <w:rsid w:val="00B51302"/>
    <w:rsid w:val="00B67FBC"/>
    <w:rsid w:val="00B70473"/>
    <w:rsid w:val="00B718F6"/>
    <w:rsid w:val="00B73F20"/>
    <w:rsid w:val="00B766E8"/>
    <w:rsid w:val="00B832C0"/>
    <w:rsid w:val="00B9292B"/>
    <w:rsid w:val="00B9529E"/>
    <w:rsid w:val="00B96148"/>
    <w:rsid w:val="00B961BC"/>
    <w:rsid w:val="00B96A95"/>
    <w:rsid w:val="00B97F7D"/>
    <w:rsid w:val="00BB19A9"/>
    <w:rsid w:val="00BB3528"/>
    <w:rsid w:val="00BB5B44"/>
    <w:rsid w:val="00BC0B10"/>
    <w:rsid w:val="00BC4006"/>
    <w:rsid w:val="00BC4A3D"/>
    <w:rsid w:val="00BC54FF"/>
    <w:rsid w:val="00BD77B9"/>
    <w:rsid w:val="00BF6804"/>
    <w:rsid w:val="00BF7FBC"/>
    <w:rsid w:val="00C0070A"/>
    <w:rsid w:val="00C05A6F"/>
    <w:rsid w:val="00C07734"/>
    <w:rsid w:val="00C126F0"/>
    <w:rsid w:val="00C14130"/>
    <w:rsid w:val="00C15EBB"/>
    <w:rsid w:val="00C20341"/>
    <w:rsid w:val="00C22A9D"/>
    <w:rsid w:val="00C2349C"/>
    <w:rsid w:val="00C24BAB"/>
    <w:rsid w:val="00C312BD"/>
    <w:rsid w:val="00C335D0"/>
    <w:rsid w:val="00C357EF"/>
    <w:rsid w:val="00C462CB"/>
    <w:rsid w:val="00C5086B"/>
    <w:rsid w:val="00C510C2"/>
    <w:rsid w:val="00C51B83"/>
    <w:rsid w:val="00C5289F"/>
    <w:rsid w:val="00C575F3"/>
    <w:rsid w:val="00C63312"/>
    <w:rsid w:val="00C63EFA"/>
    <w:rsid w:val="00C659D6"/>
    <w:rsid w:val="00C703F5"/>
    <w:rsid w:val="00C80D2E"/>
    <w:rsid w:val="00C811A4"/>
    <w:rsid w:val="00C85B95"/>
    <w:rsid w:val="00C86D65"/>
    <w:rsid w:val="00C94CA5"/>
    <w:rsid w:val="00C9549A"/>
    <w:rsid w:val="00C97655"/>
    <w:rsid w:val="00C97896"/>
    <w:rsid w:val="00C97F1F"/>
    <w:rsid w:val="00CA387E"/>
    <w:rsid w:val="00CB0683"/>
    <w:rsid w:val="00CB0C14"/>
    <w:rsid w:val="00CB62F1"/>
    <w:rsid w:val="00CB7647"/>
    <w:rsid w:val="00CD1F12"/>
    <w:rsid w:val="00CD2A09"/>
    <w:rsid w:val="00CD6159"/>
    <w:rsid w:val="00CD6CAD"/>
    <w:rsid w:val="00CE5B75"/>
    <w:rsid w:val="00CE5F2A"/>
    <w:rsid w:val="00CF07B8"/>
    <w:rsid w:val="00CF60B3"/>
    <w:rsid w:val="00CF7630"/>
    <w:rsid w:val="00D026C0"/>
    <w:rsid w:val="00D041FD"/>
    <w:rsid w:val="00D05131"/>
    <w:rsid w:val="00D15AE3"/>
    <w:rsid w:val="00D22D74"/>
    <w:rsid w:val="00D24CE9"/>
    <w:rsid w:val="00D40D4D"/>
    <w:rsid w:val="00D41609"/>
    <w:rsid w:val="00D43092"/>
    <w:rsid w:val="00D45547"/>
    <w:rsid w:val="00D51377"/>
    <w:rsid w:val="00D52DF8"/>
    <w:rsid w:val="00D631F7"/>
    <w:rsid w:val="00D64F95"/>
    <w:rsid w:val="00D65DA0"/>
    <w:rsid w:val="00D66C42"/>
    <w:rsid w:val="00D702FF"/>
    <w:rsid w:val="00D74067"/>
    <w:rsid w:val="00D74EED"/>
    <w:rsid w:val="00D80AB5"/>
    <w:rsid w:val="00D829D4"/>
    <w:rsid w:val="00D838E7"/>
    <w:rsid w:val="00D84D27"/>
    <w:rsid w:val="00D87E79"/>
    <w:rsid w:val="00DA4584"/>
    <w:rsid w:val="00DA5588"/>
    <w:rsid w:val="00DB01DD"/>
    <w:rsid w:val="00DB0B93"/>
    <w:rsid w:val="00DB1EDB"/>
    <w:rsid w:val="00DB3388"/>
    <w:rsid w:val="00DB5365"/>
    <w:rsid w:val="00DB6F8F"/>
    <w:rsid w:val="00DD3E1E"/>
    <w:rsid w:val="00DD4998"/>
    <w:rsid w:val="00DD4EEF"/>
    <w:rsid w:val="00DD550F"/>
    <w:rsid w:val="00DE18C0"/>
    <w:rsid w:val="00DE23E8"/>
    <w:rsid w:val="00DE2491"/>
    <w:rsid w:val="00DF0377"/>
    <w:rsid w:val="00DF3E96"/>
    <w:rsid w:val="00DF5386"/>
    <w:rsid w:val="00DF63EA"/>
    <w:rsid w:val="00DF6FD1"/>
    <w:rsid w:val="00DF7189"/>
    <w:rsid w:val="00E00CF6"/>
    <w:rsid w:val="00E03E18"/>
    <w:rsid w:val="00E0435E"/>
    <w:rsid w:val="00E04A9E"/>
    <w:rsid w:val="00E10836"/>
    <w:rsid w:val="00E1430F"/>
    <w:rsid w:val="00E14FC8"/>
    <w:rsid w:val="00E164FA"/>
    <w:rsid w:val="00E16C71"/>
    <w:rsid w:val="00E17C84"/>
    <w:rsid w:val="00E2096D"/>
    <w:rsid w:val="00E2271A"/>
    <w:rsid w:val="00E24713"/>
    <w:rsid w:val="00E261F7"/>
    <w:rsid w:val="00E2629C"/>
    <w:rsid w:val="00E36B83"/>
    <w:rsid w:val="00E41CA7"/>
    <w:rsid w:val="00E41CAE"/>
    <w:rsid w:val="00E430BE"/>
    <w:rsid w:val="00E47557"/>
    <w:rsid w:val="00E50730"/>
    <w:rsid w:val="00E52DEE"/>
    <w:rsid w:val="00E62652"/>
    <w:rsid w:val="00E66C8F"/>
    <w:rsid w:val="00E707A3"/>
    <w:rsid w:val="00E71FDE"/>
    <w:rsid w:val="00E77BA3"/>
    <w:rsid w:val="00E84C3A"/>
    <w:rsid w:val="00E84F04"/>
    <w:rsid w:val="00E860D5"/>
    <w:rsid w:val="00E869D4"/>
    <w:rsid w:val="00E91A5A"/>
    <w:rsid w:val="00E92D99"/>
    <w:rsid w:val="00E93387"/>
    <w:rsid w:val="00E960BF"/>
    <w:rsid w:val="00E97C93"/>
    <w:rsid w:val="00EA1A80"/>
    <w:rsid w:val="00EA2805"/>
    <w:rsid w:val="00EA3B6A"/>
    <w:rsid w:val="00EA6578"/>
    <w:rsid w:val="00EB073A"/>
    <w:rsid w:val="00EB07D7"/>
    <w:rsid w:val="00EB0D42"/>
    <w:rsid w:val="00EB1359"/>
    <w:rsid w:val="00EB1BD7"/>
    <w:rsid w:val="00EB254E"/>
    <w:rsid w:val="00EB2B48"/>
    <w:rsid w:val="00EB343F"/>
    <w:rsid w:val="00EB4879"/>
    <w:rsid w:val="00EC3BD2"/>
    <w:rsid w:val="00EC5A72"/>
    <w:rsid w:val="00ED4726"/>
    <w:rsid w:val="00EE3D0D"/>
    <w:rsid w:val="00EF188C"/>
    <w:rsid w:val="00EF2C1A"/>
    <w:rsid w:val="00EF4549"/>
    <w:rsid w:val="00EF661F"/>
    <w:rsid w:val="00F03E1B"/>
    <w:rsid w:val="00F053EE"/>
    <w:rsid w:val="00F060E9"/>
    <w:rsid w:val="00F10F71"/>
    <w:rsid w:val="00F117FC"/>
    <w:rsid w:val="00F11BC8"/>
    <w:rsid w:val="00F1445A"/>
    <w:rsid w:val="00F165C1"/>
    <w:rsid w:val="00F17A80"/>
    <w:rsid w:val="00F2385E"/>
    <w:rsid w:val="00F325B5"/>
    <w:rsid w:val="00F32FC1"/>
    <w:rsid w:val="00F361B7"/>
    <w:rsid w:val="00F400C4"/>
    <w:rsid w:val="00F41813"/>
    <w:rsid w:val="00F42223"/>
    <w:rsid w:val="00F43989"/>
    <w:rsid w:val="00F53B6B"/>
    <w:rsid w:val="00F83C3F"/>
    <w:rsid w:val="00F87027"/>
    <w:rsid w:val="00F921C6"/>
    <w:rsid w:val="00F9420D"/>
    <w:rsid w:val="00F96152"/>
    <w:rsid w:val="00FA3985"/>
    <w:rsid w:val="00FA7338"/>
    <w:rsid w:val="00FA7600"/>
    <w:rsid w:val="00FA7D07"/>
    <w:rsid w:val="00FB5622"/>
    <w:rsid w:val="00FB712A"/>
    <w:rsid w:val="00FB78E7"/>
    <w:rsid w:val="00FC5252"/>
    <w:rsid w:val="00FC6C61"/>
    <w:rsid w:val="00FD3C6E"/>
    <w:rsid w:val="00FE0A90"/>
    <w:rsid w:val="00FE6635"/>
    <w:rsid w:val="00FF69C5"/>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12BA79"/>
  <w14:defaultImageDpi w14:val="300"/>
  <w15:docId w15:val="{72985F24-D11F-4EC6-8730-B068AB8D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21453F"/>
    <w:rPr>
      <w:rFonts w:ascii="Helvetica" w:hAnsi="Helvetica"/>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3637FD"/>
    <w:pPr>
      <w:spacing w:before="240" w:after="0" w:line="264" w:lineRule="auto"/>
    </w:pPr>
    <w:rPr>
      <w:b w:val="0"/>
      <w:bCs w:val="0"/>
      <w:color w:val="000000" w:themeColor="background1"/>
      <w:sz w:val="80"/>
      <w:szCs w:val="80"/>
    </w:rPr>
  </w:style>
  <w:style w:type="character" w:customStyle="1" w:styleId="TitleChar">
    <w:name w:val="Title Char"/>
    <w:basedOn w:val="DefaultParagraphFont"/>
    <w:link w:val="Title"/>
    <w:rsid w:val="003637FD"/>
    <w:rPr>
      <w:rFonts w:ascii="Helvetica" w:eastAsia="ヒラギノ角ゴ Pro W3" w:hAnsi="Helvetica"/>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Revision">
    <w:name w:val="Revision"/>
    <w:hidden/>
    <w:uiPriority w:val="99"/>
    <w:semiHidden/>
    <w:rsid w:val="001444BF"/>
    <w:rPr>
      <w:rFonts w:ascii="Helvetica" w:eastAsia="ヒラギノ角ゴ Pro W3" w:hAnsi="Helvetica"/>
      <w:color w:val="000000"/>
      <w:szCs w:val="24"/>
    </w:rPr>
  </w:style>
  <w:style w:type="paragraph" w:styleId="Footer">
    <w:name w:val="footer"/>
    <w:basedOn w:val="Normal"/>
    <w:link w:val="FooterChar"/>
    <w:semiHidden/>
    <w:unhideWhenUsed/>
    <w:locked/>
    <w:rsid w:val="005B188E"/>
    <w:pPr>
      <w:tabs>
        <w:tab w:val="center" w:pos="4536"/>
        <w:tab w:val="right" w:pos="9072"/>
      </w:tabs>
      <w:spacing w:after="0"/>
    </w:pPr>
  </w:style>
  <w:style w:type="character" w:customStyle="1" w:styleId="FooterChar">
    <w:name w:val="Footer Char"/>
    <w:basedOn w:val="DefaultParagraphFont"/>
    <w:link w:val="Footer"/>
    <w:semiHidden/>
    <w:rsid w:val="005B188E"/>
    <w:rPr>
      <w:rFonts w:ascii="Helvetica" w:eastAsia="ヒラギノ角ゴ Pro W3" w:hAnsi="Helvetica"/>
      <w:color w:val="000000"/>
      <w:szCs w:val="24"/>
    </w:rPr>
  </w:style>
  <w:style w:type="character" w:styleId="CommentReference">
    <w:name w:val="annotation reference"/>
    <w:basedOn w:val="DefaultParagraphFont"/>
    <w:semiHidden/>
    <w:unhideWhenUsed/>
    <w:locked/>
    <w:rsid w:val="005B188E"/>
    <w:rPr>
      <w:sz w:val="16"/>
      <w:szCs w:val="16"/>
    </w:rPr>
  </w:style>
  <w:style w:type="paragraph" w:styleId="CommentText">
    <w:name w:val="annotation text"/>
    <w:basedOn w:val="Normal"/>
    <w:link w:val="CommentTextChar"/>
    <w:semiHidden/>
    <w:unhideWhenUsed/>
    <w:locked/>
    <w:rsid w:val="005B188E"/>
    <w:rPr>
      <w:szCs w:val="20"/>
    </w:rPr>
  </w:style>
  <w:style w:type="character" w:customStyle="1" w:styleId="CommentTextChar">
    <w:name w:val="Comment Text Char"/>
    <w:basedOn w:val="DefaultParagraphFont"/>
    <w:link w:val="CommentText"/>
    <w:semiHidden/>
    <w:rsid w:val="005B188E"/>
    <w:rPr>
      <w:rFonts w:ascii="Helvetica" w:eastAsia="ヒラギノ角ゴ Pro W3" w:hAnsi="Helvetica"/>
      <w:color w:val="000000"/>
    </w:rPr>
  </w:style>
  <w:style w:type="paragraph" w:styleId="CommentSubject">
    <w:name w:val="annotation subject"/>
    <w:basedOn w:val="CommentText"/>
    <w:next w:val="CommentText"/>
    <w:link w:val="CommentSubjectChar"/>
    <w:semiHidden/>
    <w:unhideWhenUsed/>
    <w:locked/>
    <w:rsid w:val="005B188E"/>
    <w:rPr>
      <w:b/>
      <w:bCs/>
    </w:rPr>
  </w:style>
  <w:style w:type="character" w:customStyle="1" w:styleId="CommentSubjectChar">
    <w:name w:val="Comment Subject Char"/>
    <w:basedOn w:val="CommentTextChar"/>
    <w:link w:val="CommentSubject"/>
    <w:semiHidden/>
    <w:rsid w:val="005B188E"/>
    <w:rPr>
      <w:rFonts w:ascii="Helvetica" w:eastAsia="ヒラギノ角ゴ Pro W3" w:hAnsi="Helvetic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A76F-51FF-4127-82C6-17A3CDC99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125</TotalTime>
  <Pages>1</Pages>
  <Words>1457</Words>
  <Characters>8311</Characters>
  <Application>Microsoft Office Word</Application>
  <DocSecurity>4</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220</cp:revision>
  <cp:lastPrinted>2022-06-04T01:07:00Z</cp:lastPrinted>
  <dcterms:created xsi:type="dcterms:W3CDTF">2024-02-28T00:22:00Z</dcterms:created>
  <dcterms:modified xsi:type="dcterms:W3CDTF">2024-04-16T18:16:00Z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0x010100DD2341D3B770684C9B99310890623167</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