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5817" w14:textId="0A0F90EB" w:rsidR="00D762D1" w:rsidRPr="009D663D" w:rsidRDefault="00222829" w:rsidP="00A024A3">
      <w:pPr>
        <w:rPr>
          <w:rFonts w:ascii="Gellix" w:hAnsi="Gellix"/>
          <w:b/>
          <w:bCs/>
          <w:sz w:val="28"/>
          <w:szCs w:val="28"/>
        </w:rPr>
      </w:pPr>
      <w:r>
        <w:rPr>
          <w:rFonts w:ascii="Gellix" w:hAnsi="Gellix"/>
          <w:b/>
          <w:bCs/>
          <w:sz w:val="28"/>
          <w:szCs w:val="28"/>
        </w:rPr>
        <w:t xml:space="preserve">Enhancing </w:t>
      </w:r>
      <w:r w:rsidR="00E4745B">
        <w:rPr>
          <w:rFonts w:ascii="Gellix" w:hAnsi="Gellix"/>
          <w:b/>
          <w:bCs/>
          <w:sz w:val="28"/>
          <w:szCs w:val="28"/>
        </w:rPr>
        <w:t>r</w:t>
      </w:r>
      <w:r w:rsidR="00CD3774">
        <w:rPr>
          <w:rFonts w:ascii="Gellix" w:hAnsi="Gellix"/>
          <w:b/>
          <w:bCs/>
          <w:sz w:val="28"/>
          <w:szCs w:val="28"/>
        </w:rPr>
        <w:t>esilience</w:t>
      </w:r>
      <w:r w:rsidR="00A024A3">
        <w:rPr>
          <w:rFonts w:ascii="Gellix" w:hAnsi="Gellix"/>
          <w:b/>
          <w:bCs/>
          <w:sz w:val="28"/>
          <w:szCs w:val="28"/>
        </w:rPr>
        <w:t xml:space="preserve"> through a </w:t>
      </w:r>
      <w:r w:rsidR="00E4745B">
        <w:rPr>
          <w:rFonts w:ascii="Gellix" w:hAnsi="Gellix"/>
          <w:b/>
          <w:bCs/>
          <w:sz w:val="28"/>
          <w:szCs w:val="28"/>
        </w:rPr>
        <w:t>c</w:t>
      </w:r>
      <w:r w:rsidR="00A024A3">
        <w:rPr>
          <w:rFonts w:ascii="Gellix" w:hAnsi="Gellix"/>
          <w:b/>
          <w:bCs/>
          <w:sz w:val="28"/>
          <w:szCs w:val="28"/>
        </w:rPr>
        <w:t>ollaborative</w:t>
      </w:r>
      <w:r w:rsidR="006E0166">
        <w:rPr>
          <w:rFonts w:ascii="Gellix" w:hAnsi="Gellix"/>
          <w:b/>
          <w:bCs/>
          <w:sz w:val="28"/>
          <w:szCs w:val="28"/>
        </w:rPr>
        <w:t xml:space="preserve"> </w:t>
      </w:r>
      <w:r w:rsidR="006B5D07">
        <w:rPr>
          <w:rFonts w:ascii="Gellix" w:hAnsi="Gellix"/>
          <w:b/>
          <w:bCs/>
          <w:sz w:val="28"/>
          <w:szCs w:val="28"/>
        </w:rPr>
        <w:t>Customs-B</w:t>
      </w:r>
      <w:r w:rsidR="009D663D" w:rsidRPr="009D663D">
        <w:rPr>
          <w:rFonts w:ascii="Gellix" w:hAnsi="Gellix"/>
          <w:b/>
          <w:bCs/>
          <w:sz w:val="28"/>
          <w:szCs w:val="28"/>
        </w:rPr>
        <w:t xml:space="preserve">usiness </w:t>
      </w:r>
      <w:r w:rsidR="006B5D07">
        <w:rPr>
          <w:rFonts w:ascii="Gellix" w:hAnsi="Gellix"/>
          <w:b/>
          <w:bCs/>
          <w:sz w:val="28"/>
          <w:szCs w:val="28"/>
        </w:rPr>
        <w:t>relationship</w:t>
      </w:r>
      <w:r w:rsidR="009D663D" w:rsidRPr="009D663D">
        <w:rPr>
          <w:rFonts w:ascii="Gellix" w:hAnsi="Gellix"/>
          <w:b/>
          <w:bCs/>
          <w:sz w:val="28"/>
          <w:szCs w:val="28"/>
        </w:rPr>
        <w:t xml:space="preserve"> </w:t>
      </w:r>
    </w:p>
    <w:p w14:paraId="02804EFD" w14:textId="4EB3FDDC" w:rsidR="00393B9F" w:rsidRPr="00D762D1" w:rsidRDefault="00DD287B" w:rsidP="00A53F94">
      <w:pPr>
        <w:pStyle w:val="ListParagraph"/>
        <w:numPr>
          <w:ilvl w:val="0"/>
          <w:numId w:val="1"/>
        </w:numPr>
        <w:spacing w:after="0"/>
        <w:rPr>
          <w:rFonts w:ascii="Gellix" w:hAnsi="Gellix" w:cs="Segoe UI"/>
          <w:b/>
          <w:bCs/>
        </w:rPr>
      </w:pPr>
      <w:r>
        <w:rPr>
          <w:rFonts w:ascii="Gellix" w:hAnsi="Gellix" w:cs="Segoe UI"/>
          <w:b/>
          <w:bCs/>
        </w:rPr>
        <w:t xml:space="preserve">Background </w:t>
      </w:r>
    </w:p>
    <w:p w14:paraId="1BF09BFA" w14:textId="4700D3F3" w:rsidR="00AD2C52" w:rsidRDefault="007E07D6" w:rsidP="00B52111">
      <w:pPr>
        <w:rPr>
          <w:rFonts w:ascii="Gellix" w:hAnsi="Gellix" w:cs="Segoe UI"/>
        </w:rPr>
      </w:pPr>
      <w:r>
        <w:rPr>
          <w:rFonts w:ascii="Gellix" w:hAnsi="Gellix" w:cs="Segoe UI"/>
        </w:rPr>
        <w:t xml:space="preserve">A crisis is a litmus test for </w:t>
      </w:r>
      <w:r w:rsidR="00850739">
        <w:rPr>
          <w:rFonts w:ascii="Gellix" w:hAnsi="Gellix" w:cs="Segoe UI"/>
        </w:rPr>
        <w:t>preparedness and business</w:t>
      </w:r>
      <w:r w:rsidR="00ED795C">
        <w:rPr>
          <w:rFonts w:ascii="Gellix" w:hAnsi="Gellix" w:cs="Segoe UI"/>
        </w:rPr>
        <w:t xml:space="preserve"> continuity</w:t>
      </w:r>
      <w:r w:rsidR="00850739">
        <w:rPr>
          <w:rFonts w:ascii="Gellix" w:hAnsi="Gellix" w:cs="Segoe UI"/>
        </w:rPr>
        <w:t xml:space="preserve"> plans</w:t>
      </w:r>
      <w:r w:rsidR="00FC360A">
        <w:rPr>
          <w:rFonts w:ascii="Gellix" w:hAnsi="Gellix" w:cs="Segoe UI"/>
        </w:rPr>
        <w:t xml:space="preserve"> and </w:t>
      </w:r>
      <w:r w:rsidR="008C4D3F">
        <w:rPr>
          <w:rFonts w:ascii="Gellix" w:hAnsi="Gellix" w:cs="Segoe UI"/>
        </w:rPr>
        <w:t xml:space="preserve">their </w:t>
      </w:r>
      <w:r w:rsidR="009750ED">
        <w:rPr>
          <w:rFonts w:ascii="Gellix" w:hAnsi="Gellix" w:cs="Segoe UI"/>
        </w:rPr>
        <w:t xml:space="preserve">respective </w:t>
      </w:r>
      <w:r w:rsidR="00FC360A">
        <w:rPr>
          <w:rFonts w:ascii="Gellix" w:hAnsi="Gellix" w:cs="Segoe UI"/>
        </w:rPr>
        <w:t>protocols</w:t>
      </w:r>
      <w:r w:rsidR="00850739">
        <w:rPr>
          <w:rFonts w:ascii="Gellix" w:hAnsi="Gellix" w:cs="Segoe UI"/>
        </w:rPr>
        <w:t>.</w:t>
      </w:r>
      <w:r w:rsidR="0009111B">
        <w:rPr>
          <w:rFonts w:ascii="Gellix" w:hAnsi="Gellix" w:cs="Segoe UI"/>
        </w:rPr>
        <w:t xml:space="preserve"> </w:t>
      </w:r>
      <w:r w:rsidR="00B137A4">
        <w:rPr>
          <w:rFonts w:ascii="Gellix" w:hAnsi="Gellix" w:cs="Segoe UI"/>
        </w:rPr>
        <w:t xml:space="preserve">Since </w:t>
      </w:r>
      <w:r w:rsidR="0090327F">
        <w:rPr>
          <w:rFonts w:ascii="Gellix" w:hAnsi="Gellix" w:cs="Segoe UI"/>
        </w:rPr>
        <w:t>the start of the COVID-19 pandemic</w:t>
      </w:r>
      <w:r w:rsidR="009F7AD2">
        <w:rPr>
          <w:rFonts w:ascii="Gellix" w:hAnsi="Gellix" w:cs="Segoe UI"/>
        </w:rPr>
        <w:t>,</w:t>
      </w:r>
      <w:r w:rsidR="0090327F">
        <w:rPr>
          <w:rFonts w:ascii="Gellix" w:hAnsi="Gellix" w:cs="Segoe UI"/>
        </w:rPr>
        <w:t xml:space="preserve"> </w:t>
      </w:r>
      <w:r w:rsidR="00E745DE">
        <w:rPr>
          <w:rFonts w:ascii="Gellix" w:hAnsi="Gellix" w:cs="Segoe UI"/>
        </w:rPr>
        <w:t xml:space="preserve">the </w:t>
      </w:r>
      <w:r w:rsidR="00BF7CC3" w:rsidRPr="00D762D1">
        <w:rPr>
          <w:rFonts w:ascii="Gellix" w:hAnsi="Gellix" w:cs="Segoe UI"/>
        </w:rPr>
        <w:t xml:space="preserve">Private Sector Consultative Group (PSCG) </w:t>
      </w:r>
      <w:r w:rsidR="00E745DE">
        <w:rPr>
          <w:rFonts w:ascii="Gellix" w:hAnsi="Gellix" w:cs="Segoe UI"/>
        </w:rPr>
        <w:t xml:space="preserve">has </w:t>
      </w:r>
      <w:r w:rsidR="00B137A4">
        <w:rPr>
          <w:rFonts w:ascii="Gellix" w:hAnsi="Gellix" w:cs="Segoe UI"/>
        </w:rPr>
        <w:t xml:space="preserve">focused on </w:t>
      </w:r>
      <w:r w:rsidR="00E745DE" w:rsidRPr="00733D50">
        <w:rPr>
          <w:rFonts w:ascii="Gellix" w:hAnsi="Gellix" w:cs="Segoe UI"/>
        </w:rPr>
        <w:t xml:space="preserve">the complexities of international supply chain disruptions and </w:t>
      </w:r>
      <w:r w:rsidR="00B137A4">
        <w:rPr>
          <w:rFonts w:ascii="Gellix" w:hAnsi="Gellix" w:cs="Segoe UI"/>
        </w:rPr>
        <w:t xml:space="preserve">the </w:t>
      </w:r>
      <w:r w:rsidR="00E745DE" w:rsidRPr="00733D50">
        <w:rPr>
          <w:rFonts w:ascii="Gellix" w:hAnsi="Gellix" w:cs="Segoe UI"/>
        </w:rPr>
        <w:t xml:space="preserve">implementation of tools such as business resilience protocols. </w:t>
      </w:r>
      <w:r w:rsidR="00BE57AC">
        <w:rPr>
          <w:rFonts w:ascii="Gellix" w:hAnsi="Gellix" w:cs="Segoe UI"/>
        </w:rPr>
        <w:t xml:space="preserve"> In late 2023, the </w:t>
      </w:r>
      <w:r w:rsidR="00BE57AC" w:rsidRPr="00E131A4">
        <w:rPr>
          <w:rFonts w:ascii="Gellix" w:hAnsi="Gellix" w:cs="Segoe UI"/>
        </w:rPr>
        <w:t>WCO Secretariat</w:t>
      </w:r>
      <w:r w:rsidR="00BE57AC">
        <w:rPr>
          <w:rFonts w:ascii="Gellix" w:hAnsi="Gellix" w:cs="Segoe UI"/>
        </w:rPr>
        <w:t xml:space="preserve"> requested that </w:t>
      </w:r>
      <w:r w:rsidR="00E70208">
        <w:rPr>
          <w:rFonts w:ascii="Gellix" w:hAnsi="Gellix" w:cs="Segoe UI"/>
        </w:rPr>
        <w:t xml:space="preserve">the PSCG </w:t>
      </w:r>
      <w:r w:rsidR="00F837EF" w:rsidRPr="00E131A4">
        <w:rPr>
          <w:rFonts w:ascii="Gellix" w:hAnsi="Gellix" w:cs="Segoe UI"/>
        </w:rPr>
        <w:t>provide</w:t>
      </w:r>
      <w:r w:rsidR="00F837EF">
        <w:rPr>
          <w:rFonts w:ascii="Gellix" w:hAnsi="Gellix" w:cs="Segoe UI"/>
        </w:rPr>
        <w:t xml:space="preserve"> guidance from a private sector perspective on </w:t>
      </w:r>
      <w:r w:rsidR="0049691D">
        <w:rPr>
          <w:rFonts w:ascii="Gellix" w:hAnsi="Gellix" w:cs="Segoe UI"/>
        </w:rPr>
        <w:t xml:space="preserve">how </w:t>
      </w:r>
      <w:r w:rsidR="001308F7" w:rsidRPr="00D762D1">
        <w:rPr>
          <w:rFonts w:ascii="Gellix" w:hAnsi="Gellix" w:cs="Segoe UI"/>
        </w:rPr>
        <w:t>Customs authorities</w:t>
      </w:r>
      <w:r w:rsidR="004C77F5">
        <w:rPr>
          <w:rFonts w:ascii="Gellix" w:hAnsi="Gellix" w:cs="Segoe UI"/>
        </w:rPr>
        <w:t xml:space="preserve"> </w:t>
      </w:r>
      <w:r w:rsidR="00553342">
        <w:rPr>
          <w:rFonts w:ascii="Gellix" w:hAnsi="Gellix" w:cs="Segoe UI"/>
        </w:rPr>
        <w:t xml:space="preserve">can best engage </w:t>
      </w:r>
      <w:r w:rsidR="00717E2A" w:rsidRPr="00D762D1">
        <w:rPr>
          <w:rFonts w:ascii="Gellix" w:hAnsi="Gellix" w:cs="Segoe UI"/>
        </w:rPr>
        <w:t>with the private sector in times of crisis</w:t>
      </w:r>
      <w:r w:rsidR="00BF7CC3" w:rsidRPr="00D762D1">
        <w:rPr>
          <w:rFonts w:ascii="Gellix" w:hAnsi="Gellix" w:cs="Segoe UI"/>
        </w:rPr>
        <w:t>.</w:t>
      </w:r>
      <w:r w:rsidR="004E2910">
        <w:rPr>
          <w:rFonts w:ascii="Gellix" w:hAnsi="Gellix" w:cs="Segoe UI"/>
        </w:rPr>
        <w:t xml:space="preserve"> </w:t>
      </w:r>
    </w:p>
    <w:p w14:paraId="70F7472D" w14:textId="4D401F0B" w:rsidR="006F27A2" w:rsidRDefault="006F27A2" w:rsidP="006F27A2">
      <w:pPr>
        <w:rPr>
          <w:rFonts w:ascii="Gellix" w:hAnsi="Gellix" w:cs="Segoe UI"/>
        </w:rPr>
      </w:pPr>
      <w:r>
        <w:rPr>
          <w:rFonts w:ascii="Gellix" w:hAnsi="Gellix" w:cs="Segoe UI"/>
        </w:rPr>
        <w:t xml:space="preserve">One of the main challenges that arises during a crisis or disruption is the halt to the flow of goods, resulting in goods being stuck in ports or terminals. Terminals </w:t>
      </w:r>
      <w:r w:rsidR="009F45BE">
        <w:rPr>
          <w:rFonts w:ascii="Gellix" w:hAnsi="Gellix" w:cs="Segoe UI"/>
        </w:rPr>
        <w:t xml:space="preserve">will </w:t>
      </w:r>
      <w:r>
        <w:rPr>
          <w:rFonts w:ascii="Gellix" w:hAnsi="Gellix" w:cs="Segoe UI"/>
        </w:rPr>
        <w:t xml:space="preserve">fill up quickly, sometimes within a day, causing serious congestion. In a recent case of congestion across South Africa’s ports, the country’s imports and exports suffered significantly, costing the economy an estimated </w:t>
      </w:r>
      <w:r w:rsidRPr="00C822CB">
        <w:rPr>
          <w:rFonts w:ascii="Gellix" w:hAnsi="Gellix" w:cs="Segoe UI"/>
        </w:rPr>
        <w:t>R98m ($5.32m) a day</w:t>
      </w:r>
      <w:r>
        <w:rPr>
          <w:rFonts w:ascii="Gellix" w:hAnsi="Gellix" w:cs="Segoe UI"/>
        </w:rPr>
        <w:t>.</w:t>
      </w:r>
      <w:r>
        <w:rPr>
          <w:rStyle w:val="FootnoteReference"/>
          <w:rFonts w:ascii="Gellix" w:hAnsi="Gellix" w:cs="Segoe UI"/>
        </w:rPr>
        <w:footnoteReference w:id="2"/>
      </w:r>
    </w:p>
    <w:p w14:paraId="6989CC26" w14:textId="1990AED1" w:rsidR="004D4B2C" w:rsidRPr="004D4B2C" w:rsidRDefault="000D30CB" w:rsidP="00955B37">
      <w:pPr>
        <w:rPr>
          <w:rFonts w:ascii="Gellix" w:hAnsi="Gellix" w:cs="Segoe UI"/>
          <w:lang w:val="en-US"/>
        </w:rPr>
      </w:pPr>
      <w:r>
        <w:rPr>
          <w:rFonts w:ascii="Gellix" w:hAnsi="Gellix" w:cs="Segoe UI"/>
        </w:rPr>
        <w:t xml:space="preserve">The </w:t>
      </w:r>
      <w:r w:rsidR="006554CC">
        <w:rPr>
          <w:rFonts w:ascii="Gellix" w:hAnsi="Gellix" w:cs="Segoe UI"/>
        </w:rPr>
        <w:t>PSCG</w:t>
      </w:r>
      <w:r w:rsidR="0084056B">
        <w:rPr>
          <w:rFonts w:ascii="Gellix" w:hAnsi="Gellix" w:cs="Segoe UI"/>
        </w:rPr>
        <w:t xml:space="preserve">’s </w:t>
      </w:r>
      <w:r w:rsidR="00F3168C">
        <w:rPr>
          <w:rFonts w:ascii="Gellix" w:hAnsi="Gellix" w:cs="Segoe UI"/>
        </w:rPr>
        <w:t xml:space="preserve">prior </w:t>
      </w:r>
      <w:r w:rsidR="0084056B">
        <w:rPr>
          <w:rFonts w:ascii="Gellix" w:hAnsi="Gellix" w:cs="Segoe UI"/>
        </w:rPr>
        <w:t xml:space="preserve">paper, </w:t>
      </w:r>
      <w:r w:rsidR="00A622BD" w:rsidRPr="0088143C">
        <w:rPr>
          <w:rFonts w:ascii="Gellix" w:hAnsi="Gellix" w:cs="Segoe UI"/>
          <w:i/>
          <w:iCs/>
        </w:rPr>
        <w:t>Ensuring business continuity in the face of trade disruptions</w:t>
      </w:r>
      <w:r w:rsidR="00F3168C">
        <w:rPr>
          <w:rFonts w:ascii="Gellix" w:hAnsi="Gellix" w:cs="Segoe UI"/>
          <w:i/>
          <w:iCs/>
        </w:rPr>
        <w:t xml:space="preserve"> (2023)</w:t>
      </w:r>
      <w:r w:rsidR="0084056B">
        <w:rPr>
          <w:rFonts w:ascii="Gellix" w:hAnsi="Gellix" w:cs="Segoe UI"/>
        </w:rPr>
        <w:t xml:space="preserve">, </w:t>
      </w:r>
      <w:r w:rsidR="00A622BD">
        <w:rPr>
          <w:rFonts w:ascii="Gellix" w:hAnsi="Gellix" w:cs="Segoe UI"/>
        </w:rPr>
        <w:t xml:space="preserve"> </w:t>
      </w:r>
      <w:r w:rsidR="00291285">
        <w:rPr>
          <w:rFonts w:ascii="Gellix" w:hAnsi="Gellix" w:cs="Segoe UI"/>
        </w:rPr>
        <w:t xml:space="preserve">highlighted the importance of streamlining </w:t>
      </w:r>
      <w:r w:rsidR="0056771E">
        <w:rPr>
          <w:rFonts w:ascii="Gellix" w:hAnsi="Gellix" w:cs="Segoe UI"/>
        </w:rPr>
        <w:t xml:space="preserve">customs </w:t>
      </w:r>
      <w:r w:rsidR="00D26AF7">
        <w:rPr>
          <w:rFonts w:ascii="Gellix" w:hAnsi="Gellix" w:cs="Segoe UI"/>
        </w:rPr>
        <w:t>and security procedures to provide a strong foundation for crisis preparedness and business continuity plans</w:t>
      </w:r>
      <w:r w:rsidR="00955B37">
        <w:rPr>
          <w:rFonts w:ascii="Gellix" w:hAnsi="Gellix" w:cs="Segoe UI"/>
        </w:rPr>
        <w:t>.</w:t>
      </w:r>
      <w:r w:rsidR="00F0717A">
        <w:rPr>
          <w:rFonts w:ascii="Gellix" w:hAnsi="Gellix" w:cs="Segoe UI"/>
        </w:rPr>
        <w:t xml:space="preserve"> Functioning protocols are essential to minimise the impacts of any crisis</w:t>
      </w:r>
      <w:r w:rsidR="0018463C">
        <w:rPr>
          <w:rFonts w:ascii="Gellix" w:hAnsi="Gellix" w:cs="Segoe UI"/>
        </w:rPr>
        <w:t xml:space="preserve">. </w:t>
      </w:r>
      <w:r w:rsidR="00DF2786">
        <w:rPr>
          <w:rFonts w:ascii="Gellix" w:hAnsi="Gellix" w:cs="Segoe UI"/>
        </w:rPr>
        <w:t>The PSCG</w:t>
      </w:r>
      <w:r w:rsidR="00DF2786" w:rsidDel="0071517A">
        <w:rPr>
          <w:rFonts w:ascii="Gellix" w:hAnsi="Gellix" w:cs="Segoe UI"/>
        </w:rPr>
        <w:t xml:space="preserve"> </w:t>
      </w:r>
      <w:r w:rsidR="0071517A">
        <w:rPr>
          <w:rFonts w:ascii="Gellix" w:hAnsi="Gellix" w:cs="Segoe UI"/>
        </w:rPr>
        <w:t xml:space="preserve">recommended that </w:t>
      </w:r>
      <w:r w:rsidR="00DF37DA">
        <w:rPr>
          <w:rFonts w:ascii="Gellix" w:hAnsi="Gellix" w:cs="Segoe UI"/>
          <w:lang w:val="en-US"/>
        </w:rPr>
        <w:t xml:space="preserve">such protocols should </w:t>
      </w:r>
      <w:r w:rsidR="009838D2">
        <w:rPr>
          <w:rFonts w:ascii="Gellix" w:hAnsi="Gellix" w:cs="Segoe UI"/>
          <w:lang w:val="en-US"/>
        </w:rPr>
        <w:t>include</w:t>
      </w:r>
      <w:r w:rsidR="0071517A">
        <w:rPr>
          <w:rFonts w:ascii="Gellix" w:hAnsi="Gellix" w:cs="Segoe UI"/>
          <w:lang w:val="en-US"/>
        </w:rPr>
        <w:t xml:space="preserve"> the following essential elements</w:t>
      </w:r>
      <w:r w:rsidR="004D4B2C" w:rsidRPr="004D4B2C">
        <w:rPr>
          <w:rFonts w:ascii="Gellix" w:hAnsi="Gellix" w:cs="Segoe UI"/>
          <w:lang w:val="en-US"/>
        </w:rPr>
        <w:t>:</w:t>
      </w:r>
    </w:p>
    <w:p w14:paraId="6669B20F" w14:textId="43BD864C" w:rsidR="004D4B2C" w:rsidRPr="004D4B2C" w:rsidRDefault="004D4B2C" w:rsidP="00955B37">
      <w:pPr>
        <w:numPr>
          <w:ilvl w:val="0"/>
          <w:numId w:val="7"/>
        </w:numPr>
        <w:rPr>
          <w:rFonts w:ascii="Gellix" w:hAnsi="Gellix" w:cs="Segoe UI"/>
          <w:lang w:val="en-US"/>
        </w:rPr>
      </w:pPr>
      <w:r w:rsidRPr="00606C5F">
        <w:rPr>
          <w:rFonts w:ascii="Gellix" w:hAnsi="Gellix" w:cs="Segoe UI"/>
          <w:b/>
          <w:bCs/>
          <w:lang w:val="en-US"/>
        </w:rPr>
        <w:t>Plan for disruption:</w:t>
      </w:r>
      <w:r w:rsidRPr="004D4B2C">
        <w:rPr>
          <w:rFonts w:ascii="Gellix" w:hAnsi="Gellix" w:cs="Segoe UI"/>
          <w:lang w:val="en-US"/>
        </w:rPr>
        <w:t xml:space="preserve"> think through the impact of the unexpected while developing and capturing the best possible response mechanisms; </w:t>
      </w:r>
    </w:p>
    <w:p w14:paraId="7FE0C4A2" w14:textId="77777777" w:rsidR="004D4B2C" w:rsidRPr="004D4B2C" w:rsidRDefault="004D4B2C" w:rsidP="00955B37">
      <w:pPr>
        <w:numPr>
          <w:ilvl w:val="0"/>
          <w:numId w:val="7"/>
        </w:numPr>
        <w:rPr>
          <w:rFonts w:ascii="Gellix" w:hAnsi="Gellix" w:cs="Segoe UI"/>
          <w:lang w:val="en-US"/>
        </w:rPr>
      </w:pPr>
      <w:r w:rsidRPr="00606C5F">
        <w:rPr>
          <w:rFonts w:ascii="Gellix" w:hAnsi="Gellix" w:cs="Segoe UI"/>
          <w:b/>
          <w:bCs/>
          <w:lang w:val="en-US"/>
        </w:rPr>
        <w:t>Practice those responses:</w:t>
      </w:r>
      <w:r w:rsidRPr="004D4B2C">
        <w:rPr>
          <w:rFonts w:ascii="Gellix" w:hAnsi="Gellix" w:cs="Segoe UI"/>
          <w:lang w:val="en-US"/>
        </w:rPr>
        <w:t xml:space="preserve"> assess that essential elements are in place and test them to determine if they will accomplish the desired outcome; and </w:t>
      </w:r>
    </w:p>
    <w:p w14:paraId="6CE47D39" w14:textId="77777777" w:rsidR="004D4B2C" w:rsidRPr="004D4B2C" w:rsidRDefault="004D4B2C" w:rsidP="00955B37">
      <w:pPr>
        <w:numPr>
          <w:ilvl w:val="0"/>
          <w:numId w:val="7"/>
        </w:numPr>
        <w:rPr>
          <w:rFonts w:ascii="Gellix" w:hAnsi="Gellix" w:cs="Segoe UI"/>
          <w:lang w:val="en-US"/>
        </w:rPr>
      </w:pPr>
      <w:r w:rsidRPr="00606C5F">
        <w:rPr>
          <w:rFonts w:ascii="Gellix" w:hAnsi="Gellix" w:cs="Segoe UI"/>
          <w:b/>
          <w:bCs/>
          <w:lang w:val="en-US"/>
        </w:rPr>
        <w:t>Engage Partner Government Agencies:</w:t>
      </w:r>
      <w:r w:rsidRPr="004D4B2C">
        <w:rPr>
          <w:rFonts w:ascii="Gellix" w:hAnsi="Gellix" w:cs="Segoe UI"/>
          <w:lang w:val="en-US"/>
        </w:rPr>
        <w:t xml:space="preserve"> all agencies operating at the border must be involved in the planning and response testing to examine the outcomes and the ability to apply flexibility to their standard requirements.</w:t>
      </w:r>
    </w:p>
    <w:p w14:paraId="59639144" w14:textId="611822CE" w:rsidR="0031648F" w:rsidRDefault="0054243F" w:rsidP="005A0375">
      <w:pPr>
        <w:rPr>
          <w:rFonts w:ascii="Gellix" w:hAnsi="Gellix" w:cs="Segoe UI"/>
        </w:rPr>
      </w:pPr>
      <w:r>
        <w:rPr>
          <w:rFonts w:ascii="Gellix" w:hAnsi="Gellix" w:cs="Segoe UI"/>
        </w:rPr>
        <w:t>Building on these recommendations</w:t>
      </w:r>
      <w:r w:rsidR="0042414D">
        <w:rPr>
          <w:rFonts w:ascii="Gellix" w:hAnsi="Gellix" w:cs="Segoe UI"/>
        </w:rPr>
        <w:t xml:space="preserve"> and recognising that strong public-private partnership is central to effective disaster responsiveness</w:t>
      </w:r>
      <w:r>
        <w:rPr>
          <w:rFonts w:ascii="Gellix" w:hAnsi="Gellix" w:cs="Segoe UI"/>
        </w:rPr>
        <w:t xml:space="preserve">, this paper </w:t>
      </w:r>
      <w:r w:rsidR="00174EE2">
        <w:rPr>
          <w:rFonts w:ascii="Gellix" w:hAnsi="Gellix" w:cs="Segoe UI"/>
        </w:rPr>
        <w:t>summarises the different existing models for Customs-business engagement</w:t>
      </w:r>
      <w:r w:rsidR="00446B1E">
        <w:rPr>
          <w:rFonts w:ascii="Gellix" w:hAnsi="Gellix" w:cs="Segoe UI"/>
        </w:rPr>
        <w:t xml:space="preserve"> in times of non-crisis</w:t>
      </w:r>
      <w:r w:rsidR="004C7BD5">
        <w:rPr>
          <w:rFonts w:ascii="Gellix" w:hAnsi="Gellix" w:cs="Segoe UI"/>
        </w:rPr>
        <w:t xml:space="preserve"> on a national and regional level</w:t>
      </w:r>
      <w:r w:rsidR="00EF6A9A">
        <w:rPr>
          <w:rFonts w:ascii="Gellix" w:hAnsi="Gellix" w:cs="Segoe UI"/>
        </w:rPr>
        <w:t>. By looking at the existing models, the paper aims to draw out</w:t>
      </w:r>
      <w:r w:rsidR="006F3FD4">
        <w:rPr>
          <w:rFonts w:ascii="Gellix" w:hAnsi="Gellix" w:cs="Segoe UI"/>
        </w:rPr>
        <w:t xml:space="preserve"> recommendations that can be applied by Customs authorities worldwide. </w:t>
      </w:r>
    </w:p>
    <w:p w14:paraId="3A1479B3" w14:textId="38988DFF" w:rsidR="005A0375" w:rsidRDefault="00D05087" w:rsidP="005A0375">
      <w:pPr>
        <w:rPr>
          <w:rFonts w:ascii="Gellix" w:hAnsi="Gellix" w:cs="Segoe UI"/>
        </w:rPr>
      </w:pPr>
      <w:r>
        <w:rPr>
          <w:rFonts w:ascii="Gellix" w:hAnsi="Gellix" w:cs="Segoe UI"/>
        </w:rPr>
        <w:t xml:space="preserve">The </w:t>
      </w:r>
      <w:r w:rsidR="00B3291E">
        <w:rPr>
          <w:rFonts w:ascii="Gellix" w:hAnsi="Gellix" w:cs="Segoe UI"/>
        </w:rPr>
        <w:t>Standard Operating Procedures (SOPs)</w:t>
      </w:r>
      <w:r w:rsidR="00204E0D">
        <w:rPr>
          <w:rFonts w:ascii="Gellix" w:hAnsi="Gellix" w:cs="Segoe UI"/>
        </w:rPr>
        <w:t xml:space="preserve"> </w:t>
      </w:r>
      <w:r>
        <w:rPr>
          <w:rFonts w:ascii="Gellix" w:hAnsi="Gellix" w:cs="Segoe UI"/>
        </w:rPr>
        <w:t xml:space="preserve">and disaster preparedness </w:t>
      </w:r>
      <w:r w:rsidR="003515ED">
        <w:rPr>
          <w:rFonts w:ascii="Gellix" w:hAnsi="Gellix" w:cs="Segoe UI"/>
        </w:rPr>
        <w:t xml:space="preserve">plans should anticipate </w:t>
      </w:r>
      <w:r w:rsidR="000B51C3">
        <w:rPr>
          <w:rFonts w:ascii="Gellix" w:hAnsi="Gellix" w:cs="Segoe UI"/>
        </w:rPr>
        <w:t>different types of disruptions.</w:t>
      </w:r>
      <w:r w:rsidR="007F3547">
        <w:rPr>
          <w:rFonts w:ascii="Gellix" w:hAnsi="Gellix" w:cs="Segoe UI"/>
        </w:rPr>
        <w:t xml:space="preserve"> For example, a cyber attack on </w:t>
      </w:r>
      <w:r w:rsidR="00483F81">
        <w:rPr>
          <w:rFonts w:ascii="Gellix" w:hAnsi="Gellix" w:cs="Segoe UI"/>
        </w:rPr>
        <w:t xml:space="preserve">a port system that </w:t>
      </w:r>
      <w:r w:rsidR="0020150D">
        <w:rPr>
          <w:rFonts w:ascii="Gellix" w:hAnsi="Gellix" w:cs="Segoe UI"/>
        </w:rPr>
        <w:t xml:space="preserve">takes </w:t>
      </w:r>
      <w:r w:rsidR="00483F81">
        <w:rPr>
          <w:rFonts w:ascii="Gellix" w:hAnsi="Gellix" w:cs="Segoe UI"/>
        </w:rPr>
        <w:t xml:space="preserve">down all automated systems will require a different response </w:t>
      </w:r>
      <w:r w:rsidR="00754A9D">
        <w:rPr>
          <w:rFonts w:ascii="Gellix" w:hAnsi="Gellix" w:cs="Segoe UI"/>
        </w:rPr>
        <w:t xml:space="preserve">and engagement protocols </w:t>
      </w:r>
      <w:r w:rsidR="00C843D7">
        <w:rPr>
          <w:rFonts w:ascii="Gellix" w:hAnsi="Gellix" w:cs="Segoe UI"/>
        </w:rPr>
        <w:t xml:space="preserve">than a pandemic. </w:t>
      </w:r>
      <w:r w:rsidR="00C410D9">
        <w:rPr>
          <w:rFonts w:ascii="Gellix" w:hAnsi="Gellix" w:cs="Segoe UI"/>
        </w:rPr>
        <w:t>That is why, scenario-based testing will contribute to improved preparedness</w:t>
      </w:r>
      <w:r w:rsidR="002B15E3">
        <w:rPr>
          <w:rFonts w:ascii="Gellix" w:hAnsi="Gellix" w:cs="Segoe UI"/>
        </w:rPr>
        <w:t>. T</w:t>
      </w:r>
      <w:r w:rsidR="00DB78F0">
        <w:rPr>
          <w:rFonts w:ascii="Gellix" w:hAnsi="Gellix" w:cs="Segoe UI"/>
        </w:rPr>
        <w:t>he</w:t>
      </w:r>
      <w:r w:rsidR="002B15E3">
        <w:rPr>
          <w:rFonts w:ascii="Gellix" w:hAnsi="Gellix" w:cs="Segoe UI"/>
        </w:rPr>
        <w:t xml:space="preserve"> type of disruption</w:t>
      </w:r>
      <w:r w:rsidR="00661993">
        <w:rPr>
          <w:rFonts w:ascii="Gellix" w:hAnsi="Gellix" w:cs="Segoe UI"/>
        </w:rPr>
        <w:t xml:space="preserve"> will also affect </w:t>
      </w:r>
      <w:r w:rsidR="00192E03">
        <w:rPr>
          <w:rFonts w:ascii="Gellix" w:hAnsi="Gellix" w:cs="Segoe UI"/>
        </w:rPr>
        <w:t>what would be the most useful and effective means of engagement with the private sector.</w:t>
      </w:r>
    </w:p>
    <w:p w14:paraId="2A58B29B" w14:textId="011649D8" w:rsidR="009D663D" w:rsidRDefault="00192E03" w:rsidP="005A0375">
      <w:pPr>
        <w:rPr>
          <w:rFonts w:ascii="Gellix" w:hAnsi="Gellix" w:cs="Segoe UI"/>
        </w:rPr>
      </w:pPr>
      <w:r>
        <w:rPr>
          <w:rFonts w:ascii="Gellix" w:hAnsi="Gellix" w:cs="Segoe UI"/>
        </w:rPr>
        <w:t>In general, t</w:t>
      </w:r>
      <w:r w:rsidR="00A667E4">
        <w:rPr>
          <w:rFonts w:ascii="Gellix" w:hAnsi="Gellix" w:cs="Segoe UI"/>
        </w:rPr>
        <w:t>he Customs-</w:t>
      </w:r>
      <w:r w:rsidR="00242EDF">
        <w:rPr>
          <w:rFonts w:ascii="Gellix" w:hAnsi="Gellix" w:cs="Segoe UI"/>
        </w:rPr>
        <w:t>b</w:t>
      </w:r>
      <w:r w:rsidR="00A667E4">
        <w:rPr>
          <w:rFonts w:ascii="Gellix" w:hAnsi="Gellix" w:cs="Segoe UI"/>
        </w:rPr>
        <w:t xml:space="preserve">usiness relationship and engagement </w:t>
      </w:r>
      <w:r w:rsidR="004E2910">
        <w:rPr>
          <w:rFonts w:ascii="Gellix" w:hAnsi="Gellix" w:cs="Segoe UI"/>
        </w:rPr>
        <w:t>strategies vary across countries</w:t>
      </w:r>
      <w:r w:rsidR="007D4C3C">
        <w:rPr>
          <w:rFonts w:ascii="Gellix" w:hAnsi="Gellix" w:cs="Segoe UI"/>
        </w:rPr>
        <w:t xml:space="preserve"> </w:t>
      </w:r>
      <w:r w:rsidR="00F202A7">
        <w:rPr>
          <w:rFonts w:ascii="Gellix" w:hAnsi="Gellix" w:cs="Segoe UI"/>
        </w:rPr>
        <w:t xml:space="preserve">as well as their inclusion </w:t>
      </w:r>
      <w:r w:rsidR="007D4C3C">
        <w:rPr>
          <w:rFonts w:ascii="Gellix" w:hAnsi="Gellix" w:cs="Segoe UI"/>
        </w:rPr>
        <w:t xml:space="preserve">in </w:t>
      </w:r>
      <w:r w:rsidR="00F202A7">
        <w:rPr>
          <w:rFonts w:ascii="Gellix" w:hAnsi="Gellix" w:cs="Segoe UI"/>
        </w:rPr>
        <w:t xml:space="preserve">business continuity or crisis preparedness plans. </w:t>
      </w:r>
      <w:r w:rsidR="00C81515">
        <w:rPr>
          <w:rFonts w:ascii="Gellix" w:hAnsi="Gellix" w:cs="Segoe UI"/>
        </w:rPr>
        <w:t xml:space="preserve">A crisis or disruption can reveal weak points in </w:t>
      </w:r>
      <w:r w:rsidR="007E07D6">
        <w:rPr>
          <w:rFonts w:ascii="Gellix" w:hAnsi="Gellix" w:cs="Segoe UI"/>
        </w:rPr>
        <w:t>existing engagement protocols</w:t>
      </w:r>
      <w:r w:rsidR="00D62633">
        <w:rPr>
          <w:rFonts w:ascii="Gellix" w:hAnsi="Gellix" w:cs="Segoe UI"/>
        </w:rPr>
        <w:t xml:space="preserve"> or the lack of practice</w:t>
      </w:r>
      <w:r w:rsidR="007E07D6">
        <w:rPr>
          <w:rFonts w:ascii="Gellix" w:hAnsi="Gellix" w:cs="Segoe UI"/>
        </w:rPr>
        <w:t xml:space="preserve">. </w:t>
      </w:r>
    </w:p>
    <w:p w14:paraId="00064EB5" w14:textId="2B2E44D9" w:rsidR="00A54F49" w:rsidRPr="00D762D1" w:rsidRDefault="00BF7CC3" w:rsidP="00393B9F">
      <w:pPr>
        <w:rPr>
          <w:rFonts w:ascii="Gellix" w:hAnsi="Gellix" w:cs="Segoe UI"/>
        </w:rPr>
      </w:pPr>
      <w:r w:rsidRPr="00D762D1">
        <w:rPr>
          <w:rFonts w:ascii="Gellix" w:hAnsi="Gellix" w:cs="Segoe UI"/>
        </w:rPr>
        <w:t xml:space="preserve">This </w:t>
      </w:r>
      <w:r w:rsidR="00874C2E">
        <w:rPr>
          <w:rFonts w:ascii="Gellix" w:hAnsi="Gellix" w:cs="Segoe UI"/>
        </w:rPr>
        <w:t>paper</w:t>
      </w:r>
      <w:r w:rsidRPr="00D762D1" w:rsidDel="00874C2E">
        <w:rPr>
          <w:rFonts w:ascii="Gellix" w:hAnsi="Gellix" w:cs="Segoe UI"/>
        </w:rPr>
        <w:t xml:space="preserve"> </w:t>
      </w:r>
      <w:r w:rsidRPr="00D762D1">
        <w:rPr>
          <w:rFonts w:ascii="Gellix" w:hAnsi="Gellix" w:cs="Segoe UI"/>
        </w:rPr>
        <w:t>emphasi</w:t>
      </w:r>
      <w:r w:rsidR="00D62418">
        <w:rPr>
          <w:rFonts w:ascii="Gellix" w:hAnsi="Gellix" w:cs="Segoe UI"/>
        </w:rPr>
        <w:t>s</w:t>
      </w:r>
      <w:r w:rsidRPr="00D762D1">
        <w:rPr>
          <w:rFonts w:ascii="Gellix" w:hAnsi="Gellix" w:cs="Segoe UI"/>
        </w:rPr>
        <w:t xml:space="preserve">es the imperative need for fostering trust-based engagement, collaboration, coordination, and communication between </w:t>
      </w:r>
      <w:r w:rsidR="00CA10B1">
        <w:rPr>
          <w:rFonts w:ascii="Gellix" w:hAnsi="Gellix" w:cs="Segoe UI"/>
        </w:rPr>
        <w:t>C</w:t>
      </w:r>
      <w:r w:rsidRPr="00D762D1">
        <w:rPr>
          <w:rFonts w:ascii="Gellix" w:hAnsi="Gellix" w:cs="Segoe UI"/>
        </w:rPr>
        <w:t>ustoms authorities and trade stakeholders</w:t>
      </w:r>
      <w:r w:rsidR="009478C9">
        <w:rPr>
          <w:rFonts w:ascii="Gellix" w:hAnsi="Gellix" w:cs="Segoe UI"/>
        </w:rPr>
        <w:t>, including business</w:t>
      </w:r>
      <w:r w:rsidRPr="00D762D1">
        <w:rPr>
          <w:rFonts w:ascii="Gellix" w:hAnsi="Gellix" w:cs="Segoe UI"/>
        </w:rPr>
        <w:t>. It is through a relationship that is well-defined, intentional, and rooted in trust, that genuine collaboration and coordination</w:t>
      </w:r>
      <w:r w:rsidR="00CA10B1">
        <w:rPr>
          <w:rFonts w:ascii="Gellix" w:hAnsi="Gellix" w:cs="Segoe UI"/>
        </w:rPr>
        <w:t xml:space="preserve"> can be achieved</w:t>
      </w:r>
      <w:r w:rsidRPr="00D762D1">
        <w:rPr>
          <w:rFonts w:ascii="Gellix" w:hAnsi="Gellix" w:cs="Segoe UI"/>
        </w:rPr>
        <w:t>, elements that are crucial during times of crisis.</w:t>
      </w:r>
    </w:p>
    <w:p w14:paraId="7454241D" w14:textId="5936253A" w:rsidR="00521A8F" w:rsidRPr="00D762D1" w:rsidRDefault="00521A8F">
      <w:pPr>
        <w:rPr>
          <w:rFonts w:ascii="Gellix" w:hAnsi="Gellix" w:cs="Segoe UI"/>
        </w:rPr>
      </w:pPr>
      <w:r w:rsidRPr="00D762D1">
        <w:rPr>
          <w:rFonts w:ascii="Gellix" w:hAnsi="Gellix" w:cs="Segoe UI"/>
        </w:rPr>
        <w:t xml:space="preserve">The </w:t>
      </w:r>
      <w:r w:rsidR="009467AA">
        <w:rPr>
          <w:rFonts w:ascii="Gellix" w:hAnsi="Gellix" w:cs="Segoe UI"/>
        </w:rPr>
        <w:t>C</w:t>
      </w:r>
      <w:r w:rsidR="003B3083">
        <w:rPr>
          <w:rFonts w:ascii="Gellix" w:hAnsi="Gellix" w:cs="Segoe UI"/>
        </w:rPr>
        <w:t>OVID</w:t>
      </w:r>
      <w:r w:rsidR="009467AA">
        <w:rPr>
          <w:rFonts w:ascii="Gellix" w:hAnsi="Gellix" w:cs="Segoe UI"/>
        </w:rPr>
        <w:t xml:space="preserve">-19 </w:t>
      </w:r>
      <w:r w:rsidRPr="00D762D1">
        <w:rPr>
          <w:rFonts w:ascii="Gellix" w:hAnsi="Gellix" w:cs="Segoe UI"/>
        </w:rPr>
        <w:t xml:space="preserve">pandemic, along with other crisis situations, have underscored the importance of establishing such relationships. While crises necessitate immediate responses to emerging challenges, </w:t>
      </w:r>
      <w:r w:rsidR="00CF7333">
        <w:rPr>
          <w:rFonts w:ascii="Gellix" w:hAnsi="Gellix" w:cs="Segoe UI"/>
        </w:rPr>
        <w:t>the</w:t>
      </w:r>
      <w:r w:rsidRPr="00D762D1">
        <w:rPr>
          <w:rFonts w:ascii="Gellix" w:hAnsi="Gellix" w:cs="Segoe UI"/>
        </w:rPr>
        <w:t xml:space="preserve"> primary focus </w:t>
      </w:r>
      <w:r w:rsidR="00CF7333">
        <w:rPr>
          <w:rFonts w:ascii="Gellix" w:hAnsi="Gellix" w:cs="Segoe UI"/>
        </w:rPr>
        <w:t xml:space="preserve">of this paper </w:t>
      </w:r>
      <w:r w:rsidR="00F908AF">
        <w:rPr>
          <w:rFonts w:ascii="Gellix" w:hAnsi="Gellix" w:cs="Segoe UI"/>
        </w:rPr>
        <w:t>are</w:t>
      </w:r>
      <w:r w:rsidR="00AE6E3C">
        <w:rPr>
          <w:rFonts w:ascii="Gellix" w:hAnsi="Gellix" w:cs="Segoe UI"/>
        </w:rPr>
        <w:t xml:space="preserve"> recommendations </w:t>
      </w:r>
      <w:r w:rsidRPr="00D762D1">
        <w:rPr>
          <w:rFonts w:ascii="Gellix" w:hAnsi="Gellix" w:cs="Segoe UI"/>
        </w:rPr>
        <w:t xml:space="preserve">that </w:t>
      </w:r>
      <w:r w:rsidR="00AE6E3C">
        <w:rPr>
          <w:rFonts w:ascii="Gellix" w:hAnsi="Gellix" w:cs="Segoe UI"/>
        </w:rPr>
        <w:t xml:space="preserve">should be followed </w:t>
      </w:r>
      <w:r w:rsidRPr="00D762D1">
        <w:rPr>
          <w:rFonts w:ascii="Gellix" w:hAnsi="Gellix" w:cs="Segoe UI"/>
        </w:rPr>
        <w:t>not only during crises but also</w:t>
      </w:r>
      <w:r w:rsidR="00C91FF0">
        <w:rPr>
          <w:rFonts w:ascii="Gellix" w:hAnsi="Gellix" w:cs="Segoe UI"/>
        </w:rPr>
        <w:t xml:space="preserve"> during regular times</w:t>
      </w:r>
      <w:r w:rsidRPr="00D762D1">
        <w:rPr>
          <w:rFonts w:ascii="Gellix" w:hAnsi="Gellix" w:cs="Segoe UI"/>
        </w:rPr>
        <w:t>. This proactive approach ensures preparedness and resilience in the face of future uncertainties.</w:t>
      </w:r>
    </w:p>
    <w:p w14:paraId="3BE2A9A5" w14:textId="46BB4DD6" w:rsidR="00BD7746" w:rsidRPr="000B5805" w:rsidRDefault="007110A7" w:rsidP="000B5805">
      <w:pPr>
        <w:pStyle w:val="NormalWeb"/>
        <w:numPr>
          <w:ilvl w:val="0"/>
          <w:numId w:val="1"/>
        </w:numPr>
        <w:spacing w:before="0" w:beforeAutospacing="0" w:after="0" w:afterAutospacing="0"/>
        <w:rPr>
          <w:rFonts w:ascii="Gellix" w:hAnsi="Gellix" w:cs="Segoe UI"/>
          <w:b/>
          <w:sz w:val="22"/>
          <w:szCs w:val="22"/>
        </w:rPr>
      </w:pPr>
      <w:r>
        <w:rPr>
          <w:rFonts w:ascii="Gellix" w:hAnsi="Gellix" w:cs="Segoe UI"/>
          <w:b/>
          <w:sz w:val="22"/>
          <w:szCs w:val="22"/>
        </w:rPr>
        <w:t xml:space="preserve">The </w:t>
      </w:r>
      <w:r w:rsidR="000B5805">
        <w:rPr>
          <w:rFonts w:ascii="Gellix" w:hAnsi="Gellix" w:cs="Segoe UI"/>
          <w:b/>
          <w:sz w:val="22"/>
          <w:szCs w:val="22"/>
        </w:rPr>
        <w:t>Customs-</w:t>
      </w:r>
      <w:r w:rsidR="00242EDF">
        <w:rPr>
          <w:rFonts w:ascii="Gellix" w:hAnsi="Gellix" w:cs="Segoe UI"/>
          <w:b/>
          <w:sz w:val="22"/>
          <w:szCs w:val="22"/>
        </w:rPr>
        <w:t>b</w:t>
      </w:r>
      <w:r w:rsidR="000B5805">
        <w:rPr>
          <w:rFonts w:ascii="Gellix" w:hAnsi="Gellix" w:cs="Segoe UI"/>
          <w:b/>
          <w:sz w:val="22"/>
          <w:szCs w:val="22"/>
        </w:rPr>
        <w:t xml:space="preserve">usiness engagement within </w:t>
      </w:r>
      <w:r w:rsidR="006A1345">
        <w:rPr>
          <w:rFonts w:ascii="Gellix" w:hAnsi="Gellix" w:cs="Segoe UI"/>
          <w:b/>
          <w:sz w:val="22"/>
          <w:szCs w:val="22"/>
        </w:rPr>
        <w:t xml:space="preserve">the </w:t>
      </w:r>
      <w:r w:rsidR="00242EDF">
        <w:rPr>
          <w:rFonts w:ascii="Gellix" w:hAnsi="Gellix" w:cs="Segoe UI"/>
          <w:b/>
          <w:sz w:val="22"/>
          <w:szCs w:val="22"/>
        </w:rPr>
        <w:t xml:space="preserve">regulatory </w:t>
      </w:r>
      <w:r w:rsidR="000B5805" w:rsidRPr="000B5805">
        <w:rPr>
          <w:rFonts w:ascii="Gellix" w:hAnsi="Gellix" w:cs="Segoe UI"/>
          <w:b/>
          <w:sz w:val="22"/>
          <w:szCs w:val="22"/>
        </w:rPr>
        <w:t>framework</w:t>
      </w:r>
      <w:r>
        <w:rPr>
          <w:rFonts w:ascii="Gellix" w:hAnsi="Gellix" w:cs="Segoe UI"/>
          <w:b/>
          <w:sz w:val="22"/>
          <w:szCs w:val="22"/>
        </w:rPr>
        <w:t xml:space="preserve"> outside of a crisis situation</w:t>
      </w:r>
    </w:p>
    <w:p w14:paraId="78E14004" w14:textId="51043FB4" w:rsidR="009230A0" w:rsidRDefault="00CA5415" w:rsidP="003C2693">
      <w:pPr>
        <w:pStyle w:val="NormalWeb"/>
        <w:spacing w:before="0" w:beforeAutospacing="0" w:after="0" w:afterAutospacing="0"/>
        <w:rPr>
          <w:rFonts w:ascii="Gellix" w:hAnsi="Gellix" w:cs="Segoe UI"/>
          <w:sz w:val="22"/>
          <w:szCs w:val="22"/>
        </w:rPr>
      </w:pPr>
      <w:r>
        <w:rPr>
          <w:rFonts w:ascii="Gellix" w:hAnsi="Gellix" w:cs="Segoe UI"/>
          <w:sz w:val="22"/>
          <w:szCs w:val="22"/>
        </w:rPr>
        <w:t>L</w:t>
      </w:r>
      <w:r w:rsidR="004843DE" w:rsidRPr="00D762D1">
        <w:rPr>
          <w:rFonts w:ascii="Gellix" w:hAnsi="Gellix" w:cs="Segoe UI"/>
          <w:sz w:val="22"/>
          <w:szCs w:val="22"/>
        </w:rPr>
        <w:t xml:space="preserve">aws, structures, and perceptions regarding </w:t>
      </w:r>
      <w:r w:rsidR="008D321F">
        <w:rPr>
          <w:rFonts w:ascii="Gellix" w:hAnsi="Gellix" w:cs="Segoe UI"/>
          <w:sz w:val="22"/>
          <w:szCs w:val="22"/>
        </w:rPr>
        <w:t xml:space="preserve">the </w:t>
      </w:r>
      <w:r w:rsidR="004843DE" w:rsidRPr="00D762D1">
        <w:rPr>
          <w:rFonts w:ascii="Gellix" w:hAnsi="Gellix" w:cs="Segoe UI"/>
          <w:sz w:val="22"/>
          <w:szCs w:val="22"/>
        </w:rPr>
        <w:t xml:space="preserve">engagement </w:t>
      </w:r>
      <w:r w:rsidR="008D321F">
        <w:rPr>
          <w:rFonts w:ascii="Gellix" w:hAnsi="Gellix" w:cs="Segoe UI"/>
          <w:sz w:val="22"/>
          <w:szCs w:val="22"/>
        </w:rPr>
        <w:t xml:space="preserve">of Customs authorities </w:t>
      </w:r>
      <w:r w:rsidR="004843DE" w:rsidRPr="00D762D1">
        <w:rPr>
          <w:rFonts w:ascii="Gellix" w:hAnsi="Gellix" w:cs="Segoe UI"/>
          <w:sz w:val="22"/>
          <w:szCs w:val="22"/>
        </w:rPr>
        <w:t xml:space="preserve">with </w:t>
      </w:r>
      <w:r w:rsidR="0091701E">
        <w:rPr>
          <w:rFonts w:ascii="Gellix" w:hAnsi="Gellix" w:cs="Segoe UI"/>
          <w:sz w:val="22"/>
          <w:szCs w:val="22"/>
        </w:rPr>
        <w:t xml:space="preserve">the private sector </w:t>
      </w:r>
      <w:r w:rsidR="004843DE" w:rsidRPr="00D762D1">
        <w:rPr>
          <w:rFonts w:ascii="Gellix" w:hAnsi="Gellix" w:cs="Segoe UI"/>
          <w:sz w:val="22"/>
          <w:szCs w:val="22"/>
        </w:rPr>
        <w:t xml:space="preserve">vary significantly across individual countries. </w:t>
      </w:r>
      <w:r w:rsidR="00202DA9">
        <w:rPr>
          <w:rFonts w:ascii="Gellix" w:hAnsi="Gellix" w:cs="Segoe UI"/>
          <w:sz w:val="22"/>
          <w:szCs w:val="22"/>
        </w:rPr>
        <w:t>There is a</w:t>
      </w:r>
      <w:r w:rsidR="004843DE" w:rsidRPr="00D762D1">
        <w:rPr>
          <w:rFonts w:ascii="Gellix" w:hAnsi="Gellix" w:cs="Segoe UI"/>
          <w:sz w:val="22"/>
          <w:szCs w:val="22"/>
        </w:rPr>
        <w:t xml:space="preserve"> spectrum of scenarios: </w:t>
      </w:r>
    </w:p>
    <w:p w14:paraId="59B347FE" w14:textId="2BA11EBC" w:rsidR="009230A0" w:rsidRDefault="004843DE" w:rsidP="005324EF">
      <w:pPr>
        <w:pStyle w:val="NormalWeb"/>
        <w:numPr>
          <w:ilvl w:val="0"/>
          <w:numId w:val="8"/>
        </w:numPr>
        <w:spacing w:before="120" w:beforeAutospacing="0" w:after="0" w:afterAutospacing="0"/>
        <w:rPr>
          <w:rFonts w:ascii="Gellix" w:hAnsi="Gellix" w:cs="Segoe UI"/>
          <w:sz w:val="22"/>
          <w:szCs w:val="22"/>
        </w:rPr>
      </w:pPr>
      <w:r w:rsidRPr="00D762D1">
        <w:rPr>
          <w:rFonts w:ascii="Gellix" w:hAnsi="Gellix" w:cs="Segoe UI"/>
          <w:sz w:val="22"/>
          <w:szCs w:val="22"/>
        </w:rPr>
        <w:t xml:space="preserve">countries that have already established a trust-based engagement model with the </w:t>
      </w:r>
      <w:r w:rsidR="008433D8">
        <w:rPr>
          <w:rFonts w:ascii="Gellix" w:hAnsi="Gellix" w:cs="Segoe UI"/>
          <w:sz w:val="22"/>
          <w:szCs w:val="22"/>
        </w:rPr>
        <w:t>private sector</w:t>
      </w:r>
      <w:r w:rsidRPr="00D762D1">
        <w:rPr>
          <w:rFonts w:ascii="Gellix" w:hAnsi="Gellix" w:cs="Segoe UI"/>
          <w:sz w:val="22"/>
          <w:szCs w:val="22"/>
        </w:rPr>
        <w:t xml:space="preserve"> and other relevant stakeholders (e.g., U.S., Canada, the EU, Jamaica, Peru, or Colombia); </w:t>
      </w:r>
    </w:p>
    <w:p w14:paraId="5F961C80" w14:textId="2498C2D9" w:rsidR="004319F7" w:rsidRDefault="004843DE" w:rsidP="005324EF">
      <w:pPr>
        <w:pStyle w:val="NormalWeb"/>
        <w:numPr>
          <w:ilvl w:val="0"/>
          <w:numId w:val="8"/>
        </w:numPr>
        <w:spacing w:before="120" w:beforeAutospacing="0" w:after="0" w:afterAutospacing="0"/>
        <w:rPr>
          <w:rFonts w:ascii="Gellix" w:hAnsi="Gellix" w:cs="Segoe UI"/>
          <w:sz w:val="22"/>
          <w:szCs w:val="22"/>
        </w:rPr>
      </w:pPr>
      <w:r w:rsidRPr="00D762D1">
        <w:rPr>
          <w:rFonts w:ascii="Gellix" w:hAnsi="Gellix" w:cs="Segoe UI"/>
          <w:sz w:val="22"/>
          <w:szCs w:val="22"/>
        </w:rPr>
        <w:t xml:space="preserve">countries that are receptive to engaging with the </w:t>
      </w:r>
      <w:r w:rsidR="008433D8">
        <w:rPr>
          <w:rFonts w:ascii="Gellix" w:hAnsi="Gellix" w:cs="Segoe UI"/>
          <w:sz w:val="22"/>
          <w:szCs w:val="22"/>
        </w:rPr>
        <w:t>private sector</w:t>
      </w:r>
      <w:r w:rsidRPr="00D762D1">
        <w:rPr>
          <w:rFonts w:ascii="Gellix" w:hAnsi="Gellix" w:cs="Segoe UI"/>
          <w:sz w:val="22"/>
          <w:szCs w:val="22"/>
        </w:rPr>
        <w:t xml:space="preserve">, possibly on a limited range of topics or directly with specific company representatives (e.g., Brazil); </w:t>
      </w:r>
    </w:p>
    <w:p w14:paraId="0E795E5E" w14:textId="0CAE3499" w:rsidR="004843DE" w:rsidRPr="008433D8" w:rsidRDefault="004843DE" w:rsidP="008433D8">
      <w:pPr>
        <w:pStyle w:val="NormalWeb"/>
        <w:numPr>
          <w:ilvl w:val="0"/>
          <w:numId w:val="8"/>
        </w:numPr>
        <w:spacing w:before="120" w:beforeAutospacing="0" w:after="0" w:afterAutospacing="0"/>
        <w:rPr>
          <w:rFonts w:ascii="Gellix" w:hAnsi="Gellix" w:cs="Segoe UI"/>
          <w:sz w:val="22"/>
          <w:szCs w:val="22"/>
        </w:rPr>
      </w:pPr>
      <w:r w:rsidRPr="00D762D1">
        <w:rPr>
          <w:rFonts w:ascii="Gellix" w:hAnsi="Gellix" w:cs="Segoe UI"/>
          <w:sz w:val="22"/>
          <w:szCs w:val="22"/>
        </w:rPr>
        <w:lastRenderedPageBreak/>
        <w:t xml:space="preserve">countries that currently lack an engagement structure with the </w:t>
      </w:r>
      <w:r w:rsidR="008433D8">
        <w:rPr>
          <w:rFonts w:ascii="Gellix" w:hAnsi="Gellix" w:cs="Segoe UI"/>
          <w:sz w:val="22"/>
          <w:szCs w:val="22"/>
        </w:rPr>
        <w:t>private sector</w:t>
      </w:r>
      <w:r w:rsidRPr="00D762D1">
        <w:rPr>
          <w:rFonts w:ascii="Gellix" w:hAnsi="Gellix" w:cs="Segoe UI"/>
          <w:sz w:val="22"/>
          <w:szCs w:val="22"/>
        </w:rPr>
        <w:t>, including those that harbo</w:t>
      </w:r>
      <w:r w:rsidR="00982AC3">
        <w:rPr>
          <w:rFonts w:ascii="Gellix" w:hAnsi="Gellix" w:cs="Segoe UI"/>
          <w:sz w:val="22"/>
          <w:szCs w:val="22"/>
        </w:rPr>
        <w:t>u</w:t>
      </w:r>
      <w:r w:rsidRPr="00D762D1">
        <w:rPr>
          <w:rFonts w:ascii="Gellix" w:hAnsi="Gellix" w:cs="Segoe UI"/>
          <w:sz w:val="22"/>
          <w:szCs w:val="22"/>
        </w:rPr>
        <w:t xml:space="preserve">r mistrust towards the </w:t>
      </w:r>
      <w:r w:rsidRPr="008433D8">
        <w:rPr>
          <w:rFonts w:ascii="Gellix" w:hAnsi="Gellix" w:cs="Segoe UI"/>
          <w:sz w:val="22"/>
          <w:szCs w:val="22"/>
        </w:rPr>
        <w:t>business community.</w:t>
      </w:r>
    </w:p>
    <w:p w14:paraId="410F6F17" w14:textId="694F9D7F" w:rsidR="00DD33C9" w:rsidRDefault="004D2BB7" w:rsidP="005123F4">
      <w:pPr>
        <w:spacing w:before="120" w:after="80"/>
        <w:rPr>
          <w:rFonts w:ascii="Gellix" w:hAnsi="Gellix"/>
        </w:rPr>
      </w:pPr>
      <w:r>
        <w:rPr>
          <w:rFonts w:ascii="Gellix" w:hAnsi="Gellix"/>
        </w:rPr>
        <w:t xml:space="preserve">The WCO has a variety of tools, instruments and guidance designed to facilitate and enhance </w:t>
      </w:r>
      <w:r w:rsidR="005C28CE">
        <w:rPr>
          <w:rFonts w:ascii="Gellix" w:hAnsi="Gellix"/>
        </w:rPr>
        <w:t>the engagement of Customs authorities and the private sector</w:t>
      </w:r>
      <w:r w:rsidR="0091706A">
        <w:rPr>
          <w:rFonts w:ascii="Gellix" w:hAnsi="Gellix"/>
        </w:rPr>
        <w:t>, for example:</w:t>
      </w:r>
    </w:p>
    <w:p w14:paraId="4C89941E" w14:textId="43E60737" w:rsidR="0091706A" w:rsidRDefault="0091706A" w:rsidP="0091706A">
      <w:pPr>
        <w:pStyle w:val="ListParagraph"/>
        <w:numPr>
          <w:ilvl w:val="0"/>
          <w:numId w:val="11"/>
        </w:numPr>
        <w:rPr>
          <w:rFonts w:ascii="Gellix" w:hAnsi="Gellix"/>
        </w:rPr>
      </w:pPr>
      <w:r>
        <w:rPr>
          <w:rFonts w:ascii="Gellix" w:hAnsi="Gellix"/>
        </w:rPr>
        <w:t>SAFE Framework of Standards</w:t>
      </w:r>
      <w:r w:rsidR="00D94B69">
        <w:rPr>
          <w:rFonts w:ascii="Gellix" w:hAnsi="Gellix"/>
        </w:rPr>
        <w:t xml:space="preserve"> and </w:t>
      </w:r>
      <w:r w:rsidR="00515562">
        <w:rPr>
          <w:rFonts w:ascii="Gellix" w:hAnsi="Gellix"/>
        </w:rPr>
        <w:t xml:space="preserve">associated guidance tools and efforts related to Authorized Economic Operator (AEO) Programmes  </w:t>
      </w:r>
    </w:p>
    <w:p w14:paraId="70B270B0" w14:textId="4C759843" w:rsidR="00515562" w:rsidRDefault="00515562" w:rsidP="0091706A">
      <w:pPr>
        <w:pStyle w:val="ListParagraph"/>
        <w:numPr>
          <w:ilvl w:val="0"/>
          <w:numId w:val="11"/>
        </w:numPr>
        <w:rPr>
          <w:rFonts w:ascii="Gellix" w:hAnsi="Gellix"/>
        </w:rPr>
      </w:pPr>
      <w:r>
        <w:rPr>
          <w:rFonts w:ascii="Gellix" w:hAnsi="Gellix"/>
        </w:rPr>
        <w:t>Revised Kyoto Convention (RKC)</w:t>
      </w:r>
    </w:p>
    <w:p w14:paraId="40B05871" w14:textId="25E8FC01" w:rsidR="00922F72" w:rsidRDefault="00922F72" w:rsidP="0091706A">
      <w:pPr>
        <w:pStyle w:val="ListParagraph"/>
        <w:numPr>
          <w:ilvl w:val="0"/>
          <w:numId w:val="11"/>
        </w:numPr>
        <w:rPr>
          <w:rFonts w:ascii="Gellix" w:hAnsi="Gellix"/>
        </w:rPr>
      </w:pPr>
      <w:r>
        <w:rPr>
          <w:rFonts w:ascii="Gellix" w:hAnsi="Gellix"/>
        </w:rPr>
        <w:t>WCO Customs-Business Partnership Guidance</w:t>
      </w:r>
    </w:p>
    <w:p w14:paraId="13DDFF21" w14:textId="111729EE" w:rsidR="00922F72" w:rsidRDefault="00922F72" w:rsidP="00DC61B6">
      <w:pPr>
        <w:pStyle w:val="ListParagraph"/>
        <w:numPr>
          <w:ilvl w:val="0"/>
          <w:numId w:val="11"/>
        </w:numPr>
        <w:spacing w:after="120"/>
        <w:ind w:left="714" w:hanging="357"/>
        <w:rPr>
          <w:rFonts w:ascii="Gellix" w:hAnsi="Gellix"/>
        </w:rPr>
      </w:pPr>
      <w:r>
        <w:rPr>
          <w:rFonts w:ascii="Gellix" w:hAnsi="Gellix"/>
        </w:rPr>
        <w:t xml:space="preserve">WCO Data Model </w:t>
      </w:r>
    </w:p>
    <w:p w14:paraId="6FC38FE2" w14:textId="0EA4074A" w:rsidR="00F0472E" w:rsidRPr="00533690" w:rsidRDefault="00974736" w:rsidP="00533690">
      <w:pPr>
        <w:spacing w:after="120"/>
        <w:rPr>
          <w:rFonts w:ascii="Gellix" w:hAnsi="Gellix"/>
        </w:rPr>
      </w:pPr>
      <w:r>
        <w:rPr>
          <w:rFonts w:ascii="Gellix" w:hAnsi="Gellix"/>
        </w:rPr>
        <w:t xml:space="preserve">These tools and instruments are part of the WCO’s broader efforts to </w:t>
      </w:r>
      <w:r w:rsidR="006527A9">
        <w:rPr>
          <w:rFonts w:ascii="Gellix" w:hAnsi="Gellix"/>
        </w:rPr>
        <w:t>foster the Customs-Business relationship worldwide. Within the WCO,</w:t>
      </w:r>
      <w:r w:rsidR="005C2330">
        <w:rPr>
          <w:rFonts w:ascii="Gellix" w:hAnsi="Gellix"/>
        </w:rPr>
        <w:t xml:space="preserve"> there is also structured engagement with the private sector, through the Private Sector Consultative Group </w:t>
      </w:r>
      <w:r w:rsidR="00212F01">
        <w:rPr>
          <w:rFonts w:ascii="Gellix" w:hAnsi="Gellix"/>
        </w:rPr>
        <w:t xml:space="preserve">(PSCG) </w:t>
      </w:r>
      <w:r w:rsidR="005C2330">
        <w:rPr>
          <w:rFonts w:ascii="Gellix" w:hAnsi="Gellix"/>
        </w:rPr>
        <w:t xml:space="preserve">that acts as advisory body as well as </w:t>
      </w:r>
      <w:r w:rsidR="00B02FC7">
        <w:rPr>
          <w:rFonts w:ascii="Gellix" w:hAnsi="Gellix"/>
        </w:rPr>
        <w:t xml:space="preserve">industry observers such as the ICC. </w:t>
      </w:r>
      <w:r w:rsidR="005C2330">
        <w:rPr>
          <w:rFonts w:ascii="Gellix" w:hAnsi="Gellix"/>
        </w:rPr>
        <w:t xml:space="preserve"> </w:t>
      </w:r>
    </w:p>
    <w:p w14:paraId="0763BA25" w14:textId="42D6BCB0" w:rsidR="00393B9F" w:rsidRPr="00D762D1" w:rsidRDefault="004529D3" w:rsidP="00BB1F32">
      <w:pPr>
        <w:pStyle w:val="ListParagraph"/>
        <w:numPr>
          <w:ilvl w:val="0"/>
          <w:numId w:val="1"/>
        </w:numPr>
        <w:spacing w:after="0"/>
        <w:rPr>
          <w:rFonts w:ascii="Gellix" w:hAnsi="Gellix"/>
          <w:b/>
          <w:bCs/>
        </w:rPr>
      </w:pPr>
      <w:r w:rsidRPr="00D762D1">
        <w:rPr>
          <w:rFonts w:ascii="Gellix" w:hAnsi="Gellix"/>
          <w:b/>
          <w:bCs/>
        </w:rPr>
        <w:t xml:space="preserve">Regional Customs – </w:t>
      </w:r>
      <w:r w:rsidR="00B80C90">
        <w:rPr>
          <w:rFonts w:ascii="Gellix" w:hAnsi="Gellix"/>
          <w:b/>
          <w:bCs/>
        </w:rPr>
        <w:t>b</w:t>
      </w:r>
      <w:r w:rsidRPr="00D762D1">
        <w:rPr>
          <w:rFonts w:ascii="Gellix" w:hAnsi="Gellix"/>
          <w:b/>
          <w:bCs/>
        </w:rPr>
        <w:t xml:space="preserve">usiness </w:t>
      </w:r>
      <w:r w:rsidR="00B80C90">
        <w:rPr>
          <w:rFonts w:ascii="Gellix" w:hAnsi="Gellix"/>
          <w:b/>
          <w:bCs/>
        </w:rPr>
        <w:t>e</w:t>
      </w:r>
      <w:r w:rsidRPr="00D762D1">
        <w:rPr>
          <w:rFonts w:ascii="Gellix" w:hAnsi="Gellix"/>
          <w:b/>
          <w:bCs/>
        </w:rPr>
        <w:t>ngagement</w:t>
      </w:r>
    </w:p>
    <w:p w14:paraId="79700102" w14:textId="77777777" w:rsidR="00FB1E58" w:rsidRDefault="00B347E7" w:rsidP="00FB1E58">
      <w:pPr>
        <w:pStyle w:val="NormalWeb"/>
        <w:spacing w:before="0" w:beforeAutospacing="0" w:after="0" w:afterAutospacing="0"/>
        <w:rPr>
          <w:rFonts w:ascii="Gellix" w:hAnsi="Gellix" w:cs="Segoe UI"/>
          <w:sz w:val="22"/>
          <w:szCs w:val="22"/>
        </w:rPr>
      </w:pPr>
      <w:r w:rsidRPr="00D762D1">
        <w:rPr>
          <w:rFonts w:ascii="Gellix" w:hAnsi="Gellix" w:cs="Segoe UI"/>
          <w:sz w:val="22"/>
          <w:szCs w:val="22"/>
        </w:rPr>
        <w:t xml:space="preserve">The </w:t>
      </w:r>
      <w:r w:rsidR="003534A3" w:rsidRPr="003534A3">
        <w:rPr>
          <w:rFonts w:ascii="Gellix" w:hAnsi="Gellix" w:cs="Segoe UI"/>
          <w:sz w:val="22"/>
          <w:szCs w:val="22"/>
        </w:rPr>
        <w:t>Asia-Pacific Economic Cooperation</w:t>
      </w:r>
      <w:r w:rsidR="003534A3">
        <w:rPr>
          <w:rFonts w:ascii="Gellix" w:hAnsi="Gellix" w:cs="Segoe UI"/>
          <w:sz w:val="22"/>
          <w:szCs w:val="22"/>
        </w:rPr>
        <w:t xml:space="preserve"> (</w:t>
      </w:r>
      <w:r w:rsidRPr="00D762D1">
        <w:rPr>
          <w:rFonts w:ascii="Gellix" w:hAnsi="Gellix" w:cs="Segoe UI"/>
          <w:sz w:val="22"/>
          <w:szCs w:val="22"/>
        </w:rPr>
        <w:t>APEC</w:t>
      </w:r>
      <w:r w:rsidR="003534A3">
        <w:rPr>
          <w:rFonts w:ascii="Gellix" w:hAnsi="Gellix" w:cs="Segoe UI"/>
          <w:sz w:val="22"/>
          <w:szCs w:val="22"/>
        </w:rPr>
        <w:t xml:space="preserve">) </w:t>
      </w:r>
      <w:r w:rsidRPr="00D762D1">
        <w:rPr>
          <w:rFonts w:ascii="Gellix" w:hAnsi="Gellix" w:cs="Segoe UI"/>
          <w:sz w:val="22"/>
          <w:szCs w:val="22"/>
        </w:rPr>
        <w:t xml:space="preserve">Customs Business Dialogue (ACBD) serves as a vital platform for the private sector to constructively engage with Customs administrations of 21 APEC economies. This engagement aims to address border barriers, reduce business </w:t>
      </w:r>
      <w:r w:rsidR="00763CDE" w:rsidRPr="00D762D1">
        <w:rPr>
          <w:rFonts w:ascii="Gellix" w:hAnsi="Gellix" w:cs="Segoe UI"/>
          <w:sz w:val="22"/>
          <w:szCs w:val="22"/>
        </w:rPr>
        <w:t>costs,</w:t>
      </w:r>
      <w:r w:rsidRPr="00D762D1">
        <w:rPr>
          <w:rFonts w:ascii="Gellix" w:hAnsi="Gellix" w:cs="Segoe UI"/>
          <w:sz w:val="22"/>
          <w:szCs w:val="22"/>
        </w:rPr>
        <w:t xml:space="preserve"> and time delays, and expedite the movement of goods across borders. The ACBD typically convenes annually under the coordination of the APEC Subcommittee on Customs Processes and Procedures (SCCP). </w:t>
      </w:r>
    </w:p>
    <w:p w14:paraId="1EB55F0E" w14:textId="4E5C44F2" w:rsidR="00B347E7" w:rsidRPr="00D762D1" w:rsidRDefault="00B347E7" w:rsidP="00FB1E58">
      <w:pPr>
        <w:pStyle w:val="NormalWeb"/>
        <w:spacing w:before="120" w:beforeAutospacing="0" w:after="0" w:afterAutospacing="0"/>
        <w:rPr>
          <w:rFonts w:ascii="Gellix" w:hAnsi="Gellix" w:cs="Segoe UI"/>
          <w:sz w:val="22"/>
          <w:szCs w:val="22"/>
        </w:rPr>
      </w:pPr>
      <w:r w:rsidRPr="00D762D1">
        <w:rPr>
          <w:rFonts w:ascii="Gellix" w:hAnsi="Gellix" w:cs="Segoe UI"/>
          <w:sz w:val="22"/>
          <w:szCs w:val="22"/>
        </w:rPr>
        <w:t>Furthermore, APEC organi</w:t>
      </w:r>
      <w:r w:rsidR="00BD3EE1">
        <w:rPr>
          <w:rFonts w:ascii="Gellix" w:hAnsi="Gellix" w:cs="Segoe UI"/>
          <w:sz w:val="22"/>
          <w:szCs w:val="22"/>
        </w:rPr>
        <w:t>s</w:t>
      </w:r>
      <w:r w:rsidRPr="00D762D1">
        <w:rPr>
          <w:rFonts w:ascii="Gellix" w:hAnsi="Gellix" w:cs="Segoe UI"/>
          <w:sz w:val="22"/>
          <w:szCs w:val="22"/>
        </w:rPr>
        <w:t xml:space="preserve">es the A2C2 (Alliance for Supply Chain Connectivity) and/or related workshops that are accessible to trade stakeholders. The level of engagement and information sharing with the </w:t>
      </w:r>
      <w:r w:rsidR="00202C7E">
        <w:rPr>
          <w:rFonts w:ascii="Gellix" w:hAnsi="Gellix" w:cs="Segoe UI"/>
          <w:sz w:val="22"/>
          <w:szCs w:val="22"/>
        </w:rPr>
        <w:t>private sector</w:t>
      </w:r>
      <w:r w:rsidRPr="00D762D1">
        <w:rPr>
          <w:rFonts w:ascii="Gellix" w:hAnsi="Gellix" w:cs="Segoe UI"/>
          <w:sz w:val="22"/>
          <w:szCs w:val="22"/>
        </w:rPr>
        <w:t xml:space="preserve"> varies across countries</w:t>
      </w:r>
      <w:r w:rsidR="0052287B">
        <w:rPr>
          <w:rFonts w:ascii="Gellix" w:hAnsi="Gellix" w:cs="Segoe UI"/>
          <w:sz w:val="22"/>
          <w:szCs w:val="22"/>
        </w:rPr>
        <w:t xml:space="preserve"> that are part of the group.</w:t>
      </w:r>
    </w:p>
    <w:p w14:paraId="2F0C6A63" w14:textId="77777777" w:rsidR="00B347E7" w:rsidRPr="00D762D1" w:rsidRDefault="00B347E7" w:rsidP="00306863">
      <w:pPr>
        <w:pStyle w:val="NormalWeb"/>
        <w:spacing w:before="120" w:beforeAutospacing="0" w:after="240" w:afterAutospacing="0"/>
        <w:rPr>
          <w:rFonts w:ascii="Gellix" w:hAnsi="Gellix" w:cs="Segoe UI"/>
          <w:sz w:val="22"/>
          <w:szCs w:val="22"/>
        </w:rPr>
      </w:pPr>
      <w:r w:rsidRPr="00D762D1">
        <w:rPr>
          <w:rFonts w:ascii="Gellix" w:hAnsi="Gellix" w:cs="Segoe UI"/>
          <w:sz w:val="22"/>
          <w:szCs w:val="22"/>
        </w:rPr>
        <w:t>The ACBD has played a pivotal role in facilitating dialogue, particularly during recent crisis situations. This highlights the importance of such platforms in fostering communication and collaboration in challenging times.</w:t>
      </w:r>
    </w:p>
    <w:p w14:paraId="3176078A" w14:textId="7A798073" w:rsidR="00C40B0F" w:rsidRPr="00306863" w:rsidRDefault="00C40B0F" w:rsidP="00306863">
      <w:pPr>
        <w:pStyle w:val="ListParagraph"/>
        <w:numPr>
          <w:ilvl w:val="0"/>
          <w:numId w:val="1"/>
        </w:numPr>
        <w:spacing w:after="0"/>
        <w:rPr>
          <w:rFonts w:ascii="Gellix" w:hAnsi="Gellix"/>
          <w:b/>
          <w:bCs/>
          <w:lang w:val="fr-FR"/>
        </w:rPr>
      </w:pPr>
      <w:r w:rsidRPr="00306863">
        <w:rPr>
          <w:rFonts w:ascii="Gellix" w:hAnsi="Gellix"/>
          <w:b/>
          <w:bCs/>
          <w:lang w:val="fr-FR"/>
        </w:rPr>
        <w:t xml:space="preserve">Models for </w:t>
      </w:r>
      <w:r w:rsidR="00BB1F32">
        <w:rPr>
          <w:rFonts w:ascii="Gellix" w:hAnsi="Gellix"/>
          <w:b/>
          <w:bCs/>
          <w:lang w:val="fr-FR"/>
        </w:rPr>
        <w:t>e</w:t>
      </w:r>
      <w:r w:rsidRPr="00306863">
        <w:rPr>
          <w:rFonts w:ascii="Gellix" w:hAnsi="Gellix"/>
          <w:b/>
          <w:bCs/>
          <w:lang w:val="fr-FR"/>
        </w:rPr>
        <w:t>ngagement</w:t>
      </w:r>
      <w:r w:rsidR="00674471">
        <w:rPr>
          <w:rFonts w:ascii="Gellix" w:hAnsi="Gellix"/>
          <w:b/>
          <w:bCs/>
          <w:lang w:val="fr-FR"/>
        </w:rPr>
        <w:t xml:space="preserve"> </w:t>
      </w:r>
      <w:r w:rsidR="00BD24FA">
        <w:rPr>
          <w:rFonts w:ascii="Gellix" w:hAnsi="Gellix"/>
          <w:b/>
          <w:bCs/>
          <w:lang w:val="fr-FR"/>
        </w:rPr>
        <w:t>during crisis</w:t>
      </w:r>
    </w:p>
    <w:p w14:paraId="62AF73E4" w14:textId="77777777" w:rsidR="0083687E" w:rsidRPr="00D762D1" w:rsidRDefault="0083687E" w:rsidP="0083687E">
      <w:pPr>
        <w:pStyle w:val="NormalWeb"/>
        <w:spacing w:before="0" w:beforeAutospacing="0" w:after="120" w:afterAutospacing="0"/>
        <w:rPr>
          <w:rFonts w:ascii="Gellix" w:hAnsi="Gellix" w:cs="Segoe UI"/>
          <w:sz w:val="22"/>
          <w:szCs w:val="22"/>
        </w:rPr>
      </w:pPr>
      <w:r w:rsidRPr="00D762D1">
        <w:rPr>
          <w:rFonts w:ascii="Gellix" w:hAnsi="Gellix" w:cs="Segoe UI"/>
          <w:sz w:val="22"/>
          <w:szCs w:val="22"/>
        </w:rPr>
        <w:lastRenderedPageBreak/>
        <w:t xml:space="preserve">The COVID-19 pandemic underscored the importance of the swift movement of critical medical supplies, equipment, and essential goods (e.g., food, fuels, refined oil, truck replacement parts) across borders. </w:t>
      </w:r>
    </w:p>
    <w:p w14:paraId="7FFDE8E3" w14:textId="77777777" w:rsidR="0083687E" w:rsidRPr="00D762D1" w:rsidRDefault="0083687E" w:rsidP="0083687E">
      <w:pPr>
        <w:pStyle w:val="NormalWeb"/>
        <w:spacing w:before="180" w:beforeAutospacing="0" w:after="0" w:afterAutospacing="0"/>
        <w:rPr>
          <w:rFonts w:ascii="Gellix" w:hAnsi="Gellix" w:cs="Segoe UI"/>
          <w:sz w:val="22"/>
          <w:szCs w:val="22"/>
        </w:rPr>
      </w:pPr>
      <w:r w:rsidRPr="00D762D1">
        <w:rPr>
          <w:rFonts w:ascii="Gellix" w:hAnsi="Gellix" w:cs="Segoe UI"/>
          <w:sz w:val="22"/>
          <w:szCs w:val="22"/>
        </w:rPr>
        <w:t xml:space="preserve">Whether </w:t>
      </w:r>
      <w:r>
        <w:rPr>
          <w:rFonts w:ascii="Gellix" w:hAnsi="Gellix" w:cs="Segoe UI"/>
          <w:sz w:val="22"/>
          <w:szCs w:val="22"/>
        </w:rPr>
        <w:t>the crisis is</w:t>
      </w:r>
      <w:r w:rsidRPr="00D762D1">
        <w:rPr>
          <w:rFonts w:ascii="Gellix" w:hAnsi="Gellix" w:cs="Segoe UI"/>
          <w:sz w:val="22"/>
          <w:szCs w:val="22"/>
        </w:rPr>
        <w:t xml:space="preserve"> a pandemic, natural disaster, or any other</w:t>
      </w:r>
      <w:r>
        <w:rPr>
          <w:rFonts w:ascii="Gellix" w:hAnsi="Gellix" w:cs="Segoe UI"/>
          <w:sz w:val="22"/>
          <w:szCs w:val="22"/>
        </w:rPr>
        <w:t xml:space="preserve"> disruption</w:t>
      </w:r>
      <w:r w:rsidRPr="00D762D1">
        <w:rPr>
          <w:rFonts w:ascii="Gellix" w:hAnsi="Gellix" w:cs="Segoe UI"/>
          <w:sz w:val="22"/>
          <w:szCs w:val="22"/>
        </w:rPr>
        <w:t>, the cross-border movement of physical goods involves multiple agencies and necessitates clear, coordinated border management at domestic, regional, and international levels. This coordination ensures that goods can be moved quickly and compliantly around the globe.</w:t>
      </w:r>
    </w:p>
    <w:p w14:paraId="70CACDEE" w14:textId="1C6A5B10" w:rsidR="00B23754" w:rsidRPr="00D762D1" w:rsidRDefault="00CF47E5" w:rsidP="008A6885">
      <w:pPr>
        <w:pStyle w:val="NormalWeb"/>
        <w:spacing w:before="0" w:beforeAutospacing="0" w:after="120" w:afterAutospacing="0"/>
        <w:rPr>
          <w:rFonts w:ascii="Gellix" w:hAnsi="Gellix" w:cs="Segoe UI"/>
          <w:sz w:val="22"/>
          <w:szCs w:val="22"/>
        </w:rPr>
      </w:pPr>
      <w:r>
        <w:rPr>
          <w:rFonts w:ascii="Gellix" w:hAnsi="Gellix" w:cs="Segoe UI"/>
          <w:sz w:val="22"/>
          <w:szCs w:val="22"/>
        </w:rPr>
        <w:t>The private sector has</w:t>
      </w:r>
      <w:r w:rsidR="00B23754" w:rsidRPr="00D762D1">
        <w:rPr>
          <w:rFonts w:ascii="Gellix" w:hAnsi="Gellix" w:cs="Segoe UI"/>
          <w:sz w:val="22"/>
          <w:szCs w:val="22"/>
        </w:rPr>
        <w:t xml:space="preserve"> a vested interest in the swift and efficient clearance of goods at international borders for legitimate and compliant trade. </w:t>
      </w:r>
      <w:r w:rsidR="00FB4C85">
        <w:rPr>
          <w:rFonts w:ascii="Gellix" w:hAnsi="Gellix" w:cs="Segoe UI"/>
          <w:sz w:val="22"/>
          <w:szCs w:val="22"/>
        </w:rPr>
        <w:t>When a crisis hits</w:t>
      </w:r>
      <w:r w:rsidR="00B23754" w:rsidRPr="00D762D1">
        <w:rPr>
          <w:rFonts w:ascii="Gellix" w:hAnsi="Gellix" w:cs="Segoe UI"/>
          <w:sz w:val="22"/>
          <w:szCs w:val="22"/>
        </w:rPr>
        <w:t>, the facilitation of trade, particularly border processing and the minimi</w:t>
      </w:r>
      <w:r w:rsidR="00D73966">
        <w:rPr>
          <w:rFonts w:ascii="Gellix" w:hAnsi="Gellix" w:cs="Segoe UI"/>
          <w:sz w:val="22"/>
          <w:szCs w:val="22"/>
        </w:rPr>
        <w:t>s</w:t>
      </w:r>
      <w:r w:rsidR="00B23754" w:rsidRPr="00D762D1">
        <w:rPr>
          <w:rFonts w:ascii="Gellix" w:hAnsi="Gellix" w:cs="Segoe UI"/>
          <w:sz w:val="22"/>
          <w:szCs w:val="22"/>
        </w:rPr>
        <w:t>ation of supply chain costs, becomes more critical than ever.</w:t>
      </w:r>
      <w:r>
        <w:rPr>
          <w:rFonts w:ascii="Gellix" w:hAnsi="Gellix" w:cs="Segoe UI"/>
          <w:sz w:val="22"/>
          <w:szCs w:val="22"/>
        </w:rPr>
        <w:t xml:space="preserve"> </w:t>
      </w:r>
    </w:p>
    <w:p w14:paraId="2F4B25D6" w14:textId="5674D4EA" w:rsidR="00B23754" w:rsidRPr="00D762D1" w:rsidRDefault="001B2CEA" w:rsidP="008A6885">
      <w:pPr>
        <w:pStyle w:val="NormalWeb"/>
        <w:spacing w:before="0" w:beforeAutospacing="0" w:after="120" w:afterAutospacing="0"/>
        <w:rPr>
          <w:rFonts w:ascii="Gellix" w:hAnsi="Gellix" w:cs="Segoe UI"/>
          <w:sz w:val="22"/>
          <w:szCs w:val="22"/>
        </w:rPr>
      </w:pPr>
      <w:r>
        <w:rPr>
          <w:rFonts w:ascii="Gellix" w:hAnsi="Gellix" w:cs="Segoe UI"/>
          <w:sz w:val="22"/>
          <w:szCs w:val="22"/>
        </w:rPr>
        <w:t>In many</w:t>
      </w:r>
      <w:r w:rsidR="001C775B">
        <w:rPr>
          <w:rFonts w:ascii="Gellix" w:hAnsi="Gellix" w:cs="Segoe UI"/>
          <w:sz w:val="22"/>
          <w:szCs w:val="22"/>
        </w:rPr>
        <w:t xml:space="preserve"> countries</w:t>
      </w:r>
      <w:r>
        <w:rPr>
          <w:rFonts w:ascii="Gellix" w:hAnsi="Gellix" w:cs="Segoe UI"/>
          <w:sz w:val="22"/>
          <w:szCs w:val="22"/>
        </w:rPr>
        <w:t xml:space="preserve">, </w:t>
      </w:r>
      <w:r w:rsidR="008A6885">
        <w:rPr>
          <w:rFonts w:ascii="Gellix" w:hAnsi="Gellix" w:cs="Segoe UI"/>
          <w:sz w:val="22"/>
          <w:szCs w:val="22"/>
        </w:rPr>
        <w:t>n</w:t>
      </w:r>
      <w:r w:rsidR="00B23754" w:rsidRPr="00D762D1">
        <w:rPr>
          <w:rFonts w:ascii="Gellix" w:hAnsi="Gellix" w:cs="Segoe UI"/>
          <w:sz w:val="22"/>
          <w:szCs w:val="22"/>
        </w:rPr>
        <w:t xml:space="preserve">ational customs administrations, regional and global governmental organizations, and the </w:t>
      </w:r>
      <w:r w:rsidR="00FC41E4">
        <w:rPr>
          <w:rFonts w:ascii="Gellix" w:hAnsi="Gellix" w:cs="Segoe UI"/>
          <w:sz w:val="22"/>
          <w:szCs w:val="22"/>
        </w:rPr>
        <w:t xml:space="preserve">private sector </w:t>
      </w:r>
      <w:r w:rsidR="00B23754" w:rsidRPr="00D762D1">
        <w:rPr>
          <w:rFonts w:ascii="Gellix" w:hAnsi="Gellix" w:cs="Segoe UI"/>
          <w:sz w:val="22"/>
          <w:szCs w:val="22"/>
        </w:rPr>
        <w:t xml:space="preserve">engaged constructively during the </w:t>
      </w:r>
      <w:r w:rsidR="00867A03">
        <w:rPr>
          <w:rFonts w:ascii="Gellix" w:hAnsi="Gellix" w:cs="Segoe UI"/>
          <w:sz w:val="22"/>
          <w:szCs w:val="22"/>
        </w:rPr>
        <w:t>C</w:t>
      </w:r>
      <w:r w:rsidR="00D727E6">
        <w:rPr>
          <w:rFonts w:ascii="Gellix" w:hAnsi="Gellix" w:cs="Segoe UI"/>
          <w:sz w:val="22"/>
          <w:szCs w:val="22"/>
        </w:rPr>
        <w:t>OVID</w:t>
      </w:r>
      <w:r w:rsidR="00867A03">
        <w:rPr>
          <w:rFonts w:ascii="Gellix" w:hAnsi="Gellix" w:cs="Segoe UI"/>
          <w:sz w:val="22"/>
          <w:szCs w:val="22"/>
        </w:rPr>
        <w:t xml:space="preserve">-19 </w:t>
      </w:r>
      <w:r w:rsidR="00B23754" w:rsidRPr="00D762D1">
        <w:rPr>
          <w:rFonts w:ascii="Gellix" w:hAnsi="Gellix" w:cs="Segoe UI"/>
          <w:sz w:val="22"/>
          <w:szCs w:val="22"/>
        </w:rPr>
        <w:t xml:space="preserve">pandemic. It is essential to examine this engagement, along with other existing non-crisis engagement models, as the basis for future use cases and best practices. </w:t>
      </w:r>
    </w:p>
    <w:p w14:paraId="194DE55B" w14:textId="013E1D31" w:rsidR="00C27304" w:rsidRDefault="00C27304" w:rsidP="00086279">
      <w:pPr>
        <w:pStyle w:val="NormalWeb"/>
        <w:spacing w:before="180" w:beforeAutospacing="0" w:after="0" w:afterAutospacing="0"/>
        <w:rPr>
          <w:rFonts w:ascii="Gellix" w:hAnsi="Gellix" w:cs="Segoe UI"/>
          <w:sz w:val="22"/>
          <w:szCs w:val="22"/>
        </w:rPr>
      </w:pPr>
      <w:r w:rsidRPr="00D762D1">
        <w:rPr>
          <w:rFonts w:ascii="Gellix" w:hAnsi="Gellix" w:cs="Segoe UI"/>
          <w:sz w:val="22"/>
          <w:szCs w:val="22"/>
        </w:rPr>
        <w:t xml:space="preserve">During the </w:t>
      </w:r>
      <w:r w:rsidR="00BF01D7">
        <w:rPr>
          <w:rFonts w:ascii="Gellix" w:hAnsi="Gellix" w:cs="Segoe UI"/>
          <w:sz w:val="22"/>
          <w:szCs w:val="22"/>
        </w:rPr>
        <w:t>COVID</w:t>
      </w:r>
      <w:r w:rsidR="00E00DE5">
        <w:rPr>
          <w:rFonts w:ascii="Gellix" w:hAnsi="Gellix" w:cs="Segoe UI"/>
          <w:sz w:val="22"/>
          <w:szCs w:val="22"/>
        </w:rPr>
        <w:t xml:space="preserve">-19 </w:t>
      </w:r>
      <w:r w:rsidRPr="00D762D1">
        <w:rPr>
          <w:rFonts w:ascii="Gellix" w:hAnsi="Gellix" w:cs="Segoe UI"/>
          <w:sz w:val="22"/>
          <w:szCs w:val="22"/>
        </w:rPr>
        <w:t xml:space="preserve">pandemic, the </w:t>
      </w:r>
      <w:r w:rsidR="002933A0">
        <w:rPr>
          <w:rFonts w:ascii="Gellix" w:hAnsi="Gellix" w:cs="Segoe UI"/>
          <w:sz w:val="22"/>
          <w:szCs w:val="22"/>
        </w:rPr>
        <w:t>WCO</w:t>
      </w:r>
      <w:r w:rsidRPr="00D762D1">
        <w:rPr>
          <w:rFonts w:ascii="Gellix" w:hAnsi="Gellix" w:cs="Segoe UI"/>
          <w:sz w:val="22"/>
          <w:szCs w:val="22"/>
        </w:rPr>
        <w:t xml:space="preserve"> requested its members to share information on national measures implemented to facilitate the movement of not just relief supplies, but all goods, while applying appropriate risk management. This included examples of enhanced coordination and cooperation with other government agencies and the private sector. Some </w:t>
      </w:r>
      <w:r w:rsidR="009375A7">
        <w:rPr>
          <w:rFonts w:ascii="Gellix" w:hAnsi="Gellix" w:cs="Segoe UI"/>
          <w:sz w:val="22"/>
          <w:szCs w:val="22"/>
        </w:rPr>
        <w:t>business stakeholders</w:t>
      </w:r>
      <w:r w:rsidRPr="00D762D1">
        <w:rPr>
          <w:rFonts w:ascii="Gellix" w:hAnsi="Gellix" w:cs="Segoe UI"/>
          <w:sz w:val="22"/>
          <w:szCs w:val="22"/>
        </w:rPr>
        <w:t xml:space="preserve"> encouraged WCO Members to share their national experiences, advocating for the consideration and adoption of best practices from other administrations wherever possible</w:t>
      </w:r>
      <w:r w:rsidR="00086279">
        <w:rPr>
          <w:rFonts w:ascii="Gellix" w:hAnsi="Gellix" w:cs="Segoe UI"/>
          <w:sz w:val="22"/>
          <w:szCs w:val="22"/>
        </w:rPr>
        <w:t>.</w:t>
      </w:r>
      <w:r w:rsidRPr="00D762D1">
        <w:rPr>
          <w:rFonts w:ascii="Gellix" w:hAnsi="Gellix" w:cs="Segoe UI"/>
          <w:sz w:val="22"/>
          <w:szCs w:val="22"/>
        </w:rPr>
        <w:t xml:space="preserve"> This sharing of knowledge and experiences is crucial for improving global trade practices and crisis management strategies.</w:t>
      </w:r>
    </w:p>
    <w:p w14:paraId="2727CD23" w14:textId="7AF9901A" w:rsidR="005B003B" w:rsidRPr="009A19E5" w:rsidRDefault="009A19E5" w:rsidP="00A53F94">
      <w:pPr>
        <w:pStyle w:val="NormalWeb"/>
        <w:spacing w:before="180" w:beforeAutospacing="0" w:after="0" w:afterAutospacing="0"/>
        <w:rPr>
          <w:rFonts w:ascii="Gellix" w:hAnsi="Gellix" w:cs="Segoe UI"/>
          <w:sz w:val="22"/>
          <w:szCs w:val="22"/>
          <w:lang w:val="en-GB"/>
        </w:rPr>
      </w:pPr>
      <w:r w:rsidRPr="009A19E5">
        <w:rPr>
          <w:rFonts w:ascii="Gellix" w:hAnsi="Gellix" w:cs="Segoe UI"/>
          <w:sz w:val="22"/>
          <w:szCs w:val="22"/>
          <w:lang w:val="en-GB"/>
        </w:rPr>
        <w:t>To illustrate a</w:t>
      </w:r>
      <w:r w:rsidR="00A374C1">
        <w:rPr>
          <w:rFonts w:ascii="Gellix" w:hAnsi="Gellix" w:cs="Segoe UI"/>
          <w:sz w:val="22"/>
          <w:szCs w:val="22"/>
          <w:lang w:val="en-GB"/>
        </w:rPr>
        <w:t xml:space="preserve"> successful</w:t>
      </w:r>
      <w:r w:rsidRPr="009A19E5">
        <w:rPr>
          <w:rFonts w:ascii="Gellix" w:hAnsi="Gellix" w:cs="Segoe UI"/>
          <w:sz w:val="22"/>
          <w:szCs w:val="22"/>
          <w:lang w:val="en-GB"/>
        </w:rPr>
        <w:t xml:space="preserve"> examp</w:t>
      </w:r>
      <w:r>
        <w:rPr>
          <w:rFonts w:ascii="Gellix" w:hAnsi="Gellix" w:cs="Segoe UI"/>
          <w:sz w:val="22"/>
          <w:szCs w:val="22"/>
          <w:lang w:val="en-GB"/>
        </w:rPr>
        <w:t xml:space="preserve">le of </w:t>
      </w:r>
      <w:r w:rsidR="00D82AF0">
        <w:rPr>
          <w:rFonts w:ascii="Gellix" w:hAnsi="Gellix" w:cs="Segoe UI"/>
          <w:sz w:val="22"/>
          <w:szCs w:val="22"/>
          <w:lang w:val="en-GB"/>
        </w:rPr>
        <w:t xml:space="preserve">Customs-business </w:t>
      </w:r>
      <w:r>
        <w:rPr>
          <w:rFonts w:ascii="Gellix" w:hAnsi="Gellix" w:cs="Segoe UI"/>
          <w:sz w:val="22"/>
          <w:szCs w:val="22"/>
          <w:lang w:val="en-GB"/>
        </w:rPr>
        <w:t>engagement</w:t>
      </w:r>
      <w:r w:rsidR="00D82AF0">
        <w:rPr>
          <w:rFonts w:ascii="Gellix" w:hAnsi="Gellix" w:cs="Segoe UI"/>
          <w:sz w:val="22"/>
          <w:szCs w:val="22"/>
          <w:lang w:val="en-GB"/>
        </w:rPr>
        <w:t xml:space="preserve"> during </w:t>
      </w:r>
      <w:r w:rsidR="00A374C1">
        <w:rPr>
          <w:rFonts w:ascii="Gellix" w:hAnsi="Gellix" w:cs="Segoe UI"/>
          <w:sz w:val="22"/>
          <w:szCs w:val="22"/>
          <w:lang w:val="en-GB"/>
        </w:rPr>
        <w:t xml:space="preserve">a </w:t>
      </w:r>
      <w:r w:rsidR="00D82AF0">
        <w:rPr>
          <w:rFonts w:ascii="Gellix" w:hAnsi="Gellix" w:cs="Segoe UI"/>
          <w:sz w:val="22"/>
          <w:szCs w:val="22"/>
          <w:lang w:val="en-GB"/>
        </w:rPr>
        <w:t>crisis</w:t>
      </w:r>
      <w:r w:rsidR="00A374C1" w:rsidRPr="00A374C1">
        <w:rPr>
          <w:rFonts w:ascii="Gellix" w:hAnsi="Gellix" w:cs="Segoe UI"/>
          <w:sz w:val="22"/>
          <w:szCs w:val="22"/>
          <w:lang w:val="en-GB"/>
        </w:rPr>
        <w:t>, the following section outlines key actions taken by the U.S. Customs and Border Protection (CBP) throughout the COVID-19 pandemic:</w:t>
      </w:r>
      <w:r w:rsidR="000A49D7">
        <w:rPr>
          <w:rFonts w:ascii="Gellix" w:hAnsi="Gellix" w:cs="Segoe UI"/>
          <w:sz w:val="22"/>
          <w:szCs w:val="22"/>
          <w:lang w:val="en-GB"/>
        </w:rPr>
        <w:t xml:space="preserve"> </w:t>
      </w:r>
    </w:p>
    <w:p w14:paraId="455B75E3" w14:textId="5018EB97" w:rsidR="001E159D" w:rsidRDefault="00D25E4E" w:rsidP="00A53F94">
      <w:pPr>
        <w:pStyle w:val="ListParagraph"/>
        <w:numPr>
          <w:ilvl w:val="0"/>
          <w:numId w:val="2"/>
        </w:numPr>
        <w:autoSpaceDE w:val="0"/>
        <w:autoSpaceDN w:val="0"/>
        <w:adjustRightInd w:val="0"/>
        <w:spacing w:after="0" w:line="240" w:lineRule="auto"/>
        <w:ind w:left="714" w:hanging="357"/>
        <w:contextualSpacing w:val="0"/>
        <w:rPr>
          <w:rFonts w:ascii="Gellix" w:hAnsi="Gellix" w:cs="Calibri"/>
          <w:lang w:val="en-US"/>
        </w:rPr>
      </w:pPr>
      <w:r w:rsidRPr="00D25E4E">
        <w:rPr>
          <w:rFonts w:ascii="Gellix" w:hAnsi="Gellix" w:cs="Calibri"/>
          <w:b/>
          <w:bCs/>
          <w:lang w:val="en-US"/>
        </w:rPr>
        <w:t>Regular updates</w:t>
      </w:r>
      <w:r>
        <w:rPr>
          <w:rFonts w:ascii="Gellix" w:hAnsi="Gellix" w:cs="Calibri"/>
          <w:lang w:val="en-US"/>
        </w:rPr>
        <w:t xml:space="preserve"> </w:t>
      </w:r>
      <w:r w:rsidR="00E34048" w:rsidRPr="00E34048">
        <w:rPr>
          <w:rFonts w:ascii="Gellix" w:hAnsi="Gellix" w:cs="Calibri"/>
          <w:b/>
          <w:bCs/>
          <w:lang w:val="en-US"/>
        </w:rPr>
        <w:t>and briefings</w:t>
      </w:r>
      <w:r>
        <w:rPr>
          <w:rFonts w:ascii="Gellix" w:hAnsi="Gellix" w:cs="Calibri"/>
          <w:lang w:val="en-US"/>
        </w:rPr>
        <w:t xml:space="preserve"> - </w:t>
      </w:r>
      <w:r w:rsidR="00A27C6E" w:rsidRPr="00D762D1">
        <w:rPr>
          <w:rFonts w:ascii="Gellix" w:hAnsi="Gellix" w:cs="Calibri"/>
          <w:lang w:val="en-US"/>
        </w:rPr>
        <w:t xml:space="preserve">During </w:t>
      </w:r>
      <w:r w:rsidR="00687FF5">
        <w:rPr>
          <w:rFonts w:ascii="Gellix" w:hAnsi="Gellix" w:cs="Calibri"/>
          <w:lang w:val="en-US"/>
        </w:rPr>
        <w:t xml:space="preserve">the </w:t>
      </w:r>
      <w:r w:rsidR="00A27C6E" w:rsidRPr="00D762D1">
        <w:rPr>
          <w:rFonts w:ascii="Gellix" w:hAnsi="Gellix" w:cs="Calibri"/>
          <w:lang w:val="en-US"/>
        </w:rPr>
        <w:t>COVID</w:t>
      </w:r>
      <w:r w:rsidR="00433DB3">
        <w:rPr>
          <w:rFonts w:ascii="Gellix" w:hAnsi="Gellix" w:cs="Calibri"/>
          <w:lang w:val="en-US"/>
        </w:rPr>
        <w:t>-19</w:t>
      </w:r>
      <w:r w:rsidR="00687FF5">
        <w:rPr>
          <w:rFonts w:ascii="Gellix" w:hAnsi="Gellix" w:cs="Calibri"/>
          <w:lang w:val="en-US"/>
        </w:rPr>
        <w:t xml:space="preserve"> pandemic</w:t>
      </w:r>
      <w:r w:rsidR="00A27C6E" w:rsidRPr="00D762D1">
        <w:rPr>
          <w:rFonts w:ascii="Gellix" w:hAnsi="Gellix" w:cs="Calibri"/>
          <w:lang w:val="en-US"/>
        </w:rPr>
        <w:t xml:space="preserve">, </w:t>
      </w:r>
      <w:r w:rsidR="003C511C">
        <w:rPr>
          <w:rFonts w:ascii="Gellix" w:hAnsi="Gellix" w:cs="Calibri"/>
          <w:lang w:val="en-US"/>
        </w:rPr>
        <w:t xml:space="preserve">U.S. </w:t>
      </w:r>
      <w:r w:rsidR="00A27C6E" w:rsidRPr="00D762D1">
        <w:rPr>
          <w:rFonts w:ascii="Gellix" w:hAnsi="Gellix" w:cs="Calibri"/>
          <w:lang w:val="en-US"/>
        </w:rPr>
        <w:t xml:space="preserve">CBP </w:t>
      </w:r>
      <w:r w:rsidR="00433DB3">
        <w:rPr>
          <w:rFonts w:ascii="Gellix" w:hAnsi="Gellix" w:cs="Calibri"/>
          <w:lang w:val="en-US"/>
        </w:rPr>
        <w:t xml:space="preserve">provided </w:t>
      </w:r>
      <w:r w:rsidR="007E6A2E">
        <w:rPr>
          <w:rFonts w:ascii="Gellix" w:hAnsi="Gellix" w:cs="Calibri"/>
          <w:lang w:val="en-US"/>
        </w:rPr>
        <w:t xml:space="preserve">regular </w:t>
      </w:r>
      <w:r w:rsidR="00433DB3">
        <w:rPr>
          <w:rFonts w:ascii="Gellix" w:hAnsi="Gellix" w:cs="Calibri"/>
          <w:lang w:val="en-US"/>
        </w:rPr>
        <w:t xml:space="preserve">updates to </w:t>
      </w:r>
      <w:r w:rsidR="00A27C6E" w:rsidRPr="00D762D1">
        <w:rPr>
          <w:rFonts w:ascii="Gellix" w:hAnsi="Gellix" w:cs="Calibri"/>
          <w:lang w:val="en-US"/>
        </w:rPr>
        <w:t xml:space="preserve">trade stakeholders </w:t>
      </w:r>
      <w:r w:rsidR="007E6A2E">
        <w:rPr>
          <w:rFonts w:ascii="Gellix" w:hAnsi="Gellix" w:cs="Calibri"/>
          <w:lang w:val="en-US"/>
        </w:rPr>
        <w:t xml:space="preserve">to assure them </w:t>
      </w:r>
      <w:r w:rsidR="00A27C6E" w:rsidRPr="00D762D1">
        <w:rPr>
          <w:rFonts w:ascii="Gellix" w:hAnsi="Gellix" w:cs="Calibri"/>
          <w:lang w:val="en-US"/>
        </w:rPr>
        <w:t xml:space="preserve">that </w:t>
      </w:r>
      <w:r w:rsidR="007E6A2E">
        <w:rPr>
          <w:rFonts w:ascii="Gellix" w:hAnsi="Gellix" w:cs="Calibri"/>
          <w:lang w:val="en-US"/>
        </w:rPr>
        <w:t xml:space="preserve">the </w:t>
      </w:r>
      <w:r w:rsidR="00A27C6E" w:rsidRPr="00D762D1">
        <w:rPr>
          <w:rFonts w:ascii="Gellix" w:hAnsi="Gellix" w:cs="Calibri"/>
          <w:lang w:val="en-US"/>
        </w:rPr>
        <w:t xml:space="preserve">U.S. – Canada and U.S. – Mexico border closures would not inhibit cargo operations and that during this critical period, continued movement of </w:t>
      </w:r>
      <w:r w:rsidR="00F4519E" w:rsidRPr="00D762D1">
        <w:rPr>
          <w:rFonts w:ascii="Gellix" w:hAnsi="Gellix" w:cs="Calibri"/>
          <w:lang w:val="en-US"/>
        </w:rPr>
        <w:t>cargo was</w:t>
      </w:r>
      <w:r w:rsidR="00A27C6E" w:rsidRPr="00D762D1">
        <w:rPr>
          <w:rFonts w:ascii="Gellix" w:hAnsi="Gellix" w:cs="Calibri"/>
          <w:lang w:val="en-US"/>
        </w:rPr>
        <w:t xml:space="preserve"> </w:t>
      </w:r>
      <w:r w:rsidR="00DD185A" w:rsidRPr="00D762D1">
        <w:rPr>
          <w:rFonts w:ascii="Gellix" w:hAnsi="Gellix" w:cs="Calibri"/>
          <w:lang w:val="en-US"/>
        </w:rPr>
        <w:t>prioriti</w:t>
      </w:r>
      <w:r w:rsidR="00D90081">
        <w:rPr>
          <w:rFonts w:ascii="Gellix" w:hAnsi="Gellix" w:cs="Calibri"/>
          <w:lang w:val="en-US"/>
        </w:rPr>
        <w:t>s</w:t>
      </w:r>
      <w:r w:rsidR="00DD185A" w:rsidRPr="00D762D1">
        <w:rPr>
          <w:rFonts w:ascii="Gellix" w:hAnsi="Gellix" w:cs="Calibri"/>
          <w:lang w:val="en-US"/>
        </w:rPr>
        <w:t>ed,</w:t>
      </w:r>
      <w:r w:rsidR="00A27C6E" w:rsidRPr="00D762D1">
        <w:rPr>
          <w:rFonts w:ascii="Gellix" w:hAnsi="Gellix" w:cs="Calibri"/>
          <w:lang w:val="en-US"/>
        </w:rPr>
        <w:t xml:space="preserve"> and port closures were limited to non-essential travelers / passengers</w:t>
      </w:r>
      <w:r w:rsidR="009E7C03" w:rsidRPr="00D762D1">
        <w:rPr>
          <w:rFonts w:ascii="Gellix" w:hAnsi="Gellix" w:cs="Calibri"/>
          <w:lang w:val="en-US"/>
        </w:rPr>
        <w:t xml:space="preserve">. </w:t>
      </w:r>
      <w:r w:rsidR="001E159D" w:rsidRPr="00D762D1">
        <w:rPr>
          <w:rFonts w:ascii="Gellix" w:hAnsi="Gellix" w:cs="Calibri"/>
          <w:lang w:val="en-US"/>
        </w:rPr>
        <w:t>CBP regularly leverages its Trade Association contact network to brief on border closures (e.g., due to rain impacting the Northern border).</w:t>
      </w:r>
      <w:r w:rsidR="00C046D0">
        <w:rPr>
          <w:rFonts w:ascii="Gellix" w:hAnsi="Gellix" w:cs="Calibri"/>
          <w:lang w:val="en-US"/>
        </w:rPr>
        <w:t xml:space="preserve"> </w:t>
      </w:r>
      <w:r w:rsidR="00403F88">
        <w:rPr>
          <w:rFonts w:ascii="Gellix" w:hAnsi="Gellix" w:cs="Calibri"/>
          <w:lang w:val="en-US"/>
        </w:rPr>
        <w:t xml:space="preserve">During crisis, </w:t>
      </w:r>
      <w:r w:rsidR="00FA6D6D">
        <w:rPr>
          <w:rFonts w:ascii="Gellix" w:hAnsi="Gellix" w:cs="Calibri"/>
          <w:lang w:val="en-US"/>
        </w:rPr>
        <w:t xml:space="preserve">the </w:t>
      </w:r>
      <w:r w:rsidR="00403F88">
        <w:rPr>
          <w:rFonts w:ascii="Gellix" w:hAnsi="Gellix" w:cs="Calibri"/>
          <w:lang w:val="en-US"/>
        </w:rPr>
        <w:t>p</w:t>
      </w:r>
      <w:r w:rsidR="00C046D0">
        <w:rPr>
          <w:rFonts w:ascii="Gellix" w:hAnsi="Gellix" w:cs="Calibri"/>
          <w:lang w:val="en-US"/>
        </w:rPr>
        <w:t xml:space="preserve">oints of entry/exit are particularly vulnerable to </w:t>
      </w:r>
      <w:r w:rsidR="00AE4958">
        <w:rPr>
          <w:rFonts w:ascii="Gellix" w:hAnsi="Gellix" w:cs="Calibri"/>
          <w:lang w:val="en-US"/>
        </w:rPr>
        <w:t xml:space="preserve">congestion that can </w:t>
      </w:r>
      <w:r w:rsidR="004F47C1">
        <w:rPr>
          <w:rFonts w:ascii="Gellix" w:hAnsi="Gellix" w:cs="Calibri"/>
          <w:lang w:val="en-US"/>
        </w:rPr>
        <w:t xml:space="preserve">quickly </w:t>
      </w:r>
      <w:r w:rsidR="00E00399">
        <w:rPr>
          <w:rFonts w:ascii="Gellix" w:hAnsi="Gellix" w:cs="Calibri"/>
          <w:lang w:val="en-US"/>
        </w:rPr>
        <w:t>exacerbate</w:t>
      </w:r>
      <w:r w:rsidR="001D3148">
        <w:rPr>
          <w:rFonts w:ascii="Gellix" w:hAnsi="Gellix" w:cs="Calibri"/>
          <w:lang w:val="en-US"/>
        </w:rPr>
        <w:t xml:space="preserve"> logistical bottlenecks</w:t>
      </w:r>
      <w:r w:rsidR="00F72FB3">
        <w:rPr>
          <w:rFonts w:ascii="Gellix" w:hAnsi="Gellix" w:cs="Calibri"/>
          <w:lang w:val="en-US"/>
        </w:rPr>
        <w:t xml:space="preserve"> </w:t>
      </w:r>
      <w:r w:rsidR="00E428AA">
        <w:rPr>
          <w:rFonts w:ascii="Gellix" w:hAnsi="Gellix" w:cs="Calibri"/>
          <w:lang w:val="en-US"/>
        </w:rPr>
        <w:t>in supply chains</w:t>
      </w:r>
      <w:r w:rsidR="00403F88">
        <w:rPr>
          <w:rFonts w:ascii="Gellix" w:hAnsi="Gellix" w:cs="Calibri"/>
          <w:lang w:val="en-US"/>
        </w:rPr>
        <w:t xml:space="preserve">, which is why the CBP took specific measures to </w:t>
      </w:r>
      <w:r w:rsidR="00892278">
        <w:rPr>
          <w:rFonts w:ascii="Gellix" w:hAnsi="Gellix" w:cs="Calibri"/>
          <w:lang w:val="en-US"/>
        </w:rPr>
        <w:t>communicate with relevant stakeholders</w:t>
      </w:r>
      <w:r w:rsidR="004E1A6C">
        <w:rPr>
          <w:rFonts w:ascii="Gellix" w:hAnsi="Gellix" w:cs="Calibri"/>
          <w:lang w:val="en-US"/>
        </w:rPr>
        <w:t xml:space="preserve"> to minimize the risks: </w:t>
      </w:r>
      <w:r w:rsidR="00B768CE">
        <w:rPr>
          <w:rFonts w:ascii="Gellix" w:hAnsi="Gellix" w:cs="Calibri"/>
          <w:lang w:val="en-US"/>
        </w:rPr>
        <w:t xml:space="preserve"> </w:t>
      </w:r>
      <w:r w:rsidR="00403F88">
        <w:rPr>
          <w:rFonts w:ascii="Gellix" w:hAnsi="Gellix" w:cs="Calibri"/>
          <w:lang w:val="en-US"/>
        </w:rPr>
        <w:t xml:space="preserve"> </w:t>
      </w:r>
    </w:p>
    <w:p w14:paraId="7474EB55" w14:textId="7DA18540" w:rsidR="00AD01D7" w:rsidRPr="00D762D1" w:rsidRDefault="00AD01D7" w:rsidP="00A53F94">
      <w:pPr>
        <w:pStyle w:val="ListParagraph"/>
        <w:numPr>
          <w:ilvl w:val="1"/>
          <w:numId w:val="2"/>
        </w:numPr>
        <w:autoSpaceDE w:val="0"/>
        <w:autoSpaceDN w:val="0"/>
        <w:adjustRightInd w:val="0"/>
        <w:spacing w:after="120" w:line="240" w:lineRule="auto"/>
        <w:contextualSpacing w:val="0"/>
        <w:rPr>
          <w:rFonts w:ascii="Gellix" w:hAnsi="Gellix" w:cs="Calibri"/>
          <w:lang w:val="en-US"/>
        </w:rPr>
      </w:pPr>
      <w:r w:rsidRPr="007B3020">
        <w:rPr>
          <w:rFonts w:ascii="Gellix" w:hAnsi="Gellix" w:cs="Calibri"/>
          <w:b/>
          <w:bCs/>
          <w:lang w:val="en-US"/>
        </w:rPr>
        <w:t>Updates on port downtimes</w:t>
      </w:r>
      <w:r>
        <w:rPr>
          <w:rFonts w:ascii="Gellix" w:hAnsi="Gellix" w:cs="Calibri"/>
          <w:lang w:val="en-US"/>
        </w:rPr>
        <w:t xml:space="preserve"> </w:t>
      </w:r>
      <w:r w:rsidR="00A5360F">
        <w:rPr>
          <w:rFonts w:ascii="Gellix" w:hAnsi="Gellix" w:cs="Calibri"/>
          <w:lang w:val="en-US"/>
        </w:rPr>
        <w:t>–</w:t>
      </w:r>
      <w:r>
        <w:rPr>
          <w:rFonts w:ascii="Gellix" w:hAnsi="Gellix" w:cs="Calibri"/>
          <w:lang w:val="en-US"/>
        </w:rPr>
        <w:t xml:space="preserve"> </w:t>
      </w:r>
      <w:r w:rsidRPr="00D762D1">
        <w:rPr>
          <w:rFonts w:ascii="Gellix" w:hAnsi="Gellix" w:cs="Calibri"/>
          <w:lang w:val="en-US"/>
        </w:rPr>
        <w:t xml:space="preserve">Communications about port downtimes in both the crisis and non-crisis environment are vital. At the U.S. level, </w:t>
      </w:r>
      <w:r w:rsidRPr="00D762D1">
        <w:rPr>
          <w:rFonts w:ascii="Gellix" w:eastAsia="CIDFont+F6" w:hAnsi="Gellix" w:cs="Calibri"/>
          <w:lang w:val="en-US"/>
        </w:rPr>
        <w:t xml:space="preserve">CBP, Coast Guard, ports, and port authorities must ensure that ports (maritime, air, truck, and rail crossing) remain fully operational to facilitate </w:t>
      </w:r>
      <w:r>
        <w:rPr>
          <w:rFonts w:ascii="Gellix" w:eastAsia="CIDFont+F6" w:hAnsi="Gellix" w:cs="Calibri"/>
          <w:lang w:val="en-US"/>
        </w:rPr>
        <w:t xml:space="preserve">the </w:t>
      </w:r>
      <w:r w:rsidRPr="00D762D1">
        <w:rPr>
          <w:rFonts w:ascii="Gellix" w:eastAsia="CIDFont+F6" w:hAnsi="Gellix" w:cs="Calibri"/>
          <w:lang w:val="en-US"/>
        </w:rPr>
        <w:t xml:space="preserve">movement of critical and essential goods at time of import and export. Downtimes should be </w:t>
      </w:r>
      <w:r w:rsidR="003C62A5">
        <w:rPr>
          <w:rFonts w:ascii="Gellix" w:eastAsia="CIDFont+F6" w:hAnsi="Gellix" w:cs="Calibri"/>
          <w:lang w:val="en-US"/>
        </w:rPr>
        <w:t>m</w:t>
      </w:r>
      <w:r w:rsidR="00A5360F">
        <w:rPr>
          <w:rFonts w:ascii="Gellix" w:eastAsia="CIDFont+F6" w:hAnsi="Gellix" w:cs="Calibri"/>
          <w:lang w:val="en-US"/>
        </w:rPr>
        <w:t>inimi</w:t>
      </w:r>
      <w:r w:rsidR="003C62A5">
        <w:rPr>
          <w:rFonts w:ascii="Gellix" w:eastAsia="CIDFont+F6" w:hAnsi="Gellix" w:cs="Calibri"/>
          <w:lang w:val="en-US"/>
        </w:rPr>
        <w:t>s</w:t>
      </w:r>
      <w:r w:rsidR="00A5360F">
        <w:rPr>
          <w:rFonts w:ascii="Gellix" w:eastAsia="CIDFont+F6" w:hAnsi="Gellix" w:cs="Calibri"/>
          <w:lang w:val="en-US"/>
        </w:rPr>
        <w:t>ed</w:t>
      </w:r>
      <w:r w:rsidRPr="00D762D1">
        <w:rPr>
          <w:rFonts w:ascii="Gellix" w:eastAsia="CIDFont+F6" w:hAnsi="Gellix" w:cs="Calibri"/>
          <w:lang w:val="en-US"/>
        </w:rPr>
        <w:t xml:space="preserve">, and as necessary trade stakeholders should be advised if the downtime will require </w:t>
      </w:r>
      <w:r>
        <w:rPr>
          <w:rFonts w:ascii="Gellix" w:eastAsia="CIDFont+F6" w:hAnsi="Gellix" w:cs="Calibri"/>
          <w:lang w:val="en-US"/>
        </w:rPr>
        <w:t xml:space="preserve">the </w:t>
      </w:r>
      <w:r w:rsidRPr="00D762D1">
        <w:rPr>
          <w:rFonts w:ascii="Gellix" w:eastAsia="CIDFont+F6" w:hAnsi="Gellix" w:cs="Calibri"/>
          <w:lang w:val="en-US"/>
        </w:rPr>
        <w:t xml:space="preserve">diversion of shipments. As a general matter, we encourage countries to undertake all measures available aimed at keeping the ports open and operational. Further, countries should communicate to the trade community when and if a port is closed and the estimated period of closure. </w:t>
      </w:r>
    </w:p>
    <w:p w14:paraId="0B371DC9" w14:textId="36D689EC" w:rsidR="00AD01D7" w:rsidRPr="003C62A5" w:rsidRDefault="00AD01D7" w:rsidP="00A53F94">
      <w:pPr>
        <w:pStyle w:val="ListParagraph"/>
        <w:numPr>
          <w:ilvl w:val="1"/>
          <w:numId w:val="2"/>
        </w:numPr>
        <w:autoSpaceDE w:val="0"/>
        <w:autoSpaceDN w:val="0"/>
        <w:adjustRightInd w:val="0"/>
        <w:spacing w:after="120" w:line="240" w:lineRule="auto"/>
        <w:contextualSpacing w:val="0"/>
        <w:rPr>
          <w:rFonts w:ascii="Gellix" w:hAnsi="Gellix" w:cs="Calibri"/>
          <w:color w:val="000000"/>
          <w:lang w:val="en-US"/>
        </w:rPr>
      </w:pPr>
      <w:r w:rsidRPr="007863A3">
        <w:rPr>
          <w:rFonts w:ascii="Gellix" w:hAnsi="Gellix" w:cs="Calibri"/>
          <w:b/>
          <w:bCs/>
          <w:lang w:val="en-US"/>
        </w:rPr>
        <w:t>Updates on border closures</w:t>
      </w:r>
      <w:r>
        <w:rPr>
          <w:rFonts w:ascii="Gellix" w:hAnsi="Gellix" w:cs="Calibri"/>
          <w:lang w:val="en-US"/>
        </w:rPr>
        <w:t xml:space="preserve"> </w:t>
      </w:r>
      <w:r w:rsidR="00A5360F">
        <w:rPr>
          <w:rFonts w:ascii="Gellix" w:hAnsi="Gellix" w:cs="Calibri"/>
          <w:lang w:val="en-US"/>
        </w:rPr>
        <w:t>–</w:t>
      </w:r>
      <w:r>
        <w:rPr>
          <w:rFonts w:ascii="Gellix" w:hAnsi="Gellix" w:cs="Calibri"/>
          <w:lang w:val="en-US"/>
        </w:rPr>
        <w:t xml:space="preserve"> </w:t>
      </w:r>
      <w:r w:rsidRPr="00F0089E">
        <w:rPr>
          <w:rFonts w:ascii="Gellix" w:hAnsi="Gellix" w:cs="Calibri"/>
          <w:lang w:val="en-US"/>
        </w:rPr>
        <w:t xml:space="preserve">Border closures communications regarding cargo and ports of entry – Using the </w:t>
      </w:r>
      <w:r w:rsidR="00A5360F">
        <w:rPr>
          <w:rFonts w:ascii="Gellix" w:hAnsi="Gellix" w:cs="Calibri"/>
          <w:lang w:val="en-US"/>
        </w:rPr>
        <w:t xml:space="preserve">COVID-19 </w:t>
      </w:r>
      <w:r w:rsidRPr="00F0089E">
        <w:rPr>
          <w:rFonts w:ascii="Gellix" w:hAnsi="Gellix" w:cs="Calibri"/>
          <w:lang w:val="en-US"/>
        </w:rPr>
        <w:t xml:space="preserve">pandemic as just one example, U.S. CBP held periodic conference calls with trade stakeholders, with a focus on trade associations who can amplify information sharing, addressing the impact of COVID-19 on cargo at the ports of entry and border crossings. These calls also helped to address evolving questions and concerns. This open dialogue and the ability to seek clarifications on developing CBP practices has been important as the U.S. has moved to close U.S. – Canada and U.S. – Mexico borders to non-essential travelers. </w:t>
      </w:r>
    </w:p>
    <w:p w14:paraId="5AB5F49B" w14:textId="279F87A5" w:rsidR="00A27C6E" w:rsidRPr="00D762D1" w:rsidRDefault="00D25E4E" w:rsidP="00A53F94">
      <w:pPr>
        <w:pStyle w:val="ListParagraph"/>
        <w:numPr>
          <w:ilvl w:val="0"/>
          <w:numId w:val="2"/>
        </w:numPr>
        <w:autoSpaceDE w:val="0"/>
        <w:autoSpaceDN w:val="0"/>
        <w:adjustRightInd w:val="0"/>
        <w:spacing w:after="120" w:line="240" w:lineRule="auto"/>
        <w:ind w:left="714" w:hanging="357"/>
        <w:contextualSpacing w:val="0"/>
        <w:rPr>
          <w:rFonts w:ascii="Gellix" w:hAnsi="Gellix" w:cs="Calibri"/>
          <w:lang w:val="en-US"/>
        </w:rPr>
      </w:pPr>
      <w:r w:rsidRPr="00D25E4E">
        <w:rPr>
          <w:rFonts w:ascii="Gellix" w:hAnsi="Gellix" w:cs="Calibri"/>
          <w:b/>
          <w:bCs/>
          <w:lang w:val="en-US"/>
        </w:rPr>
        <w:t>Dedicated staff</w:t>
      </w:r>
      <w:r>
        <w:rPr>
          <w:rFonts w:ascii="Gellix" w:hAnsi="Gellix" w:cs="Calibri"/>
          <w:lang w:val="en-US"/>
        </w:rPr>
        <w:t xml:space="preserve"> </w:t>
      </w:r>
      <w:r w:rsidR="00D34BC3">
        <w:rPr>
          <w:rFonts w:ascii="Gellix" w:hAnsi="Gellix" w:cs="Calibri"/>
          <w:lang w:val="en-US"/>
        </w:rPr>
        <w:t>–</w:t>
      </w:r>
      <w:r>
        <w:rPr>
          <w:rFonts w:ascii="Gellix" w:hAnsi="Gellix" w:cs="Calibri"/>
          <w:lang w:val="en-US"/>
        </w:rPr>
        <w:t xml:space="preserve"> </w:t>
      </w:r>
      <w:r w:rsidR="00A27C6E" w:rsidRPr="00D762D1">
        <w:rPr>
          <w:rFonts w:ascii="Gellix" w:hAnsi="Gellix" w:cs="Calibri"/>
          <w:lang w:val="en-US"/>
        </w:rPr>
        <w:t xml:space="preserve">In the crisis and non-crisis environment, CBP has dedicated staff to manage the CBP relationship with respective trade associations. This ties into what can be viewed as a CBP established Trade Association contact </w:t>
      </w:r>
      <w:r w:rsidR="00F4519E" w:rsidRPr="00D762D1">
        <w:rPr>
          <w:rFonts w:ascii="Gellix" w:hAnsi="Gellix" w:cs="Calibri"/>
          <w:lang w:val="en-US"/>
        </w:rPr>
        <w:t>network, which</w:t>
      </w:r>
      <w:r w:rsidR="00A27C6E" w:rsidRPr="00D762D1">
        <w:rPr>
          <w:rFonts w:ascii="Gellix" w:hAnsi="Gellix" w:cs="Calibri"/>
          <w:lang w:val="en-US"/>
        </w:rPr>
        <w:t xml:space="preserve"> is leveraged to provide briefings, updates, and to serve as </w:t>
      </w:r>
      <w:r w:rsidR="00C92571" w:rsidRPr="00D762D1">
        <w:rPr>
          <w:rFonts w:ascii="Gellix" w:hAnsi="Gellix" w:cs="Calibri"/>
          <w:lang w:val="en-US"/>
        </w:rPr>
        <w:t>“a</w:t>
      </w:r>
      <w:r w:rsidR="00A27C6E" w:rsidRPr="00D762D1">
        <w:rPr>
          <w:rFonts w:ascii="Gellix" w:hAnsi="Gellix" w:cs="Calibri"/>
          <w:lang w:val="en-US"/>
        </w:rPr>
        <w:t xml:space="preserve"> voice amplifier” on issues</w:t>
      </w:r>
      <w:r w:rsidR="00BB7079" w:rsidRPr="00D762D1">
        <w:rPr>
          <w:rFonts w:ascii="Gellix" w:hAnsi="Gellix" w:cs="Calibri"/>
          <w:lang w:val="en-US"/>
        </w:rPr>
        <w:t xml:space="preserve">. </w:t>
      </w:r>
      <w:r w:rsidR="00A27C6E" w:rsidRPr="00D762D1">
        <w:rPr>
          <w:rFonts w:ascii="Gellix" w:hAnsi="Gellix" w:cs="Calibri"/>
          <w:lang w:val="en-US"/>
        </w:rPr>
        <w:t xml:space="preserve">Again, this is a standard body and is not limited to </w:t>
      </w:r>
      <w:r w:rsidR="00790B5A">
        <w:rPr>
          <w:rFonts w:ascii="Gellix" w:hAnsi="Gellix" w:cs="Calibri"/>
          <w:lang w:val="en-US"/>
        </w:rPr>
        <w:t xml:space="preserve">a </w:t>
      </w:r>
      <w:r w:rsidR="00A27C6E" w:rsidRPr="00D762D1">
        <w:rPr>
          <w:rFonts w:ascii="Gellix" w:hAnsi="Gellix" w:cs="Calibri"/>
          <w:lang w:val="en-US"/>
        </w:rPr>
        <w:t>crisis environment only</w:t>
      </w:r>
      <w:r w:rsidR="00BB7079" w:rsidRPr="00D762D1">
        <w:rPr>
          <w:rFonts w:ascii="Gellix" w:hAnsi="Gellix" w:cs="Calibri"/>
          <w:lang w:val="en-US"/>
        </w:rPr>
        <w:t xml:space="preserve">. </w:t>
      </w:r>
    </w:p>
    <w:p w14:paraId="691E1BBE" w14:textId="00D83361" w:rsidR="00A27C6E" w:rsidRPr="00D762D1" w:rsidRDefault="009621BE" w:rsidP="00A53F94">
      <w:pPr>
        <w:pStyle w:val="ListParagraph"/>
        <w:numPr>
          <w:ilvl w:val="0"/>
          <w:numId w:val="2"/>
        </w:numPr>
        <w:autoSpaceDE w:val="0"/>
        <w:autoSpaceDN w:val="0"/>
        <w:adjustRightInd w:val="0"/>
        <w:spacing w:after="120" w:line="240" w:lineRule="auto"/>
        <w:ind w:left="714" w:hanging="357"/>
        <w:contextualSpacing w:val="0"/>
        <w:rPr>
          <w:rFonts w:ascii="Gellix" w:hAnsi="Gellix" w:cs="Calibri"/>
          <w:color w:val="000000"/>
          <w:lang w:val="en-US"/>
        </w:rPr>
      </w:pPr>
      <w:r w:rsidRPr="009621BE">
        <w:rPr>
          <w:rFonts w:ascii="Gellix" w:hAnsi="Gellix" w:cs="Calibri"/>
          <w:b/>
          <w:bCs/>
          <w:lang w:val="en-US"/>
        </w:rPr>
        <w:t>Headquarter support</w:t>
      </w:r>
      <w:r>
        <w:rPr>
          <w:rFonts w:ascii="Gellix" w:hAnsi="Gellix" w:cs="Calibri"/>
          <w:lang w:val="en-US"/>
        </w:rPr>
        <w:t xml:space="preserve"> </w:t>
      </w:r>
      <w:r w:rsidR="00D34BC3">
        <w:rPr>
          <w:rFonts w:ascii="Gellix" w:hAnsi="Gellix" w:cs="Calibri"/>
          <w:lang w:val="en-US"/>
        </w:rPr>
        <w:t>–</w:t>
      </w:r>
      <w:r>
        <w:rPr>
          <w:rFonts w:ascii="Gellix" w:hAnsi="Gellix" w:cs="Calibri"/>
          <w:lang w:val="en-US"/>
        </w:rPr>
        <w:t xml:space="preserve"> </w:t>
      </w:r>
      <w:r w:rsidR="00A27C6E" w:rsidRPr="00D762D1">
        <w:rPr>
          <w:rFonts w:ascii="Gellix" w:hAnsi="Gellix" w:cs="Calibri"/>
          <w:lang w:val="en-US"/>
        </w:rPr>
        <w:t xml:space="preserve">Port functionality is a critical topic. </w:t>
      </w:r>
      <w:r w:rsidR="00DB2468">
        <w:rPr>
          <w:rFonts w:ascii="Gellix" w:hAnsi="Gellix" w:cs="Calibri"/>
          <w:lang w:val="en-US"/>
        </w:rPr>
        <w:t>T</w:t>
      </w:r>
      <w:r w:rsidR="00A27C6E" w:rsidRPr="00D762D1">
        <w:rPr>
          <w:rFonts w:ascii="Gellix" w:hAnsi="Gellix" w:cs="Calibri"/>
          <w:color w:val="000000"/>
          <w:lang w:val="en-US"/>
        </w:rPr>
        <w:t xml:space="preserve">he size and function of ports at national levels vary greatly. </w:t>
      </w:r>
      <w:r w:rsidR="001F1FAC">
        <w:rPr>
          <w:rFonts w:ascii="Gellix" w:hAnsi="Gellix" w:cs="Calibri"/>
          <w:color w:val="000000"/>
          <w:lang w:val="en-US"/>
        </w:rPr>
        <w:t>In c</w:t>
      </w:r>
      <w:r w:rsidR="00A27C6E" w:rsidRPr="00D762D1">
        <w:rPr>
          <w:rFonts w:ascii="Gellix" w:hAnsi="Gellix" w:cs="Calibri"/>
          <w:color w:val="000000"/>
          <w:lang w:val="en-US"/>
        </w:rPr>
        <w:t>risis environments</w:t>
      </w:r>
      <w:r w:rsidR="001F1FAC">
        <w:rPr>
          <w:rFonts w:ascii="Gellix" w:hAnsi="Gellix" w:cs="Calibri"/>
          <w:color w:val="000000"/>
          <w:lang w:val="en-US"/>
        </w:rPr>
        <w:t xml:space="preserve">, </w:t>
      </w:r>
      <w:r w:rsidR="00A27C6E" w:rsidRPr="00D762D1">
        <w:rPr>
          <w:rFonts w:ascii="Gellix" w:hAnsi="Gellix" w:cs="Calibri"/>
          <w:color w:val="000000"/>
          <w:lang w:val="en-US"/>
        </w:rPr>
        <w:t xml:space="preserve">some smaller ports might be facing </w:t>
      </w:r>
      <w:r w:rsidR="001F1FAC">
        <w:rPr>
          <w:rFonts w:ascii="Gellix" w:hAnsi="Gellix" w:cs="Calibri"/>
          <w:color w:val="000000"/>
          <w:lang w:val="en-US"/>
        </w:rPr>
        <w:t xml:space="preserve">a </w:t>
      </w:r>
      <w:r w:rsidR="00A27C6E" w:rsidRPr="00D762D1">
        <w:rPr>
          <w:rFonts w:ascii="Gellix" w:hAnsi="Gellix" w:cs="Calibri"/>
          <w:color w:val="000000"/>
          <w:lang w:val="en-US"/>
        </w:rPr>
        <w:t xml:space="preserve">greater impact on resources and staffing; and therefore, headquarters </w:t>
      </w:r>
      <w:r w:rsidR="0068630C" w:rsidRPr="00D762D1">
        <w:rPr>
          <w:rFonts w:ascii="Gellix" w:hAnsi="Gellix" w:cs="Calibri"/>
          <w:color w:val="000000"/>
          <w:lang w:val="en-US"/>
        </w:rPr>
        <w:t>must</w:t>
      </w:r>
      <w:r w:rsidR="00A27C6E" w:rsidRPr="00D762D1">
        <w:rPr>
          <w:rFonts w:ascii="Gellix" w:hAnsi="Gellix" w:cs="Calibri"/>
          <w:color w:val="000000"/>
          <w:lang w:val="en-US"/>
        </w:rPr>
        <w:t xml:space="preserve"> engage to leverage CBP management of resources and Customs officers in a time of crisis. For example, during COVID</w:t>
      </w:r>
      <w:r w:rsidR="002966B1">
        <w:rPr>
          <w:rFonts w:ascii="Gellix" w:hAnsi="Gellix" w:cs="Calibri"/>
          <w:color w:val="000000"/>
          <w:lang w:val="en-US"/>
        </w:rPr>
        <w:t>-19</w:t>
      </w:r>
      <w:r w:rsidR="00A27C6E" w:rsidRPr="00D762D1">
        <w:rPr>
          <w:rFonts w:ascii="Gellix" w:hAnsi="Gellix" w:cs="Calibri"/>
          <w:color w:val="000000"/>
          <w:lang w:val="en-US"/>
        </w:rPr>
        <w:t>, CBP provided guidance to trade stakeholders via the CBP COVID</w:t>
      </w:r>
      <w:r w:rsidR="002966B1">
        <w:rPr>
          <w:rFonts w:ascii="Gellix" w:hAnsi="Gellix" w:cs="Calibri"/>
          <w:color w:val="000000"/>
          <w:lang w:val="en-US"/>
        </w:rPr>
        <w:t>-19</w:t>
      </w:r>
      <w:r w:rsidR="00A27C6E" w:rsidRPr="00D762D1">
        <w:rPr>
          <w:rFonts w:ascii="Gellix" w:hAnsi="Gellix" w:cs="Calibri"/>
          <w:color w:val="000000"/>
          <w:lang w:val="en-US"/>
        </w:rPr>
        <w:t xml:space="preserve"> page about CBP Confirmed COVID-19 </w:t>
      </w:r>
      <w:r w:rsidR="002966B1">
        <w:rPr>
          <w:rFonts w:ascii="Gellix" w:hAnsi="Gellix" w:cs="Calibri"/>
          <w:color w:val="000000"/>
          <w:lang w:val="en-US"/>
        </w:rPr>
        <w:t>c</w:t>
      </w:r>
      <w:r w:rsidR="00A27C6E" w:rsidRPr="00D762D1">
        <w:rPr>
          <w:rFonts w:ascii="Gellix" w:hAnsi="Gellix" w:cs="Calibri"/>
          <w:color w:val="000000"/>
          <w:lang w:val="en-US"/>
        </w:rPr>
        <w:t xml:space="preserve">ases by location. </w:t>
      </w:r>
    </w:p>
    <w:p w14:paraId="6C6B3486" w14:textId="49BD6D77" w:rsidR="00A27C6E" w:rsidRPr="00F0089E" w:rsidRDefault="00DF6BF8" w:rsidP="00A53F94">
      <w:pPr>
        <w:pStyle w:val="ListParagraph"/>
        <w:numPr>
          <w:ilvl w:val="0"/>
          <w:numId w:val="2"/>
        </w:numPr>
        <w:autoSpaceDE w:val="0"/>
        <w:autoSpaceDN w:val="0"/>
        <w:adjustRightInd w:val="0"/>
        <w:spacing w:after="120" w:line="240" w:lineRule="auto"/>
        <w:ind w:left="714" w:hanging="357"/>
        <w:contextualSpacing w:val="0"/>
        <w:rPr>
          <w:rFonts w:ascii="Gellix" w:hAnsi="Gellix" w:cs="Calibri"/>
          <w:color w:val="000000"/>
          <w:lang w:val="en-US"/>
        </w:rPr>
      </w:pPr>
      <w:r w:rsidRPr="00DF6BF8">
        <w:rPr>
          <w:rFonts w:ascii="Gellix" w:hAnsi="Gellix" w:cs="Calibri"/>
          <w:b/>
          <w:bCs/>
          <w:color w:val="000000"/>
          <w:lang w:val="en-US"/>
        </w:rPr>
        <w:t>Points of contact</w:t>
      </w:r>
      <w:r>
        <w:rPr>
          <w:rFonts w:ascii="Gellix" w:hAnsi="Gellix" w:cs="Calibri"/>
          <w:color w:val="000000"/>
          <w:lang w:val="en-US"/>
        </w:rPr>
        <w:t xml:space="preserve"> </w:t>
      </w:r>
      <w:r w:rsidR="00D34BC3">
        <w:rPr>
          <w:rFonts w:ascii="Gellix" w:hAnsi="Gellix" w:cs="Calibri"/>
          <w:color w:val="000000"/>
          <w:lang w:val="en-US"/>
        </w:rPr>
        <w:t>–</w:t>
      </w:r>
      <w:r>
        <w:rPr>
          <w:rFonts w:ascii="Gellix" w:hAnsi="Gellix" w:cs="Calibri"/>
          <w:color w:val="000000"/>
          <w:lang w:val="en-US"/>
        </w:rPr>
        <w:t xml:space="preserve"> </w:t>
      </w:r>
      <w:r w:rsidR="00A27C6E" w:rsidRPr="00F0089E">
        <w:rPr>
          <w:rFonts w:ascii="Gellix" w:hAnsi="Gellix" w:cs="Calibri"/>
          <w:color w:val="000000"/>
          <w:lang w:val="en-US"/>
        </w:rPr>
        <w:t>CBP has established an intake process (e.g., establishment of email) to be shared with trade</w:t>
      </w:r>
      <w:r w:rsidR="0068630C" w:rsidRPr="00F0089E">
        <w:rPr>
          <w:rFonts w:ascii="Gellix" w:hAnsi="Gellix" w:cs="Calibri"/>
          <w:color w:val="000000"/>
          <w:lang w:val="en-US"/>
        </w:rPr>
        <w:t xml:space="preserve"> </w:t>
      </w:r>
      <w:r w:rsidR="00A27C6E" w:rsidRPr="00F0089E">
        <w:rPr>
          <w:rFonts w:ascii="Gellix" w:hAnsi="Gellix" w:cs="Calibri"/>
          <w:color w:val="000000"/>
          <w:lang w:val="en-US"/>
        </w:rPr>
        <w:t>stakeholders. This</w:t>
      </w:r>
      <w:r w:rsidR="00AF4D87">
        <w:rPr>
          <w:rFonts w:ascii="Gellix" w:hAnsi="Gellix" w:cs="Calibri"/>
          <w:color w:val="000000"/>
          <w:lang w:val="en-US"/>
        </w:rPr>
        <w:t xml:space="preserve"> provides</w:t>
      </w:r>
      <w:r w:rsidR="00A27C6E" w:rsidRPr="00F0089E">
        <w:rPr>
          <w:rFonts w:ascii="Gellix" w:hAnsi="Gellix" w:cs="Calibri"/>
          <w:color w:val="000000"/>
          <w:lang w:val="en-US"/>
        </w:rPr>
        <w:t xml:space="preserve"> a clear point of contact </w:t>
      </w:r>
      <w:r w:rsidR="00AF4D87">
        <w:rPr>
          <w:rFonts w:ascii="Gellix" w:hAnsi="Gellix" w:cs="Calibri"/>
          <w:color w:val="000000"/>
          <w:lang w:val="en-US"/>
        </w:rPr>
        <w:t>for</w:t>
      </w:r>
      <w:r w:rsidR="00A27C6E" w:rsidRPr="00F0089E">
        <w:rPr>
          <w:rFonts w:ascii="Gellix" w:hAnsi="Gellix" w:cs="Calibri"/>
          <w:color w:val="000000"/>
          <w:lang w:val="en-US"/>
        </w:rPr>
        <w:t xml:space="preserve"> stakeholders and enable</w:t>
      </w:r>
      <w:r w:rsidR="00AF4D87">
        <w:rPr>
          <w:rFonts w:ascii="Gellix" w:hAnsi="Gellix" w:cs="Calibri"/>
          <w:color w:val="000000"/>
          <w:lang w:val="en-US"/>
        </w:rPr>
        <w:t>s</w:t>
      </w:r>
      <w:r w:rsidR="00A27C6E" w:rsidRPr="00F0089E">
        <w:rPr>
          <w:rFonts w:ascii="Gellix" w:hAnsi="Gellix" w:cs="Calibri"/>
          <w:color w:val="000000"/>
          <w:lang w:val="en-US"/>
        </w:rPr>
        <w:t xml:space="preserve"> a single</w:t>
      </w:r>
      <w:r w:rsidR="0068630C" w:rsidRPr="00F0089E">
        <w:rPr>
          <w:rFonts w:ascii="Gellix" w:hAnsi="Gellix" w:cs="Calibri"/>
          <w:color w:val="000000"/>
          <w:lang w:val="en-US"/>
        </w:rPr>
        <w:t xml:space="preserve"> </w:t>
      </w:r>
      <w:r w:rsidR="00A27C6E" w:rsidRPr="00F0089E">
        <w:rPr>
          <w:rFonts w:ascii="Gellix" w:hAnsi="Gellix" w:cs="Calibri"/>
          <w:color w:val="000000"/>
          <w:lang w:val="en-US"/>
        </w:rPr>
        <w:t>location for Customs to review questions, clarifications, recommendations and /or</w:t>
      </w:r>
      <w:r w:rsidR="0068630C" w:rsidRPr="00F0089E">
        <w:rPr>
          <w:rFonts w:ascii="Gellix" w:hAnsi="Gellix" w:cs="Calibri"/>
          <w:color w:val="000000"/>
          <w:lang w:val="en-US"/>
        </w:rPr>
        <w:t xml:space="preserve"> </w:t>
      </w:r>
      <w:r w:rsidR="00A27C6E" w:rsidRPr="00F0089E">
        <w:rPr>
          <w:rFonts w:ascii="Gellix" w:hAnsi="Gellix" w:cs="Calibri"/>
          <w:color w:val="000000"/>
          <w:lang w:val="en-US"/>
        </w:rPr>
        <w:t>proposals. Reponses could be direct</w:t>
      </w:r>
      <w:r w:rsidR="00EC5AD6">
        <w:rPr>
          <w:rFonts w:ascii="Gellix" w:hAnsi="Gellix" w:cs="Calibri"/>
          <w:color w:val="000000"/>
          <w:lang w:val="en-US"/>
        </w:rPr>
        <w:t>ed</w:t>
      </w:r>
      <w:r w:rsidR="00A27C6E" w:rsidRPr="00F0089E">
        <w:rPr>
          <w:rFonts w:ascii="Gellix" w:hAnsi="Gellix" w:cs="Calibri"/>
          <w:color w:val="000000"/>
          <w:lang w:val="en-US"/>
        </w:rPr>
        <w:t xml:space="preserve"> to </w:t>
      </w:r>
      <w:r w:rsidR="0068630C" w:rsidRPr="00F0089E">
        <w:rPr>
          <w:rFonts w:ascii="Gellix" w:hAnsi="Gellix" w:cs="Calibri"/>
          <w:color w:val="000000"/>
          <w:lang w:val="en-US"/>
        </w:rPr>
        <w:t>the submitter</w:t>
      </w:r>
      <w:r w:rsidR="00A27C6E" w:rsidRPr="00F0089E">
        <w:rPr>
          <w:rFonts w:ascii="Gellix" w:hAnsi="Gellix" w:cs="Calibri"/>
          <w:color w:val="000000"/>
          <w:lang w:val="en-US"/>
        </w:rPr>
        <w:t xml:space="preserve"> and where appropriate addressed</w:t>
      </w:r>
      <w:r w:rsidR="0068630C" w:rsidRPr="00F0089E">
        <w:rPr>
          <w:rFonts w:ascii="Gellix" w:hAnsi="Gellix" w:cs="Calibri"/>
          <w:color w:val="000000"/>
          <w:lang w:val="en-US"/>
        </w:rPr>
        <w:t xml:space="preserve"> </w:t>
      </w:r>
      <w:r w:rsidR="00A27C6E" w:rsidRPr="00F0089E">
        <w:rPr>
          <w:rFonts w:ascii="Gellix" w:hAnsi="Gellix" w:cs="Calibri"/>
          <w:color w:val="000000"/>
          <w:lang w:val="en-US"/>
        </w:rPr>
        <w:t>during standing calls with trade stakeholders.</w:t>
      </w:r>
    </w:p>
    <w:p w14:paraId="4DF4D4E2" w14:textId="71C50F5D" w:rsidR="0085091D" w:rsidRPr="00D762D1" w:rsidRDefault="00A27C6E" w:rsidP="00A53F94">
      <w:pPr>
        <w:pStyle w:val="ListParagraph"/>
        <w:numPr>
          <w:ilvl w:val="0"/>
          <w:numId w:val="2"/>
        </w:numPr>
        <w:autoSpaceDE w:val="0"/>
        <w:autoSpaceDN w:val="0"/>
        <w:adjustRightInd w:val="0"/>
        <w:spacing w:after="120" w:line="240" w:lineRule="auto"/>
        <w:ind w:left="714" w:hanging="357"/>
        <w:contextualSpacing w:val="0"/>
        <w:rPr>
          <w:rFonts w:ascii="Gellix" w:hAnsi="Gellix" w:cs="Calibri"/>
          <w:color w:val="000000"/>
          <w:lang w:val="en-US"/>
        </w:rPr>
      </w:pPr>
      <w:r w:rsidRPr="00DF6BF8">
        <w:rPr>
          <w:rFonts w:ascii="Gellix" w:hAnsi="Gellix" w:cs="Calibri"/>
          <w:b/>
          <w:bCs/>
          <w:color w:val="000000"/>
          <w:lang w:val="en-US"/>
        </w:rPr>
        <w:t>Consolidated information sources</w:t>
      </w:r>
      <w:r w:rsidR="00D34BC3" w:rsidRPr="00D34BC3">
        <w:rPr>
          <w:rFonts w:ascii="Gellix" w:hAnsi="Gellix" w:cs="Calibri"/>
          <w:color w:val="000000"/>
          <w:lang w:val="en-US"/>
        </w:rPr>
        <w:t xml:space="preserve"> –</w:t>
      </w:r>
      <w:r w:rsidRPr="00D762D1">
        <w:rPr>
          <w:rFonts w:ascii="Gellix" w:hAnsi="Gellix" w:cs="Calibri"/>
          <w:color w:val="000000"/>
          <w:lang w:val="en-US"/>
        </w:rPr>
        <w:t xml:space="preserve"> In time</w:t>
      </w:r>
      <w:r w:rsidR="00EC5AD6">
        <w:rPr>
          <w:rFonts w:ascii="Gellix" w:hAnsi="Gellix" w:cs="Calibri"/>
          <w:color w:val="000000"/>
          <w:lang w:val="en-US"/>
        </w:rPr>
        <w:t>s</w:t>
      </w:r>
      <w:r w:rsidRPr="00D762D1">
        <w:rPr>
          <w:rFonts w:ascii="Gellix" w:hAnsi="Gellix" w:cs="Calibri"/>
          <w:color w:val="000000"/>
          <w:lang w:val="en-US"/>
        </w:rPr>
        <w:t xml:space="preserve"> of crisis when timely information on</w:t>
      </w:r>
      <w:r w:rsidR="0068630C" w:rsidRPr="00D762D1">
        <w:rPr>
          <w:rFonts w:ascii="Gellix" w:hAnsi="Gellix" w:cs="Calibri"/>
          <w:color w:val="000000"/>
          <w:lang w:val="en-US"/>
        </w:rPr>
        <w:t xml:space="preserve"> </w:t>
      </w:r>
      <w:r w:rsidRPr="00D762D1">
        <w:rPr>
          <w:rFonts w:ascii="Gellix" w:hAnsi="Gellix" w:cs="Calibri"/>
          <w:color w:val="000000"/>
          <w:lang w:val="en-US"/>
        </w:rPr>
        <w:t xml:space="preserve">developments are critical to business operations, multilateral organizations (e.g., </w:t>
      </w:r>
      <w:r w:rsidRPr="00A42536">
        <w:rPr>
          <w:rFonts w:ascii="Gellix" w:hAnsi="Gellix" w:cs="Calibri"/>
          <w:lang w:val="en-US"/>
        </w:rPr>
        <w:t>WCO), trade</w:t>
      </w:r>
      <w:r w:rsidR="00EE37FF" w:rsidRPr="00A42536">
        <w:rPr>
          <w:rFonts w:ascii="Gellix" w:hAnsi="Gellix" w:cs="Calibri"/>
          <w:lang w:val="en-US"/>
        </w:rPr>
        <w:t xml:space="preserve"> </w:t>
      </w:r>
      <w:r w:rsidRPr="00A42536">
        <w:rPr>
          <w:rFonts w:ascii="Gellix" w:hAnsi="Gellix" w:cs="Calibri"/>
          <w:lang w:val="en-US"/>
        </w:rPr>
        <w:t xml:space="preserve">associations and their </w:t>
      </w:r>
      <w:r w:rsidR="00C92571" w:rsidRPr="00A42536">
        <w:rPr>
          <w:rFonts w:ascii="Gellix" w:hAnsi="Gellix" w:cs="Calibri"/>
          <w:lang w:val="en-US"/>
        </w:rPr>
        <w:t>members, government</w:t>
      </w:r>
      <w:r w:rsidRPr="00A42536">
        <w:rPr>
          <w:rFonts w:ascii="Gellix" w:hAnsi="Gellix" w:cs="Calibri"/>
          <w:lang w:val="en-US"/>
        </w:rPr>
        <w:t xml:space="preserve"> agencies (e.g., CBP) have created consolidated webpages to ease access and communication flow. During COVID</w:t>
      </w:r>
      <w:r w:rsidR="00A42536">
        <w:rPr>
          <w:rFonts w:ascii="Gellix" w:hAnsi="Gellix" w:cs="Calibri"/>
          <w:lang w:val="en-US"/>
        </w:rPr>
        <w:t>-19</w:t>
      </w:r>
      <w:r w:rsidRPr="00A42536">
        <w:rPr>
          <w:rFonts w:ascii="Gellix" w:hAnsi="Gellix" w:cs="Calibri"/>
          <w:lang w:val="en-US"/>
        </w:rPr>
        <w:t xml:space="preserve">, CBP </w:t>
      </w:r>
      <w:r w:rsidR="00A42536">
        <w:rPr>
          <w:rFonts w:ascii="Gellix" w:hAnsi="Gellix" w:cs="Calibri"/>
          <w:lang w:val="en-US"/>
        </w:rPr>
        <w:t xml:space="preserve">created </w:t>
      </w:r>
      <w:r w:rsidRPr="00A42536">
        <w:rPr>
          <w:rFonts w:ascii="Gellix" w:hAnsi="Gellix" w:cs="Calibri"/>
          <w:lang w:val="en-US"/>
        </w:rPr>
        <w:t>and maintained a dedicated COVID-19 webpage aimed at keeping trade stakeholders appraised of</w:t>
      </w:r>
      <w:r w:rsidR="00EE37FF" w:rsidRPr="00A42536">
        <w:rPr>
          <w:rFonts w:ascii="Gellix" w:hAnsi="Gellix" w:cs="Calibri"/>
          <w:lang w:val="en-US"/>
        </w:rPr>
        <w:t xml:space="preserve"> </w:t>
      </w:r>
      <w:r w:rsidRPr="00A42536">
        <w:rPr>
          <w:rFonts w:ascii="Gellix" w:hAnsi="Gellix" w:cs="Calibri"/>
          <w:lang w:val="en-US"/>
        </w:rPr>
        <w:t>developments. Additionally, there was guidance on the CBP, DHS,</w:t>
      </w:r>
      <w:r w:rsidR="00EE37FF" w:rsidRPr="00A42536">
        <w:rPr>
          <w:rFonts w:ascii="Gellix" w:hAnsi="Gellix" w:cs="Calibri"/>
          <w:lang w:val="en-US"/>
        </w:rPr>
        <w:t xml:space="preserve"> a</w:t>
      </w:r>
      <w:r w:rsidRPr="00A42536">
        <w:rPr>
          <w:rFonts w:ascii="Gellix" w:hAnsi="Gellix" w:cs="Calibri"/>
          <w:lang w:val="en-US"/>
        </w:rPr>
        <w:t>nd FEMA’s website aimed at distinguishing between rumo</w:t>
      </w:r>
      <w:r w:rsidR="00CD64D5">
        <w:rPr>
          <w:rFonts w:ascii="Gellix" w:hAnsi="Gellix" w:cs="Calibri"/>
          <w:lang w:val="en-US"/>
        </w:rPr>
        <w:t>u</w:t>
      </w:r>
      <w:r w:rsidRPr="00A42536">
        <w:rPr>
          <w:rFonts w:ascii="Gellix" w:hAnsi="Gellix" w:cs="Calibri"/>
          <w:lang w:val="en-US"/>
        </w:rPr>
        <w:t>rs and facts regarding the</w:t>
      </w:r>
      <w:r w:rsidR="00EE37FF" w:rsidRPr="00A42536">
        <w:rPr>
          <w:rFonts w:ascii="Gellix" w:hAnsi="Gellix" w:cs="Calibri"/>
          <w:lang w:val="en-US"/>
        </w:rPr>
        <w:t xml:space="preserve"> </w:t>
      </w:r>
      <w:r w:rsidRPr="00A42536">
        <w:rPr>
          <w:rFonts w:ascii="Gellix" w:hAnsi="Gellix" w:cs="Calibri"/>
          <w:lang w:val="en-US"/>
        </w:rPr>
        <w:t>response to the COVID-19 pandemic</w:t>
      </w:r>
      <w:r w:rsidR="00BB7079" w:rsidRPr="00A42536">
        <w:rPr>
          <w:rFonts w:ascii="Gellix" w:hAnsi="Gellix" w:cs="Calibri"/>
          <w:lang w:val="en-US"/>
        </w:rPr>
        <w:t xml:space="preserve">. </w:t>
      </w:r>
      <w:r w:rsidRPr="00A42536">
        <w:rPr>
          <w:rFonts w:ascii="Gellix" w:hAnsi="Gellix" w:cs="Calibri"/>
          <w:lang w:val="en-US"/>
        </w:rPr>
        <w:t>Dedicated website examples: coronavirus.gov and USA.gov/coronavirus.</w:t>
      </w:r>
    </w:p>
    <w:p w14:paraId="3B141274" w14:textId="792A9FAB" w:rsidR="00275DCD" w:rsidRPr="00AD0F0B" w:rsidRDefault="0085091D" w:rsidP="00A53F94">
      <w:pPr>
        <w:pStyle w:val="ListParagraph"/>
        <w:numPr>
          <w:ilvl w:val="0"/>
          <w:numId w:val="1"/>
        </w:numPr>
        <w:spacing w:before="240" w:after="0"/>
        <w:ind w:left="357" w:hanging="357"/>
        <w:contextualSpacing w:val="0"/>
        <w:rPr>
          <w:rFonts w:ascii="Gellix" w:hAnsi="Gellix" w:cs="Calibri"/>
        </w:rPr>
      </w:pPr>
      <w:r w:rsidRPr="00AD0F0B">
        <w:rPr>
          <w:rFonts w:ascii="Gellix" w:hAnsi="Gellix" w:cs="Calibri"/>
          <w:b/>
          <w:bCs/>
          <w:color w:val="000000"/>
          <w:lang w:val="en-US"/>
        </w:rPr>
        <w:t xml:space="preserve">General </w:t>
      </w:r>
      <w:r w:rsidR="00186189" w:rsidRPr="00AD0F0B">
        <w:rPr>
          <w:rFonts w:ascii="Gellix" w:hAnsi="Gellix" w:cs="Calibri"/>
          <w:b/>
          <w:bCs/>
          <w:color w:val="000000"/>
          <w:lang w:val="en-US"/>
        </w:rPr>
        <w:t>e</w:t>
      </w:r>
      <w:r w:rsidRPr="00AD0F0B">
        <w:rPr>
          <w:rFonts w:ascii="Gellix" w:hAnsi="Gellix" w:cs="Calibri"/>
          <w:b/>
          <w:bCs/>
          <w:color w:val="000000"/>
          <w:lang w:val="en-US"/>
        </w:rPr>
        <w:t xml:space="preserve">ngagement </w:t>
      </w:r>
      <w:r w:rsidR="00AD0F0B">
        <w:rPr>
          <w:rFonts w:ascii="Gellix" w:hAnsi="Gellix" w:cs="Calibri"/>
          <w:b/>
          <w:bCs/>
          <w:color w:val="000000"/>
          <w:lang w:val="en-US"/>
        </w:rPr>
        <w:t>strategies outside of crisis situations</w:t>
      </w:r>
    </w:p>
    <w:p w14:paraId="63B4366B" w14:textId="53BB7B23" w:rsidR="000E0CC9" w:rsidRDefault="008E1218" w:rsidP="00A53F94">
      <w:pPr>
        <w:spacing w:after="0"/>
        <w:rPr>
          <w:rFonts w:ascii="Gellix" w:hAnsi="Gellix" w:cs="Calibri"/>
        </w:rPr>
      </w:pPr>
      <w:r>
        <w:rPr>
          <w:rFonts w:ascii="Gellix" w:hAnsi="Gellix" w:cs="Calibri"/>
        </w:rPr>
        <w:t xml:space="preserve">In the non-crisis environment, </w:t>
      </w:r>
      <w:r w:rsidR="00685673">
        <w:rPr>
          <w:rFonts w:ascii="Gellix" w:hAnsi="Gellix" w:cs="Calibri"/>
        </w:rPr>
        <w:t xml:space="preserve"> mechanism</w:t>
      </w:r>
      <w:r w:rsidR="00BA0005">
        <w:rPr>
          <w:rFonts w:ascii="Gellix" w:hAnsi="Gellix" w:cs="Calibri"/>
        </w:rPr>
        <w:t>s</w:t>
      </w:r>
      <w:r w:rsidR="00685673">
        <w:rPr>
          <w:rFonts w:ascii="Gellix" w:hAnsi="Gellix" w:cs="Calibri"/>
        </w:rPr>
        <w:t xml:space="preserve"> and platforms allowing for two-way engagement </w:t>
      </w:r>
      <w:r w:rsidR="000E0CC9" w:rsidRPr="00D762D1">
        <w:rPr>
          <w:rFonts w:ascii="Gellix" w:hAnsi="Gellix" w:cs="Calibri"/>
        </w:rPr>
        <w:t xml:space="preserve"> between </w:t>
      </w:r>
      <w:r w:rsidR="00BD657F">
        <w:rPr>
          <w:rFonts w:ascii="Gellix" w:hAnsi="Gellix" w:cs="Calibri"/>
        </w:rPr>
        <w:t>C</w:t>
      </w:r>
      <w:r w:rsidR="000E0CC9" w:rsidRPr="00D762D1">
        <w:rPr>
          <w:rFonts w:ascii="Gellix" w:hAnsi="Gellix" w:cs="Calibri"/>
        </w:rPr>
        <w:t xml:space="preserve">ustoms and the </w:t>
      </w:r>
      <w:r w:rsidR="00932BF8">
        <w:rPr>
          <w:rFonts w:ascii="Gellix" w:hAnsi="Gellix" w:cs="Calibri"/>
        </w:rPr>
        <w:t xml:space="preserve">private sector </w:t>
      </w:r>
      <w:r w:rsidR="00B308D0">
        <w:rPr>
          <w:rFonts w:ascii="Gellix" w:hAnsi="Gellix" w:cs="Calibri"/>
        </w:rPr>
        <w:t xml:space="preserve">help build </w:t>
      </w:r>
      <w:r w:rsidR="00BD657F">
        <w:rPr>
          <w:rFonts w:ascii="Gellix" w:hAnsi="Gellix" w:cs="Calibri"/>
        </w:rPr>
        <w:t xml:space="preserve">trust and </w:t>
      </w:r>
      <w:r w:rsidR="00787C18">
        <w:rPr>
          <w:rFonts w:ascii="Gellix" w:hAnsi="Gellix" w:cs="Calibri"/>
        </w:rPr>
        <w:t>improve communication in the long-term</w:t>
      </w:r>
      <w:r w:rsidR="00BD657F">
        <w:rPr>
          <w:rFonts w:ascii="Gellix" w:hAnsi="Gellix" w:cs="Calibri"/>
        </w:rPr>
        <w:t>.</w:t>
      </w:r>
      <w:r w:rsidR="000E0CC9" w:rsidRPr="00D762D1">
        <w:rPr>
          <w:rFonts w:ascii="Gellix" w:hAnsi="Gellix" w:cs="Calibri"/>
        </w:rPr>
        <w:t xml:space="preserve"> </w:t>
      </w:r>
    </w:p>
    <w:p w14:paraId="3C07896F" w14:textId="42E0CE24" w:rsidR="0040549D" w:rsidRPr="00F71F10" w:rsidRDefault="00F71F10" w:rsidP="00B52461">
      <w:pPr>
        <w:spacing w:after="0"/>
        <w:rPr>
          <w:rFonts w:ascii="Gellix" w:hAnsi="Gellix" w:cs="Calibri"/>
          <w:b/>
          <w:bCs/>
        </w:rPr>
      </w:pPr>
      <w:r w:rsidRPr="00F71F10">
        <w:rPr>
          <w:rFonts w:ascii="Gellix" w:hAnsi="Gellix" w:cs="Calibri"/>
          <w:b/>
          <w:bCs/>
        </w:rPr>
        <w:t xml:space="preserve">National Committees on Trade Facilitation </w:t>
      </w:r>
    </w:p>
    <w:p w14:paraId="4A99B65D" w14:textId="4B05D912" w:rsidR="00C84F68" w:rsidRDefault="00C44DD5" w:rsidP="00C84F68">
      <w:pPr>
        <w:spacing w:after="120"/>
        <w:rPr>
          <w:rFonts w:ascii="Gellix" w:hAnsi="Gellix" w:cs="Calibri"/>
        </w:rPr>
      </w:pPr>
      <w:r w:rsidRPr="00F71F10">
        <w:rPr>
          <w:rFonts w:ascii="Gellix" w:hAnsi="Gellix" w:cs="Calibri"/>
        </w:rPr>
        <w:t xml:space="preserve">Article 23.2 of the World Trade Organization’s (WTO) Trade Facilitation Agreement (TFA) </w:t>
      </w:r>
      <w:r w:rsidR="0042784D" w:rsidRPr="00F71F10">
        <w:rPr>
          <w:rFonts w:ascii="Gellix" w:hAnsi="Gellix" w:cs="Calibri"/>
        </w:rPr>
        <w:t xml:space="preserve">made the establishment of </w:t>
      </w:r>
      <w:r w:rsidRPr="00F71F10">
        <w:rPr>
          <w:rFonts w:ascii="Gellix" w:hAnsi="Gellix" w:cs="Calibri"/>
        </w:rPr>
        <w:t xml:space="preserve"> National Committees on Trade Facilitation </w:t>
      </w:r>
      <w:r w:rsidR="001217E5">
        <w:rPr>
          <w:rFonts w:ascii="Gellix" w:hAnsi="Gellix" w:cs="Calibri"/>
        </w:rPr>
        <w:t>(NTFCs)</w:t>
      </w:r>
      <w:r w:rsidRPr="00F71F10">
        <w:rPr>
          <w:rFonts w:ascii="Gellix" w:hAnsi="Gellix" w:cs="Calibri"/>
        </w:rPr>
        <w:t xml:space="preserve"> </w:t>
      </w:r>
      <w:r w:rsidR="0042784D" w:rsidRPr="00F71F10">
        <w:rPr>
          <w:rFonts w:ascii="Gellix" w:hAnsi="Gellix" w:cs="Calibri"/>
        </w:rPr>
        <w:t xml:space="preserve">a binding obligation with </w:t>
      </w:r>
      <w:r w:rsidRPr="00F71F10">
        <w:rPr>
          <w:rFonts w:ascii="Gellix" w:hAnsi="Gellix" w:cs="Calibri"/>
        </w:rPr>
        <w:t xml:space="preserve">the objective “to facilitate both domestic coordination </w:t>
      </w:r>
      <w:r w:rsidR="00B43893" w:rsidRPr="00F71F10">
        <w:rPr>
          <w:rFonts w:ascii="Gellix" w:hAnsi="Gellix" w:cs="Calibri"/>
        </w:rPr>
        <w:t>and implementation of provisions of this Agreement.”</w:t>
      </w:r>
    </w:p>
    <w:p w14:paraId="61828F88" w14:textId="77777777" w:rsidR="00C84F68" w:rsidRDefault="00C84F68" w:rsidP="00C84F68">
      <w:pPr>
        <w:spacing w:after="120"/>
        <w:rPr>
          <w:rFonts w:ascii="Gellix" w:hAnsi="Gellix" w:cs="Calibri"/>
        </w:rPr>
      </w:pPr>
      <w:r w:rsidRPr="00B43893">
        <w:rPr>
          <w:rFonts w:ascii="Gellix" w:hAnsi="Gellix" w:cs="Calibri"/>
        </w:rPr>
        <w:t xml:space="preserve">In many countries, NFTCs have contributed to fostering public-private partnership by bringing stakeholders together and thereby building a platform for constructive dialogue. The composition varies from country to country and the private sector is often represented through business and sectoral associations. Different approaches have been observed ranging from the private sector having a consultative role, i.e., they are not part of the committee but are engaging in dialogues, to official membership of private sector representatives on the NTFC or its sub-committee(s). </w:t>
      </w:r>
    </w:p>
    <w:tbl>
      <w:tblPr>
        <w:tblStyle w:val="TableGrid"/>
        <w:tblpPr w:leftFromText="180" w:rightFromText="180" w:vertAnchor="page" w:horzAnchor="margin" w:tblpY="8688"/>
        <w:tblOverlap w:val="never"/>
        <w:tblW w:w="9067" w:type="dxa"/>
        <w:tblLook w:val="04A0" w:firstRow="1" w:lastRow="0" w:firstColumn="1" w:lastColumn="0" w:noHBand="0" w:noVBand="1"/>
      </w:tblPr>
      <w:tblGrid>
        <w:gridCol w:w="9067"/>
      </w:tblGrid>
      <w:tr w:rsidR="00C86D5B" w:rsidRPr="00FE3800" w14:paraId="5BB8BB92" w14:textId="77777777" w:rsidTr="00C86D5B">
        <w:tc>
          <w:tcPr>
            <w:tcW w:w="9067" w:type="dxa"/>
          </w:tcPr>
          <w:p w14:paraId="25B17B75" w14:textId="77777777" w:rsidR="00C86D5B" w:rsidRPr="00FE3800" w:rsidRDefault="00C86D5B" w:rsidP="00A53F94">
            <w:pPr>
              <w:pStyle w:val="ListParagraph"/>
              <w:ind w:left="0"/>
              <w:contextualSpacing w:val="0"/>
              <w:rPr>
                <w:rFonts w:ascii="Gellix" w:hAnsi="Gellix" w:cs="Calibri"/>
                <w:b/>
                <w:bCs/>
                <w:sz w:val="18"/>
                <w:szCs w:val="18"/>
              </w:rPr>
            </w:pPr>
            <w:r w:rsidRPr="00FE3800">
              <w:rPr>
                <w:rFonts w:ascii="Gellix" w:hAnsi="Gellix" w:cs="Calibri"/>
                <w:b/>
                <w:bCs/>
                <w:sz w:val="18"/>
                <w:szCs w:val="18"/>
              </w:rPr>
              <w:lastRenderedPageBreak/>
              <w:t xml:space="preserve">Example of private sector involvement in NTFC -  Costa Rica – </w:t>
            </w:r>
            <w:r w:rsidRPr="00FE3800">
              <w:rPr>
                <w:rFonts w:ascii="Gellix" w:hAnsi="Gellix" w:cs="Calibri"/>
                <w:b/>
                <w:bCs/>
                <w:sz w:val="18"/>
                <w:szCs w:val="18"/>
                <w:highlight w:val="yellow"/>
              </w:rPr>
              <w:t>VERIFY</w:t>
            </w:r>
            <w:r w:rsidRPr="00FE3800">
              <w:rPr>
                <w:rFonts w:ascii="Gellix" w:hAnsi="Gellix" w:cs="Calibri"/>
                <w:b/>
                <w:bCs/>
                <w:sz w:val="18"/>
                <w:szCs w:val="18"/>
              </w:rPr>
              <w:t xml:space="preserve"> </w:t>
            </w:r>
            <w:r w:rsidRPr="00FE3800">
              <w:rPr>
                <w:rFonts w:ascii="Gellix" w:hAnsi="Gellix" w:cs="Calibri"/>
                <w:sz w:val="18"/>
                <w:szCs w:val="18"/>
              </w:rPr>
              <w:t xml:space="preserve">(source: </w:t>
            </w:r>
            <w:hyperlink r:id="rId11" w:history="1">
              <w:r w:rsidRPr="00FE3800">
                <w:rPr>
                  <w:rStyle w:val="Hyperlink"/>
                  <w:rFonts w:ascii="Gellix" w:hAnsi="Gellix" w:cs="Calibri"/>
                  <w:sz w:val="18"/>
                  <w:szCs w:val="18"/>
                </w:rPr>
                <w:t>https://thedocs.worldbank.org/en/doc/42b2167b86a8f1fb52391e1d5bc5b63e-0350012021/related/NTFC-Private-Sector-Participation-Guidance-Note-FINAL.pdf</w:t>
              </w:r>
            </w:hyperlink>
            <w:r w:rsidRPr="00FE3800">
              <w:rPr>
                <w:rFonts w:ascii="Gellix" w:hAnsi="Gellix" w:cs="Calibri"/>
                <w:sz w:val="18"/>
                <w:szCs w:val="18"/>
              </w:rPr>
              <w:t>)</w:t>
            </w:r>
            <w:r w:rsidRPr="00FE3800">
              <w:rPr>
                <w:rFonts w:ascii="Gellix" w:hAnsi="Gellix" w:cs="Calibri"/>
                <w:b/>
                <w:bCs/>
                <w:sz w:val="18"/>
                <w:szCs w:val="18"/>
              </w:rPr>
              <w:t xml:space="preserve"> </w:t>
            </w:r>
          </w:p>
          <w:p w14:paraId="1B5E6518" w14:textId="20FE6D97" w:rsidR="002E43BF" w:rsidRPr="00FE3800" w:rsidRDefault="00C86D5B" w:rsidP="00A53F94">
            <w:pPr>
              <w:pStyle w:val="ListParagraph"/>
              <w:spacing w:after="120"/>
              <w:ind w:left="0"/>
              <w:contextualSpacing w:val="0"/>
              <w:rPr>
                <w:rFonts w:ascii="Gellix" w:hAnsi="Gellix" w:cs="Calibri"/>
                <w:sz w:val="18"/>
                <w:szCs w:val="18"/>
              </w:rPr>
            </w:pPr>
            <w:r w:rsidRPr="00FE3800">
              <w:rPr>
                <w:rFonts w:ascii="Gellix" w:hAnsi="Gellix" w:cs="Calibri"/>
                <w:sz w:val="18"/>
                <w:szCs w:val="18"/>
              </w:rPr>
              <w:t xml:space="preserve">In Costa Rica, the composition of the NTFC features a balanced representation from both public and private sectors, with five private sector delegates and seven deputy ministers. The committee is supported by a technical secretary under the auspices of the Presidential office, alongside local committees dedicated to implementing strategies at land border crossings, airports, and seaports. Additionally, specialised technical commissions tackle vital issues including regulatory frameworks, international commerce, and the development of infrastructure and equipment. The decision-making process within the NTFC unfolds in four key stages: initial assessment of needs related to infrastructure, technology, and human resources at ports, airports, and land borders; evaluation of these needs by technical commissions who then formulate preliminary proposals; presentation of these proposals to the committee for further technical review; and finally, the formulation of decisions at the political level by deputy ministers and private sector representatives. </w:t>
            </w:r>
            <w:r w:rsidRPr="00FE3800">
              <w:rPr>
                <w:rFonts w:ascii="Gellix" w:hAnsi="Gellix" w:cs="Calibri"/>
                <w:sz w:val="18"/>
                <w:szCs w:val="18"/>
                <w:highlight w:val="yellow"/>
              </w:rPr>
              <w:t>Working well?</w:t>
            </w:r>
          </w:p>
          <w:p w14:paraId="6AEAB61C" w14:textId="079E95EE" w:rsidR="002E43BF" w:rsidRPr="00FE3800" w:rsidRDefault="002E43BF" w:rsidP="00A53F94">
            <w:pPr>
              <w:pStyle w:val="ListParagraph"/>
              <w:ind w:left="0"/>
              <w:contextualSpacing w:val="0"/>
              <w:rPr>
                <w:rFonts w:ascii="Gellix" w:hAnsi="Gellix" w:cs="Calibri"/>
                <w:b/>
                <w:bCs/>
                <w:sz w:val="18"/>
                <w:szCs w:val="18"/>
              </w:rPr>
            </w:pPr>
            <w:r w:rsidRPr="00FE3800">
              <w:rPr>
                <w:rFonts w:ascii="Gellix" w:hAnsi="Gellix" w:cs="Calibri"/>
                <w:b/>
                <w:bCs/>
                <w:sz w:val="18"/>
                <w:szCs w:val="18"/>
              </w:rPr>
              <w:t>Example of private sector involvement in NTFC</w:t>
            </w:r>
            <w:r w:rsidR="00BB0C43" w:rsidRPr="00FE3800">
              <w:rPr>
                <w:rFonts w:ascii="Gellix" w:hAnsi="Gellix" w:cs="Calibri"/>
                <w:b/>
                <w:bCs/>
                <w:sz w:val="18"/>
                <w:szCs w:val="18"/>
              </w:rPr>
              <w:t xml:space="preserve"> enhancing disaster preparedness</w:t>
            </w:r>
            <w:r w:rsidRPr="00FE3800">
              <w:rPr>
                <w:rFonts w:ascii="Gellix" w:hAnsi="Gellix" w:cs="Calibri"/>
                <w:b/>
                <w:bCs/>
                <w:sz w:val="18"/>
                <w:szCs w:val="18"/>
              </w:rPr>
              <w:t xml:space="preserve"> -  Mozambique</w:t>
            </w:r>
          </w:p>
          <w:p w14:paraId="20C45990" w14:textId="2C7963E4" w:rsidR="00A601C0" w:rsidRPr="00FE3800" w:rsidRDefault="00AD1AFC" w:rsidP="00A53F94">
            <w:pPr>
              <w:pStyle w:val="ListParagraph"/>
              <w:spacing w:after="120"/>
              <w:ind w:left="0"/>
              <w:contextualSpacing w:val="0"/>
              <w:rPr>
                <w:rFonts w:ascii="Gellix" w:hAnsi="Gellix"/>
                <w:sz w:val="18"/>
                <w:szCs w:val="18"/>
              </w:rPr>
            </w:pPr>
            <w:r w:rsidRPr="00FE3800">
              <w:rPr>
                <w:rFonts w:ascii="Gellix" w:hAnsi="Gellix" w:cs="Calibri"/>
                <w:sz w:val="18"/>
                <w:szCs w:val="18"/>
              </w:rPr>
              <w:t xml:space="preserve">The Global Alliance for Trade Facilitation </w:t>
            </w:r>
            <w:r w:rsidR="00700A36" w:rsidRPr="00FE3800">
              <w:rPr>
                <w:rFonts w:ascii="Gellix" w:hAnsi="Gellix" w:cs="Calibri"/>
                <w:sz w:val="18"/>
                <w:szCs w:val="18"/>
              </w:rPr>
              <w:t xml:space="preserve">is a public private partnership </w:t>
            </w:r>
            <w:r w:rsidR="008D3024" w:rsidRPr="00FE3800">
              <w:rPr>
                <w:rFonts w:ascii="Gellix" w:hAnsi="Gellix" w:cs="Calibri"/>
                <w:sz w:val="18"/>
                <w:szCs w:val="18"/>
              </w:rPr>
              <w:t>dedicated</w:t>
            </w:r>
            <w:r w:rsidR="0011379C" w:rsidRPr="00FE3800">
              <w:rPr>
                <w:rFonts w:ascii="Gellix" w:hAnsi="Gellix" w:cs="Calibri"/>
                <w:sz w:val="18"/>
                <w:szCs w:val="18"/>
              </w:rPr>
              <w:t xml:space="preserve"> to international</w:t>
            </w:r>
            <w:r w:rsidR="008D3024" w:rsidRPr="00FE3800">
              <w:rPr>
                <w:rFonts w:ascii="Gellix" w:hAnsi="Gellix" w:cs="Calibri"/>
                <w:sz w:val="18"/>
                <w:szCs w:val="18"/>
              </w:rPr>
              <w:t xml:space="preserve"> trade facilitation. The Alliance </w:t>
            </w:r>
            <w:r w:rsidR="008F1989" w:rsidRPr="00FE3800">
              <w:rPr>
                <w:rFonts w:ascii="Gellix" w:hAnsi="Gellix" w:cs="Calibri"/>
                <w:sz w:val="18"/>
                <w:szCs w:val="18"/>
              </w:rPr>
              <w:t xml:space="preserve">supported Mozambique to </w:t>
            </w:r>
            <w:r w:rsidR="00700A36" w:rsidRPr="00FE3800">
              <w:rPr>
                <w:rFonts w:ascii="Gellix" w:hAnsi="Gellix" w:cs="Calibri"/>
                <w:sz w:val="18"/>
                <w:szCs w:val="18"/>
              </w:rPr>
              <w:t xml:space="preserve">improve the import processes </w:t>
            </w:r>
            <w:r w:rsidR="008F1989" w:rsidRPr="00FE3800">
              <w:rPr>
                <w:rFonts w:ascii="Gellix" w:hAnsi="Gellix" w:cs="Calibri"/>
                <w:sz w:val="18"/>
                <w:szCs w:val="18"/>
              </w:rPr>
              <w:t xml:space="preserve">of </w:t>
            </w:r>
            <w:r w:rsidR="00700A36" w:rsidRPr="00FE3800">
              <w:rPr>
                <w:rFonts w:ascii="Gellix" w:hAnsi="Gellix" w:cs="Calibri"/>
                <w:sz w:val="18"/>
                <w:szCs w:val="18"/>
              </w:rPr>
              <w:t xml:space="preserve">essential </w:t>
            </w:r>
            <w:r w:rsidR="008F1989" w:rsidRPr="00FE3800">
              <w:rPr>
                <w:rFonts w:ascii="Gellix" w:hAnsi="Gellix" w:cs="Calibri"/>
                <w:sz w:val="18"/>
                <w:szCs w:val="18"/>
              </w:rPr>
              <w:t xml:space="preserve">medical </w:t>
            </w:r>
            <w:r w:rsidR="00700A36" w:rsidRPr="00FE3800">
              <w:rPr>
                <w:rFonts w:ascii="Gellix" w:hAnsi="Gellix" w:cs="Calibri"/>
                <w:sz w:val="18"/>
                <w:szCs w:val="18"/>
              </w:rPr>
              <w:t>goods</w:t>
            </w:r>
            <w:r w:rsidR="008F1989" w:rsidRPr="00FE3800">
              <w:rPr>
                <w:rFonts w:ascii="Gellix" w:hAnsi="Gellix" w:cs="Calibri"/>
                <w:sz w:val="18"/>
                <w:szCs w:val="18"/>
              </w:rPr>
              <w:t xml:space="preserve"> by: </w:t>
            </w:r>
            <w:r w:rsidR="00D47D9F" w:rsidRPr="00FE3800">
              <w:rPr>
                <w:rFonts w:ascii="Gellix" w:hAnsi="Gellix" w:cs="Calibri"/>
                <w:sz w:val="18"/>
                <w:szCs w:val="18"/>
              </w:rPr>
              <w:t xml:space="preserve">1. </w:t>
            </w:r>
            <w:r w:rsidR="00210B0F" w:rsidRPr="00FE3800">
              <w:rPr>
                <w:rFonts w:ascii="Gellix" w:hAnsi="Gellix" w:cs="Calibri"/>
                <w:sz w:val="18"/>
                <w:szCs w:val="18"/>
              </w:rPr>
              <w:t xml:space="preserve">digitalising the import </w:t>
            </w:r>
            <w:r w:rsidR="00510359" w:rsidRPr="00FE3800">
              <w:rPr>
                <w:rFonts w:ascii="Gellix" w:hAnsi="Gellix" w:cs="Calibri"/>
                <w:sz w:val="18"/>
                <w:szCs w:val="18"/>
              </w:rPr>
              <w:t>processes for vaccines and associated medical products</w:t>
            </w:r>
            <w:r w:rsidR="00D47D9F" w:rsidRPr="00FE3800">
              <w:rPr>
                <w:rFonts w:ascii="Gellix" w:hAnsi="Gellix" w:cs="Calibri"/>
                <w:sz w:val="18"/>
                <w:szCs w:val="18"/>
              </w:rPr>
              <w:t xml:space="preserve">, 2. </w:t>
            </w:r>
            <w:r w:rsidR="00BF1DCE" w:rsidRPr="00FE3800">
              <w:rPr>
                <w:rFonts w:ascii="Gellix" w:hAnsi="Gellix" w:cs="Calibri"/>
                <w:sz w:val="18"/>
                <w:szCs w:val="18"/>
              </w:rPr>
              <w:t>streamlining the pre-shipment approval process for critical medical equipment, especially rapid test kits (RTKs) for diagnosis of HIV/AIDS and malaria</w:t>
            </w:r>
            <w:r w:rsidR="00D47D9F" w:rsidRPr="00FE3800">
              <w:rPr>
                <w:rFonts w:ascii="Gellix" w:hAnsi="Gellix" w:cs="Calibri"/>
                <w:sz w:val="18"/>
                <w:szCs w:val="18"/>
              </w:rPr>
              <w:t xml:space="preserve">. </w:t>
            </w:r>
            <w:r w:rsidR="001C1FA4" w:rsidRPr="00FE3800">
              <w:rPr>
                <w:rFonts w:ascii="Gellix" w:hAnsi="Gellix"/>
                <w:sz w:val="18"/>
                <w:szCs w:val="18"/>
              </w:rPr>
              <w:t xml:space="preserve"> </w:t>
            </w:r>
          </w:p>
          <w:p w14:paraId="24DA09DA" w14:textId="6D1CF657" w:rsidR="002E43BF" w:rsidRPr="00FE3800" w:rsidRDefault="008F1294" w:rsidP="00A53F94">
            <w:pPr>
              <w:pStyle w:val="ListParagraph"/>
              <w:spacing w:after="120"/>
              <w:ind w:left="0"/>
              <w:contextualSpacing w:val="0"/>
              <w:rPr>
                <w:rFonts w:ascii="Gellix" w:hAnsi="Gellix" w:cs="Calibri"/>
                <w:sz w:val="18"/>
                <w:szCs w:val="18"/>
              </w:rPr>
            </w:pPr>
            <w:r w:rsidRPr="00FE3800">
              <w:rPr>
                <w:rFonts w:ascii="Gellix" w:hAnsi="Gellix" w:cs="Calibri"/>
                <w:sz w:val="18"/>
                <w:szCs w:val="18"/>
              </w:rPr>
              <w:t>As part of the project</w:t>
            </w:r>
            <w:r w:rsidR="00B86085" w:rsidRPr="00FE3800">
              <w:rPr>
                <w:rFonts w:ascii="Gellix" w:hAnsi="Gellix" w:cs="Calibri"/>
                <w:sz w:val="18"/>
                <w:szCs w:val="18"/>
              </w:rPr>
              <w:t>, a</w:t>
            </w:r>
            <w:r w:rsidR="00AC1D17" w:rsidRPr="00FE3800">
              <w:rPr>
                <w:rFonts w:ascii="Gellix" w:hAnsi="Gellix" w:cs="Calibri"/>
                <w:sz w:val="18"/>
                <w:szCs w:val="18"/>
              </w:rPr>
              <w:t xml:space="preserve"> </w:t>
            </w:r>
            <w:r w:rsidRPr="00FE3800">
              <w:rPr>
                <w:rFonts w:ascii="Gellix" w:hAnsi="Gellix" w:cs="Calibri"/>
                <w:sz w:val="18"/>
                <w:szCs w:val="18"/>
              </w:rPr>
              <w:t xml:space="preserve">dedicated </w:t>
            </w:r>
            <w:r w:rsidR="00AC1D17" w:rsidRPr="00FE3800">
              <w:rPr>
                <w:rFonts w:ascii="Gellix" w:hAnsi="Gellix" w:cs="Calibri"/>
                <w:sz w:val="18"/>
                <w:szCs w:val="18"/>
              </w:rPr>
              <w:t>public-private working on vaccines and medical goods was created and anchored within the NTFC.</w:t>
            </w:r>
            <w:r w:rsidR="00A84753" w:rsidRPr="00FE3800">
              <w:rPr>
                <w:rFonts w:ascii="Gellix" w:hAnsi="Gellix" w:cs="Calibri"/>
                <w:sz w:val="18"/>
                <w:szCs w:val="18"/>
              </w:rPr>
              <w:t xml:space="preserve"> </w:t>
            </w:r>
            <w:r w:rsidR="00B8472C" w:rsidRPr="00FE3800">
              <w:rPr>
                <w:rFonts w:ascii="Gellix" w:hAnsi="Gellix" w:cs="Calibri"/>
                <w:sz w:val="18"/>
                <w:szCs w:val="18"/>
              </w:rPr>
              <w:t xml:space="preserve">The incorporation </w:t>
            </w:r>
            <w:r w:rsidR="00FA6758" w:rsidRPr="00FE3800">
              <w:rPr>
                <w:rFonts w:ascii="Gellix" w:hAnsi="Gellix" w:cs="Calibri"/>
                <w:sz w:val="18"/>
                <w:szCs w:val="18"/>
              </w:rPr>
              <w:t xml:space="preserve">in the NTFC provided the group with a strong </w:t>
            </w:r>
            <w:r w:rsidR="00D035E1" w:rsidRPr="00FE3800">
              <w:rPr>
                <w:rFonts w:ascii="Gellix" w:hAnsi="Gellix" w:cs="Calibri"/>
                <w:sz w:val="18"/>
                <w:szCs w:val="18"/>
              </w:rPr>
              <w:t xml:space="preserve">institutional </w:t>
            </w:r>
            <w:r w:rsidR="00FA6758" w:rsidRPr="00FE3800">
              <w:rPr>
                <w:rFonts w:ascii="Gellix" w:hAnsi="Gellix" w:cs="Calibri"/>
                <w:sz w:val="18"/>
                <w:szCs w:val="18"/>
              </w:rPr>
              <w:t xml:space="preserve">foundation, </w:t>
            </w:r>
            <w:r w:rsidR="00406DA3" w:rsidRPr="00FE3800">
              <w:rPr>
                <w:rFonts w:ascii="Gellix" w:hAnsi="Gellix" w:cs="Calibri"/>
                <w:sz w:val="18"/>
                <w:szCs w:val="18"/>
              </w:rPr>
              <w:t xml:space="preserve">ensuring the project’s sustainability in the long-term by enabling it to </w:t>
            </w:r>
            <w:r w:rsidR="00526915" w:rsidRPr="00FE3800">
              <w:rPr>
                <w:rFonts w:ascii="Gellix" w:hAnsi="Gellix" w:cs="Calibri"/>
                <w:sz w:val="18"/>
                <w:szCs w:val="18"/>
              </w:rPr>
              <w:t xml:space="preserve">address any </w:t>
            </w:r>
            <w:r w:rsidR="008D059E" w:rsidRPr="00FE3800">
              <w:rPr>
                <w:rFonts w:ascii="Gellix" w:hAnsi="Gellix" w:cs="Calibri"/>
                <w:sz w:val="18"/>
                <w:szCs w:val="18"/>
              </w:rPr>
              <w:t xml:space="preserve">emerging </w:t>
            </w:r>
            <w:r w:rsidR="00526915" w:rsidRPr="00FE3800">
              <w:rPr>
                <w:rFonts w:ascii="Gellix" w:hAnsi="Gellix" w:cs="Calibri"/>
                <w:sz w:val="18"/>
                <w:szCs w:val="18"/>
              </w:rPr>
              <w:t xml:space="preserve">issues </w:t>
            </w:r>
            <w:r w:rsidR="001F458B" w:rsidRPr="00FE3800">
              <w:rPr>
                <w:rFonts w:ascii="Gellix" w:hAnsi="Gellix" w:cs="Calibri"/>
                <w:sz w:val="18"/>
                <w:szCs w:val="18"/>
              </w:rPr>
              <w:t>after the project was concluded.</w:t>
            </w:r>
            <w:r w:rsidR="00F739C5" w:rsidRPr="00FE3800">
              <w:rPr>
                <w:rFonts w:ascii="Gellix" w:hAnsi="Gellix" w:cs="Calibri"/>
                <w:sz w:val="18"/>
                <w:szCs w:val="18"/>
              </w:rPr>
              <w:t xml:space="preserve"> Additionally, this approach enhanced </w:t>
            </w:r>
            <w:r w:rsidR="000204DD" w:rsidRPr="00FE3800">
              <w:rPr>
                <w:rFonts w:ascii="Gellix" w:hAnsi="Gellix" w:cs="Calibri"/>
                <w:sz w:val="18"/>
                <w:szCs w:val="18"/>
              </w:rPr>
              <w:t>disaster preparedness</w:t>
            </w:r>
            <w:r w:rsidR="00CD58A1" w:rsidRPr="00FE3800">
              <w:rPr>
                <w:rFonts w:ascii="Gellix" w:hAnsi="Gellix" w:cs="Calibri"/>
                <w:sz w:val="18"/>
                <w:szCs w:val="18"/>
              </w:rPr>
              <w:t xml:space="preserve"> through improving coordination between relevant stakeholders and open</w:t>
            </w:r>
            <w:r w:rsidR="00653CDE" w:rsidRPr="00FE3800">
              <w:rPr>
                <w:rFonts w:ascii="Gellix" w:hAnsi="Gellix" w:cs="Calibri"/>
                <w:sz w:val="18"/>
                <w:szCs w:val="18"/>
              </w:rPr>
              <w:t>ing</w:t>
            </w:r>
            <w:r w:rsidR="00CD58A1" w:rsidRPr="00FE3800">
              <w:rPr>
                <w:rFonts w:ascii="Gellix" w:hAnsi="Gellix" w:cs="Calibri"/>
                <w:sz w:val="18"/>
                <w:szCs w:val="18"/>
              </w:rPr>
              <w:t xml:space="preserve"> lines of communication</w:t>
            </w:r>
            <w:r w:rsidR="00861DB6" w:rsidRPr="00FE3800">
              <w:rPr>
                <w:rFonts w:ascii="Gellix" w:hAnsi="Gellix" w:cs="Calibri"/>
                <w:sz w:val="18"/>
                <w:szCs w:val="18"/>
              </w:rPr>
              <w:t>.</w:t>
            </w:r>
          </w:p>
        </w:tc>
      </w:tr>
    </w:tbl>
    <w:p w14:paraId="3F1E4387" w14:textId="5900C5E6" w:rsidR="00DD6A3F" w:rsidRDefault="00DD6A3F" w:rsidP="00A53F94">
      <w:pPr>
        <w:spacing w:before="120" w:after="40"/>
        <w:rPr>
          <w:rFonts w:ascii="Gellix" w:hAnsi="Gellix" w:cs="Calibri"/>
        </w:rPr>
      </w:pPr>
      <w:r>
        <w:rPr>
          <w:rFonts w:ascii="Gellix" w:hAnsi="Gellix" w:cs="Calibri"/>
        </w:rPr>
        <w:t xml:space="preserve">The WTO Committee on Trade Facilitation recently </w:t>
      </w:r>
      <w:hyperlink r:id="rId12" w:history="1">
        <w:r w:rsidRPr="00DB13E2">
          <w:rPr>
            <w:rStyle w:val="Hyperlink"/>
            <w:rFonts w:ascii="Gellix" w:hAnsi="Gellix" w:cs="Calibri"/>
          </w:rPr>
          <w:t>published</w:t>
        </w:r>
      </w:hyperlink>
      <w:r>
        <w:rPr>
          <w:rFonts w:ascii="Gellix" w:hAnsi="Gellix" w:cs="Calibri"/>
        </w:rPr>
        <w:t xml:space="preserve"> draft key principles of shared practice of successful NTFCs</w:t>
      </w:r>
      <w:r w:rsidR="007622F8">
        <w:rPr>
          <w:rFonts w:ascii="Gellix" w:hAnsi="Gellix" w:cs="Calibri"/>
        </w:rPr>
        <w:t>,</w:t>
      </w:r>
      <w:r>
        <w:rPr>
          <w:rFonts w:ascii="Gellix" w:hAnsi="Gellix" w:cs="Calibri"/>
        </w:rPr>
        <w:t xml:space="preserve"> and it includes the</w:t>
      </w:r>
      <w:r w:rsidR="00B13C0B">
        <w:rPr>
          <w:rFonts w:ascii="Gellix" w:hAnsi="Gellix" w:cs="Calibri"/>
        </w:rPr>
        <w:t xml:space="preserve"> participation of the private sector in </w:t>
      </w:r>
      <w:r w:rsidR="00C26DE4">
        <w:rPr>
          <w:rFonts w:ascii="Gellix" w:hAnsi="Gellix" w:cs="Calibri"/>
        </w:rPr>
        <w:t xml:space="preserve">paragraph </w:t>
      </w:r>
      <w:r w:rsidR="00B13C0B">
        <w:rPr>
          <w:rFonts w:ascii="Gellix" w:hAnsi="Gellix" w:cs="Calibri"/>
        </w:rPr>
        <w:t>2.3</w:t>
      </w:r>
      <w:r>
        <w:rPr>
          <w:rFonts w:ascii="Gellix" w:hAnsi="Gellix" w:cs="Calibri"/>
        </w:rPr>
        <w:t>:</w:t>
      </w:r>
    </w:p>
    <w:p w14:paraId="5BAC60D2" w14:textId="3DC3E4DD" w:rsidR="002516F1" w:rsidRPr="009269C9" w:rsidRDefault="00DD6A3F" w:rsidP="00081BC0">
      <w:pPr>
        <w:spacing w:after="120"/>
        <w:ind w:left="720"/>
        <w:rPr>
          <w:rFonts w:ascii="Gellix" w:hAnsi="Gellix" w:cs="Calibri"/>
          <w:i/>
          <w:iCs/>
        </w:rPr>
      </w:pPr>
      <w:r w:rsidRPr="009269C9">
        <w:rPr>
          <w:rFonts w:ascii="Gellix" w:hAnsi="Gellix" w:cs="Calibri"/>
          <w:i/>
          <w:iCs/>
          <w:sz w:val="18"/>
          <w:szCs w:val="18"/>
        </w:rPr>
        <w:t xml:space="preserve">2.3. All Members, in their presentations, emphasized the importance of the participation and role of the private sector in the creation and functioning of the NTFC. The experience-sharing showed that effective NTFCs are dynamic and responsive to both private-sector and public-sector needs and interests. For some Members, the private sector is part of the NTFC itself; for other Members, private-sector individuals have the role of vice-chair of the NTFC; other NTFCs have private-sector advisories or advisory boards; and some Members provide public notice about NTFC meetings and seek public comments. From the experiences shared, private-sector involvement is key to NTFC success. </w:t>
      </w:r>
    </w:p>
    <w:p w14:paraId="3BB299BC" w14:textId="38D90799" w:rsidR="002311DA" w:rsidRPr="00F71F10" w:rsidRDefault="00E07402" w:rsidP="002311DA">
      <w:pPr>
        <w:spacing w:after="120"/>
        <w:rPr>
          <w:rFonts w:ascii="Gellix" w:hAnsi="Gellix" w:cs="Calibri"/>
        </w:rPr>
      </w:pPr>
      <w:r w:rsidRPr="00FA3142">
        <w:rPr>
          <w:noProof/>
        </w:rPr>
        <w:drawing>
          <wp:anchor distT="0" distB="0" distL="114300" distR="114300" simplePos="0" relativeHeight="251658240" behindDoc="1" locked="0" layoutInCell="1" allowOverlap="1" wp14:anchorId="7BC2AB51" wp14:editId="2482613C">
            <wp:simplePos x="0" y="0"/>
            <wp:positionH relativeFrom="column">
              <wp:posOffset>247650</wp:posOffset>
            </wp:positionH>
            <wp:positionV relativeFrom="paragraph">
              <wp:posOffset>463550</wp:posOffset>
            </wp:positionV>
            <wp:extent cx="4678680" cy="1562100"/>
            <wp:effectExtent l="0" t="0" r="7620" b="0"/>
            <wp:wrapTopAndBottom/>
            <wp:docPr id="2114771007" name="Picture 1" descr="A table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71007" name="Picture 1" descr="A table with text and words&#10;&#10;Description automatically generated"/>
                    <pic:cNvPicPr/>
                  </pic:nvPicPr>
                  <pic:blipFill rotWithShape="1">
                    <a:blip r:embed="rId13">
                      <a:extLst>
                        <a:ext uri="{28A0092B-C50C-407E-A947-70E740481C1C}">
                          <a14:useLocalDpi xmlns:a14="http://schemas.microsoft.com/office/drawing/2010/main" val="0"/>
                        </a:ext>
                      </a:extLst>
                    </a:blip>
                    <a:srcRect b="11159"/>
                    <a:stretch/>
                  </pic:blipFill>
                  <pic:spPr bwMode="auto">
                    <a:xfrm>
                      <a:off x="0" y="0"/>
                      <a:ext cx="4678680"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73BC" w:rsidRPr="00F71F10">
        <w:rPr>
          <w:rFonts w:ascii="Gellix" w:hAnsi="Gellix" w:cs="Calibri"/>
        </w:rPr>
        <w:t>UNCTAD studies</w:t>
      </w:r>
      <w:r w:rsidR="00B00BD3">
        <w:rPr>
          <w:rFonts w:ascii="Gellix" w:hAnsi="Gellix" w:cs="Calibri"/>
        </w:rPr>
        <w:t xml:space="preserve"> have also </w:t>
      </w:r>
      <w:r w:rsidR="004A7C48">
        <w:rPr>
          <w:rFonts w:ascii="Gellix" w:hAnsi="Gellix" w:cs="Calibri"/>
        </w:rPr>
        <w:t>shown that the involvement of the</w:t>
      </w:r>
      <w:r w:rsidR="000473BC" w:rsidRPr="00F71F10">
        <w:rPr>
          <w:rFonts w:ascii="Gellix" w:hAnsi="Gellix" w:cs="Calibri"/>
        </w:rPr>
        <w:t xml:space="preserve"> private sector</w:t>
      </w:r>
      <w:r w:rsidR="00AC65DF">
        <w:rPr>
          <w:rFonts w:ascii="Gellix" w:hAnsi="Gellix" w:cs="Calibri"/>
        </w:rPr>
        <w:t xml:space="preserve"> </w:t>
      </w:r>
      <w:r w:rsidR="000473BC" w:rsidRPr="00F71F10">
        <w:rPr>
          <w:rFonts w:ascii="Gellix" w:hAnsi="Gellix" w:cs="Calibri"/>
        </w:rPr>
        <w:t xml:space="preserve">in NTFCs is an important success factor for </w:t>
      </w:r>
      <w:r w:rsidR="00244610" w:rsidRPr="00F71F10">
        <w:rPr>
          <w:rFonts w:ascii="Gellix" w:hAnsi="Gellix" w:cs="Calibri"/>
        </w:rPr>
        <w:t>the bodies as illustrated below:</w:t>
      </w:r>
    </w:p>
    <w:p w14:paraId="4087B5F3" w14:textId="0453108F" w:rsidR="00612C80" w:rsidRPr="002311DA" w:rsidRDefault="00CA6E41" w:rsidP="002311DA">
      <w:pPr>
        <w:spacing w:after="120"/>
        <w:ind w:left="426"/>
        <w:rPr>
          <w:rFonts w:ascii="Gellix" w:hAnsi="Gellix" w:cs="Calibri"/>
          <w:i/>
          <w:iCs/>
          <w:sz w:val="14"/>
          <w:szCs w:val="14"/>
        </w:rPr>
      </w:pPr>
      <w:r w:rsidRPr="002311DA">
        <w:rPr>
          <w:i/>
          <w:iCs/>
          <w:sz w:val="14"/>
          <w:szCs w:val="14"/>
        </w:rPr>
        <w:t xml:space="preserve"> </w:t>
      </w:r>
      <w:hyperlink r:id="rId14" w:history="1">
        <w:r w:rsidRPr="002311DA">
          <w:rPr>
            <w:rStyle w:val="Hyperlink"/>
            <w:rFonts w:ascii="Gellix" w:hAnsi="Gellix" w:cs="Calibri"/>
            <w:i/>
            <w:iCs/>
            <w:sz w:val="14"/>
            <w:szCs w:val="14"/>
          </w:rPr>
          <w:t>https://unctad.org/system/files/official-document/dtltlb2017d3_en.pdf</w:t>
        </w:r>
      </w:hyperlink>
      <w:r w:rsidRPr="002311DA">
        <w:rPr>
          <w:rFonts w:ascii="Gellix" w:hAnsi="Gellix" w:cs="Calibri"/>
          <w:i/>
          <w:iCs/>
          <w:sz w:val="14"/>
          <w:szCs w:val="14"/>
        </w:rPr>
        <w:t xml:space="preserve"> </w:t>
      </w:r>
    </w:p>
    <w:p w14:paraId="28E27942" w14:textId="5265801A" w:rsidR="00612C80" w:rsidRDefault="00AB0A87" w:rsidP="00612C80">
      <w:pPr>
        <w:spacing w:after="120"/>
        <w:rPr>
          <w:rFonts w:ascii="Gellix" w:hAnsi="Gellix" w:cs="Calibri"/>
        </w:rPr>
      </w:pPr>
      <w:r>
        <w:rPr>
          <w:rFonts w:ascii="Gellix" w:hAnsi="Gellix" w:cs="Calibri"/>
        </w:rPr>
        <w:t xml:space="preserve">Aside from improving coordination between different border agencies, </w:t>
      </w:r>
      <w:r w:rsidR="00574F81">
        <w:rPr>
          <w:rFonts w:ascii="Gellix" w:hAnsi="Gellix" w:cs="Calibri"/>
        </w:rPr>
        <w:t xml:space="preserve">NTFCs </w:t>
      </w:r>
      <w:r w:rsidR="00DE4B52">
        <w:rPr>
          <w:rFonts w:ascii="Gellix" w:hAnsi="Gellix" w:cs="Calibri"/>
        </w:rPr>
        <w:t xml:space="preserve">are </w:t>
      </w:r>
      <w:r w:rsidR="00621FE9">
        <w:rPr>
          <w:rFonts w:ascii="Gellix" w:hAnsi="Gellix" w:cs="Calibri"/>
        </w:rPr>
        <w:t xml:space="preserve">key </w:t>
      </w:r>
      <w:r w:rsidR="00574F81">
        <w:rPr>
          <w:rFonts w:ascii="Gellix" w:hAnsi="Gellix" w:cs="Calibri"/>
        </w:rPr>
        <w:t>instrument</w:t>
      </w:r>
      <w:r w:rsidR="00621FE9">
        <w:rPr>
          <w:rFonts w:ascii="Gellix" w:hAnsi="Gellix" w:cs="Calibri"/>
        </w:rPr>
        <w:t>s</w:t>
      </w:r>
      <w:r w:rsidR="00574F81">
        <w:rPr>
          <w:rFonts w:ascii="Gellix" w:hAnsi="Gellix" w:cs="Calibri"/>
        </w:rPr>
        <w:t xml:space="preserve"> to establish and foster communication channels between government and the private sector. </w:t>
      </w:r>
    </w:p>
    <w:p w14:paraId="448B39B3" w14:textId="519C1680" w:rsidR="0079557A" w:rsidRDefault="0079557A" w:rsidP="00A53F94">
      <w:pPr>
        <w:spacing w:after="120"/>
        <w:rPr>
          <w:rFonts w:ascii="Gellix" w:hAnsi="Gellix" w:cs="Calibri"/>
        </w:rPr>
      </w:pPr>
    </w:p>
    <w:tbl>
      <w:tblPr>
        <w:tblStyle w:val="TableGrid"/>
        <w:tblpPr w:leftFromText="180" w:rightFromText="180" w:vertAnchor="page" w:horzAnchor="margin" w:tblpY="2189"/>
        <w:tblW w:w="0" w:type="auto"/>
        <w:tblLook w:val="04A0" w:firstRow="1" w:lastRow="0" w:firstColumn="1" w:lastColumn="0" w:noHBand="0" w:noVBand="1"/>
      </w:tblPr>
      <w:tblGrid>
        <w:gridCol w:w="9350"/>
      </w:tblGrid>
      <w:tr w:rsidR="002653DE" w14:paraId="3CD49C41" w14:textId="77777777" w:rsidTr="00432D42">
        <w:tc>
          <w:tcPr>
            <w:tcW w:w="9350" w:type="dxa"/>
          </w:tcPr>
          <w:p w14:paraId="0B5BDE24" w14:textId="1221BB74" w:rsidR="00B43893" w:rsidRPr="00484D55" w:rsidRDefault="00B43893" w:rsidP="00901658">
            <w:pPr>
              <w:rPr>
                <w:rFonts w:ascii="Gellix" w:hAnsi="Gellix" w:cs="Calibri"/>
                <w:b/>
                <w:bCs/>
                <w:sz w:val="18"/>
                <w:szCs w:val="18"/>
              </w:rPr>
            </w:pPr>
            <w:r w:rsidRPr="00484D55">
              <w:rPr>
                <w:rFonts w:ascii="Gellix" w:hAnsi="Gellix" w:cs="Calibri"/>
                <w:b/>
                <w:bCs/>
                <w:sz w:val="18"/>
                <w:szCs w:val="18"/>
              </w:rPr>
              <w:t xml:space="preserve">UNECE recommends private sector involvement in </w:t>
            </w:r>
            <w:r w:rsidR="00D04792">
              <w:rPr>
                <w:rFonts w:ascii="Gellix" w:hAnsi="Gellix" w:cs="Calibri"/>
                <w:b/>
                <w:bCs/>
                <w:sz w:val="18"/>
                <w:szCs w:val="18"/>
              </w:rPr>
              <w:t>National Trade Facilitation Bodies (</w:t>
            </w:r>
            <w:r w:rsidRPr="00484D55">
              <w:rPr>
                <w:rFonts w:ascii="Gellix" w:hAnsi="Gellix" w:cs="Calibri"/>
                <w:b/>
                <w:bCs/>
                <w:sz w:val="18"/>
                <w:szCs w:val="18"/>
              </w:rPr>
              <w:t>NTFBs</w:t>
            </w:r>
            <w:r w:rsidR="00D04792">
              <w:rPr>
                <w:rFonts w:ascii="Gellix" w:hAnsi="Gellix" w:cs="Calibri"/>
                <w:b/>
                <w:bCs/>
                <w:sz w:val="18"/>
                <w:szCs w:val="18"/>
              </w:rPr>
              <w:t>)</w:t>
            </w:r>
            <w:r w:rsidR="00453E96" w:rsidRPr="00484D55">
              <w:rPr>
                <w:rStyle w:val="FootnoteReference"/>
                <w:rFonts w:ascii="Gellix" w:hAnsi="Gellix" w:cs="Calibri"/>
                <w:b/>
                <w:bCs/>
                <w:sz w:val="18"/>
                <w:szCs w:val="18"/>
              </w:rPr>
              <w:footnoteReference w:id="3"/>
            </w:r>
          </w:p>
          <w:p w14:paraId="6EE4DD54" w14:textId="50F8C4E0" w:rsidR="002653DE" w:rsidRPr="00484D55" w:rsidRDefault="00B04C98" w:rsidP="00901658">
            <w:pPr>
              <w:rPr>
                <w:rFonts w:ascii="Gellix" w:hAnsi="Gellix" w:cs="Calibri"/>
                <w:sz w:val="18"/>
                <w:szCs w:val="18"/>
              </w:rPr>
            </w:pPr>
            <w:r w:rsidRPr="00484D55">
              <w:rPr>
                <w:rFonts w:ascii="Gellix" w:hAnsi="Gellix" w:cs="Calibri"/>
                <w:sz w:val="18"/>
                <w:szCs w:val="18"/>
              </w:rPr>
              <w:t>In January</w:t>
            </w:r>
            <w:r w:rsidR="00B43893" w:rsidRPr="00484D55">
              <w:rPr>
                <w:rFonts w:ascii="Gellix" w:hAnsi="Gellix" w:cs="Calibri"/>
                <w:sz w:val="18"/>
                <w:szCs w:val="18"/>
              </w:rPr>
              <w:t xml:space="preserve"> 2024, </w:t>
            </w:r>
            <w:r w:rsidR="002653DE" w:rsidRPr="00484D55">
              <w:rPr>
                <w:rFonts w:ascii="Gellix" w:hAnsi="Gellix" w:cs="Calibri"/>
                <w:sz w:val="18"/>
                <w:szCs w:val="18"/>
              </w:rPr>
              <w:t xml:space="preserve">UNECE </w:t>
            </w:r>
            <w:r w:rsidR="00B43893" w:rsidRPr="00484D55">
              <w:rPr>
                <w:rFonts w:ascii="Gellix" w:hAnsi="Gellix" w:cs="Calibri"/>
                <w:sz w:val="18"/>
                <w:szCs w:val="18"/>
              </w:rPr>
              <w:t xml:space="preserve">published </w:t>
            </w:r>
            <w:r w:rsidR="00FB20A4" w:rsidRPr="00484D55">
              <w:rPr>
                <w:rFonts w:ascii="Gellix" w:hAnsi="Gellix" w:cs="Calibri"/>
                <w:sz w:val="18"/>
                <w:szCs w:val="18"/>
              </w:rPr>
              <w:t xml:space="preserve">Trade Facilitation </w:t>
            </w:r>
            <w:r w:rsidR="00350BEC" w:rsidRPr="00484D55">
              <w:rPr>
                <w:rFonts w:ascii="Gellix" w:hAnsi="Gellix" w:cs="Calibri"/>
                <w:sz w:val="18"/>
                <w:szCs w:val="18"/>
              </w:rPr>
              <w:t>R</w:t>
            </w:r>
            <w:r w:rsidR="002653DE" w:rsidRPr="00484D55">
              <w:rPr>
                <w:rFonts w:ascii="Gellix" w:hAnsi="Gellix" w:cs="Calibri"/>
                <w:sz w:val="18"/>
                <w:szCs w:val="18"/>
              </w:rPr>
              <w:t>ecommendation</w:t>
            </w:r>
            <w:r w:rsidR="00350BEC" w:rsidRPr="00484D55">
              <w:rPr>
                <w:rFonts w:ascii="Gellix" w:hAnsi="Gellix" w:cs="Calibri"/>
                <w:sz w:val="18"/>
                <w:szCs w:val="18"/>
              </w:rPr>
              <w:t xml:space="preserve"> No. </w:t>
            </w:r>
            <w:r w:rsidR="002653DE" w:rsidRPr="00484D55">
              <w:rPr>
                <w:rFonts w:ascii="Gellix" w:hAnsi="Gellix" w:cs="Calibri"/>
                <w:sz w:val="18"/>
                <w:szCs w:val="18"/>
              </w:rPr>
              <w:t xml:space="preserve">48 </w:t>
            </w:r>
            <w:r w:rsidR="00FB20A4" w:rsidRPr="00484D55">
              <w:rPr>
                <w:rFonts w:ascii="Gellix" w:hAnsi="Gellix" w:cs="Calibri"/>
                <w:sz w:val="18"/>
                <w:szCs w:val="18"/>
              </w:rPr>
              <w:t xml:space="preserve">on “Private Sector Participation in National Trade Facilitation Bodies” and </w:t>
            </w:r>
            <w:r w:rsidR="002653DE" w:rsidRPr="00484D55">
              <w:rPr>
                <w:rFonts w:ascii="Gellix" w:hAnsi="Gellix" w:cs="Calibri"/>
                <w:sz w:val="18"/>
                <w:szCs w:val="18"/>
              </w:rPr>
              <w:t>lists the following benefits:</w:t>
            </w:r>
          </w:p>
          <w:p w14:paraId="799F97DA" w14:textId="188AF600" w:rsidR="00FB20A4" w:rsidRPr="00484D55" w:rsidRDefault="002653DE" w:rsidP="00901658">
            <w:pPr>
              <w:pStyle w:val="ListParagraph"/>
              <w:numPr>
                <w:ilvl w:val="0"/>
                <w:numId w:val="10"/>
              </w:numPr>
              <w:spacing w:after="40"/>
              <w:ind w:left="714" w:hanging="357"/>
              <w:contextualSpacing w:val="0"/>
              <w:rPr>
                <w:rFonts w:ascii="Gellix" w:hAnsi="Gellix" w:cs="Calibri"/>
                <w:sz w:val="18"/>
                <w:szCs w:val="18"/>
                <w:lang w:val="en-GB"/>
              </w:rPr>
            </w:pPr>
            <w:r w:rsidRPr="00484D55">
              <w:rPr>
                <w:rFonts w:ascii="Gellix" w:hAnsi="Gellix" w:cs="Calibri"/>
                <w:sz w:val="18"/>
                <w:szCs w:val="18"/>
                <w:lang w:val="en-GB"/>
              </w:rPr>
              <w:t>Strong private sector engagement positively impacts</w:t>
            </w:r>
            <w:r w:rsidR="00FB20A4" w:rsidRPr="00484D55">
              <w:rPr>
                <w:rFonts w:ascii="Gellix" w:hAnsi="Gellix" w:cs="Calibri"/>
                <w:sz w:val="18"/>
                <w:szCs w:val="18"/>
                <w:lang w:val="en-GB"/>
              </w:rPr>
              <w:t xml:space="preserve"> </w:t>
            </w:r>
            <w:r w:rsidRPr="00484D55">
              <w:rPr>
                <w:rFonts w:ascii="Gellix" w:hAnsi="Gellix" w:cs="Calibri"/>
                <w:sz w:val="18"/>
                <w:szCs w:val="18"/>
                <w:lang w:val="en-GB"/>
              </w:rPr>
              <w:t>the relevance, legitimacy and credibility of an NTFB</w:t>
            </w:r>
            <w:r w:rsidR="00FB20A4" w:rsidRPr="00484D55">
              <w:rPr>
                <w:rFonts w:ascii="Gellix" w:hAnsi="Gellix" w:cs="Calibri"/>
                <w:sz w:val="18"/>
                <w:szCs w:val="18"/>
                <w:lang w:val="en-GB"/>
              </w:rPr>
              <w:t xml:space="preserve"> </w:t>
            </w:r>
            <w:r w:rsidRPr="00484D55">
              <w:rPr>
                <w:rFonts w:ascii="Gellix" w:hAnsi="Gellix" w:cs="Calibri"/>
                <w:sz w:val="18"/>
                <w:szCs w:val="18"/>
                <w:lang w:val="en-GB"/>
              </w:rPr>
              <w:t>and encourages a business-centric approach to trade</w:t>
            </w:r>
            <w:r w:rsidR="00453E96" w:rsidRPr="00484D55">
              <w:rPr>
                <w:rFonts w:ascii="Gellix" w:hAnsi="Gellix" w:cs="Calibri"/>
                <w:sz w:val="18"/>
                <w:szCs w:val="18"/>
                <w:lang w:val="en-GB"/>
              </w:rPr>
              <w:t xml:space="preserve"> </w:t>
            </w:r>
            <w:r w:rsidRPr="00484D55">
              <w:rPr>
                <w:rFonts w:ascii="Gellix" w:hAnsi="Gellix" w:cs="Calibri"/>
                <w:sz w:val="18"/>
                <w:szCs w:val="18"/>
                <w:lang w:val="en-GB"/>
              </w:rPr>
              <w:t>facilitation.</w:t>
            </w:r>
            <w:r w:rsidR="00FB20A4" w:rsidRPr="00484D55">
              <w:rPr>
                <w:rFonts w:ascii="Gellix" w:hAnsi="Gellix" w:cs="Calibri"/>
                <w:sz w:val="18"/>
                <w:szCs w:val="18"/>
                <w:lang w:val="en-GB"/>
              </w:rPr>
              <w:t xml:space="preserve"> </w:t>
            </w:r>
          </w:p>
          <w:p w14:paraId="6180A874" w14:textId="3DE8B75A" w:rsidR="00FB20A4" w:rsidRPr="002A6AA7" w:rsidRDefault="002653DE" w:rsidP="002A6AA7">
            <w:pPr>
              <w:pStyle w:val="ListParagraph"/>
              <w:numPr>
                <w:ilvl w:val="0"/>
                <w:numId w:val="10"/>
              </w:numPr>
              <w:spacing w:after="40"/>
              <w:ind w:left="714" w:hanging="357"/>
              <w:contextualSpacing w:val="0"/>
              <w:rPr>
                <w:rFonts w:ascii="Gellix" w:hAnsi="Gellix" w:cs="Calibri"/>
                <w:sz w:val="18"/>
                <w:szCs w:val="18"/>
                <w:lang w:val="en-GB"/>
              </w:rPr>
            </w:pPr>
            <w:r w:rsidRPr="00484D55">
              <w:rPr>
                <w:rFonts w:ascii="Gellix" w:hAnsi="Gellix" w:cs="Calibri"/>
                <w:sz w:val="18"/>
                <w:szCs w:val="18"/>
                <w:lang w:val="en-GB"/>
              </w:rPr>
              <w:t>Firstly, consultation with the private sector leads to holistic</w:t>
            </w:r>
            <w:r w:rsidR="00FB20A4" w:rsidRPr="00484D55">
              <w:rPr>
                <w:rFonts w:ascii="Gellix" w:hAnsi="Gellix" w:cs="Calibri"/>
                <w:sz w:val="18"/>
                <w:szCs w:val="18"/>
                <w:lang w:val="en-GB"/>
              </w:rPr>
              <w:t xml:space="preserve"> </w:t>
            </w:r>
            <w:r w:rsidRPr="00484D55">
              <w:rPr>
                <w:rFonts w:ascii="Gellix" w:hAnsi="Gellix" w:cs="Calibri"/>
                <w:sz w:val="18"/>
                <w:szCs w:val="18"/>
                <w:lang w:val="en-GB"/>
              </w:rPr>
              <w:t>solutions that respond better to actual trade facilitation</w:t>
            </w:r>
            <w:r w:rsidR="00FB20A4" w:rsidRPr="00484D55">
              <w:rPr>
                <w:rFonts w:ascii="Gellix" w:hAnsi="Gellix" w:cs="Calibri"/>
                <w:sz w:val="18"/>
                <w:szCs w:val="18"/>
                <w:lang w:val="en-GB"/>
              </w:rPr>
              <w:t xml:space="preserve"> </w:t>
            </w:r>
            <w:r w:rsidRPr="00484D55">
              <w:rPr>
                <w:rFonts w:ascii="Gellix" w:hAnsi="Gellix" w:cs="Calibri"/>
                <w:sz w:val="18"/>
                <w:szCs w:val="18"/>
                <w:lang w:val="en-GB"/>
              </w:rPr>
              <w:t>needs and problems. The private sector has direct, firsthand</w:t>
            </w:r>
            <w:r w:rsidR="002A6AA7">
              <w:rPr>
                <w:rFonts w:ascii="Gellix" w:hAnsi="Gellix" w:cs="Calibri"/>
                <w:sz w:val="18"/>
                <w:szCs w:val="18"/>
                <w:lang w:val="en-GB"/>
              </w:rPr>
              <w:t xml:space="preserve"> </w:t>
            </w:r>
            <w:r w:rsidRPr="002A6AA7">
              <w:rPr>
                <w:rFonts w:ascii="Gellix" w:hAnsi="Gellix" w:cs="Calibri"/>
                <w:sz w:val="18"/>
                <w:szCs w:val="18"/>
                <w:lang w:val="en-GB"/>
              </w:rPr>
              <w:t>knowledge of bottlenecks and inefficiencies and can</w:t>
            </w:r>
            <w:r w:rsidR="00FB20A4" w:rsidRPr="002A6AA7">
              <w:rPr>
                <w:rFonts w:ascii="Gellix" w:hAnsi="Gellix" w:cs="Calibri"/>
                <w:sz w:val="18"/>
                <w:szCs w:val="18"/>
                <w:lang w:val="en-GB"/>
              </w:rPr>
              <w:t xml:space="preserve"> </w:t>
            </w:r>
            <w:r w:rsidRPr="002A6AA7">
              <w:rPr>
                <w:rFonts w:ascii="Gellix" w:hAnsi="Gellix" w:cs="Calibri"/>
                <w:sz w:val="18"/>
                <w:szCs w:val="18"/>
                <w:lang w:val="en-GB"/>
              </w:rPr>
              <w:t>therefore provide meaningful input on the pros and cons</w:t>
            </w:r>
            <w:r w:rsidR="00FB20A4" w:rsidRPr="002A6AA7">
              <w:rPr>
                <w:rFonts w:ascii="Gellix" w:hAnsi="Gellix" w:cs="Calibri"/>
                <w:sz w:val="18"/>
                <w:szCs w:val="18"/>
                <w:lang w:val="en-GB"/>
              </w:rPr>
              <w:t xml:space="preserve"> </w:t>
            </w:r>
            <w:r w:rsidRPr="002A6AA7">
              <w:rPr>
                <w:rFonts w:ascii="Gellix" w:hAnsi="Gellix" w:cs="Calibri"/>
                <w:sz w:val="18"/>
                <w:szCs w:val="18"/>
                <w:lang w:val="en-GB"/>
              </w:rPr>
              <w:t>of government regulations and procedures.</w:t>
            </w:r>
          </w:p>
          <w:p w14:paraId="1B49F275" w14:textId="1F2C5780" w:rsidR="002653DE" w:rsidRPr="00484D55" w:rsidRDefault="002653DE" w:rsidP="00901658">
            <w:pPr>
              <w:pStyle w:val="ListParagraph"/>
              <w:numPr>
                <w:ilvl w:val="0"/>
                <w:numId w:val="10"/>
              </w:numPr>
              <w:spacing w:after="40"/>
              <w:ind w:left="714" w:hanging="357"/>
              <w:contextualSpacing w:val="0"/>
              <w:rPr>
                <w:rFonts w:ascii="Gellix" w:hAnsi="Gellix" w:cs="Calibri"/>
                <w:sz w:val="18"/>
                <w:szCs w:val="18"/>
                <w:lang w:val="en-GB"/>
              </w:rPr>
            </w:pPr>
            <w:r w:rsidRPr="00484D55">
              <w:rPr>
                <w:rFonts w:ascii="Gellix" w:hAnsi="Gellix" w:cs="Calibri"/>
                <w:sz w:val="18"/>
                <w:szCs w:val="18"/>
                <w:lang w:val="en-GB"/>
              </w:rPr>
              <w:t>Secondly, private sector representatives can share their</w:t>
            </w:r>
            <w:r w:rsidR="00FB20A4" w:rsidRPr="00484D55">
              <w:rPr>
                <w:rFonts w:ascii="Gellix" w:hAnsi="Gellix" w:cs="Calibri"/>
                <w:sz w:val="18"/>
                <w:szCs w:val="18"/>
                <w:lang w:val="en-GB"/>
              </w:rPr>
              <w:t xml:space="preserve"> </w:t>
            </w:r>
            <w:r w:rsidRPr="00484D55">
              <w:rPr>
                <w:rFonts w:ascii="Gellix" w:hAnsi="Gellix" w:cs="Calibri"/>
                <w:sz w:val="18"/>
                <w:szCs w:val="18"/>
                <w:lang w:val="en-GB"/>
              </w:rPr>
              <w:t>knowledge of solutions and practices with the government,</w:t>
            </w:r>
            <w:r w:rsidR="0070463E" w:rsidRPr="00484D55">
              <w:rPr>
                <w:rFonts w:ascii="Gellix" w:hAnsi="Gellix" w:cs="Calibri"/>
                <w:sz w:val="18"/>
                <w:szCs w:val="18"/>
                <w:lang w:val="en-GB"/>
              </w:rPr>
              <w:t xml:space="preserve"> </w:t>
            </w:r>
            <w:r w:rsidRPr="00484D55">
              <w:rPr>
                <w:rFonts w:ascii="Gellix" w:hAnsi="Gellix" w:cs="Calibri"/>
                <w:sz w:val="18"/>
                <w:szCs w:val="18"/>
                <w:lang w:val="en-GB"/>
              </w:rPr>
              <w:t>such as those gleaned from piloting new technologies like</w:t>
            </w:r>
            <w:r w:rsidR="00484D55" w:rsidRPr="00484D55">
              <w:rPr>
                <w:rFonts w:ascii="Gellix" w:hAnsi="Gellix" w:cs="Calibri"/>
                <w:sz w:val="18"/>
                <w:szCs w:val="18"/>
                <w:lang w:val="en-GB"/>
              </w:rPr>
              <w:t xml:space="preserve"> </w:t>
            </w:r>
            <w:r w:rsidRPr="00484D55">
              <w:rPr>
                <w:rFonts w:ascii="Gellix" w:hAnsi="Gellix" w:cs="Calibri"/>
                <w:sz w:val="18"/>
                <w:szCs w:val="18"/>
                <w:lang w:val="en-GB"/>
              </w:rPr>
              <w:t>artificial intelligence (AI), blockchain technology and the</w:t>
            </w:r>
            <w:r w:rsidR="0070463E" w:rsidRPr="00484D55">
              <w:rPr>
                <w:rFonts w:ascii="Gellix" w:hAnsi="Gellix" w:cs="Calibri"/>
                <w:sz w:val="18"/>
                <w:szCs w:val="18"/>
                <w:lang w:val="en-GB"/>
              </w:rPr>
              <w:t xml:space="preserve"> </w:t>
            </w:r>
            <w:r w:rsidRPr="00484D55">
              <w:rPr>
                <w:rFonts w:ascii="Gellix" w:hAnsi="Gellix" w:cs="Calibri"/>
                <w:sz w:val="18"/>
                <w:szCs w:val="18"/>
                <w:lang w:val="en-GB"/>
              </w:rPr>
              <w:t>internet of things (IoT). Involving and learning from the</w:t>
            </w:r>
            <w:r w:rsidR="0070463E" w:rsidRPr="00484D55">
              <w:rPr>
                <w:rFonts w:ascii="Gellix" w:hAnsi="Gellix" w:cs="Calibri"/>
                <w:sz w:val="18"/>
                <w:szCs w:val="18"/>
                <w:lang w:val="en-GB"/>
              </w:rPr>
              <w:t xml:space="preserve"> </w:t>
            </w:r>
            <w:r w:rsidRPr="00484D55">
              <w:rPr>
                <w:rFonts w:ascii="Gellix" w:hAnsi="Gellix" w:cs="Calibri"/>
                <w:sz w:val="18"/>
                <w:szCs w:val="18"/>
                <w:lang w:val="en-GB"/>
              </w:rPr>
              <w:t>private sector can increase innovation within the public</w:t>
            </w:r>
            <w:r w:rsidR="00484D55" w:rsidRPr="00484D55">
              <w:rPr>
                <w:rFonts w:ascii="Gellix" w:hAnsi="Gellix" w:cs="Calibri"/>
                <w:sz w:val="18"/>
                <w:szCs w:val="18"/>
                <w:lang w:val="en-GB"/>
              </w:rPr>
              <w:t xml:space="preserve"> </w:t>
            </w:r>
            <w:r w:rsidRPr="00484D55">
              <w:rPr>
                <w:rFonts w:ascii="Gellix" w:hAnsi="Gellix" w:cs="Calibri"/>
                <w:sz w:val="18"/>
                <w:szCs w:val="18"/>
                <w:lang w:val="en-GB"/>
              </w:rPr>
              <w:t>sector and promotes fresh thinking.</w:t>
            </w:r>
          </w:p>
          <w:p w14:paraId="69630844" w14:textId="55793F6C" w:rsidR="0070463E" w:rsidRPr="00484D55" w:rsidRDefault="002653DE" w:rsidP="00901658">
            <w:pPr>
              <w:pStyle w:val="ListParagraph"/>
              <w:numPr>
                <w:ilvl w:val="0"/>
                <w:numId w:val="10"/>
              </w:numPr>
              <w:spacing w:after="40"/>
              <w:ind w:left="714" w:hanging="357"/>
              <w:contextualSpacing w:val="0"/>
              <w:rPr>
                <w:rFonts w:ascii="Gellix" w:hAnsi="Gellix" w:cs="Calibri"/>
                <w:sz w:val="18"/>
                <w:szCs w:val="18"/>
                <w:lang w:val="en-GB"/>
              </w:rPr>
            </w:pPr>
            <w:r w:rsidRPr="00484D55">
              <w:rPr>
                <w:rFonts w:ascii="Gellix" w:hAnsi="Gellix" w:cs="Calibri"/>
                <w:sz w:val="18"/>
                <w:szCs w:val="18"/>
                <w:lang w:val="en-GB"/>
              </w:rPr>
              <w:t>Thirdly, the private sector is an invaluable contributing</w:t>
            </w:r>
            <w:r w:rsidR="0070463E" w:rsidRPr="00484D55">
              <w:rPr>
                <w:rFonts w:ascii="Gellix" w:hAnsi="Gellix" w:cs="Calibri"/>
                <w:sz w:val="18"/>
                <w:szCs w:val="18"/>
                <w:lang w:val="en-GB"/>
              </w:rPr>
              <w:t xml:space="preserve"> </w:t>
            </w:r>
            <w:r w:rsidRPr="00484D55">
              <w:rPr>
                <w:rFonts w:ascii="Gellix" w:hAnsi="Gellix" w:cs="Calibri"/>
                <w:sz w:val="18"/>
                <w:szCs w:val="18"/>
                <w:lang w:val="en-GB"/>
              </w:rPr>
              <w:t>partner in trade facilitation. This refers both to the</w:t>
            </w:r>
            <w:r w:rsidR="0070463E" w:rsidRPr="00484D55">
              <w:rPr>
                <w:rFonts w:ascii="Gellix" w:hAnsi="Gellix" w:cs="Calibri"/>
                <w:sz w:val="18"/>
                <w:szCs w:val="18"/>
                <w:lang w:val="en-GB"/>
              </w:rPr>
              <w:t xml:space="preserve"> </w:t>
            </w:r>
            <w:r w:rsidRPr="00484D55">
              <w:rPr>
                <w:rFonts w:ascii="Gellix" w:hAnsi="Gellix" w:cs="Calibri"/>
                <w:sz w:val="18"/>
                <w:szCs w:val="18"/>
                <w:lang w:val="en-GB"/>
              </w:rPr>
              <w:t>private sector internalizing and taking responsibility for</w:t>
            </w:r>
            <w:r w:rsidR="0070463E" w:rsidRPr="00484D55">
              <w:rPr>
                <w:rFonts w:ascii="Gellix" w:hAnsi="Gellix" w:cs="Calibri"/>
                <w:sz w:val="18"/>
                <w:szCs w:val="18"/>
                <w:lang w:val="en-GB"/>
              </w:rPr>
              <w:t xml:space="preserve"> </w:t>
            </w:r>
            <w:r w:rsidRPr="00484D55">
              <w:rPr>
                <w:rFonts w:ascii="Gellix" w:hAnsi="Gellix" w:cs="Calibri"/>
                <w:sz w:val="18"/>
                <w:szCs w:val="18"/>
                <w:lang w:val="en-GB"/>
              </w:rPr>
              <w:t>compliance, as well as their ability to contribute information</w:t>
            </w:r>
            <w:r w:rsidR="0070463E" w:rsidRPr="00484D55">
              <w:rPr>
                <w:rFonts w:ascii="Gellix" w:hAnsi="Gellix" w:cs="Calibri"/>
                <w:sz w:val="18"/>
                <w:szCs w:val="18"/>
                <w:lang w:val="en-GB"/>
              </w:rPr>
              <w:t xml:space="preserve"> </w:t>
            </w:r>
            <w:r w:rsidRPr="00484D55">
              <w:rPr>
                <w:rFonts w:ascii="Gellix" w:hAnsi="Gellix" w:cs="Calibri"/>
                <w:sz w:val="18"/>
                <w:szCs w:val="18"/>
                <w:lang w:val="en-GB"/>
              </w:rPr>
              <w:t>and data for problem identification and</w:t>
            </w:r>
            <w:r w:rsidR="0070463E" w:rsidRPr="00484D55">
              <w:rPr>
                <w:rFonts w:ascii="Gellix" w:hAnsi="Gellix" w:cs="Calibri"/>
                <w:sz w:val="18"/>
                <w:szCs w:val="18"/>
                <w:lang w:val="en-GB"/>
              </w:rPr>
              <w:t xml:space="preserve"> </w:t>
            </w:r>
            <w:r w:rsidRPr="00484D55">
              <w:rPr>
                <w:rFonts w:ascii="Gellix" w:hAnsi="Gellix" w:cs="Calibri"/>
                <w:sz w:val="18"/>
                <w:szCs w:val="18"/>
                <w:lang w:val="en-GB"/>
              </w:rPr>
              <w:t>decision-making.</w:t>
            </w:r>
          </w:p>
          <w:p w14:paraId="78DF8F1F" w14:textId="02396E0B" w:rsidR="0070463E" w:rsidRPr="00484D55" w:rsidRDefault="002653DE" w:rsidP="00901658">
            <w:pPr>
              <w:pStyle w:val="ListParagraph"/>
              <w:numPr>
                <w:ilvl w:val="0"/>
                <w:numId w:val="10"/>
              </w:numPr>
              <w:spacing w:after="40"/>
              <w:ind w:left="714" w:hanging="357"/>
              <w:contextualSpacing w:val="0"/>
              <w:rPr>
                <w:rFonts w:ascii="Gellix" w:hAnsi="Gellix" w:cs="Calibri"/>
                <w:sz w:val="18"/>
                <w:szCs w:val="18"/>
                <w:lang w:val="en-GB"/>
              </w:rPr>
            </w:pPr>
            <w:r w:rsidRPr="00484D55">
              <w:rPr>
                <w:rFonts w:ascii="Gellix" w:hAnsi="Gellix" w:cs="Calibri"/>
                <w:sz w:val="18"/>
                <w:szCs w:val="18"/>
                <w:lang w:val="en-GB"/>
              </w:rPr>
              <w:t>Fourthly, encouraging women-led businesses and their</w:t>
            </w:r>
            <w:r w:rsidR="0070463E" w:rsidRPr="00484D55">
              <w:rPr>
                <w:rFonts w:ascii="Gellix" w:hAnsi="Gellix" w:cs="Calibri"/>
                <w:sz w:val="18"/>
                <w:szCs w:val="18"/>
                <w:lang w:val="en-GB"/>
              </w:rPr>
              <w:t xml:space="preserve"> </w:t>
            </w:r>
            <w:r w:rsidRPr="00484D55">
              <w:rPr>
                <w:rFonts w:ascii="Gellix" w:hAnsi="Gellix" w:cs="Calibri"/>
                <w:sz w:val="18"/>
                <w:szCs w:val="18"/>
                <w:lang w:val="en-GB"/>
              </w:rPr>
              <w:t>representatives to participate in NTFBs—many of which</w:t>
            </w:r>
            <w:r w:rsidR="0070463E" w:rsidRPr="00484D55">
              <w:rPr>
                <w:rFonts w:ascii="Gellix" w:hAnsi="Gellix" w:cs="Calibri"/>
                <w:sz w:val="18"/>
                <w:szCs w:val="18"/>
                <w:lang w:val="en-GB"/>
              </w:rPr>
              <w:t xml:space="preserve"> </w:t>
            </w:r>
            <w:r w:rsidRPr="00484D55">
              <w:rPr>
                <w:rFonts w:ascii="Gellix" w:hAnsi="Gellix" w:cs="Calibri"/>
                <w:sz w:val="18"/>
                <w:szCs w:val="18"/>
                <w:lang w:val="en-GB"/>
              </w:rPr>
              <w:t>are small, cross-border traders—would enable a gender</w:t>
            </w:r>
            <w:r w:rsidR="00B04C98" w:rsidRPr="00484D55">
              <w:rPr>
                <w:rFonts w:ascii="Gellix" w:hAnsi="Gellix" w:cs="Calibri"/>
                <w:sz w:val="18"/>
                <w:szCs w:val="18"/>
                <w:lang w:val="en-GB"/>
              </w:rPr>
              <w:t xml:space="preserve"> </w:t>
            </w:r>
            <w:r w:rsidRPr="00484D55">
              <w:rPr>
                <w:rFonts w:ascii="Gellix" w:hAnsi="Gellix" w:cs="Calibri"/>
                <w:sz w:val="18"/>
                <w:szCs w:val="18"/>
                <w:lang w:val="en-GB"/>
              </w:rPr>
              <w:t>inclusive</w:t>
            </w:r>
            <w:r w:rsidR="006248F8">
              <w:rPr>
                <w:rFonts w:ascii="Gellix" w:hAnsi="Gellix" w:cs="Calibri"/>
                <w:sz w:val="18"/>
                <w:szCs w:val="18"/>
                <w:lang w:val="en-GB"/>
              </w:rPr>
              <w:t xml:space="preserve"> </w:t>
            </w:r>
            <w:r w:rsidRPr="00484D55">
              <w:rPr>
                <w:rFonts w:ascii="Gellix" w:hAnsi="Gellix" w:cs="Calibri"/>
                <w:sz w:val="18"/>
                <w:szCs w:val="18"/>
                <w:lang w:val="en-GB"/>
              </w:rPr>
              <w:t>approach to trade facilitation initiatives.</w:t>
            </w:r>
            <w:r w:rsidR="0070463E" w:rsidRPr="00484D55">
              <w:rPr>
                <w:rFonts w:ascii="Gellix" w:hAnsi="Gellix" w:cs="Calibri"/>
                <w:sz w:val="18"/>
                <w:szCs w:val="18"/>
                <w:lang w:val="en-GB"/>
              </w:rPr>
              <w:t xml:space="preserve"> </w:t>
            </w:r>
          </w:p>
          <w:p w14:paraId="232E2881" w14:textId="1D05B369" w:rsidR="000C561F" w:rsidRPr="00115D75" w:rsidRDefault="002653DE" w:rsidP="00115D75">
            <w:pPr>
              <w:pStyle w:val="ListParagraph"/>
              <w:numPr>
                <w:ilvl w:val="0"/>
                <w:numId w:val="10"/>
              </w:numPr>
              <w:spacing w:after="40"/>
              <w:ind w:left="714" w:hanging="357"/>
              <w:contextualSpacing w:val="0"/>
              <w:rPr>
                <w:rFonts w:ascii="Gellix" w:hAnsi="Gellix" w:cs="Calibri"/>
              </w:rPr>
            </w:pPr>
            <w:r w:rsidRPr="00484D55">
              <w:rPr>
                <w:rFonts w:ascii="Gellix" w:hAnsi="Gellix" w:cs="Calibri"/>
                <w:sz w:val="18"/>
                <w:szCs w:val="18"/>
                <w:lang w:val="en-GB"/>
              </w:rPr>
              <w:t>Finally, it is well known that the legitimacy and</w:t>
            </w:r>
            <w:r w:rsidR="0070463E" w:rsidRPr="00484D55">
              <w:rPr>
                <w:rFonts w:ascii="Gellix" w:hAnsi="Gellix" w:cs="Calibri"/>
                <w:sz w:val="18"/>
                <w:szCs w:val="18"/>
                <w:lang w:val="en-GB"/>
              </w:rPr>
              <w:t xml:space="preserve"> </w:t>
            </w:r>
            <w:r w:rsidRPr="00484D55">
              <w:rPr>
                <w:rFonts w:ascii="Gellix" w:hAnsi="Gellix" w:cs="Calibri"/>
                <w:sz w:val="18"/>
                <w:szCs w:val="18"/>
                <w:lang w:val="en-GB"/>
              </w:rPr>
              <w:t>acceptance of decisions and reforms is often contingent</w:t>
            </w:r>
            <w:r w:rsidR="0070463E" w:rsidRPr="00484D55">
              <w:rPr>
                <w:rFonts w:ascii="Gellix" w:hAnsi="Gellix" w:cs="Calibri"/>
                <w:sz w:val="18"/>
                <w:szCs w:val="18"/>
                <w:lang w:val="en-GB"/>
              </w:rPr>
              <w:t xml:space="preserve"> </w:t>
            </w:r>
            <w:r w:rsidRPr="00484D55">
              <w:rPr>
                <w:rFonts w:ascii="Gellix" w:hAnsi="Gellix" w:cs="Calibri"/>
                <w:sz w:val="18"/>
                <w:szCs w:val="18"/>
                <w:lang w:val="en-GB"/>
              </w:rPr>
              <w:t>upon private sector consultations. A trusted dialogue</w:t>
            </w:r>
            <w:r w:rsidR="0070463E" w:rsidRPr="00484D55">
              <w:rPr>
                <w:rFonts w:ascii="Gellix" w:hAnsi="Gellix" w:cs="Calibri"/>
                <w:sz w:val="18"/>
                <w:szCs w:val="18"/>
                <w:lang w:val="en-GB"/>
              </w:rPr>
              <w:t xml:space="preserve"> </w:t>
            </w:r>
            <w:r w:rsidRPr="00484D55">
              <w:rPr>
                <w:rFonts w:ascii="Gellix" w:hAnsi="Gellix" w:cs="Calibri"/>
                <w:sz w:val="18"/>
                <w:szCs w:val="18"/>
                <w:lang w:val="en-GB"/>
              </w:rPr>
              <w:t xml:space="preserve">is key to </w:t>
            </w:r>
            <w:r w:rsidR="0070463E" w:rsidRPr="00484D55">
              <w:rPr>
                <w:rFonts w:ascii="Gellix" w:hAnsi="Gellix" w:cs="Calibri"/>
                <w:sz w:val="18"/>
                <w:szCs w:val="18"/>
                <w:lang w:val="en-GB"/>
              </w:rPr>
              <w:t>o</w:t>
            </w:r>
            <w:r w:rsidRPr="00484D55">
              <w:rPr>
                <w:rFonts w:ascii="Gellix" w:hAnsi="Gellix" w:cs="Calibri"/>
                <w:sz w:val="18"/>
                <w:szCs w:val="18"/>
                <w:lang w:val="en-GB"/>
              </w:rPr>
              <w:t>vercoming resistance to change from certain</w:t>
            </w:r>
            <w:r w:rsidR="0070463E" w:rsidRPr="00484D55">
              <w:rPr>
                <w:rFonts w:ascii="Gellix" w:hAnsi="Gellix" w:cs="Calibri"/>
                <w:sz w:val="18"/>
                <w:szCs w:val="18"/>
                <w:lang w:val="en-GB"/>
              </w:rPr>
              <w:t xml:space="preserve"> </w:t>
            </w:r>
            <w:r w:rsidRPr="00484D55">
              <w:rPr>
                <w:rFonts w:ascii="Gellix" w:hAnsi="Gellix" w:cs="Calibri"/>
                <w:sz w:val="18"/>
                <w:szCs w:val="18"/>
                <w:lang w:val="en-GB"/>
              </w:rPr>
              <w:t>stakeholders</w:t>
            </w:r>
            <w:r w:rsidR="00484D55" w:rsidRPr="00484D55">
              <w:rPr>
                <w:rFonts w:ascii="Gellix" w:hAnsi="Gellix" w:cs="Calibri"/>
                <w:sz w:val="18"/>
                <w:szCs w:val="18"/>
                <w:lang w:val="en-GB"/>
              </w:rPr>
              <w:t>.</w:t>
            </w:r>
          </w:p>
        </w:tc>
      </w:tr>
    </w:tbl>
    <w:p w14:paraId="2596083F" w14:textId="77777777" w:rsidR="00115D75" w:rsidRDefault="00115D75" w:rsidP="003D0272">
      <w:pPr>
        <w:spacing w:after="0"/>
        <w:rPr>
          <w:rFonts w:ascii="Gellix" w:hAnsi="Gellix" w:cs="Calibri"/>
          <w:b/>
          <w:bCs/>
        </w:rPr>
      </w:pPr>
    </w:p>
    <w:p w14:paraId="7710845B" w14:textId="56D4322F" w:rsidR="00E05190" w:rsidRPr="006E5F84" w:rsidRDefault="00E05190" w:rsidP="003D0272">
      <w:pPr>
        <w:spacing w:after="0"/>
        <w:rPr>
          <w:rFonts w:ascii="Gellix" w:hAnsi="Gellix" w:cs="Calibri"/>
          <w:b/>
          <w:bCs/>
        </w:rPr>
      </w:pPr>
      <w:r w:rsidRPr="006E5F84">
        <w:rPr>
          <w:rFonts w:ascii="Gellix" w:hAnsi="Gellix" w:cs="Calibri"/>
          <w:b/>
          <w:bCs/>
        </w:rPr>
        <w:t xml:space="preserve">National </w:t>
      </w:r>
      <w:r w:rsidR="000E0CC9" w:rsidRPr="006E5F84">
        <w:rPr>
          <w:rFonts w:ascii="Gellix" w:hAnsi="Gellix" w:cs="Calibri"/>
          <w:b/>
          <w:bCs/>
        </w:rPr>
        <w:t>Advisory body or partner</w:t>
      </w:r>
    </w:p>
    <w:p w14:paraId="5F79F62A" w14:textId="2DB7320F" w:rsidR="000E0CC9" w:rsidRPr="00E05190" w:rsidRDefault="006E5F84" w:rsidP="00CD21CB">
      <w:pPr>
        <w:spacing w:after="0"/>
        <w:rPr>
          <w:rFonts w:ascii="Gellix" w:hAnsi="Gellix" w:cs="Calibri"/>
        </w:rPr>
      </w:pPr>
      <w:r>
        <w:rPr>
          <w:rFonts w:ascii="Gellix" w:hAnsi="Gellix" w:cs="Calibri"/>
        </w:rPr>
        <w:t xml:space="preserve">Many countries have established advisory bodies or partners to </w:t>
      </w:r>
      <w:r w:rsidR="00B0398D">
        <w:rPr>
          <w:rFonts w:ascii="Gellix" w:hAnsi="Gellix" w:cs="Calibri"/>
        </w:rPr>
        <w:t>provide the private sector with a channel of participation. For example, b</w:t>
      </w:r>
      <w:r w:rsidR="000E0CC9" w:rsidRPr="00E05190">
        <w:rPr>
          <w:rFonts w:ascii="Gellix" w:hAnsi="Gellix" w:cs="Calibri"/>
        </w:rPr>
        <w:t xml:space="preserve">oth the U.S. and Canada have either advisory or partner committees. As a general matter these are only one communication pathway for industry into matters before the respective Customs authorities. </w:t>
      </w:r>
    </w:p>
    <w:p w14:paraId="543963E0" w14:textId="2EDAE580" w:rsidR="000E0CC9" w:rsidRPr="00D762D1" w:rsidRDefault="000E0CC9" w:rsidP="00CD21CB">
      <w:pPr>
        <w:pStyle w:val="ListParagraph"/>
        <w:numPr>
          <w:ilvl w:val="0"/>
          <w:numId w:val="2"/>
        </w:numPr>
        <w:spacing w:after="100" w:afterAutospacing="1" w:line="240" w:lineRule="auto"/>
        <w:rPr>
          <w:rFonts w:ascii="Gellix" w:hAnsi="Gellix" w:cs="Calibri"/>
        </w:rPr>
      </w:pPr>
      <w:r w:rsidRPr="00D762D1">
        <w:rPr>
          <w:rFonts w:ascii="Gellix" w:eastAsia="Times New Roman" w:hAnsi="Gellix" w:cs="Calibri"/>
          <w:lang w:val="en-US"/>
        </w:rPr>
        <w:t>C</w:t>
      </w:r>
      <w:r w:rsidR="008F3908">
        <w:rPr>
          <w:rFonts w:ascii="Gellix" w:eastAsia="Times New Roman" w:hAnsi="Gellix" w:cs="Calibri"/>
          <w:lang w:val="en-US"/>
        </w:rPr>
        <w:t>anadian Border Services Agency (</w:t>
      </w:r>
      <w:r w:rsidRPr="00D762D1">
        <w:rPr>
          <w:rFonts w:ascii="Gellix" w:eastAsia="Times New Roman" w:hAnsi="Gellix" w:cs="Calibri"/>
          <w:lang w:val="en-US"/>
        </w:rPr>
        <w:t>BSA</w:t>
      </w:r>
      <w:r w:rsidR="008F3908">
        <w:rPr>
          <w:rFonts w:ascii="Gellix" w:eastAsia="Times New Roman" w:hAnsi="Gellix" w:cs="Calibri"/>
          <w:lang w:val="en-US"/>
        </w:rPr>
        <w:t>)</w:t>
      </w:r>
      <w:r w:rsidR="00CC5F6D">
        <w:rPr>
          <w:rFonts w:ascii="Gellix" w:eastAsia="Times New Roman" w:hAnsi="Gellix" w:cs="Calibri"/>
          <w:lang w:val="en-US"/>
        </w:rPr>
        <w:t xml:space="preserve">: </w:t>
      </w:r>
      <w:r w:rsidRPr="00D762D1">
        <w:rPr>
          <w:rFonts w:ascii="Gellix" w:eastAsia="Times New Roman" w:hAnsi="Gellix" w:cs="Calibri"/>
          <w:i/>
          <w:iCs/>
          <w:lang w:val="en-US"/>
        </w:rPr>
        <w:t xml:space="preserve">“The Trade Chain Partner (TCP) Working Group was established in July 2018 to share information and conduct consultations with a range of representatives from the trade community, including importers, brokers, couriers, service providers, and trade associations. </w:t>
      </w:r>
    </w:p>
    <w:p w14:paraId="0832E9F9" w14:textId="4895E03F" w:rsidR="0038070C" w:rsidRPr="00B0398D" w:rsidRDefault="00CC5F6D" w:rsidP="00CC5F6D">
      <w:pPr>
        <w:pStyle w:val="ListParagraph"/>
        <w:numPr>
          <w:ilvl w:val="0"/>
          <w:numId w:val="2"/>
        </w:numPr>
        <w:spacing w:before="120" w:after="100" w:afterAutospacing="1" w:line="240" w:lineRule="auto"/>
        <w:ind w:left="714" w:hanging="357"/>
        <w:contextualSpacing w:val="0"/>
        <w:rPr>
          <w:rFonts w:ascii="Gellix" w:eastAsia="Times New Roman" w:hAnsi="Gellix" w:cs="Calibri"/>
          <w:i/>
          <w:iCs/>
          <w:lang w:val="en-US"/>
        </w:rPr>
      </w:pPr>
      <w:r>
        <w:rPr>
          <w:rFonts w:ascii="Gellix" w:eastAsia="Times New Roman" w:hAnsi="Gellix" w:cs="Calibri"/>
          <w:lang w:val="en-US"/>
        </w:rPr>
        <w:t>The U.S. Customs and Border Protection (</w:t>
      </w:r>
      <w:r w:rsidR="0038070C" w:rsidRPr="00D762D1">
        <w:rPr>
          <w:rFonts w:ascii="Gellix" w:eastAsia="Times New Roman" w:hAnsi="Gellix" w:cs="Calibri"/>
          <w:lang w:val="en-US"/>
        </w:rPr>
        <w:t>CBP</w:t>
      </w:r>
      <w:r>
        <w:rPr>
          <w:rFonts w:ascii="Gellix" w:eastAsia="Times New Roman" w:hAnsi="Gellix" w:cs="Calibri"/>
          <w:lang w:val="en-US"/>
        </w:rPr>
        <w:t>)</w:t>
      </w:r>
      <w:r w:rsidR="0038070C" w:rsidRPr="00D762D1">
        <w:rPr>
          <w:rFonts w:ascii="Gellix" w:eastAsia="Times New Roman" w:hAnsi="Gellix" w:cs="Calibri"/>
          <w:lang w:val="en-US"/>
        </w:rPr>
        <w:t xml:space="preserve"> has </w:t>
      </w:r>
      <w:r w:rsidR="008F2F16">
        <w:rPr>
          <w:rFonts w:ascii="Gellix" w:eastAsia="Times New Roman" w:hAnsi="Gellix" w:cs="Calibri"/>
          <w:lang w:val="en-US"/>
        </w:rPr>
        <w:t xml:space="preserve">set up </w:t>
      </w:r>
      <w:r w:rsidR="0038070C" w:rsidRPr="00D762D1">
        <w:rPr>
          <w:rFonts w:ascii="Gellix" w:eastAsia="Times New Roman" w:hAnsi="Gellix" w:cs="Calibri"/>
          <w:lang w:val="en-US"/>
        </w:rPr>
        <w:t xml:space="preserve">the </w:t>
      </w:r>
      <w:r w:rsidR="008F2F16" w:rsidRPr="008F2F16">
        <w:rPr>
          <w:rFonts w:ascii="Gellix" w:eastAsia="Times New Roman" w:hAnsi="Gellix" w:cs="Calibri"/>
          <w:lang w:val="en-US"/>
        </w:rPr>
        <w:t>Commercial Customs Operations Advisory Committee</w:t>
      </w:r>
      <w:r w:rsidR="008F2F16">
        <w:rPr>
          <w:rFonts w:ascii="Gellix" w:eastAsia="Times New Roman" w:hAnsi="Gellix" w:cs="Calibri"/>
          <w:lang w:val="en-US"/>
        </w:rPr>
        <w:t xml:space="preserve"> (</w:t>
      </w:r>
      <w:r w:rsidR="0038070C" w:rsidRPr="00D762D1">
        <w:rPr>
          <w:rFonts w:ascii="Gellix" w:eastAsia="Times New Roman" w:hAnsi="Gellix" w:cs="Calibri"/>
          <w:lang w:val="en-US"/>
        </w:rPr>
        <w:t>COAC</w:t>
      </w:r>
      <w:r w:rsidR="008F2F16">
        <w:rPr>
          <w:rFonts w:ascii="Gellix" w:eastAsia="Times New Roman" w:hAnsi="Gellix" w:cs="Calibri"/>
          <w:lang w:val="en-US"/>
        </w:rPr>
        <w:t xml:space="preserve">) </w:t>
      </w:r>
      <w:r w:rsidR="0038070C" w:rsidRPr="00D762D1">
        <w:rPr>
          <w:rFonts w:ascii="Gellix" w:eastAsia="Times New Roman" w:hAnsi="Gellix" w:cs="Calibri"/>
          <w:lang w:val="en-US"/>
        </w:rPr>
        <w:t xml:space="preserve">as well as the </w:t>
      </w:r>
      <w:r w:rsidR="008F2F16">
        <w:rPr>
          <w:rFonts w:ascii="Gellix" w:eastAsia="Times New Roman" w:hAnsi="Gellix" w:cs="Calibri"/>
          <w:lang w:val="en-US"/>
        </w:rPr>
        <w:t>Trade Support Network (</w:t>
      </w:r>
      <w:r w:rsidR="0038070C" w:rsidRPr="00D762D1">
        <w:rPr>
          <w:rFonts w:ascii="Gellix" w:eastAsia="Times New Roman" w:hAnsi="Gellix" w:cs="Calibri"/>
          <w:lang w:val="en-US"/>
        </w:rPr>
        <w:t>TSN</w:t>
      </w:r>
      <w:r w:rsidR="008F2F16">
        <w:rPr>
          <w:rFonts w:ascii="Gellix" w:eastAsia="Times New Roman" w:hAnsi="Gellix" w:cs="Calibri"/>
          <w:lang w:val="en-US"/>
        </w:rPr>
        <w:t>).</w:t>
      </w:r>
    </w:p>
    <w:p w14:paraId="24469860" w14:textId="77777777" w:rsidR="0038070C" w:rsidRPr="00D762D1" w:rsidRDefault="0038070C" w:rsidP="00B0398D">
      <w:pPr>
        <w:pStyle w:val="ListParagraph"/>
        <w:numPr>
          <w:ilvl w:val="1"/>
          <w:numId w:val="2"/>
        </w:numPr>
        <w:spacing w:before="100" w:beforeAutospacing="1" w:after="0" w:line="240" w:lineRule="auto"/>
        <w:rPr>
          <w:rFonts w:ascii="Gellix" w:eastAsia="Times New Roman" w:hAnsi="Gellix" w:cs="Calibri"/>
          <w:i/>
          <w:iCs/>
          <w:lang w:val="en-US"/>
        </w:rPr>
      </w:pPr>
      <w:r w:rsidRPr="00D762D1">
        <w:rPr>
          <w:rFonts w:ascii="Gellix" w:hAnsi="Gellix" w:cs="Calibri"/>
          <w:i/>
          <w:iCs/>
        </w:rPr>
        <w:t>About COAC</w:t>
      </w:r>
    </w:p>
    <w:p w14:paraId="25E75ED5" w14:textId="77777777" w:rsidR="004A52D7" w:rsidRPr="00D762D1" w:rsidRDefault="0038070C" w:rsidP="008F2F16">
      <w:pPr>
        <w:pStyle w:val="NormalWeb"/>
        <w:spacing w:before="0" w:beforeAutospacing="0" w:after="0" w:afterAutospacing="0"/>
        <w:ind w:left="1080"/>
        <w:rPr>
          <w:rFonts w:ascii="Gellix" w:hAnsi="Gellix" w:cs="Calibri"/>
          <w:i/>
          <w:iCs/>
          <w:sz w:val="22"/>
          <w:szCs w:val="22"/>
        </w:rPr>
      </w:pPr>
      <w:r w:rsidRPr="00D762D1">
        <w:rPr>
          <w:rFonts w:ascii="Gellix" w:hAnsi="Gellix" w:cs="Calibri"/>
          <w:i/>
          <w:iCs/>
          <w:sz w:val="22"/>
          <w:szCs w:val="22"/>
        </w:rPr>
        <w:t>The COAC shall advise the Secretaries of the Department of the Treasury (Treasury) and the Department of Homeland Security (DHS) on the commercial operations of U.S. Customs and</w:t>
      </w:r>
      <w:r w:rsidR="004A52D7" w:rsidRPr="00D762D1">
        <w:rPr>
          <w:rFonts w:ascii="Gellix" w:hAnsi="Gellix" w:cs="Calibri"/>
          <w:i/>
          <w:iCs/>
          <w:sz w:val="22"/>
          <w:szCs w:val="22"/>
        </w:rPr>
        <w:t xml:space="preserve"> Border Protection (CBP) and related Treasury and DHS functions. In accordance with section 109 of the Trade Facilitation and Trade Enforcement Act of 2015, the COAC shall:</w:t>
      </w:r>
    </w:p>
    <w:p w14:paraId="382DCD3F" w14:textId="77777777" w:rsidR="004A52D7" w:rsidRPr="0089599F" w:rsidRDefault="004A52D7" w:rsidP="008F2F16">
      <w:pPr>
        <w:pStyle w:val="Heading3"/>
        <w:numPr>
          <w:ilvl w:val="0"/>
          <w:numId w:val="6"/>
        </w:numPr>
        <w:tabs>
          <w:tab w:val="clear" w:pos="720"/>
          <w:tab w:val="num" w:pos="360"/>
        </w:tabs>
        <w:spacing w:before="0" w:after="0"/>
        <w:ind w:left="1800" w:firstLine="0"/>
        <w:rPr>
          <w:rFonts w:ascii="Gellix" w:hAnsi="Gellix" w:cs="Calibri"/>
          <w:i/>
          <w:iCs/>
          <w:sz w:val="18"/>
          <w:szCs w:val="18"/>
        </w:rPr>
      </w:pPr>
      <w:r w:rsidRPr="0089599F">
        <w:rPr>
          <w:rFonts w:ascii="Gellix" w:hAnsi="Gellix" w:cs="Calibri"/>
          <w:i/>
          <w:iCs/>
          <w:sz w:val="18"/>
          <w:szCs w:val="18"/>
        </w:rPr>
        <w:lastRenderedPageBreak/>
        <w:t>Advise</w:t>
      </w:r>
    </w:p>
    <w:p w14:paraId="5027C8BF" w14:textId="77777777" w:rsidR="004A52D7" w:rsidRPr="0089599F" w:rsidRDefault="004A52D7" w:rsidP="008F2F16">
      <w:pPr>
        <w:pStyle w:val="NormalWeb"/>
        <w:spacing w:before="0" w:beforeAutospacing="0" w:after="120" w:afterAutospacing="0"/>
        <w:ind w:left="1797"/>
        <w:rPr>
          <w:rFonts w:ascii="Gellix" w:hAnsi="Gellix" w:cs="Calibri"/>
          <w:i/>
          <w:iCs/>
          <w:sz w:val="18"/>
          <w:szCs w:val="18"/>
        </w:rPr>
      </w:pPr>
      <w:r w:rsidRPr="0089599F">
        <w:rPr>
          <w:rStyle w:val="Strong"/>
          <w:rFonts w:ascii="Gellix" w:eastAsiaTheme="majorEastAsia" w:hAnsi="Gellix" w:cs="Calibri"/>
          <w:i/>
          <w:iCs/>
          <w:sz w:val="18"/>
          <w:szCs w:val="18"/>
        </w:rPr>
        <w:t xml:space="preserve">Advise </w:t>
      </w:r>
      <w:r w:rsidRPr="0089599F">
        <w:rPr>
          <w:rFonts w:ascii="Gellix" w:hAnsi="Gellix" w:cs="Calibri"/>
          <w:i/>
          <w:iCs/>
          <w:sz w:val="18"/>
          <w:szCs w:val="18"/>
        </w:rPr>
        <w:t>the Secretaries of the Treasury and DHS on all matters involving the commercial operations of CBP, including advising with respect to significant changes that are proposed with respect to regulations, policies, or practices of CBP;</w:t>
      </w:r>
    </w:p>
    <w:p w14:paraId="214D1F94" w14:textId="77777777" w:rsidR="004A52D7" w:rsidRPr="0089599F" w:rsidRDefault="004A52D7" w:rsidP="008F2F16">
      <w:pPr>
        <w:pStyle w:val="Heading3"/>
        <w:numPr>
          <w:ilvl w:val="0"/>
          <w:numId w:val="6"/>
        </w:numPr>
        <w:tabs>
          <w:tab w:val="clear" w:pos="720"/>
          <w:tab w:val="num" w:pos="360"/>
        </w:tabs>
        <w:spacing w:before="0" w:after="0"/>
        <w:ind w:left="1797" w:firstLine="0"/>
        <w:rPr>
          <w:rFonts w:ascii="Gellix" w:hAnsi="Gellix" w:cs="Calibri"/>
          <w:i/>
          <w:iCs/>
          <w:sz w:val="18"/>
          <w:szCs w:val="18"/>
        </w:rPr>
      </w:pPr>
      <w:r w:rsidRPr="0089599F">
        <w:rPr>
          <w:rFonts w:ascii="Gellix" w:hAnsi="Gellix" w:cs="Calibri"/>
          <w:i/>
          <w:iCs/>
          <w:sz w:val="18"/>
          <w:szCs w:val="18"/>
        </w:rPr>
        <w:t>Provide</w:t>
      </w:r>
    </w:p>
    <w:p w14:paraId="26C14297" w14:textId="77777777" w:rsidR="004A52D7" w:rsidRPr="0089599F" w:rsidRDefault="004A52D7" w:rsidP="008F2F16">
      <w:pPr>
        <w:pStyle w:val="NormalWeb"/>
        <w:spacing w:before="0" w:beforeAutospacing="0" w:after="120" w:afterAutospacing="0"/>
        <w:ind w:left="1797"/>
        <w:rPr>
          <w:rFonts w:ascii="Gellix" w:hAnsi="Gellix" w:cs="Calibri"/>
          <w:i/>
          <w:iCs/>
          <w:sz w:val="18"/>
          <w:szCs w:val="18"/>
        </w:rPr>
      </w:pPr>
      <w:r w:rsidRPr="0089599F">
        <w:rPr>
          <w:rStyle w:val="Strong"/>
          <w:rFonts w:ascii="Gellix" w:eastAsiaTheme="majorEastAsia" w:hAnsi="Gellix" w:cs="Calibri"/>
          <w:i/>
          <w:iCs/>
          <w:sz w:val="18"/>
          <w:szCs w:val="18"/>
        </w:rPr>
        <w:t xml:space="preserve">Provide </w:t>
      </w:r>
      <w:r w:rsidRPr="0089599F">
        <w:rPr>
          <w:rFonts w:ascii="Gellix" w:hAnsi="Gellix" w:cs="Calibri"/>
          <w:i/>
          <w:iCs/>
          <w:sz w:val="18"/>
          <w:szCs w:val="18"/>
        </w:rPr>
        <w:t>recommendations to the Secretaries of the Treasury and DHS on improvements to the commercial operations of CBP;</w:t>
      </w:r>
    </w:p>
    <w:p w14:paraId="5F245BD1" w14:textId="77777777" w:rsidR="004A52D7" w:rsidRPr="0089599F" w:rsidRDefault="004A52D7" w:rsidP="008F2F16">
      <w:pPr>
        <w:pStyle w:val="Heading3"/>
        <w:numPr>
          <w:ilvl w:val="0"/>
          <w:numId w:val="6"/>
        </w:numPr>
        <w:tabs>
          <w:tab w:val="clear" w:pos="720"/>
          <w:tab w:val="num" w:pos="360"/>
        </w:tabs>
        <w:spacing w:before="0" w:after="0"/>
        <w:ind w:left="1800" w:firstLine="0"/>
        <w:rPr>
          <w:rFonts w:ascii="Gellix" w:hAnsi="Gellix" w:cs="Calibri"/>
          <w:i/>
          <w:iCs/>
          <w:sz w:val="18"/>
          <w:szCs w:val="18"/>
        </w:rPr>
      </w:pPr>
      <w:r w:rsidRPr="0089599F">
        <w:rPr>
          <w:rFonts w:ascii="Gellix" w:hAnsi="Gellix" w:cs="Calibri"/>
          <w:i/>
          <w:iCs/>
          <w:sz w:val="18"/>
          <w:szCs w:val="18"/>
        </w:rPr>
        <w:t>Collaborate</w:t>
      </w:r>
    </w:p>
    <w:p w14:paraId="10E34D46" w14:textId="77777777" w:rsidR="004A52D7" w:rsidRPr="0089599F" w:rsidRDefault="004A52D7" w:rsidP="008F2F16">
      <w:pPr>
        <w:pStyle w:val="NormalWeb"/>
        <w:spacing w:before="0" w:beforeAutospacing="0" w:after="120" w:afterAutospacing="0"/>
        <w:ind w:left="1797"/>
        <w:rPr>
          <w:rFonts w:ascii="Gellix" w:hAnsi="Gellix" w:cs="Calibri"/>
          <w:i/>
          <w:iCs/>
          <w:sz w:val="18"/>
          <w:szCs w:val="18"/>
        </w:rPr>
      </w:pPr>
      <w:r w:rsidRPr="0089599F">
        <w:rPr>
          <w:rStyle w:val="Strong"/>
          <w:rFonts w:ascii="Gellix" w:eastAsiaTheme="majorEastAsia" w:hAnsi="Gellix" w:cs="Calibri"/>
          <w:i/>
          <w:iCs/>
          <w:sz w:val="18"/>
          <w:szCs w:val="18"/>
        </w:rPr>
        <w:t xml:space="preserve">Collaborate </w:t>
      </w:r>
      <w:r w:rsidRPr="0089599F">
        <w:rPr>
          <w:rFonts w:ascii="Gellix" w:hAnsi="Gellix" w:cs="Calibri"/>
          <w:i/>
          <w:iCs/>
          <w:sz w:val="18"/>
          <w:szCs w:val="18"/>
        </w:rPr>
        <w:t>in developing the agenda for COAC meetings; and</w:t>
      </w:r>
    </w:p>
    <w:p w14:paraId="7B1842EE" w14:textId="77777777" w:rsidR="004A52D7" w:rsidRPr="0089599F" w:rsidRDefault="004A52D7" w:rsidP="008F2F16">
      <w:pPr>
        <w:pStyle w:val="Heading3"/>
        <w:numPr>
          <w:ilvl w:val="0"/>
          <w:numId w:val="6"/>
        </w:numPr>
        <w:tabs>
          <w:tab w:val="clear" w:pos="720"/>
          <w:tab w:val="num" w:pos="360"/>
        </w:tabs>
        <w:spacing w:before="0" w:after="0"/>
        <w:ind w:left="1800" w:firstLine="0"/>
        <w:rPr>
          <w:rFonts w:ascii="Gellix" w:hAnsi="Gellix" w:cs="Calibri"/>
          <w:i/>
          <w:iCs/>
          <w:sz w:val="18"/>
          <w:szCs w:val="18"/>
        </w:rPr>
      </w:pPr>
      <w:r w:rsidRPr="0089599F">
        <w:rPr>
          <w:rFonts w:ascii="Gellix" w:hAnsi="Gellix" w:cs="Calibri"/>
          <w:i/>
          <w:iCs/>
          <w:sz w:val="18"/>
          <w:szCs w:val="18"/>
        </w:rPr>
        <w:t>Perform</w:t>
      </w:r>
    </w:p>
    <w:p w14:paraId="6CCC8FC1" w14:textId="77777777" w:rsidR="004A52D7" w:rsidRPr="0089599F" w:rsidRDefault="004A52D7" w:rsidP="008F2F16">
      <w:pPr>
        <w:pStyle w:val="NormalWeb"/>
        <w:spacing w:before="0" w:beforeAutospacing="0" w:after="120" w:afterAutospacing="0"/>
        <w:ind w:left="1797"/>
        <w:rPr>
          <w:rFonts w:ascii="Gellix" w:hAnsi="Gellix" w:cs="Calibri"/>
          <w:i/>
          <w:iCs/>
          <w:sz w:val="18"/>
          <w:szCs w:val="18"/>
        </w:rPr>
      </w:pPr>
      <w:r w:rsidRPr="0089599F">
        <w:rPr>
          <w:rStyle w:val="Strong"/>
          <w:rFonts w:ascii="Gellix" w:eastAsiaTheme="majorEastAsia" w:hAnsi="Gellix" w:cs="Calibri"/>
          <w:i/>
          <w:iCs/>
          <w:sz w:val="18"/>
          <w:szCs w:val="18"/>
        </w:rPr>
        <w:t xml:space="preserve">Perform </w:t>
      </w:r>
      <w:r w:rsidRPr="0089599F">
        <w:rPr>
          <w:rFonts w:ascii="Gellix" w:hAnsi="Gellix" w:cs="Calibri"/>
          <w:i/>
          <w:iCs/>
          <w:sz w:val="18"/>
          <w:szCs w:val="18"/>
        </w:rPr>
        <w:t>such other functions relating to the commercial operations of CBP as prescribed by law or as the Secretaries of the Treasury and DHS jointly direct.</w:t>
      </w:r>
      <w:r w:rsidRPr="0089599F">
        <w:rPr>
          <w:rStyle w:val="FootnoteReference"/>
          <w:rFonts w:ascii="Gellix" w:hAnsi="Gellix" w:cs="Calibri"/>
          <w:i/>
          <w:iCs/>
          <w:sz w:val="18"/>
          <w:szCs w:val="18"/>
        </w:rPr>
        <w:footnoteReference w:id="4"/>
      </w:r>
    </w:p>
    <w:p w14:paraId="7706D66D" w14:textId="77777777" w:rsidR="0089599F" w:rsidRPr="0089599F" w:rsidRDefault="008F2F16" w:rsidP="003C0DE5">
      <w:pPr>
        <w:pStyle w:val="ListParagraph"/>
        <w:numPr>
          <w:ilvl w:val="0"/>
          <w:numId w:val="4"/>
        </w:numPr>
        <w:spacing w:after="40" w:line="240" w:lineRule="auto"/>
        <w:ind w:left="1440" w:hanging="357"/>
        <w:contextualSpacing w:val="0"/>
        <w:rPr>
          <w:rStyle w:val="Hyperlink"/>
          <w:rFonts w:ascii="Gellix" w:hAnsi="Gellix" w:cs="Calibri"/>
          <w:i/>
          <w:iCs/>
          <w:color w:val="auto"/>
          <w:u w:val="none"/>
        </w:rPr>
      </w:pPr>
      <w:r w:rsidRPr="0089599F">
        <w:rPr>
          <w:rFonts w:ascii="Gellix" w:eastAsia="Times New Roman" w:hAnsi="Gellix" w:cs="Calibri"/>
          <w:i/>
          <w:iCs/>
          <w:lang w:val="en-US"/>
        </w:rPr>
        <w:t xml:space="preserve">About </w:t>
      </w:r>
      <w:r w:rsidR="0089599F" w:rsidRPr="0089599F">
        <w:rPr>
          <w:rFonts w:ascii="Gellix" w:eastAsia="Times New Roman" w:hAnsi="Gellix" w:cs="Calibri"/>
          <w:i/>
          <w:iCs/>
          <w:lang w:val="en-US"/>
        </w:rPr>
        <w:t xml:space="preserve">the </w:t>
      </w:r>
      <w:hyperlink r:id="rId15" w:history="1">
        <w:r w:rsidR="00DF2B2F" w:rsidRPr="0089599F">
          <w:rPr>
            <w:rStyle w:val="field"/>
            <w:rFonts w:ascii="Gellix" w:hAnsi="Gellix" w:cs="Calibri"/>
            <w:i/>
            <w:iCs/>
            <w:color w:val="0000FF"/>
            <w:u w:val="single"/>
          </w:rPr>
          <w:t>Trade Support Network</w:t>
        </w:r>
        <w:r w:rsidR="00DF2B2F" w:rsidRPr="0089599F">
          <w:rPr>
            <w:rStyle w:val="Hyperlink"/>
            <w:rFonts w:ascii="Gellix" w:hAnsi="Gellix" w:cs="Calibri"/>
            <w:i/>
            <w:iCs/>
          </w:rPr>
          <w:t xml:space="preserve"> </w:t>
        </w:r>
      </w:hyperlink>
    </w:p>
    <w:p w14:paraId="3FB7C9BC" w14:textId="11B0701C" w:rsidR="00DF2B2F" w:rsidRPr="005F4B6C" w:rsidRDefault="006B5B25" w:rsidP="0089599F">
      <w:pPr>
        <w:pStyle w:val="ListParagraph"/>
        <w:spacing w:after="40" w:line="240" w:lineRule="auto"/>
        <w:ind w:left="1440"/>
        <w:contextualSpacing w:val="0"/>
        <w:rPr>
          <w:rFonts w:ascii="Gellix" w:hAnsi="Gellix" w:cs="Calibri"/>
          <w:sz w:val="20"/>
          <w:szCs w:val="20"/>
        </w:rPr>
      </w:pPr>
      <w:r w:rsidRPr="005F4B6C">
        <w:rPr>
          <w:rFonts w:ascii="Gellix" w:hAnsi="Gellix" w:cs="Calibri"/>
          <w:i/>
          <w:sz w:val="20"/>
          <w:szCs w:val="20"/>
        </w:rPr>
        <w:t>“</w:t>
      </w:r>
      <w:r w:rsidR="00DF2B2F" w:rsidRPr="005F4B6C">
        <w:rPr>
          <w:rFonts w:ascii="Gellix" w:hAnsi="Gellix" w:cs="Calibri"/>
          <w:i/>
          <w:sz w:val="20"/>
          <w:szCs w:val="20"/>
        </w:rPr>
        <w:t>The Trade Support Network (TSN) provides a forum for the trade community to gather information and provide input on U.S. Customs and Border Protection’s (CBP) modernization efforts, including enhancements to the Automated Commercial Environment (ACE). TSN membership is open to individuals from all sectors of the trade community who are interested in CBP’s trade modernization efforts.</w:t>
      </w:r>
      <w:r w:rsidRPr="005F4B6C">
        <w:rPr>
          <w:rFonts w:ascii="Gellix" w:hAnsi="Gellix" w:cs="Calibri"/>
          <w:sz w:val="20"/>
          <w:szCs w:val="20"/>
        </w:rPr>
        <w:t xml:space="preserve">” </w:t>
      </w:r>
      <w:r w:rsidR="00DF2B2F" w:rsidRPr="005F4B6C">
        <w:rPr>
          <w:rFonts w:ascii="Gellix" w:hAnsi="Gellix" w:cs="Calibri"/>
          <w:sz w:val="20"/>
          <w:szCs w:val="20"/>
        </w:rPr>
        <w:t>The TSN is led by a TSN Executive Committee (EC) and a Trade Leadership Council (TLC).</w:t>
      </w:r>
    </w:p>
    <w:p w14:paraId="46BB5B67" w14:textId="71CC25A9" w:rsidR="0077198F" w:rsidRPr="00D762D1" w:rsidRDefault="0077198F" w:rsidP="009269C9">
      <w:pPr>
        <w:spacing w:before="100" w:beforeAutospacing="1" w:after="120" w:line="240" w:lineRule="auto"/>
        <w:rPr>
          <w:rFonts w:ascii="Gellix" w:eastAsia="Times New Roman" w:hAnsi="Gellix" w:cs="Calibri"/>
          <w:lang w:val="en-US"/>
        </w:rPr>
      </w:pPr>
      <w:r w:rsidRPr="00D762D1">
        <w:rPr>
          <w:rFonts w:ascii="Gellix" w:eastAsia="Times New Roman" w:hAnsi="Gellix" w:cs="Calibri"/>
          <w:lang w:val="en-US"/>
        </w:rPr>
        <w:t>In addition to advisor groups or bodies, the ability to provide review and comment on proposed amendments of laws and regulations is important</w:t>
      </w:r>
      <w:r w:rsidR="00A24B02">
        <w:rPr>
          <w:rFonts w:ascii="Gellix" w:eastAsia="Times New Roman" w:hAnsi="Gellix" w:cs="Calibri"/>
          <w:lang w:val="en-US"/>
        </w:rPr>
        <w:t xml:space="preserve"> to ensure their effectiveness</w:t>
      </w:r>
      <w:r w:rsidRPr="00D762D1">
        <w:rPr>
          <w:rFonts w:ascii="Gellix" w:eastAsia="Times New Roman" w:hAnsi="Gellix" w:cs="Calibri"/>
          <w:lang w:val="en-US"/>
        </w:rPr>
        <w:t>.</w:t>
      </w:r>
    </w:p>
    <w:p w14:paraId="6C5331ED" w14:textId="2985D4D5" w:rsidR="00DF2B2F" w:rsidRPr="00D762D1" w:rsidRDefault="00C3475A" w:rsidP="005B1EA8">
      <w:pPr>
        <w:pStyle w:val="ListParagraph"/>
        <w:numPr>
          <w:ilvl w:val="0"/>
          <w:numId w:val="6"/>
        </w:numPr>
        <w:autoSpaceDE w:val="0"/>
        <w:autoSpaceDN w:val="0"/>
        <w:adjustRightInd w:val="0"/>
        <w:spacing w:before="240" w:after="0" w:line="240" w:lineRule="auto"/>
        <w:contextualSpacing w:val="0"/>
        <w:rPr>
          <w:rFonts w:ascii="Gellix" w:hAnsi="Gellix" w:cs="Calibri"/>
          <w:b/>
          <w:bCs/>
          <w:color w:val="000000"/>
          <w:lang w:val="en-US"/>
        </w:rPr>
      </w:pPr>
      <w:r>
        <w:rPr>
          <w:rFonts w:ascii="Gellix" w:hAnsi="Gellix" w:cs="Calibri"/>
          <w:b/>
          <w:bCs/>
          <w:color w:val="000000"/>
          <w:lang w:val="en-US"/>
        </w:rPr>
        <w:t>A</w:t>
      </w:r>
      <w:r w:rsidR="0077198F" w:rsidRPr="00D762D1">
        <w:rPr>
          <w:rFonts w:ascii="Gellix" w:hAnsi="Gellix" w:cs="Calibri"/>
          <w:b/>
          <w:bCs/>
          <w:color w:val="000000"/>
          <w:lang w:val="en-US"/>
        </w:rPr>
        <w:t xml:space="preserve">pproaches to </w:t>
      </w:r>
      <w:r w:rsidR="00417A2C">
        <w:rPr>
          <w:rFonts w:ascii="Gellix" w:hAnsi="Gellix" w:cs="Calibri"/>
          <w:b/>
          <w:bCs/>
          <w:color w:val="000000"/>
          <w:lang w:val="en-US"/>
        </w:rPr>
        <w:t>a</w:t>
      </w:r>
      <w:r w:rsidR="0077198F" w:rsidRPr="00D762D1">
        <w:rPr>
          <w:rFonts w:ascii="Gellix" w:hAnsi="Gellix" w:cs="Calibri"/>
          <w:b/>
          <w:bCs/>
          <w:color w:val="000000"/>
          <w:lang w:val="en-US"/>
        </w:rPr>
        <w:t>void</w:t>
      </w:r>
    </w:p>
    <w:p w14:paraId="07ADD1E4" w14:textId="537415A2" w:rsidR="00273B55" w:rsidRDefault="00D64C32" w:rsidP="00273B55">
      <w:pPr>
        <w:pStyle w:val="NormalWeb"/>
        <w:spacing w:before="0" w:beforeAutospacing="0" w:after="120" w:afterAutospacing="0"/>
        <w:rPr>
          <w:rFonts w:ascii="Gellix" w:hAnsi="Gellix" w:cs="Segoe UI"/>
          <w:sz w:val="22"/>
          <w:szCs w:val="22"/>
        </w:rPr>
      </w:pPr>
      <w:r w:rsidRPr="00D762D1">
        <w:rPr>
          <w:rFonts w:ascii="Gellix" w:hAnsi="Gellix" w:cs="Segoe UI"/>
          <w:sz w:val="22"/>
          <w:szCs w:val="22"/>
        </w:rPr>
        <w:t xml:space="preserve">Establishing an environment of trust is crucial for effective engagement, collaboration, cooperation, and communication between customs and trade stakeholders. </w:t>
      </w:r>
      <w:r w:rsidR="000C6940">
        <w:rPr>
          <w:rFonts w:ascii="Gellix" w:hAnsi="Gellix" w:cs="Segoe UI"/>
          <w:sz w:val="22"/>
          <w:szCs w:val="22"/>
        </w:rPr>
        <w:t>The</w:t>
      </w:r>
      <w:r w:rsidR="00DB70EA">
        <w:rPr>
          <w:rFonts w:ascii="Gellix" w:hAnsi="Gellix" w:cs="Segoe UI"/>
          <w:sz w:val="22"/>
          <w:szCs w:val="22"/>
        </w:rPr>
        <w:t xml:space="preserve"> communication between Customs and the private sector</w:t>
      </w:r>
      <w:r w:rsidRPr="00D762D1">
        <w:rPr>
          <w:rFonts w:ascii="Gellix" w:hAnsi="Gellix" w:cs="Segoe UI"/>
          <w:sz w:val="22"/>
          <w:szCs w:val="22"/>
        </w:rPr>
        <w:t xml:space="preserve"> should indeed be a two-way street</w:t>
      </w:r>
      <w:r w:rsidR="002D3E02">
        <w:rPr>
          <w:rFonts w:ascii="Gellix" w:hAnsi="Gellix" w:cs="Segoe UI"/>
          <w:sz w:val="22"/>
          <w:szCs w:val="22"/>
        </w:rPr>
        <w:t xml:space="preserve"> and will have to be fostered continuously</w:t>
      </w:r>
      <w:r w:rsidRPr="00D762D1">
        <w:rPr>
          <w:rFonts w:ascii="Gellix" w:hAnsi="Gellix" w:cs="Segoe UI"/>
          <w:sz w:val="22"/>
          <w:szCs w:val="22"/>
        </w:rPr>
        <w:t xml:space="preserve">. Governments should feel comfortable approaching their established trade stakeholder network, and the </w:t>
      </w:r>
      <w:r w:rsidR="00F925B0">
        <w:rPr>
          <w:rFonts w:ascii="Gellix" w:hAnsi="Gellix" w:cs="Segoe UI"/>
          <w:sz w:val="22"/>
          <w:szCs w:val="22"/>
        </w:rPr>
        <w:t xml:space="preserve">private sector </w:t>
      </w:r>
      <w:r w:rsidRPr="00D762D1">
        <w:rPr>
          <w:rFonts w:ascii="Gellix" w:hAnsi="Gellix" w:cs="Segoe UI"/>
          <w:sz w:val="22"/>
          <w:szCs w:val="22"/>
        </w:rPr>
        <w:t xml:space="preserve">should feel that they can share their questions, views, and concerns with customs authorities in a non-adversarial and collaborative environment. </w:t>
      </w:r>
    </w:p>
    <w:p w14:paraId="431F94F3" w14:textId="7C527BC5" w:rsidR="00D64C32" w:rsidRPr="00D762D1" w:rsidRDefault="00D64C32" w:rsidP="00273B55">
      <w:pPr>
        <w:pStyle w:val="NormalWeb"/>
        <w:spacing w:before="0" w:beforeAutospacing="0" w:after="120" w:afterAutospacing="0"/>
        <w:rPr>
          <w:rFonts w:ascii="Gellix" w:hAnsi="Gellix" w:cs="Segoe UI"/>
          <w:sz w:val="22"/>
          <w:szCs w:val="22"/>
        </w:rPr>
      </w:pPr>
      <w:r w:rsidRPr="00D762D1">
        <w:rPr>
          <w:rFonts w:ascii="Gellix" w:hAnsi="Gellix" w:cs="Segoe UI"/>
          <w:sz w:val="22"/>
          <w:szCs w:val="22"/>
        </w:rPr>
        <w:t xml:space="preserve">The </w:t>
      </w:r>
      <w:r w:rsidR="000566B8">
        <w:rPr>
          <w:rFonts w:ascii="Gellix" w:hAnsi="Gellix" w:cs="Segoe UI"/>
          <w:sz w:val="22"/>
          <w:szCs w:val="22"/>
        </w:rPr>
        <w:t>private sector</w:t>
      </w:r>
      <w:r w:rsidRPr="00D762D1">
        <w:rPr>
          <w:rFonts w:ascii="Gellix" w:hAnsi="Gellix" w:cs="Segoe UI"/>
          <w:sz w:val="22"/>
          <w:szCs w:val="22"/>
        </w:rPr>
        <w:t xml:space="preserve"> has a wealth of insight and experience that can inform processes and guide policy changes.</w:t>
      </w:r>
      <w:r w:rsidR="00000FD0">
        <w:rPr>
          <w:rFonts w:ascii="Gellix" w:hAnsi="Gellix" w:cs="Segoe UI"/>
          <w:sz w:val="22"/>
          <w:szCs w:val="22"/>
        </w:rPr>
        <w:t xml:space="preserve"> For example, logistics providers have early warning systems and </w:t>
      </w:r>
      <w:r w:rsidR="00BA6451">
        <w:rPr>
          <w:rFonts w:ascii="Gellix" w:hAnsi="Gellix" w:cs="Segoe UI"/>
          <w:sz w:val="22"/>
          <w:szCs w:val="22"/>
        </w:rPr>
        <w:t>elaborate supply chain resilience plans in place and could be part of the solution</w:t>
      </w:r>
      <w:r w:rsidR="002E50DA">
        <w:rPr>
          <w:rFonts w:ascii="Gellix" w:hAnsi="Gellix" w:cs="Segoe UI"/>
          <w:sz w:val="22"/>
          <w:szCs w:val="22"/>
        </w:rPr>
        <w:t xml:space="preserve">, even before </w:t>
      </w:r>
      <w:r w:rsidR="00772075">
        <w:rPr>
          <w:rFonts w:ascii="Gellix" w:hAnsi="Gellix" w:cs="Segoe UI"/>
          <w:sz w:val="22"/>
          <w:szCs w:val="22"/>
        </w:rPr>
        <w:t>a disruption</w:t>
      </w:r>
      <w:r w:rsidR="002E50DA">
        <w:rPr>
          <w:rFonts w:ascii="Gellix" w:hAnsi="Gellix" w:cs="Segoe UI"/>
          <w:sz w:val="22"/>
          <w:szCs w:val="22"/>
        </w:rPr>
        <w:t xml:space="preserve"> arises.</w:t>
      </w:r>
      <w:r w:rsidR="006A65C7">
        <w:rPr>
          <w:rFonts w:ascii="Gellix" w:hAnsi="Gellix" w:cs="Segoe UI"/>
          <w:sz w:val="22"/>
          <w:szCs w:val="22"/>
        </w:rPr>
        <w:t xml:space="preserve"> </w:t>
      </w:r>
    </w:p>
    <w:p w14:paraId="11F15A03" w14:textId="5A397E05" w:rsidR="005B2A66" w:rsidRPr="00D762D1" w:rsidRDefault="005B2A66" w:rsidP="00273B55">
      <w:pPr>
        <w:spacing w:before="180" w:after="120" w:line="240" w:lineRule="auto"/>
        <w:rPr>
          <w:rFonts w:ascii="Gellix" w:eastAsia="Times New Roman" w:hAnsi="Gellix" w:cs="Times New Roman"/>
          <w:lang w:eastAsia="en-CA"/>
        </w:rPr>
      </w:pPr>
      <w:r w:rsidRPr="00D762D1">
        <w:rPr>
          <w:rFonts w:ascii="Gellix" w:eastAsia="Times New Roman" w:hAnsi="Gellix" w:cs="Times New Roman"/>
          <w:lang w:eastAsia="en-CA"/>
        </w:rPr>
        <w:t>At the headquarters level, establishing relationships with trusted trade associations</w:t>
      </w:r>
      <w:r w:rsidR="007518C5">
        <w:rPr>
          <w:rFonts w:ascii="Gellix" w:eastAsia="Times New Roman" w:hAnsi="Gellix" w:cs="Times New Roman"/>
          <w:lang w:eastAsia="en-CA"/>
        </w:rPr>
        <w:t xml:space="preserve"> – </w:t>
      </w:r>
      <w:r w:rsidRPr="00D762D1">
        <w:rPr>
          <w:rFonts w:ascii="Gellix" w:eastAsia="Times New Roman" w:hAnsi="Gellix" w:cs="Times New Roman"/>
          <w:lang w:eastAsia="en-CA"/>
        </w:rPr>
        <w:t>both large and small, sector-specific and sector-agnostic</w:t>
      </w:r>
      <w:r w:rsidR="007518C5">
        <w:rPr>
          <w:rFonts w:ascii="Gellix" w:eastAsia="Times New Roman" w:hAnsi="Gellix" w:cs="Times New Roman"/>
          <w:lang w:eastAsia="en-CA"/>
        </w:rPr>
        <w:t xml:space="preserve"> – </w:t>
      </w:r>
      <w:r w:rsidRPr="00D762D1">
        <w:rPr>
          <w:rFonts w:ascii="Gellix" w:eastAsia="Times New Roman" w:hAnsi="Gellix" w:cs="Times New Roman"/>
          <w:lang w:eastAsia="en-CA"/>
        </w:rPr>
        <w:t xml:space="preserve">can provide a valuable mechanism for information sharing. Under the umbrella of an association, companies may choose to share sector-specific information with </w:t>
      </w:r>
      <w:r w:rsidR="00B53889">
        <w:rPr>
          <w:rFonts w:ascii="Gellix" w:eastAsia="Times New Roman" w:hAnsi="Gellix" w:cs="Times New Roman"/>
          <w:lang w:eastAsia="en-CA"/>
        </w:rPr>
        <w:t>C</w:t>
      </w:r>
      <w:r w:rsidRPr="00D762D1">
        <w:rPr>
          <w:rFonts w:ascii="Gellix" w:eastAsia="Times New Roman" w:hAnsi="Gellix" w:cs="Times New Roman"/>
          <w:lang w:eastAsia="en-CA"/>
        </w:rPr>
        <w:t>ustoms over time. This network can be leveraged for briefings, information requests, and addressing specific issues.</w:t>
      </w:r>
      <w:r w:rsidR="0056509A" w:rsidRPr="00D762D1">
        <w:rPr>
          <w:rFonts w:ascii="Gellix" w:eastAsia="Times New Roman" w:hAnsi="Gellix" w:cs="Times New Roman"/>
          <w:lang w:eastAsia="en-CA"/>
        </w:rPr>
        <w:t xml:space="preserve"> </w:t>
      </w:r>
      <w:r w:rsidRPr="00D762D1">
        <w:rPr>
          <w:rFonts w:ascii="Gellix" w:eastAsia="Times New Roman" w:hAnsi="Gellix" w:cs="Times New Roman"/>
          <w:lang w:eastAsia="en-CA"/>
        </w:rPr>
        <w:t>Moreover, it</w:t>
      </w:r>
      <w:r w:rsidR="007048A7">
        <w:rPr>
          <w:rFonts w:ascii="Gellix" w:eastAsia="Times New Roman" w:hAnsi="Gellix" w:cs="Times New Roman"/>
          <w:lang w:eastAsia="en-CA"/>
        </w:rPr>
        <w:t xml:space="preserve"> i</w:t>
      </w:r>
      <w:r w:rsidRPr="00D762D1">
        <w:rPr>
          <w:rFonts w:ascii="Gellix" w:eastAsia="Times New Roman" w:hAnsi="Gellix" w:cs="Times New Roman"/>
          <w:lang w:eastAsia="en-CA"/>
        </w:rPr>
        <w:t xml:space="preserve">s critical for </w:t>
      </w:r>
      <w:r w:rsidRPr="00D762D1">
        <w:rPr>
          <w:rFonts w:ascii="Gellix" w:eastAsia="Times New Roman" w:hAnsi="Gellix" w:cs="Times New Roman"/>
          <w:lang w:eastAsia="en-CA"/>
        </w:rPr>
        <w:lastRenderedPageBreak/>
        <w:t xml:space="preserve">each </w:t>
      </w:r>
      <w:r w:rsidR="00B53889">
        <w:rPr>
          <w:rFonts w:ascii="Gellix" w:eastAsia="Times New Roman" w:hAnsi="Gellix" w:cs="Times New Roman"/>
          <w:lang w:eastAsia="en-CA"/>
        </w:rPr>
        <w:t>C</w:t>
      </w:r>
      <w:r w:rsidRPr="00D762D1">
        <w:rPr>
          <w:rFonts w:ascii="Gellix" w:eastAsia="Times New Roman" w:hAnsi="Gellix" w:cs="Times New Roman"/>
          <w:lang w:eastAsia="en-CA"/>
        </w:rPr>
        <w:t>ustoms authority to implement a communications mechanism, to ensure information accessibility to all interested parties via the internet.</w:t>
      </w:r>
    </w:p>
    <w:p w14:paraId="0CBDCE36" w14:textId="4D737D45" w:rsidR="00D64C32" w:rsidRPr="00D762D1" w:rsidRDefault="005B2A66" w:rsidP="001B2880">
      <w:pPr>
        <w:spacing w:before="180" w:after="120" w:line="240" w:lineRule="auto"/>
        <w:rPr>
          <w:rFonts w:ascii="Gellix" w:eastAsia="Times New Roman" w:hAnsi="Gellix" w:cs="Times New Roman"/>
          <w:lang w:eastAsia="en-CA"/>
        </w:rPr>
      </w:pPr>
      <w:r w:rsidRPr="00D762D1">
        <w:rPr>
          <w:rFonts w:ascii="Gellix" w:eastAsia="Times New Roman" w:hAnsi="Gellix" w:cs="Times New Roman"/>
          <w:lang w:eastAsia="en-CA"/>
        </w:rPr>
        <w:t>During the</w:t>
      </w:r>
      <w:r w:rsidR="001217A9">
        <w:rPr>
          <w:rFonts w:ascii="Gellix" w:eastAsia="Times New Roman" w:hAnsi="Gellix" w:cs="Times New Roman"/>
          <w:lang w:eastAsia="en-CA"/>
        </w:rPr>
        <w:t xml:space="preserve"> C</w:t>
      </w:r>
      <w:r w:rsidR="00DC7127">
        <w:rPr>
          <w:rFonts w:ascii="Gellix" w:eastAsia="Times New Roman" w:hAnsi="Gellix" w:cs="Times New Roman"/>
          <w:lang w:eastAsia="en-CA"/>
        </w:rPr>
        <w:t>OVID</w:t>
      </w:r>
      <w:r w:rsidR="001217A9">
        <w:rPr>
          <w:rFonts w:ascii="Gellix" w:eastAsia="Times New Roman" w:hAnsi="Gellix" w:cs="Times New Roman"/>
          <w:lang w:eastAsia="en-CA"/>
        </w:rPr>
        <w:t>-19</w:t>
      </w:r>
      <w:r w:rsidRPr="00D762D1">
        <w:rPr>
          <w:rFonts w:ascii="Gellix" w:eastAsia="Times New Roman" w:hAnsi="Gellix" w:cs="Times New Roman"/>
          <w:lang w:eastAsia="en-CA"/>
        </w:rPr>
        <w:t xml:space="preserve"> pandemic and other crisis </w:t>
      </w:r>
      <w:r w:rsidR="002A776A">
        <w:rPr>
          <w:rFonts w:ascii="Gellix" w:eastAsia="Times New Roman" w:hAnsi="Gellix" w:cs="Times New Roman"/>
          <w:lang w:eastAsia="en-CA"/>
        </w:rPr>
        <w:t>situations</w:t>
      </w:r>
      <w:r w:rsidRPr="00D762D1">
        <w:rPr>
          <w:rFonts w:ascii="Gellix" w:eastAsia="Times New Roman" w:hAnsi="Gellix" w:cs="Times New Roman"/>
          <w:lang w:eastAsia="en-CA"/>
        </w:rPr>
        <w:t xml:space="preserve">, the </w:t>
      </w:r>
      <w:r w:rsidR="002A776A">
        <w:rPr>
          <w:rFonts w:ascii="Gellix" w:eastAsia="Times New Roman" w:hAnsi="Gellix" w:cs="Times New Roman"/>
          <w:lang w:eastAsia="en-CA"/>
        </w:rPr>
        <w:t xml:space="preserve">private sector </w:t>
      </w:r>
      <w:r w:rsidRPr="00D762D1">
        <w:rPr>
          <w:rFonts w:ascii="Gellix" w:eastAsia="Times New Roman" w:hAnsi="Gellix" w:cs="Times New Roman"/>
          <w:lang w:eastAsia="en-CA"/>
        </w:rPr>
        <w:t xml:space="preserve">has witnessed approaches that were not based on trust and partnership. For instance, trucks were not allowed to cross borders, resulting in goods being transferred by hand. Similarly, flights </w:t>
      </w:r>
      <w:r w:rsidR="0056509A" w:rsidRPr="00D762D1">
        <w:rPr>
          <w:rFonts w:ascii="Gellix" w:eastAsia="Times New Roman" w:hAnsi="Gellix" w:cs="Times New Roman"/>
          <w:lang w:eastAsia="en-CA"/>
        </w:rPr>
        <w:t>landed,</w:t>
      </w:r>
      <w:r w:rsidRPr="00D762D1">
        <w:rPr>
          <w:rFonts w:ascii="Gellix" w:eastAsia="Times New Roman" w:hAnsi="Gellix" w:cs="Times New Roman"/>
          <w:lang w:eastAsia="en-CA"/>
        </w:rPr>
        <w:t xml:space="preserve"> and pilots were quarantined without any established processes. These examples underscore the importance effective crisis management strategies</w:t>
      </w:r>
      <w:r w:rsidR="0030138F">
        <w:rPr>
          <w:rFonts w:ascii="Gellix" w:eastAsia="Times New Roman" w:hAnsi="Gellix" w:cs="Times New Roman"/>
          <w:lang w:eastAsia="en-CA"/>
        </w:rPr>
        <w:t xml:space="preserve"> and</w:t>
      </w:r>
      <w:r w:rsidR="0030138F" w:rsidRPr="00D762D1">
        <w:rPr>
          <w:rFonts w:ascii="Gellix" w:eastAsia="Times New Roman" w:hAnsi="Gellix" w:cs="Times New Roman"/>
          <w:lang w:eastAsia="en-CA"/>
        </w:rPr>
        <w:t xml:space="preserve"> trust-based partnerships</w:t>
      </w:r>
      <w:r w:rsidRPr="00D762D1">
        <w:rPr>
          <w:rFonts w:ascii="Gellix" w:eastAsia="Times New Roman" w:hAnsi="Gellix" w:cs="Times New Roman"/>
          <w:lang w:eastAsia="en-CA"/>
        </w:rPr>
        <w:t>. It</w:t>
      </w:r>
      <w:r w:rsidR="002D544C">
        <w:rPr>
          <w:rFonts w:ascii="Gellix" w:eastAsia="Times New Roman" w:hAnsi="Gellix" w:cs="Times New Roman"/>
          <w:lang w:eastAsia="en-CA"/>
        </w:rPr>
        <w:t xml:space="preserve"> i</w:t>
      </w:r>
      <w:r w:rsidRPr="00D762D1">
        <w:rPr>
          <w:rFonts w:ascii="Gellix" w:eastAsia="Times New Roman" w:hAnsi="Gellix" w:cs="Times New Roman"/>
          <w:lang w:eastAsia="en-CA"/>
        </w:rPr>
        <w:t>s crucial to learn from these experiences to improve future responses and ensure the smooth operation of international trade, even in crisis situations.</w:t>
      </w:r>
    </w:p>
    <w:p w14:paraId="1E2E55C2" w14:textId="5B7EB473" w:rsidR="00A251D5" w:rsidRPr="00E60749" w:rsidRDefault="00A251D5" w:rsidP="00A53F94">
      <w:pPr>
        <w:pStyle w:val="ListParagraph"/>
        <w:numPr>
          <w:ilvl w:val="0"/>
          <w:numId w:val="6"/>
        </w:numPr>
        <w:autoSpaceDE w:val="0"/>
        <w:autoSpaceDN w:val="0"/>
        <w:adjustRightInd w:val="0"/>
        <w:spacing w:after="0" w:line="240" w:lineRule="auto"/>
        <w:rPr>
          <w:rFonts w:ascii="Gellix" w:hAnsi="Gellix" w:cs="Calibri"/>
          <w:b/>
          <w:bCs/>
          <w:color w:val="000000"/>
          <w:lang w:val="en-US"/>
        </w:rPr>
      </w:pPr>
      <w:r w:rsidRPr="00D762D1">
        <w:rPr>
          <w:rFonts w:ascii="Gellix" w:hAnsi="Gellix" w:cs="Calibri"/>
          <w:b/>
          <w:bCs/>
          <w:color w:val="000000"/>
          <w:lang w:val="en-US"/>
        </w:rPr>
        <w:t xml:space="preserve">Recommendations to </w:t>
      </w:r>
      <w:r w:rsidR="00586102">
        <w:rPr>
          <w:rFonts w:ascii="Gellix" w:hAnsi="Gellix" w:cs="Calibri"/>
          <w:b/>
          <w:bCs/>
          <w:color w:val="000000"/>
          <w:lang w:val="en-US"/>
        </w:rPr>
        <w:t>a</w:t>
      </w:r>
      <w:r w:rsidRPr="00D762D1">
        <w:rPr>
          <w:rFonts w:ascii="Gellix" w:hAnsi="Gellix" w:cs="Calibri"/>
          <w:b/>
          <w:bCs/>
          <w:color w:val="000000"/>
          <w:lang w:val="en-US"/>
        </w:rPr>
        <w:t xml:space="preserve">chieving </w:t>
      </w:r>
      <w:r w:rsidR="00586102">
        <w:rPr>
          <w:rFonts w:ascii="Gellix" w:hAnsi="Gellix" w:cs="Calibri"/>
          <w:b/>
          <w:bCs/>
          <w:color w:val="000000"/>
          <w:lang w:val="en-US"/>
        </w:rPr>
        <w:t>t</w:t>
      </w:r>
      <w:r w:rsidRPr="00D762D1">
        <w:rPr>
          <w:rFonts w:ascii="Gellix" w:hAnsi="Gellix" w:cs="Calibri"/>
          <w:b/>
          <w:bCs/>
          <w:color w:val="000000"/>
          <w:lang w:val="en-US"/>
        </w:rPr>
        <w:t>rust</w:t>
      </w:r>
      <w:r w:rsidR="00586102">
        <w:rPr>
          <w:rFonts w:ascii="Gellix" w:hAnsi="Gellix" w:cs="Calibri"/>
          <w:b/>
          <w:bCs/>
          <w:color w:val="000000"/>
          <w:lang w:val="en-US"/>
        </w:rPr>
        <w:t>-b</w:t>
      </w:r>
      <w:r w:rsidRPr="00D762D1">
        <w:rPr>
          <w:rFonts w:ascii="Gellix" w:hAnsi="Gellix" w:cs="Calibri"/>
          <w:b/>
          <w:bCs/>
          <w:color w:val="000000"/>
          <w:lang w:val="en-US"/>
        </w:rPr>
        <w:t xml:space="preserve">ased Customs – </w:t>
      </w:r>
      <w:r w:rsidR="00723B8E">
        <w:rPr>
          <w:rFonts w:ascii="Gellix" w:hAnsi="Gellix" w:cs="Calibri"/>
          <w:b/>
          <w:bCs/>
          <w:color w:val="000000"/>
          <w:lang w:val="en-US"/>
        </w:rPr>
        <w:t>Business</w:t>
      </w:r>
      <w:r w:rsidR="00723B8E" w:rsidRPr="00D762D1">
        <w:rPr>
          <w:rFonts w:ascii="Gellix" w:hAnsi="Gellix" w:cs="Calibri"/>
          <w:b/>
          <w:bCs/>
          <w:color w:val="000000"/>
          <w:lang w:val="en-US"/>
        </w:rPr>
        <w:t xml:space="preserve"> </w:t>
      </w:r>
      <w:r w:rsidR="00586102">
        <w:rPr>
          <w:rFonts w:ascii="Gellix" w:hAnsi="Gellix" w:cs="Calibri"/>
          <w:b/>
          <w:bCs/>
          <w:color w:val="000000"/>
          <w:lang w:val="en-US"/>
        </w:rPr>
        <w:t>e</w:t>
      </w:r>
      <w:r w:rsidRPr="00D762D1">
        <w:rPr>
          <w:rFonts w:ascii="Gellix" w:hAnsi="Gellix" w:cs="Calibri"/>
          <w:b/>
          <w:bCs/>
          <w:color w:val="000000"/>
          <w:lang w:val="en-US"/>
        </w:rPr>
        <w:t>ngagement</w:t>
      </w:r>
    </w:p>
    <w:p w14:paraId="2AB23275" w14:textId="31B726F9" w:rsidR="004F2947" w:rsidRDefault="00C95E6F" w:rsidP="00A53F94">
      <w:pPr>
        <w:autoSpaceDE w:val="0"/>
        <w:autoSpaceDN w:val="0"/>
        <w:adjustRightInd w:val="0"/>
        <w:spacing w:after="120" w:line="240" w:lineRule="auto"/>
        <w:rPr>
          <w:rFonts w:ascii="Gellix" w:hAnsi="Gellix" w:cs="Calibri"/>
          <w:lang w:val="en-US"/>
        </w:rPr>
      </w:pPr>
      <w:r w:rsidRPr="00C95E6F">
        <w:rPr>
          <w:rFonts w:ascii="Gellix" w:hAnsi="Gellix" w:cs="Calibri"/>
          <w:lang w:val="en-US"/>
        </w:rPr>
        <w:t>The Customs-Business relationship should be leveraged</w:t>
      </w:r>
      <w:r w:rsidR="003E6B47">
        <w:rPr>
          <w:rFonts w:ascii="Gellix" w:hAnsi="Gellix" w:cs="Calibri"/>
          <w:lang w:val="en-US"/>
        </w:rPr>
        <w:t xml:space="preserve"> to build resilience and to </w:t>
      </w:r>
      <w:r w:rsidR="001C4010">
        <w:rPr>
          <w:rFonts w:ascii="Gellix" w:hAnsi="Gellix" w:cs="Calibri"/>
          <w:lang w:val="en-US"/>
        </w:rPr>
        <w:t xml:space="preserve">better respond to a crisis or disruption. </w:t>
      </w:r>
      <w:r w:rsidR="002134B7" w:rsidRPr="000050C9">
        <w:rPr>
          <w:rFonts w:ascii="Gellix" w:hAnsi="Gellix" w:cs="Calibri"/>
          <w:lang w:val="en-US"/>
        </w:rPr>
        <w:t xml:space="preserve">For example, as witnessed during the pandemic, </w:t>
      </w:r>
      <w:r w:rsidR="002134B7">
        <w:rPr>
          <w:rFonts w:ascii="Gellix" w:hAnsi="Gellix" w:cs="Calibri"/>
          <w:lang w:val="en-US"/>
        </w:rPr>
        <w:t xml:space="preserve">some </w:t>
      </w:r>
      <w:r w:rsidR="002134B7" w:rsidRPr="000050C9">
        <w:rPr>
          <w:rFonts w:ascii="Gellix" w:hAnsi="Gellix" w:cs="Calibri"/>
          <w:lang w:val="en-US"/>
        </w:rPr>
        <w:t>countries needed to scramble to establish communication channels with</w:t>
      </w:r>
      <w:r w:rsidR="00985688">
        <w:rPr>
          <w:rFonts w:ascii="Gellix" w:hAnsi="Gellix" w:cs="Calibri"/>
          <w:lang w:val="en-US"/>
        </w:rPr>
        <w:t xml:space="preserve"> the</w:t>
      </w:r>
      <w:r w:rsidR="002134B7" w:rsidRPr="000050C9">
        <w:rPr>
          <w:rFonts w:ascii="Gellix" w:hAnsi="Gellix" w:cs="Calibri"/>
          <w:lang w:val="en-US"/>
        </w:rPr>
        <w:t xml:space="preserve"> </w:t>
      </w:r>
      <w:r w:rsidR="00680EF2">
        <w:rPr>
          <w:rFonts w:ascii="Gellix" w:hAnsi="Gellix" w:cs="Calibri"/>
          <w:lang w:val="en-US"/>
        </w:rPr>
        <w:t>private sector</w:t>
      </w:r>
      <w:r w:rsidR="002134B7" w:rsidRPr="000050C9">
        <w:rPr>
          <w:rFonts w:ascii="Gellix" w:hAnsi="Gellix" w:cs="Calibri"/>
          <w:lang w:val="en-US"/>
        </w:rPr>
        <w:t xml:space="preserve"> during periods of closure and lock down. </w:t>
      </w:r>
      <w:r w:rsidR="002134B7">
        <w:rPr>
          <w:rFonts w:ascii="Gellix" w:hAnsi="Gellix" w:cs="Calibri"/>
          <w:lang w:val="en-US"/>
        </w:rPr>
        <w:t>It showed the importance of building</w:t>
      </w:r>
      <w:r w:rsidR="006903C6">
        <w:rPr>
          <w:rFonts w:ascii="Gellix" w:hAnsi="Gellix" w:cs="Calibri"/>
          <w:lang w:val="en-US"/>
        </w:rPr>
        <w:t xml:space="preserve"> t</w:t>
      </w:r>
      <w:r w:rsidR="001C4010">
        <w:rPr>
          <w:rFonts w:ascii="Gellix" w:hAnsi="Gellix" w:cs="Calibri"/>
          <w:lang w:val="en-US"/>
        </w:rPr>
        <w:t>h</w:t>
      </w:r>
      <w:r w:rsidR="006903C6">
        <w:rPr>
          <w:rFonts w:ascii="Gellix" w:hAnsi="Gellix" w:cs="Calibri"/>
          <w:lang w:val="en-US"/>
        </w:rPr>
        <w:t>e</w:t>
      </w:r>
      <w:r w:rsidR="001C4010">
        <w:rPr>
          <w:rFonts w:ascii="Gellix" w:hAnsi="Gellix" w:cs="Calibri"/>
          <w:lang w:val="en-US"/>
        </w:rPr>
        <w:t xml:space="preserve"> relationship</w:t>
      </w:r>
      <w:r w:rsidR="002B09FB">
        <w:rPr>
          <w:rFonts w:ascii="Gellix" w:hAnsi="Gellix" w:cs="Calibri"/>
          <w:lang w:val="en-US"/>
        </w:rPr>
        <w:t xml:space="preserve"> </w:t>
      </w:r>
      <w:r w:rsidR="004F2947">
        <w:rPr>
          <w:rFonts w:ascii="Gellix" w:hAnsi="Gellix" w:cs="Calibri"/>
          <w:lang w:val="en-US"/>
        </w:rPr>
        <w:t xml:space="preserve">sustainably </w:t>
      </w:r>
      <w:r w:rsidR="00A32854">
        <w:rPr>
          <w:rFonts w:ascii="Gellix" w:hAnsi="Gellix" w:cs="Calibri"/>
          <w:lang w:val="en-US"/>
        </w:rPr>
        <w:t>ahead of the crisis</w:t>
      </w:r>
      <w:r w:rsidR="006903C6">
        <w:rPr>
          <w:rFonts w:ascii="Gellix" w:hAnsi="Gellix" w:cs="Calibri"/>
          <w:lang w:val="en-US"/>
        </w:rPr>
        <w:t>.</w:t>
      </w:r>
      <w:r w:rsidR="00A32854">
        <w:rPr>
          <w:rFonts w:ascii="Gellix" w:hAnsi="Gellix" w:cs="Calibri"/>
          <w:lang w:val="en-US"/>
        </w:rPr>
        <w:t xml:space="preserve"> </w:t>
      </w:r>
    </w:p>
    <w:p w14:paraId="39A6BD6F" w14:textId="26F54704" w:rsidR="00C95E6F" w:rsidRPr="00C95E6F" w:rsidRDefault="00A32854" w:rsidP="00A53F94">
      <w:pPr>
        <w:autoSpaceDE w:val="0"/>
        <w:autoSpaceDN w:val="0"/>
        <w:adjustRightInd w:val="0"/>
        <w:spacing w:after="120" w:line="240" w:lineRule="auto"/>
        <w:rPr>
          <w:rFonts w:ascii="Gellix" w:hAnsi="Gellix" w:cs="Calibri"/>
          <w:lang w:val="en-US"/>
        </w:rPr>
      </w:pPr>
      <w:r>
        <w:rPr>
          <w:rFonts w:ascii="Gellix" w:hAnsi="Gellix" w:cs="Calibri"/>
          <w:lang w:val="en-US"/>
        </w:rPr>
        <w:t>These</w:t>
      </w:r>
      <w:r w:rsidR="00CA6DC9">
        <w:rPr>
          <w:rFonts w:ascii="Gellix" w:hAnsi="Gellix" w:cs="Calibri"/>
          <w:lang w:val="en-US"/>
        </w:rPr>
        <w:t xml:space="preserve"> essential elements will </w:t>
      </w:r>
      <w:r>
        <w:rPr>
          <w:rFonts w:ascii="Gellix" w:hAnsi="Gellix" w:cs="Calibri"/>
          <w:lang w:val="en-US"/>
        </w:rPr>
        <w:t xml:space="preserve">contribute to </w:t>
      </w:r>
      <w:r w:rsidR="00CA6DC9">
        <w:rPr>
          <w:rFonts w:ascii="Gellix" w:hAnsi="Gellix" w:cs="Calibri"/>
          <w:lang w:val="en-US"/>
        </w:rPr>
        <w:t>effective engagement with the private sector during a crisis or disruption:</w:t>
      </w:r>
    </w:p>
    <w:p w14:paraId="34284F14" w14:textId="14B79E7C" w:rsidR="00F546CF" w:rsidRDefault="00A25E9C" w:rsidP="00A53F94">
      <w:pPr>
        <w:pStyle w:val="ListParagraph"/>
        <w:numPr>
          <w:ilvl w:val="0"/>
          <w:numId w:val="4"/>
        </w:numPr>
        <w:autoSpaceDE w:val="0"/>
        <w:autoSpaceDN w:val="0"/>
        <w:adjustRightInd w:val="0"/>
        <w:spacing w:after="120" w:line="240" w:lineRule="auto"/>
        <w:ind w:left="709" w:hanging="273"/>
        <w:contextualSpacing w:val="0"/>
        <w:rPr>
          <w:rFonts w:ascii="Gellix" w:hAnsi="Gellix" w:cs="Calibri"/>
          <w:lang w:val="en-US"/>
        </w:rPr>
      </w:pPr>
      <w:r w:rsidRPr="0012488B">
        <w:rPr>
          <w:rFonts w:ascii="Gellix" w:hAnsi="Gellix" w:cs="Calibri"/>
          <w:b/>
          <w:bCs/>
          <w:color w:val="000000"/>
          <w:lang w:val="en-US"/>
        </w:rPr>
        <w:t>Communication is key.</w:t>
      </w:r>
      <w:r>
        <w:rPr>
          <w:rFonts w:ascii="Gellix" w:hAnsi="Gellix" w:cs="Calibri"/>
          <w:color w:val="000000"/>
          <w:lang w:val="en-US"/>
        </w:rPr>
        <w:t xml:space="preserve"> </w:t>
      </w:r>
      <w:r w:rsidR="0012488B" w:rsidRPr="00D762D1">
        <w:rPr>
          <w:rFonts w:ascii="Gellix" w:hAnsi="Gellix" w:cs="Calibri"/>
          <w:lang w:val="en-US"/>
        </w:rPr>
        <w:t>We encourage countries to implement robust</w:t>
      </w:r>
      <w:r w:rsidR="0012488B" w:rsidRPr="00D762D1" w:rsidDel="00353C56">
        <w:rPr>
          <w:rFonts w:ascii="Gellix" w:hAnsi="Gellix" w:cs="Calibri"/>
          <w:lang w:val="en-US"/>
        </w:rPr>
        <w:t xml:space="preserve"> </w:t>
      </w:r>
      <w:r w:rsidR="0012488B" w:rsidRPr="00D762D1">
        <w:rPr>
          <w:rFonts w:ascii="Gellix" w:hAnsi="Gellix" w:cs="Calibri"/>
          <w:lang w:val="en-US"/>
        </w:rPr>
        <w:t>dialogue</w:t>
      </w:r>
      <w:r w:rsidR="0012488B">
        <w:rPr>
          <w:rFonts w:ascii="Gellix" w:hAnsi="Gellix" w:cs="Calibri"/>
          <w:lang w:val="en-US"/>
        </w:rPr>
        <w:t>s</w:t>
      </w:r>
      <w:r w:rsidR="0012488B" w:rsidRPr="00D762D1">
        <w:rPr>
          <w:rFonts w:ascii="Gellix" w:hAnsi="Gellix" w:cs="Calibri"/>
          <w:lang w:val="en-US"/>
        </w:rPr>
        <w:t xml:space="preserve"> with trade stakeholders</w:t>
      </w:r>
      <w:r w:rsidR="008A7578">
        <w:rPr>
          <w:rFonts w:ascii="Gellix" w:hAnsi="Gellix" w:cs="Calibri"/>
          <w:lang w:val="en-US"/>
        </w:rPr>
        <w:t xml:space="preserve"> to build trust and share experiences</w:t>
      </w:r>
      <w:r w:rsidR="006B5E15">
        <w:rPr>
          <w:rFonts w:ascii="Gellix" w:hAnsi="Gellix" w:cs="Calibri"/>
          <w:lang w:val="en-US"/>
        </w:rPr>
        <w:t xml:space="preserve"> on a regular basis</w:t>
      </w:r>
      <w:r w:rsidR="008A7578">
        <w:rPr>
          <w:rFonts w:ascii="Gellix" w:hAnsi="Gellix" w:cs="Calibri"/>
          <w:lang w:val="en-US"/>
        </w:rPr>
        <w:t xml:space="preserve">. This is particularly important and can be </w:t>
      </w:r>
      <w:r w:rsidR="00F546CF">
        <w:rPr>
          <w:rFonts w:ascii="Gellix" w:hAnsi="Gellix" w:cs="Calibri"/>
          <w:lang w:val="en-US"/>
        </w:rPr>
        <w:t>activated/reinforced when a crisis or disruption emerges</w:t>
      </w:r>
      <w:r w:rsidR="00DA4CE9">
        <w:rPr>
          <w:rFonts w:ascii="Gellix" w:hAnsi="Gellix" w:cs="Calibri"/>
          <w:lang w:val="en-US"/>
        </w:rPr>
        <w:t>.</w:t>
      </w:r>
      <w:r w:rsidR="006B5E15">
        <w:rPr>
          <w:rFonts w:ascii="Gellix" w:hAnsi="Gellix" w:cs="Calibri"/>
          <w:lang w:val="en-US"/>
        </w:rPr>
        <w:t xml:space="preserve"> It can also provide the opportunity for early warning</w:t>
      </w:r>
      <w:r w:rsidR="001B1B58">
        <w:rPr>
          <w:rFonts w:ascii="Gellix" w:hAnsi="Gellix" w:cs="Calibri"/>
          <w:lang w:val="en-US"/>
        </w:rPr>
        <w:t xml:space="preserve"> alerts.</w:t>
      </w:r>
      <w:r w:rsidR="00987252">
        <w:rPr>
          <w:rFonts w:ascii="Gellix" w:hAnsi="Gellix" w:cs="Calibri"/>
          <w:lang w:val="en-US"/>
        </w:rPr>
        <w:t xml:space="preserve"> </w:t>
      </w:r>
      <w:r w:rsidR="00987252" w:rsidRPr="00987252">
        <w:rPr>
          <w:rFonts w:ascii="Gellix" w:hAnsi="Gellix" w:cs="Calibri"/>
          <w:lang w:val="en-US"/>
        </w:rPr>
        <w:t xml:space="preserve">Consistent policy and operational engagement between Customs authorities, </w:t>
      </w:r>
      <w:r w:rsidR="001B1B58">
        <w:rPr>
          <w:rFonts w:ascii="Gellix" w:hAnsi="Gellix" w:cs="Calibri"/>
          <w:lang w:val="en-US"/>
        </w:rPr>
        <w:t>the private sector</w:t>
      </w:r>
      <w:r w:rsidR="00987252" w:rsidRPr="00987252">
        <w:rPr>
          <w:rFonts w:ascii="Gellix" w:hAnsi="Gellix" w:cs="Calibri"/>
          <w:lang w:val="en-US"/>
        </w:rPr>
        <w:t>, and other relevant stakeholders in day-to-day operations</w:t>
      </w:r>
      <w:r w:rsidR="00AE6830">
        <w:rPr>
          <w:rFonts w:ascii="Gellix" w:hAnsi="Gellix" w:cs="Calibri"/>
          <w:lang w:val="en-US"/>
        </w:rPr>
        <w:t xml:space="preserve"> </w:t>
      </w:r>
      <w:r w:rsidR="00987252" w:rsidRPr="00987252">
        <w:rPr>
          <w:rFonts w:ascii="Gellix" w:hAnsi="Gellix" w:cs="Calibri"/>
          <w:lang w:val="en-US"/>
        </w:rPr>
        <w:t xml:space="preserve">is crucial for fostering a </w:t>
      </w:r>
      <w:r w:rsidR="002340A5">
        <w:rPr>
          <w:rFonts w:ascii="Gellix" w:hAnsi="Gellix" w:cs="Calibri"/>
          <w:lang w:val="en-US"/>
        </w:rPr>
        <w:t>resilient</w:t>
      </w:r>
      <w:r w:rsidR="00987252" w:rsidRPr="00987252">
        <w:rPr>
          <w:rFonts w:ascii="Gellix" w:hAnsi="Gellix" w:cs="Calibri"/>
          <w:lang w:val="en-US"/>
        </w:rPr>
        <w:t xml:space="preserve"> and efficient trade environment.</w:t>
      </w:r>
    </w:p>
    <w:p w14:paraId="4FB311C8" w14:textId="724E7420" w:rsidR="0012488B" w:rsidRDefault="00F546CF" w:rsidP="00A53F94">
      <w:pPr>
        <w:pStyle w:val="ListParagraph"/>
        <w:numPr>
          <w:ilvl w:val="0"/>
          <w:numId w:val="4"/>
        </w:numPr>
        <w:autoSpaceDE w:val="0"/>
        <w:autoSpaceDN w:val="0"/>
        <w:adjustRightInd w:val="0"/>
        <w:spacing w:after="120" w:line="240" w:lineRule="auto"/>
        <w:ind w:left="709" w:hanging="273"/>
        <w:contextualSpacing w:val="0"/>
        <w:rPr>
          <w:rFonts w:ascii="Gellix" w:hAnsi="Gellix" w:cs="Calibri"/>
          <w:lang w:val="en-US"/>
        </w:rPr>
      </w:pPr>
      <w:r w:rsidRPr="00E4437D">
        <w:rPr>
          <w:rFonts w:ascii="Gellix" w:hAnsi="Gellix" w:cs="Calibri"/>
          <w:b/>
          <w:bCs/>
          <w:lang w:val="en-US"/>
        </w:rPr>
        <w:t xml:space="preserve">Transparent and clear procedures </w:t>
      </w:r>
      <w:r w:rsidR="00E4437D" w:rsidRPr="00E4437D">
        <w:rPr>
          <w:rFonts w:ascii="Gellix" w:hAnsi="Gellix" w:cs="Calibri"/>
          <w:b/>
          <w:bCs/>
          <w:lang w:val="en-US"/>
        </w:rPr>
        <w:t>reduce risks.</w:t>
      </w:r>
      <w:r w:rsidR="00E4437D">
        <w:rPr>
          <w:rFonts w:ascii="Gellix" w:hAnsi="Gellix" w:cs="Calibri"/>
          <w:lang w:val="en-US"/>
        </w:rPr>
        <w:t xml:space="preserve"> </w:t>
      </w:r>
      <w:r w:rsidR="00E74380">
        <w:rPr>
          <w:rFonts w:ascii="Gellix" w:hAnsi="Gellix" w:cs="Calibri"/>
          <w:lang w:val="en-US"/>
        </w:rPr>
        <w:t>Predictability and clarity about processes</w:t>
      </w:r>
      <w:r w:rsidR="00DA5548">
        <w:rPr>
          <w:rFonts w:ascii="Gellix" w:hAnsi="Gellix" w:cs="Calibri"/>
          <w:lang w:val="en-US"/>
        </w:rPr>
        <w:t>, for example Standard Operating Procedures,</w:t>
      </w:r>
      <w:r w:rsidR="00E74380">
        <w:rPr>
          <w:rFonts w:ascii="Gellix" w:hAnsi="Gellix" w:cs="Calibri"/>
          <w:lang w:val="en-US"/>
        </w:rPr>
        <w:t xml:space="preserve"> </w:t>
      </w:r>
      <w:r w:rsidR="0083356C">
        <w:rPr>
          <w:rFonts w:ascii="Gellix" w:hAnsi="Gellix" w:cs="Calibri"/>
          <w:lang w:val="en-US"/>
        </w:rPr>
        <w:t xml:space="preserve">are important </w:t>
      </w:r>
      <w:r w:rsidR="009D5FB7">
        <w:rPr>
          <w:rFonts w:ascii="Gellix" w:hAnsi="Gellix" w:cs="Calibri"/>
          <w:lang w:val="en-US"/>
        </w:rPr>
        <w:t xml:space="preserve">factors to build resilience. </w:t>
      </w:r>
      <w:r w:rsidR="00EF40B7">
        <w:rPr>
          <w:rFonts w:ascii="Gellix" w:hAnsi="Gellix" w:cs="Calibri"/>
          <w:lang w:val="en-US"/>
        </w:rPr>
        <w:t>The main objective in times of crisis should be to allow the flow of goods securely</w:t>
      </w:r>
      <w:r w:rsidR="005E60BF">
        <w:rPr>
          <w:rFonts w:ascii="Gellix" w:hAnsi="Gellix" w:cs="Calibri"/>
          <w:lang w:val="en-US"/>
        </w:rPr>
        <w:t xml:space="preserve"> and that may require special arrangements, for example </w:t>
      </w:r>
      <w:r w:rsidR="005067F9">
        <w:rPr>
          <w:rFonts w:ascii="Gellix" w:hAnsi="Gellix" w:cs="Calibri"/>
          <w:lang w:val="en-US"/>
        </w:rPr>
        <w:t xml:space="preserve">for Customs </w:t>
      </w:r>
      <w:r w:rsidR="005E60BF">
        <w:rPr>
          <w:rFonts w:ascii="Gellix" w:hAnsi="Gellix" w:cs="Calibri"/>
          <w:lang w:val="en-US"/>
        </w:rPr>
        <w:t>to manage risks retrospectively</w:t>
      </w:r>
      <w:r w:rsidR="00540185">
        <w:rPr>
          <w:rFonts w:ascii="Gellix" w:hAnsi="Gellix" w:cs="Calibri"/>
          <w:lang w:val="en-US"/>
        </w:rPr>
        <w:t>. B</w:t>
      </w:r>
      <w:r w:rsidR="005E60BF">
        <w:rPr>
          <w:rFonts w:ascii="Gellix" w:hAnsi="Gellix" w:cs="Calibri"/>
          <w:lang w:val="en-US"/>
        </w:rPr>
        <w:t xml:space="preserve">ut </w:t>
      </w:r>
      <w:r w:rsidR="00E16B82">
        <w:rPr>
          <w:rFonts w:ascii="Gellix" w:hAnsi="Gellix" w:cs="Calibri"/>
          <w:lang w:val="en-US"/>
        </w:rPr>
        <w:t>all stakeholders need to know what the</w:t>
      </w:r>
      <w:r w:rsidR="005067F9">
        <w:rPr>
          <w:rFonts w:ascii="Gellix" w:hAnsi="Gellix" w:cs="Calibri"/>
          <w:lang w:val="en-US"/>
        </w:rPr>
        <w:t xml:space="preserve"> specific</w:t>
      </w:r>
      <w:r w:rsidR="00E16B82">
        <w:rPr>
          <w:rFonts w:ascii="Gellix" w:hAnsi="Gellix" w:cs="Calibri"/>
          <w:lang w:val="en-US"/>
        </w:rPr>
        <w:t xml:space="preserve"> </w:t>
      </w:r>
      <w:r w:rsidR="005067F9">
        <w:rPr>
          <w:rFonts w:ascii="Gellix" w:hAnsi="Gellix" w:cs="Calibri"/>
          <w:lang w:val="en-US"/>
        </w:rPr>
        <w:t>procedures and arrangements are</w:t>
      </w:r>
      <w:r w:rsidR="00540185">
        <w:rPr>
          <w:rFonts w:ascii="Gellix" w:hAnsi="Gellix" w:cs="Calibri"/>
          <w:lang w:val="en-US"/>
        </w:rPr>
        <w:t xml:space="preserve"> beforehand</w:t>
      </w:r>
      <w:r w:rsidR="005067F9">
        <w:rPr>
          <w:rFonts w:ascii="Gellix" w:hAnsi="Gellix" w:cs="Calibri"/>
          <w:lang w:val="en-US"/>
        </w:rPr>
        <w:t xml:space="preserve">. </w:t>
      </w:r>
    </w:p>
    <w:p w14:paraId="104E6DDB" w14:textId="0679CEBC" w:rsidR="0012488B" w:rsidRPr="00F520F9" w:rsidRDefault="00CB4893" w:rsidP="001F1020">
      <w:pPr>
        <w:pStyle w:val="ListParagraph"/>
        <w:numPr>
          <w:ilvl w:val="0"/>
          <w:numId w:val="4"/>
        </w:numPr>
        <w:spacing w:after="120"/>
        <w:ind w:left="709" w:hanging="273"/>
        <w:contextualSpacing w:val="0"/>
        <w:rPr>
          <w:rFonts w:ascii="Gellix" w:hAnsi="Gellix" w:cs="Calibri"/>
          <w:color w:val="000000"/>
          <w:lang w:val="en-US"/>
        </w:rPr>
      </w:pPr>
      <w:r>
        <w:rPr>
          <w:rFonts w:ascii="Gellix" w:hAnsi="Gellix" w:cs="Calibri"/>
          <w:b/>
          <w:bCs/>
          <w:color w:val="000000"/>
          <w:lang w:val="en-US"/>
        </w:rPr>
        <w:t>Continue k</w:t>
      </w:r>
      <w:r w:rsidR="00221B75" w:rsidRPr="00221B75">
        <w:rPr>
          <w:rFonts w:ascii="Gellix" w:hAnsi="Gellix" w:cs="Calibri"/>
          <w:b/>
          <w:bCs/>
          <w:color w:val="000000"/>
          <w:lang w:val="en-US"/>
        </w:rPr>
        <w:t>nowledge and experience sharing</w:t>
      </w:r>
      <w:r w:rsidR="00F520F9" w:rsidRPr="00F520F9">
        <w:rPr>
          <w:rFonts w:ascii="Gellix" w:hAnsi="Gellix" w:cs="Calibri"/>
          <w:color w:val="000000"/>
          <w:lang w:val="en-US"/>
        </w:rPr>
        <w:t>.</w:t>
      </w:r>
      <w:r w:rsidR="00F520F9">
        <w:rPr>
          <w:rFonts w:ascii="Gellix" w:hAnsi="Gellix" w:cs="Calibri"/>
          <w:color w:val="000000"/>
          <w:lang w:val="en-US"/>
        </w:rPr>
        <w:t xml:space="preserve"> </w:t>
      </w:r>
      <w:r w:rsidR="0012488B" w:rsidRPr="00F520F9">
        <w:rPr>
          <w:rFonts w:ascii="Gellix" w:hAnsi="Gellix" w:cs="Calibri"/>
          <w:color w:val="000000"/>
          <w:lang w:val="en-US"/>
        </w:rPr>
        <w:t xml:space="preserve">The WCO Secretariat could seek national examples of Members. For example, for those </w:t>
      </w:r>
      <w:r w:rsidR="00814924">
        <w:rPr>
          <w:rFonts w:ascii="Gellix" w:hAnsi="Gellix" w:cs="Calibri"/>
          <w:color w:val="000000"/>
          <w:lang w:val="en-US"/>
        </w:rPr>
        <w:t>countries</w:t>
      </w:r>
      <w:r w:rsidR="0012488B" w:rsidRPr="00F520F9">
        <w:rPr>
          <w:rFonts w:ascii="Gellix" w:hAnsi="Gellix" w:cs="Calibri"/>
          <w:color w:val="000000"/>
          <w:lang w:val="en-US"/>
        </w:rPr>
        <w:t xml:space="preserve"> that have </w:t>
      </w:r>
      <w:r w:rsidR="0012488B" w:rsidRPr="00F520F9">
        <w:rPr>
          <w:rFonts w:ascii="Gellix" w:hAnsi="Gellix" w:cs="Calibri"/>
          <w:color w:val="000000"/>
          <w:lang w:val="en-US"/>
        </w:rPr>
        <w:lastRenderedPageBreak/>
        <w:t>specific advisory bodies</w:t>
      </w:r>
      <w:r w:rsidR="00023AF2">
        <w:rPr>
          <w:rFonts w:ascii="Gellix" w:hAnsi="Gellix" w:cs="Calibri"/>
          <w:color w:val="000000"/>
          <w:lang w:val="en-US"/>
        </w:rPr>
        <w:t>,</w:t>
      </w:r>
      <w:r w:rsidR="0012488B" w:rsidRPr="00F520F9">
        <w:rPr>
          <w:rFonts w:ascii="Gellix" w:hAnsi="Gellix" w:cs="Calibri"/>
          <w:color w:val="000000"/>
          <w:lang w:val="en-US"/>
        </w:rPr>
        <w:t xml:space="preserve"> whether those bodies are established or codified in law</w:t>
      </w:r>
      <w:r w:rsidR="00023AF2">
        <w:rPr>
          <w:rFonts w:ascii="Gellix" w:hAnsi="Gellix" w:cs="Calibri"/>
          <w:color w:val="000000"/>
          <w:lang w:val="en-US"/>
        </w:rPr>
        <w:t>,</w:t>
      </w:r>
      <w:r w:rsidR="00BE1016">
        <w:rPr>
          <w:rFonts w:ascii="Gellix" w:hAnsi="Gellix" w:cs="Calibri"/>
          <w:color w:val="000000"/>
          <w:lang w:val="en-US"/>
        </w:rPr>
        <w:t xml:space="preserve"> and how they have functioned in times of crisis</w:t>
      </w:r>
      <w:r w:rsidR="0012488B" w:rsidRPr="00F520F9">
        <w:rPr>
          <w:rFonts w:ascii="Gellix" w:hAnsi="Gellix" w:cs="Calibri"/>
          <w:color w:val="000000"/>
          <w:lang w:val="en-US"/>
        </w:rPr>
        <w:t>. These national examples can aid in informing members who are looking to establish or improve the Customs</w:t>
      </w:r>
      <w:r w:rsidR="0019300D">
        <w:rPr>
          <w:rFonts w:ascii="Gellix" w:hAnsi="Gellix" w:cs="Calibri"/>
          <w:color w:val="000000"/>
          <w:lang w:val="en-US"/>
        </w:rPr>
        <w:t>-</w:t>
      </w:r>
      <w:r w:rsidR="000E4A51">
        <w:rPr>
          <w:rFonts w:ascii="Gellix" w:hAnsi="Gellix" w:cs="Calibri"/>
          <w:color w:val="000000"/>
          <w:lang w:val="en-US"/>
        </w:rPr>
        <w:t>Business</w:t>
      </w:r>
      <w:r w:rsidR="0012488B" w:rsidRPr="00F520F9">
        <w:rPr>
          <w:rFonts w:ascii="Gellix" w:hAnsi="Gellix" w:cs="Calibri"/>
          <w:color w:val="000000"/>
          <w:lang w:val="en-US"/>
        </w:rPr>
        <w:t xml:space="preserve"> relationship. </w:t>
      </w:r>
    </w:p>
    <w:p w14:paraId="068D2C5D" w14:textId="77777777" w:rsidR="00A251D5" w:rsidRPr="00E71753" w:rsidRDefault="00A251D5" w:rsidP="00A53F94">
      <w:pPr>
        <w:autoSpaceDE w:val="0"/>
        <w:autoSpaceDN w:val="0"/>
        <w:adjustRightInd w:val="0"/>
        <w:spacing w:after="0" w:line="240" w:lineRule="auto"/>
        <w:ind w:left="360"/>
        <w:rPr>
          <w:rFonts w:ascii="Gellix" w:hAnsi="Gellix" w:cs="Calibri"/>
          <w:b/>
          <w:bCs/>
          <w:color w:val="000000"/>
        </w:rPr>
      </w:pPr>
    </w:p>
    <w:sectPr w:rsidR="00A251D5" w:rsidRPr="00E71753" w:rsidSect="0087703D">
      <w:headerReference w:type="default" r:id="rId16"/>
      <w:footerReference w:type="default" r:id="rId17"/>
      <w:pgSz w:w="12240" w:h="15840"/>
      <w:pgMar w:top="567"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C27C" w14:textId="77777777" w:rsidR="001B2E5B" w:rsidRDefault="001B2E5B" w:rsidP="004A52D7">
      <w:pPr>
        <w:spacing w:after="0" w:line="240" w:lineRule="auto"/>
      </w:pPr>
      <w:r>
        <w:separator/>
      </w:r>
    </w:p>
  </w:endnote>
  <w:endnote w:type="continuationSeparator" w:id="0">
    <w:p w14:paraId="30EF9ED8" w14:textId="77777777" w:rsidR="001B2E5B" w:rsidRDefault="001B2E5B" w:rsidP="004A52D7">
      <w:pPr>
        <w:spacing w:after="0" w:line="240" w:lineRule="auto"/>
      </w:pPr>
      <w:r>
        <w:continuationSeparator/>
      </w:r>
    </w:p>
  </w:endnote>
  <w:endnote w:type="continuationNotice" w:id="1">
    <w:p w14:paraId="63F00D47" w14:textId="77777777" w:rsidR="00F13006" w:rsidRDefault="00F13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ellix">
    <w:altName w:val="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6">
    <w:altName w:val="Microsoft JhengHei"/>
    <w:panose1 w:val="00000000000000000000"/>
    <w:charset w:val="88"/>
    <w:family w:val="auto"/>
    <w:notTrueType/>
    <w:pitch w:val="default"/>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8C67" w14:textId="02DCF6C3" w:rsidR="004C67BF" w:rsidRDefault="00D762D1">
    <w:pPr>
      <w:pStyle w:val="Footer"/>
    </w:pPr>
    <w:r w:rsidRPr="000804A3">
      <w:rPr>
        <w:noProof/>
        <w:sz w:val="16"/>
        <w:szCs w:val="16"/>
      </w:rPr>
      <mc:AlternateContent>
        <mc:Choice Requires="wps">
          <w:drawing>
            <wp:anchor distT="0" distB="0" distL="114300" distR="114300" simplePos="0" relativeHeight="251658241" behindDoc="1" locked="0" layoutInCell="1" allowOverlap="0" wp14:anchorId="71F350FB" wp14:editId="300A0756">
              <wp:simplePos x="0" y="0"/>
              <wp:positionH relativeFrom="page">
                <wp:posOffset>742315</wp:posOffset>
              </wp:positionH>
              <wp:positionV relativeFrom="page">
                <wp:posOffset>9461754</wp:posOffset>
              </wp:positionV>
              <wp:extent cx="6058800" cy="263347"/>
              <wp:effectExtent l="0" t="0" r="1841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263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0B89" w14:textId="416AA98C" w:rsidR="00D762D1" w:rsidRPr="00D762D1" w:rsidRDefault="007048A7" w:rsidP="00D762D1">
                          <w:pPr>
                            <w:pStyle w:val="zFooter"/>
                            <w:rPr>
                              <w:color w:val="auto"/>
                            </w:rPr>
                          </w:pPr>
                          <w:r>
                            <w:rPr>
                              <w:color w:val="auto"/>
                            </w:rPr>
                            <w:t>March</w:t>
                          </w:r>
                          <w:r w:rsidR="00D762D1">
                            <w:rPr>
                              <w:color w:val="auto"/>
                            </w:rPr>
                            <w:t xml:space="preserve"> 2024</w:t>
                          </w:r>
                          <w:r w:rsidR="00D762D1" w:rsidRPr="00D762D1">
                            <w:rPr>
                              <w:color w:val="auto"/>
                            </w:rPr>
                            <w:t xml:space="preserve"> | WCO PSCG </w:t>
                          </w:r>
                          <w:r w:rsidR="00D762D1">
                            <w:rPr>
                              <w:color w:val="auto"/>
                            </w:rPr>
                            <w:t>project</w:t>
                          </w:r>
                          <w:r w:rsidR="00D762D1" w:rsidRPr="00D762D1">
                            <w:rPr>
                              <w:color w:val="auto"/>
                            </w:rPr>
                            <w:t xml:space="preserve"> | </w:t>
                          </w:r>
                          <w:r w:rsidR="00D762D1" w:rsidRPr="00D762D1">
                            <w:rPr>
                              <w:b/>
                              <w:bCs/>
                              <w:color w:val="auto"/>
                            </w:rPr>
                            <w:fldChar w:fldCharType="begin"/>
                          </w:r>
                          <w:r w:rsidR="00D762D1" w:rsidRPr="00D762D1">
                            <w:rPr>
                              <w:b/>
                              <w:bCs/>
                              <w:color w:val="auto"/>
                            </w:rPr>
                            <w:instrText xml:space="preserve"> PAGE </w:instrText>
                          </w:r>
                          <w:r w:rsidR="00D762D1" w:rsidRPr="00D762D1">
                            <w:rPr>
                              <w:b/>
                              <w:bCs/>
                              <w:color w:val="auto"/>
                            </w:rPr>
                            <w:fldChar w:fldCharType="separate"/>
                          </w:r>
                          <w:r w:rsidR="00D762D1" w:rsidRPr="00D762D1">
                            <w:rPr>
                              <w:b/>
                              <w:bCs/>
                              <w:color w:val="auto"/>
                            </w:rPr>
                            <w:t>2</w:t>
                          </w:r>
                          <w:r w:rsidR="00D762D1" w:rsidRPr="00D762D1">
                            <w:rPr>
                              <w:b/>
                              <w:bCs/>
                              <w:color w:val="auto"/>
                            </w:rPr>
                            <w:fldChar w:fldCharType="end"/>
                          </w:r>
                        </w:p>
                        <w:p w14:paraId="386D3884" w14:textId="77777777" w:rsidR="00D762D1" w:rsidRPr="00D762D1" w:rsidRDefault="00D762D1" w:rsidP="00D762D1">
                          <w:pPr>
                            <w:pStyle w:val="zFoo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50FB" id="_x0000_t202" coordsize="21600,21600" o:spt="202" path="m,l,21600r21600,l21600,xe">
              <v:stroke joinstyle="miter"/>
              <v:path gradientshapeok="t" o:connecttype="rect"/>
            </v:shapetype>
            <v:shape id="Text Box 3" o:spid="_x0000_s1026" type="#_x0000_t202" style="position:absolute;margin-left:58.45pt;margin-top:745pt;width:477.05pt;height:20.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" o:allowoverlap="f" filled="f" stroked="f">
              <v:path arrowok="t"/>
              <v:textbox inset="0,0,0,0">
                <w:txbxContent>
                  <w:p w14:paraId="02AA0B89" w14:textId="416AA98C" w:rsidR="00D762D1" w:rsidRPr="00D762D1" w:rsidRDefault="007048A7" w:rsidP="00D762D1">
                    <w:pPr>
                      <w:pStyle w:val="zFooter"/>
                      <w:rPr>
                        <w:color w:val="auto"/>
                      </w:rPr>
                    </w:pPr>
                    <w:r>
                      <w:rPr>
                        <w:color w:val="auto"/>
                      </w:rPr>
                      <w:t>March</w:t>
                    </w:r>
                    <w:r w:rsidR="00D762D1">
                      <w:rPr>
                        <w:color w:val="auto"/>
                      </w:rPr>
                      <w:t xml:space="preserve"> 2024</w:t>
                    </w:r>
                    <w:r w:rsidR="00D762D1" w:rsidRPr="00D762D1">
                      <w:rPr>
                        <w:color w:val="auto"/>
                      </w:rPr>
                      <w:t xml:space="preserve"> | WCO PSCG </w:t>
                    </w:r>
                    <w:r w:rsidR="00D762D1">
                      <w:rPr>
                        <w:color w:val="auto"/>
                      </w:rPr>
                      <w:t>project</w:t>
                    </w:r>
                    <w:r w:rsidR="00D762D1" w:rsidRPr="00D762D1">
                      <w:rPr>
                        <w:color w:val="auto"/>
                      </w:rPr>
                      <w:t xml:space="preserve"> | </w:t>
                    </w:r>
                    <w:r w:rsidR="00D762D1" w:rsidRPr="00D762D1">
                      <w:rPr>
                        <w:b/>
                        <w:bCs/>
                        <w:color w:val="auto"/>
                      </w:rPr>
                      <w:fldChar w:fldCharType="begin"/>
                    </w:r>
                    <w:r w:rsidR="00D762D1" w:rsidRPr="00D762D1">
                      <w:rPr>
                        <w:b/>
                        <w:bCs/>
                        <w:color w:val="auto"/>
                      </w:rPr>
                      <w:instrText xml:space="preserve"> PAGE </w:instrText>
                    </w:r>
                    <w:r w:rsidR="00D762D1" w:rsidRPr="00D762D1">
                      <w:rPr>
                        <w:b/>
                        <w:bCs/>
                        <w:color w:val="auto"/>
                      </w:rPr>
                      <w:fldChar w:fldCharType="separate"/>
                    </w:r>
                    <w:r w:rsidR="00D762D1" w:rsidRPr="00D762D1">
                      <w:rPr>
                        <w:b/>
                        <w:bCs/>
                        <w:color w:val="auto"/>
                      </w:rPr>
                      <w:t>2</w:t>
                    </w:r>
                    <w:r w:rsidR="00D762D1" w:rsidRPr="00D762D1">
                      <w:rPr>
                        <w:b/>
                        <w:bCs/>
                        <w:color w:val="auto"/>
                      </w:rPr>
                      <w:fldChar w:fldCharType="end"/>
                    </w:r>
                  </w:p>
                  <w:p w14:paraId="386D3884" w14:textId="77777777" w:rsidR="00D762D1" w:rsidRPr="00D762D1" w:rsidRDefault="00D762D1" w:rsidP="00D762D1">
                    <w:pPr>
                      <w:pStyle w:val="zFooter"/>
                      <w:rPr>
                        <w:color w:val="auto"/>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38CD" w14:textId="77777777" w:rsidR="001B2E5B" w:rsidRDefault="001B2E5B" w:rsidP="004A52D7">
      <w:pPr>
        <w:spacing w:after="0" w:line="240" w:lineRule="auto"/>
      </w:pPr>
      <w:r>
        <w:separator/>
      </w:r>
    </w:p>
  </w:footnote>
  <w:footnote w:type="continuationSeparator" w:id="0">
    <w:p w14:paraId="754F239D" w14:textId="77777777" w:rsidR="001B2E5B" w:rsidRDefault="001B2E5B" w:rsidP="004A52D7">
      <w:pPr>
        <w:spacing w:after="0" w:line="240" w:lineRule="auto"/>
      </w:pPr>
      <w:r>
        <w:continuationSeparator/>
      </w:r>
    </w:p>
  </w:footnote>
  <w:footnote w:type="continuationNotice" w:id="1">
    <w:p w14:paraId="067B91A3" w14:textId="77777777" w:rsidR="00F13006" w:rsidRDefault="00F13006">
      <w:pPr>
        <w:spacing w:after="0" w:line="240" w:lineRule="auto"/>
      </w:pPr>
    </w:p>
  </w:footnote>
  <w:footnote w:id="2">
    <w:p w14:paraId="597286B4" w14:textId="77777777" w:rsidR="006F27A2" w:rsidRPr="00212F01" w:rsidRDefault="006F27A2" w:rsidP="006F27A2">
      <w:pPr>
        <w:pStyle w:val="FootnoteText"/>
        <w:rPr>
          <w:rFonts w:ascii="Gellix" w:hAnsi="Gellix"/>
          <w:sz w:val="18"/>
          <w:szCs w:val="18"/>
          <w:lang w:val="en-GB"/>
        </w:rPr>
      </w:pPr>
      <w:r w:rsidRPr="00212F01">
        <w:rPr>
          <w:rStyle w:val="FootnoteReference"/>
          <w:rFonts w:ascii="Gellix" w:hAnsi="Gellix"/>
          <w:sz w:val="18"/>
          <w:szCs w:val="18"/>
        </w:rPr>
        <w:footnoteRef/>
      </w:r>
      <w:r w:rsidRPr="00212F01">
        <w:rPr>
          <w:rFonts w:ascii="Gellix" w:hAnsi="Gellix"/>
          <w:sz w:val="18"/>
          <w:szCs w:val="18"/>
        </w:rPr>
        <w:t xml:space="preserve"> </w:t>
      </w:r>
      <w:hyperlink r:id="rId1" w:history="1">
        <w:r w:rsidRPr="00212F01">
          <w:rPr>
            <w:rStyle w:val="Hyperlink"/>
            <w:rFonts w:ascii="Gellix" w:hAnsi="Gellix"/>
            <w:sz w:val="18"/>
            <w:szCs w:val="18"/>
          </w:rPr>
          <w:t>South African port congestion sees queue of 96 ships at anchor - The Loadstar</w:t>
        </w:r>
      </w:hyperlink>
    </w:p>
  </w:footnote>
  <w:footnote w:id="3">
    <w:p w14:paraId="7090B114" w14:textId="510BD161" w:rsidR="00453E96" w:rsidRPr="00212F01" w:rsidRDefault="00453E96" w:rsidP="00453E96">
      <w:pPr>
        <w:pStyle w:val="FootnoteText"/>
        <w:rPr>
          <w:rFonts w:ascii="Gellix" w:hAnsi="Gellix"/>
          <w:sz w:val="18"/>
          <w:szCs w:val="18"/>
        </w:rPr>
      </w:pPr>
      <w:r w:rsidRPr="00212F01">
        <w:rPr>
          <w:rStyle w:val="FootnoteReference"/>
          <w:rFonts w:ascii="Gellix" w:hAnsi="Gellix"/>
          <w:sz w:val="18"/>
          <w:szCs w:val="18"/>
        </w:rPr>
        <w:footnoteRef/>
      </w:r>
      <w:r w:rsidRPr="00212F01">
        <w:rPr>
          <w:rFonts w:ascii="Gellix" w:hAnsi="Gellix"/>
          <w:sz w:val="18"/>
          <w:szCs w:val="18"/>
        </w:rPr>
        <w:t xml:space="preserve"> UNECE (</w:t>
      </w:r>
      <w:r w:rsidR="00484D55" w:rsidRPr="00212F01">
        <w:rPr>
          <w:rFonts w:ascii="Gellix" w:hAnsi="Gellix"/>
          <w:sz w:val="18"/>
          <w:szCs w:val="18"/>
        </w:rPr>
        <w:t xml:space="preserve">01/2024): </w:t>
      </w:r>
      <w:hyperlink r:id="rId2" w:history="1">
        <w:r w:rsidRPr="00212F01">
          <w:rPr>
            <w:rStyle w:val="Hyperlink"/>
            <w:rFonts w:ascii="Gellix" w:hAnsi="Gellix"/>
            <w:sz w:val="18"/>
            <w:szCs w:val="18"/>
          </w:rPr>
          <w:t>Private Sector Participation in National Trade Facilitation Bodies (ECE/TRADE/479) | UNECE</w:t>
        </w:r>
      </w:hyperlink>
    </w:p>
  </w:footnote>
  <w:footnote w:id="4">
    <w:p w14:paraId="562BF0EE" w14:textId="77777777" w:rsidR="004A52D7" w:rsidRPr="00212F01" w:rsidRDefault="004A52D7" w:rsidP="004A52D7">
      <w:pPr>
        <w:pStyle w:val="FootnoteText"/>
        <w:rPr>
          <w:rFonts w:ascii="Gellix" w:hAnsi="Gellix"/>
          <w:sz w:val="18"/>
          <w:szCs w:val="18"/>
          <w:lang w:val="en-US"/>
        </w:rPr>
      </w:pPr>
      <w:r w:rsidRPr="00212F01">
        <w:rPr>
          <w:rStyle w:val="FootnoteReference"/>
          <w:rFonts w:ascii="Gellix" w:hAnsi="Gellix"/>
          <w:sz w:val="18"/>
          <w:szCs w:val="18"/>
        </w:rPr>
        <w:footnoteRef/>
      </w:r>
      <w:r w:rsidRPr="00212F01">
        <w:rPr>
          <w:rFonts w:ascii="Gellix" w:hAnsi="Gellix"/>
          <w:sz w:val="18"/>
          <w:szCs w:val="18"/>
        </w:rPr>
        <w:t xml:space="preserve"> https://www.cbp.gov/trade/stakeholder-engagement/coac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6194" w14:textId="77777777" w:rsidR="00440188" w:rsidRDefault="00440188" w:rsidP="00440188">
    <w:pPr>
      <w:pStyle w:val="Header"/>
      <w:rPr>
        <w:b/>
        <w:bCs/>
        <w:color w:val="FF0000"/>
        <w:lang w:val="en-GB"/>
      </w:rPr>
    </w:pPr>
    <w:r>
      <w:rPr>
        <w:b/>
        <w:bCs/>
        <w:color w:val="FF0000"/>
        <w:lang w:val="en-GB"/>
      </w:rPr>
      <w:t xml:space="preserve">DRAFT – </w:t>
    </w:r>
    <w:r w:rsidRPr="00206DE7">
      <w:rPr>
        <w:b/>
        <w:bCs/>
        <w:color w:val="FF0000"/>
        <w:lang w:val="en-GB"/>
      </w:rPr>
      <w:t>Not to be shared or forwarded further. Not for attribution or publication.</w:t>
    </w:r>
  </w:p>
  <w:p w14:paraId="1C7DBE9D" w14:textId="794C7BC6" w:rsidR="00634A44" w:rsidRDefault="00634A44" w:rsidP="00440188">
    <w:pPr>
      <w:pStyle w:val="Header"/>
      <w:jc w:val="right"/>
    </w:pPr>
    <w:r>
      <w:rPr>
        <w:noProof/>
      </w:rPr>
      <w:drawing>
        <wp:anchor distT="0" distB="0" distL="114300" distR="114300" simplePos="0" relativeHeight="251658240" behindDoc="0" locked="0" layoutInCell="1" allowOverlap="1" wp14:anchorId="41059277" wp14:editId="563E2275">
          <wp:simplePos x="0" y="0"/>
          <wp:positionH relativeFrom="column">
            <wp:posOffset>4725619</wp:posOffset>
          </wp:positionH>
          <wp:positionV relativeFrom="paragraph">
            <wp:posOffset>1397</wp:posOffset>
          </wp:positionV>
          <wp:extent cx="1217160" cy="756000"/>
          <wp:effectExtent l="0" t="0" r="2540" b="6350"/>
          <wp:wrapTopAndBottom/>
          <wp:docPr id="22" name="Image 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8"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7160" cy="75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7452"/>
    <w:multiLevelType w:val="hybridMultilevel"/>
    <w:tmpl w:val="3BEE85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D85605"/>
    <w:multiLevelType w:val="hybridMultilevel"/>
    <w:tmpl w:val="81A0708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B74D8C"/>
    <w:multiLevelType w:val="hybridMultilevel"/>
    <w:tmpl w:val="9878C9C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616A3"/>
    <w:multiLevelType w:val="hybridMultilevel"/>
    <w:tmpl w:val="4814B5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2D57B9"/>
    <w:multiLevelType w:val="hybridMultilevel"/>
    <w:tmpl w:val="488E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75A08"/>
    <w:multiLevelType w:val="hybridMultilevel"/>
    <w:tmpl w:val="A45255E8"/>
    <w:lvl w:ilvl="0" w:tplc="04090003">
      <w:start w:val="1"/>
      <w:numFmt w:val="bullet"/>
      <w:lvlText w:val="o"/>
      <w:lvlJc w:val="left"/>
      <w:pPr>
        <w:ind w:left="720" w:hanging="360"/>
      </w:pPr>
      <w:rPr>
        <w:rFonts w:ascii="Courier New" w:hAnsi="Courier New" w:cs="Courier New" w:hint="default"/>
      </w:rPr>
    </w:lvl>
    <w:lvl w:ilvl="1" w:tplc="E51048E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64EB4"/>
    <w:multiLevelType w:val="hybridMultilevel"/>
    <w:tmpl w:val="44002D4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F19F2"/>
    <w:multiLevelType w:val="multilevel"/>
    <w:tmpl w:val="CD9C909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3C3572"/>
    <w:multiLevelType w:val="hybridMultilevel"/>
    <w:tmpl w:val="3D1E0068"/>
    <w:lvl w:ilvl="0" w:tplc="E51048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16EB7"/>
    <w:multiLevelType w:val="hybridMultilevel"/>
    <w:tmpl w:val="47E47CB0"/>
    <w:lvl w:ilvl="0" w:tplc="EB0266C0">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9F33293"/>
    <w:multiLevelType w:val="hybridMultilevel"/>
    <w:tmpl w:val="FE129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296166">
    <w:abstractNumId w:val="9"/>
  </w:num>
  <w:num w:numId="2" w16cid:durableId="968634115">
    <w:abstractNumId w:val="5"/>
  </w:num>
  <w:num w:numId="3" w16cid:durableId="1936668041">
    <w:abstractNumId w:val="10"/>
  </w:num>
  <w:num w:numId="4" w16cid:durableId="1293291847">
    <w:abstractNumId w:val="0"/>
  </w:num>
  <w:num w:numId="5" w16cid:durableId="89619581">
    <w:abstractNumId w:val="3"/>
  </w:num>
  <w:num w:numId="6" w16cid:durableId="1271427836">
    <w:abstractNumId w:val="7"/>
  </w:num>
  <w:num w:numId="7" w16cid:durableId="1774742365">
    <w:abstractNumId w:val="1"/>
  </w:num>
  <w:num w:numId="8" w16cid:durableId="1783501472">
    <w:abstractNumId w:val="4"/>
  </w:num>
  <w:num w:numId="9" w16cid:durableId="2001425407">
    <w:abstractNumId w:val="2"/>
  </w:num>
  <w:num w:numId="10" w16cid:durableId="1256328444">
    <w:abstractNumId w:val="6"/>
  </w:num>
  <w:num w:numId="11" w16cid:durableId="1032531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formatting="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4B"/>
    <w:rsid w:val="00000FD0"/>
    <w:rsid w:val="000050C9"/>
    <w:rsid w:val="000053AA"/>
    <w:rsid w:val="00005D1D"/>
    <w:rsid w:val="00012EE4"/>
    <w:rsid w:val="000204DD"/>
    <w:rsid w:val="00021C44"/>
    <w:rsid w:val="00023AF2"/>
    <w:rsid w:val="00033147"/>
    <w:rsid w:val="00033EF9"/>
    <w:rsid w:val="00042027"/>
    <w:rsid w:val="000473BC"/>
    <w:rsid w:val="000566B8"/>
    <w:rsid w:val="00060F3F"/>
    <w:rsid w:val="0006414B"/>
    <w:rsid w:val="000645FB"/>
    <w:rsid w:val="00081BC0"/>
    <w:rsid w:val="00082C9B"/>
    <w:rsid w:val="00086279"/>
    <w:rsid w:val="000872FD"/>
    <w:rsid w:val="0009111B"/>
    <w:rsid w:val="000924B8"/>
    <w:rsid w:val="00093CE5"/>
    <w:rsid w:val="0009662E"/>
    <w:rsid w:val="000A07C2"/>
    <w:rsid w:val="000A1221"/>
    <w:rsid w:val="000A49D7"/>
    <w:rsid w:val="000A6EA8"/>
    <w:rsid w:val="000B51C3"/>
    <w:rsid w:val="000B5805"/>
    <w:rsid w:val="000B5B4B"/>
    <w:rsid w:val="000C0BA2"/>
    <w:rsid w:val="000C4089"/>
    <w:rsid w:val="000C561F"/>
    <w:rsid w:val="000C5F82"/>
    <w:rsid w:val="000C6940"/>
    <w:rsid w:val="000D30CB"/>
    <w:rsid w:val="000D789A"/>
    <w:rsid w:val="000E0CC9"/>
    <w:rsid w:val="000E3F18"/>
    <w:rsid w:val="000E4A51"/>
    <w:rsid w:val="000E55CE"/>
    <w:rsid w:val="000E7FE8"/>
    <w:rsid w:val="000F6BBC"/>
    <w:rsid w:val="00100D8B"/>
    <w:rsid w:val="0011379C"/>
    <w:rsid w:val="00113E49"/>
    <w:rsid w:val="00115D75"/>
    <w:rsid w:val="001217A9"/>
    <w:rsid w:val="001217E5"/>
    <w:rsid w:val="00121DFC"/>
    <w:rsid w:val="0012212C"/>
    <w:rsid w:val="0012243D"/>
    <w:rsid w:val="0012488B"/>
    <w:rsid w:val="0012604B"/>
    <w:rsid w:val="001308F7"/>
    <w:rsid w:val="00146B77"/>
    <w:rsid w:val="00152369"/>
    <w:rsid w:val="00152882"/>
    <w:rsid w:val="00153C59"/>
    <w:rsid w:val="00174EE2"/>
    <w:rsid w:val="00175365"/>
    <w:rsid w:val="001808F3"/>
    <w:rsid w:val="00181323"/>
    <w:rsid w:val="001839A8"/>
    <w:rsid w:val="0018463C"/>
    <w:rsid w:val="00184F83"/>
    <w:rsid w:val="00186189"/>
    <w:rsid w:val="00190CEC"/>
    <w:rsid w:val="00192E03"/>
    <w:rsid w:val="0019300D"/>
    <w:rsid w:val="00194AD6"/>
    <w:rsid w:val="00197F02"/>
    <w:rsid w:val="001B1B58"/>
    <w:rsid w:val="001B2880"/>
    <w:rsid w:val="001B2CEA"/>
    <w:rsid w:val="001B2E5B"/>
    <w:rsid w:val="001B31DD"/>
    <w:rsid w:val="001C1BFF"/>
    <w:rsid w:val="001C1FA4"/>
    <w:rsid w:val="001C3903"/>
    <w:rsid w:val="001C4010"/>
    <w:rsid w:val="001C5C33"/>
    <w:rsid w:val="001C663C"/>
    <w:rsid w:val="001C775B"/>
    <w:rsid w:val="001D3148"/>
    <w:rsid w:val="001E159D"/>
    <w:rsid w:val="001F05AC"/>
    <w:rsid w:val="001F1020"/>
    <w:rsid w:val="001F10A4"/>
    <w:rsid w:val="001F1FAC"/>
    <w:rsid w:val="001F247E"/>
    <w:rsid w:val="001F458B"/>
    <w:rsid w:val="0020150D"/>
    <w:rsid w:val="00202C7E"/>
    <w:rsid w:val="00202DA9"/>
    <w:rsid w:val="00204E0D"/>
    <w:rsid w:val="00210B0F"/>
    <w:rsid w:val="00212F01"/>
    <w:rsid w:val="002134B7"/>
    <w:rsid w:val="00217EB1"/>
    <w:rsid w:val="00221B75"/>
    <w:rsid w:val="00222829"/>
    <w:rsid w:val="002311DA"/>
    <w:rsid w:val="00233985"/>
    <w:rsid w:val="00233CCB"/>
    <w:rsid w:val="002340A5"/>
    <w:rsid w:val="00242EDF"/>
    <w:rsid w:val="00244610"/>
    <w:rsid w:val="002502BB"/>
    <w:rsid w:val="002516F1"/>
    <w:rsid w:val="00256712"/>
    <w:rsid w:val="00256EC2"/>
    <w:rsid w:val="00261D70"/>
    <w:rsid w:val="00262AFF"/>
    <w:rsid w:val="002653DE"/>
    <w:rsid w:val="002670FC"/>
    <w:rsid w:val="00273B55"/>
    <w:rsid w:val="00275DCD"/>
    <w:rsid w:val="00291285"/>
    <w:rsid w:val="002912D4"/>
    <w:rsid w:val="002933A0"/>
    <w:rsid w:val="002966B1"/>
    <w:rsid w:val="002A4A87"/>
    <w:rsid w:val="002A67B3"/>
    <w:rsid w:val="002A6912"/>
    <w:rsid w:val="002A6AA7"/>
    <w:rsid w:val="002A776A"/>
    <w:rsid w:val="002B09FB"/>
    <w:rsid w:val="002B15E3"/>
    <w:rsid w:val="002B26C1"/>
    <w:rsid w:val="002C1B8C"/>
    <w:rsid w:val="002C56E5"/>
    <w:rsid w:val="002C7303"/>
    <w:rsid w:val="002D2833"/>
    <w:rsid w:val="002D3E02"/>
    <w:rsid w:val="002D544C"/>
    <w:rsid w:val="002D6972"/>
    <w:rsid w:val="002E00F4"/>
    <w:rsid w:val="002E0E3E"/>
    <w:rsid w:val="002E1386"/>
    <w:rsid w:val="002E43BF"/>
    <w:rsid w:val="002E4DEC"/>
    <w:rsid w:val="002E50DA"/>
    <w:rsid w:val="002F2318"/>
    <w:rsid w:val="002F2BBD"/>
    <w:rsid w:val="002F4DFE"/>
    <w:rsid w:val="002F6C84"/>
    <w:rsid w:val="0030138F"/>
    <w:rsid w:val="003013B8"/>
    <w:rsid w:val="00306863"/>
    <w:rsid w:val="00311321"/>
    <w:rsid w:val="003145B0"/>
    <w:rsid w:val="0031648F"/>
    <w:rsid w:val="00322CBE"/>
    <w:rsid w:val="00324BDE"/>
    <w:rsid w:val="00325578"/>
    <w:rsid w:val="0032587A"/>
    <w:rsid w:val="00325F79"/>
    <w:rsid w:val="00325FC7"/>
    <w:rsid w:val="00330CFB"/>
    <w:rsid w:val="00333127"/>
    <w:rsid w:val="003418DB"/>
    <w:rsid w:val="00342ED4"/>
    <w:rsid w:val="00343BAE"/>
    <w:rsid w:val="00344B25"/>
    <w:rsid w:val="00350BEC"/>
    <w:rsid w:val="003515ED"/>
    <w:rsid w:val="003534A3"/>
    <w:rsid w:val="00353C56"/>
    <w:rsid w:val="003610D5"/>
    <w:rsid w:val="00362F29"/>
    <w:rsid w:val="0038070C"/>
    <w:rsid w:val="00382D9C"/>
    <w:rsid w:val="00385712"/>
    <w:rsid w:val="00387457"/>
    <w:rsid w:val="00387FA4"/>
    <w:rsid w:val="003913E0"/>
    <w:rsid w:val="00393B9F"/>
    <w:rsid w:val="00395505"/>
    <w:rsid w:val="00397235"/>
    <w:rsid w:val="00397AA7"/>
    <w:rsid w:val="003A1615"/>
    <w:rsid w:val="003A5AB6"/>
    <w:rsid w:val="003B3083"/>
    <w:rsid w:val="003C052A"/>
    <w:rsid w:val="003C066A"/>
    <w:rsid w:val="003C2693"/>
    <w:rsid w:val="003C511C"/>
    <w:rsid w:val="003C62A5"/>
    <w:rsid w:val="003C73E4"/>
    <w:rsid w:val="003D0272"/>
    <w:rsid w:val="003D5083"/>
    <w:rsid w:val="003E003F"/>
    <w:rsid w:val="003E2B3E"/>
    <w:rsid w:val="003E597C"/>
    <w:rsid w:val="003E6B47"/>
    <w:rsid w:val="003F096F"/>
    <w:rsid w:val="003F2C43"/>
    <w:rsid w:val="003F319E"/>
    <w:rsid w:val="003F3CD1"/>
    <w:rsid w:val="00401AEB"/>
    <w:rsid w:val="00402067"/>
    <w:rsid w:val="00403F88"/>
    <w:rsid w:val="0040549D"/>
    <w:rsid w:val="00406DA3"/>
    <w:rsid w:val="00410577"/>
    <w:rsid w:val="00410B4D"/>
    <w:rsid w:val="004113DE"/>
    <w:rsid w:val="00413392"/>
    <w:rsid w:val="00415543"/>
    <w:rsid w:val="00416B2F"/>
    <w:rsid w:val="00417A2C"/>
    <w:rsid w:val="004211BC"/>
    <w:rsid w:val="0042414D"/>
    <w:rsid w:val="0042641B"/>
    <w:rsid w:val="0042784D"/>
    <w:rsid w:val="00431957"/>
    <w:rsid w:val="004319F7"/>
    <w:rsid w:val="004326ED"/>
    <w:rsid w:val="00432D42"/>
    <w:rsid w:val="00433DB3"/>
    <w:rsid w:val="00434F7C"/>
    <w:rsid w:val="00440188"/>
    <w:rsid w:val="0044209C"/>
    <w:rsid w:val="00442742"/>
    <w:rsid w:val="0044455E"/>
    <w:rsid w:val="0044676A"/>
    <w:rsid w:val="00446B1E"/>
    <w:rsid w:val="004529D3"/>
    <w:rsid w:val="00453E96"/>
    <w:rsid w:val="004720E3"/>
    <w:rsid w:val="00476FCB"/>
    <w:rsid w:val="004838E6"/>
    <w:rsid w:val="00483F81"/>
    <w:rsid w:val="004843DE"/>
    <w:rsid w:val="00484D55"/>
    <w:rsid w:val="00490D91"/>
    <w:rsid w:val="00495B2C"/>
    <w:rsid w:val="0049691D"/>
    <w:rsid w:val="004A1644"/>
    <w:rsid w:val="004A52D7"/>
    <w:rsid w:val="004A7C48"/>
    <w:rsid w:val="004B4D26"/>
    <w:rsid w:val="004B6E78"/>
    <w:rsid w:val="004C67BF"/>
    <w:rsid w:val="004C77F5"/>
    <w:rsid w:val="004C7BD5"/>
    <w:rsid w:val="004C7F68"/>
    <w:rsid w:val="004D2BB7"/>
    <w:rsid w:val="004D4B2C"/>
    <w:rsid w:val="004E0105"/>
    <w:rsid w:val="004E041E"/>
    <w:rsid w:val="004E1A6C"/>
    <w:rsid w:val="004E2910"/>
    <w:rsid w:val="004E6536"/>
    <w:rsid w:val="004E6976"/>
    <w:rsid w:val="004E7411"/>
    <w:rsid w:val="004F1F5C"/>
    <w:rsid w:val="004F2947"/>
    <w:rsid w:val="004F47C1"/>
    <w:rsid w:val="004F65EE"/>
    <w:rsid w:val="00505BB5"/>
    <w:rsid w:val="005067F9"/>
    <w:rsid w:val="00510359"/>
    <w:rsid w:val="00511E91"/>
    <w:rsid w:val="0051238B"/>
    <w:rsid w:val="005123F4"/>
    <w:rsid w:val="00513DF4"/>
    <w:rsid w:val="0051522D"/>
    <w:rsid w:val="00515562"/>
    <w:rsid w:val="00515F4C"/>
    <w:rsid w:val="00521A8F"/>
    <w:rsid w:val="0052287B"/>
    <w:rsid w:val="00523075"/>
    <w:rsid w:val="00526915"/>
    <w:rsid w:val="005324EF"/>
    <w:rsid w:val="00532B0D"/>
    <w:rsid w:val="00533690"/>
    <w:rsid w:val="005371A9"/>
    <w:rsid w:val="00540185"/>
    <w:rsid w:val="005402E3"/>
    <w:rsid w:val="0054243F"/>
    <w:rsid w:val="00543657"/>
    <w:rsid w:val="00552750"/>
    <w:rsid w:val="005529F9"/>
    <w:rsid w:val="00552A25"/>
    <w:rsid w:val="00552B94"/>
    <w:rsid w:val="00553342"/>
    <w:rsid w:val="00554ED9"/>
    <w:rsid w:val="00560606"/>
    <w:rsid w:val="00561A57"/>
    <w:rsid w:val="0056509A"/>
    <w:rsid w:val="0056598F"/>
    <w:rsid w:val="00566DD6"/>
    <w:rsid w:val="0056771E"/>
    <w:rsid w:val="00574F81"/>
    <w:rsid w:val="005760E4"/>
    <w:rsid w:val="00580D4E"/>
    <w:rsid w:val="00586102"/>
    <w:rsid w:val="00590DF8"/>
    <w:rsid w:val="00596597"/>
    <w:rsid w:val="005A0375"/>
    <w:rsid w:val="005B003B"/>
    <w:rsid w:val="005B14EB"/>
    <w:rsid w:val="005B1EA8"/>
    <w:rsid w:val="005B2A66"/>
    <w:rsid w:val="005B6074"/>
    <w:rsid w:val="005C2330"/>
    <w:rsid w:val="005C28CE"/>
    <w:rsid w:val="005C32DF"/>
    <w:rsid w:val="005C4842"/>
    <w:rsid w:val="005E2540"/>
    <w:rsid w:val="005E60BF"/>
    <w:rsid w:val="005F197B"/>
    <w:rsid w:val="005F2EFB"/>
    <w:rsid w:val="005F34EE"/>
    <w:rsid w:val="005F421A"/>
    <w:rsid w:val="005F4B6C"/>
    <w:rsid w:val="005F4D91"/>
    <w:rsid w:val="006014FD"/>
    <w:rsid w:val="00603678"/>
    <w:rsid w:val="006059A5"/>
    <w:rsid w:val="00606C5F"/>
    <w:rsid w:val="00606E1E"/>
    <w:rsid w:val="00607F5F"/>
    <w:rsid w:val="00612C80"/>
    <w:rsid w:val="006166F2"/>
    <w:rsid w:val="00617D6F"/>
    <w:rsid w:val="00620E91"/>
    <w:rsid w:val="00621FE9"/>
    <w:rsid w:val="00622405"/>
    <w:rsid w:val="006248F8"/>
    <w:rsid w:val="00627103"/>
    <w:rsid w:val="00631B24"/>
    <w:rsid w:val="00631C5C"/>
    <w:rsid w:val="00634A31"/>
    <w:rsid w:val="00634A44"/>
    <w:rsid w:val="006427CF"/>
    <w:rsid w:val="0064369D"/>
    <w:rsid w:val="0064375D"/>
    <w:rsid w:val="00644FEE"/>
    <w:rsid w:val="006527A9"/>
    <w:rsid w:val="00653232"/>
    <w:rsid w:val="00653CDE"/>
    <w:rsid w:val="006554CC"/>
    <w:rsid w:val="00656672"/>
    <w:rsid w:val="00661993"/>
    <w:rsid w:val="0066313A"/>
    <w:rsid w:val="00664641"/>
    <w:rsid w:val="00674471"/>
    <w:rsid w:val="0067518D"/>
    <w:rsid w:val="00680EF2"/>
    <w:rsid w:val="00685673"/>
    <w:rsid w:val="0068630C"/>
    <w:rsid w:val="00687FF5"/>
    <w:rsid w:val="006903C6"/>
    <w:rsid w:val="00692D80"/>
    <w:rsid w:val="00693719"/>
    <w:rsid w:val="00693E59"/>
    <w:rsid w:val="00697E27"/>
    <w:rsid w:val="006A1345"/>
    <w:rsid w:val="006A337C"/>
    <w:rsid w:val="006A3926"/>
    <w:rsid w:val="006A65C7"/>
    <w:rsid w:val="006B0B4B"/>
    <w:rsid w:val="006B1796"/>
    <w:rsid w:val="006B5B25"/>
    <w:rsid w:val="006B5D07"/>
    <w:rsid w:val="006B5E15"/>
    <w:rsid w:val="006C08F7"/>
    <w:rsid w:val="006C55C8"/>
    <w:rsid w:val="006D312B"/>
    <w:rsid w:val="006E0166"/>
    <w:rsid w:val="006E5E7F"/>
    <w:rsid w:val="006E5F84"/>
    <w:rsid w:val="006E7D24"/>
    <w:rsid w:val="006F0982"/>
    <w:rsid w:val="006F27A2"/>
    <w:rsid w:val="006F33AC"/>
    <w:rsid w:val="006F3FD4"/>
    <w:rsid w:val="006F44FB"/>
    <w:rsid w:val="00700A36"/>
    <w:rsid w:val="0070463E"/>
    <w:rsid w:val="007047AB"/>
    <w:rsid w:val="007048A7"/>
    <w:rsid w:val="0070505C"/>
    <w:rsid w:val="007110A7"/>
    <w:rsid w:val="0071517A"/>
    <w:rsid w:val="00717E2A"/>
    <w:rsid w:val="0072178C"/>
    <w:rsid w:val="00723B8E"/>
    <w:rsid w:val="00726B31"/>
    <w:rsid w:val="00733D50"/>
    <w:rsid w:val="00734853"/>
    <w:rsid w:val="00742F1E"/>
    <w:rsid w:val="007436C5"/>
    <w:rsid w:val="00745DA3"/>
    <w:rsid w:val="007518C5"/>
    <w:rsid w:val="00752D15"/>
    <w:rsid w:val="00754A9D"/>
    <w:rsid w:val="00754B12"/>
    <w:rsid w:val="007562CC"/>
    <w:rsid w:val="007622F8"/>
    <w:rsid w:val="00762FAC"/>
    <w:rsid w:val="00763CDE"/>
    <w:rsid w:val="0077198F"/>
    <w:rsid w:val="00772075"/>
    <w:rsid w:val="00772365"/>
    <w:rsid w:val="00774B79"/>
    <w:rsid w:val="007863A3"/>
    <w:rsid w:val="00787C18"/>
    <w:rsid w:val="00790B5A"/>
    <w:rsid w:val="00792554"/>
    <w:rsid w:val="0079557A"/>
    <w:rsid w:val="007A6960"/>
    <w:rsid w:val="007B3020"/>
    <w:rsid w:val="007B47ED"/>
    <w:rsid w:val="007C1A49"/>
    <w:rsid w:val="007C3C60"/>
    <w:rsid w:val="007C562E"/>
    <w:rsid w:val="007C787F"/>
    <w:rsid w:val="007C7EF0"/>
    <w:rsid w:val="007D329D"/>
    <w:rsid w:val="007D3C0B"/>
    <w:rsid w:val="007D4C3C"/>
    <w:rsid w:val="007E07D6"/>
    <w:rsid w:val="007E0CBC"/>
    <w:rsid w:val="007E130F"/>
    <w:rsid w:val="007E6A2E"/>
    <w:rsid w:val="007F1C94"/>
    <w:rsid w:val="007F3547"/>
    <w:rsid w:val="00807124"/>
    <w:rsid w:val="00814924"/>
    <w:rsid w:val="008222E7"/>
    <w:rsid w:val="0082246E"/>
    <w:rsid w:val="0082491B"/>
    <w:rsid w:val="0083356C"/>
    <w:rsid w:val="00835C8A"/>
    <w:rsid w:val="0083687E"/>
    <w:rsid w:val="0084056B"/>
    <w:rsid w:val="0084280B"/>
    <w:rsid w:val="008433D8"/>
    <w:rsid w:val="00847C6E"/>
    <w:rsid w:val="00847D28"/>
    <w:rsid w:val="00850739"/>
    <w:rsid w:val="0085091D"/>
    <w:rsid w:val="00861DB6"/>
    <w:rsid w:val="00867A03"/>
    <w:rsid w:val="00870D11"/>
    <w:rsid w:val="008713D3"/>
    <w:rsid w:val="00874C2E"/>
    <w:rsid w:val="0087703D"/>
    <w:rsid w:val="00877E56"/>
    <w:rsid w:val="0088143C"/>
    <w:rsid w:val="008837F1"/>
    <w:rsid w:val="00892278"/>
    <w:rsid w:val="00892847"/>
    <w:rsid w:val="00893F84"/>
    <w:rsid w:val="0089599F"/>
    <w:rsid w:val="008A3834"/>
    <w:rsid w:val="008A3B9A"/>
    <w:rsid w:val="008A6885"/>
    <w:rsid w:val="008A7578"/>
    <w:rsid w:val="008B5264"/>
    <w:rsid w:val="008B54F0"/>
    <w:rsid w:val="008C48C5"/>
    <w:rsid w:val="008C4D3F"/>
    <w:rsid w:val="008D059E"/>
    <w:rsid w:val="008D3024"/>
    <w:rsid w:val="008D321F"/>
    <w:rsid w:val="008D377C"/>
    <w:rsid w:val="008D5B9A"/>
    <w:rsid w:val="008D623C"/>
    <w:rsid w:val="008E1218"/>
    <w:rsid w:val="008E75EB"/>
    <w:rsid w:val="008F1294"/>
    <w:rsid w:val="008F1989"/>
    <w:rsid w:val="008F2F16"/>
    <w:rsid w:val="008F3908"/>
    <w:rsid w:val="008F3F88"/>
    <w:rsid w:val="008F6CEE"/>
    <w:rsid w:val="00901658"/>
    <w:rsid w:val="0090327F"/>
    <w:rsid w:val="009078B3"/>
    <w:rsid w:val="00915F9E"/>
    <w:rsid w:val="0091701E"/>
    <w:rsid w:val="0091706A"/>
    <w:rsid w:val="00920129"/>
    <w:rsid w:val="00922F72"/>
    <w:rsid w:val="009230A0"/>
    <w:rsid w:val="00924458"/>
    <w:rsid w:val="009269C9"/>
    <w:rsid w:val="00932BF8"/>
    <w:rsid w:val="00933738"/>
    <w:rsid w:val="00935BA9"/>
    <w:rsid w:val="009375A7"/>
    <w:rsid w:val="009379EF"/>
    <w:rsid w:val="0094345B"/>
    <w:rsid w:val="00944907"/>
    <w:rsid w:val="009467AA"/>
    <w:rsid w:val="009478C9"/>
    <w:rsid w:val="009559D7"/>
    <w:rsid w:val="00955B37"/>
    <w:rsid w:val="00955EEB"/>
    <w:rsid w:val="009618CA"/>
    <w:rsid w:val="009621BE"/>
    <w:rsid w:val="0097447E"/>
    <w:rsid w:val="00974736"/>
    <w:rsid w:val="009750ED"/>
    <w:rsid w:val="00982A27"/>
    <w:rsid w:val="00982AC3"/>
    <w:rsid w:val="009838D2"/>
    <w:rsid w:val="00985688"/>
    <w:rsid w:val="00986285"/>
    <w:rsid w:val="00986BF4"/>
    <w:rsid w:val="00987252"/>
    <w:rsid w:val="009A19B4"/>
    <w:rsid w:val="009A19E5"/>
    <w:rsid w:val="009B2547"/>
    <w:rsid w:val="009B4D01"/>
    <w:rsid w:val="009C2F79"/>
    <w:rsid w:val="009D4625"/>
    <w:rsid w:val="009D5FB7"/>
    <w:rsid w:val="009D663D"/>
    <w:rsid w:val="009E2CA0"/>
    <w:rsid w:val="009E67E0"/>
    <w:rsid w:val="009E7C03"/>
    <w:rsid w:val="009F45BE"/>
    <w:rsid w:val="009F665C"/>
    <w:rsid w:val="009F7AD2"/>
    <w:rsid w:val="00A00AAD"/>
    <w:rsid w:val="00A024A3"/>
    <w:rsid w:val="00A06A70"/>
    <w:rsid w:val="00A12193"/>
    <w:rsid w:val="00A21B7F"/>
    <w:rsid w:val="00A24B02"/>
    <w:rsid w:val="00A251D5"/>
    <w:rsid w:val="00A25D32"/>
    <w:rsid w:val="00A25E9C"/>
    <w:rsid w:val="00A27C6E"/>
    <w:rsid w:val="00A32854"/>
    <w:rsid w:val="00A374C1"/>
    <w:rsid w:val="00A37E49"/>
    <w:rsid w:val="00A42536"/>
    <w:rsid w:val="00A47660"/>
    <w:rsid w:val="00A52F2A"/>
    <w:rsid w:val="00A5360F"/>
    <w:rsid w:val="00A53F94"/>
    <w:rsid w:val="00A54F49"/>
    <w:rsid w:val="00A57566"/>
    <w:rsid w:val="00A601C0"/>
    <w:rsid w:val="00A622BD"/>
    <w:rsid w:val="00A667E4"/>
    <w:rsid w:val="00A76564"/>
    <w:rsid w:val="00A804A2"/>
    <w:rsid w:val="00A82152"/>
    <w:rsid w:val="00A84753"/>
    <w:rsid w:val="00A849A7"/>
    <w:rsid w:val="00A863B3"/>
    <w:rsid w:val="00A90F7B"/>
    <w:rsid w:val="00AA0501"/>
    <w:rsid w:val="00AA2FF5"/>
    <w:rsid w:val="00AB03BC"/>
    <w:rsid w:val="00AB0A87"/>
    <w:rsid w:val="00AB1C3A"/>
    <w:rsid w:val="00AB256D"/>
    <w:rsid w:val="00AC1409"/>
    <w:rsid w:val="00AC1D17"/>
    <w:rsid w:val="00AC5768"/>
    <w:rsid w:val="00AC6394"/>
    <w:rsid w:val="00AC65DF"/>
    <w:rsid w:val="00AD01D7"/>
    <w:rsid w:val="00AD0F0B"/>
    <w:rsid w:val="00AD1AFC"/>
    <w:rsid w:val="00AD2C52"/>
    <w:rsid w:val="00AD3A30"/>
    <w:rsid w:val="00AD751A"/>
    <w:rsid w:val="00AE36B5"/>
    <w:rsid w:val="00AE4390"/>
    <w:rsid w:val="00AE4958"/>
    <w:rsid w:val="00AE6830"/>
    <w:rsid w:val="00AE6E02"/>
    <w:rsid w:val="00AE6E3C"/>
    <w:rsid w:val="00AF097D"/>
    <w:rsid w:val="00AF4D87"/>
    <w:rsid w:val="00AF6C1E"/>
    <w:rsid w:val="00AF7E32"/>
    <w:rsid w:val="00B0012B"/>
    <w:rsid w:val="00B00BD3"/>
    <w:rsid w:val="00B02FC7"/>
    <w:rsid w:val="00B0398D"/>
    <w:rsid w:val="00B04C98"/>
    <w:rsid w:val="00B137A4"/>
    <w:rsid w:val="00B13C0B"/>
    <w:rsid w:val="00B158B0"/>
    <w:rsid w:val="00B21D96"/>
    <w:rsid w:val="00B23754"/>
    <w:rsid w:val="00B26397"/>
    <w:rsid w:val="00B308D0"/>
    <w:rsid w:val="00B3291E"/>
    <w:rsid w:val="00B32E33"/>
    <w:rsid w:val="00B347E7"/>
    <w:rsid w:val="00B41228"/>
    <w:rsid w:val="00B422D0"/>
    <w:rsid w:val="00B43893"/>
    <w:rsid w:val="00B45679"/>
    <w:rsid w:val="00B51941"/>
    <w:rsid w:val="00B52111"/>
    <w:rsid w:val="00B52461"/>
    <w:rsid w:val="00B5276C"/>
    <w:rsid w:val="00B53889"/>
    <w:rsid w:val="00B6669C"/>
    <w:rsid w:val="00B705ED"/>
    <w:rsid w:val="00B768CE"/>
    <w:rsid w:val="00B80771"/>
    <w:rsid w:val="00B80C90"/>
    <w:rsid w:val="00B831AF"/>
    <w:rsid w:val="00B8472C"/>
    <w:rsid w:val="00B85568"/>
    <w:rsid w:val="00B86085"/>
    <w:rsid w:val="00B8761D"/>
    <w:rsid w:val="00B910B9"/>
    <w:rsid w:val="00B936E6"/>
    <w:rsid w:val="00B9388B"/>
    <w:rsid w:val="00B96EFC"/>
    <w:rsid w:val="00B97B7A"/>
    <w:rsid w:val="00BA0005"/>
    <w:rsid w:val="00BA0C5C"/>
    <w:rsid w:val="00BA3CF6"/>
    <w:rsid w:val="00BA6451"/>
    <w:rsid w:val="00BB0C43"/>
    <w:rsid w:val="00BB1F32"/>
    <w:rsid w:val="00BB7079"/>
    <w:rsid w:val="00BC1D01"/>
    <w:rsid w:val="00BD1852"/>
    <w:rsid w:val="00BD1AFA"/>
    <w:rsid w:val="00BD24FA"/>
    <w:rsid w:val="00BD3EE1"/>
    <w:rsid w:val="00BD657F"/>
    <w:rsid w:val="00BD7746"/>
    <w:rsid w:val="00BE1016"/>
    <w:rsid w:val="00BE3313"/>
    <w:rsid w:val="00BE57AC"/>
    <w:rsid w:val="00BF01D7"/>
    <w:rsid w:val="00BF1DCE"/>
    <w:rsid w:val="00BF38D6"/>
    <w:rsid w:val="00BF7CC3"/>
    <w:rsid w:val="00C00046"/>
    <w:rsid w:val="00C007EE"/>
    <w:rsid w:val="00C046D0"/>
    <w:rsid w:val="00C215BC"/>
    <w:rsid w:val="00C21C83"/>
    <w:rsid w:val="00C22AC0"/>
    <w:rsid w:val="00C25A6A"/>
    <w:rsid w:val="00C26DE4"/>
    <w:rsid w:val="00C27304"/>
    <w:rsid w:val="00C31EA8"/>
    <w:rsid w:val="00C345B1"/>
    <w:rsid w:val="00C3475A"/>
    <w:rsid w:val="00C376B3"/>
    <w:rsid w:val="00C40B0F"/>
    <w:rsid w:val="00C410D9"/>
    <w:rsid w:val="00C421E4"/>
    <w:rsid w:val="00C42B4E"/>
    <w:rsid w:val="00C44DD5"/>
    <w:rsid w:val="00C47D8A"/>
    <w:rsid w:val="00C52363"/>
    <w:rsid w:val="00C60D23"/>
    <w:rsid w:val="00C634B9"/>
    <w:rsid w:val="00C754C5"/>
    <w:rsid w:val="00C80C28"/>
    <w:rsid w:val="00C81515"/>
    <w:rsid w:val="00C822CB"/>
    <w:rsid w:val="00C83D76"/>
    <w:rsid w:val="00C843D7"/>
    <w:rsid w:val="00C84F68"/>
    <w:rsid w:val="00C86D5B"/>
    <w:rsid w:val="00C91FF0"/>
    <w:rsid w:val="00C92571"/>
    <w:rsid w:val="00C95E6F"/>
    <w:rsid w:val="00C963BC"/>
    <w:rsid w:val="00CA10B1"/>
    <w:rsid w:val="00CA5415"/>
    <w:rsid w:val="00CA6DC9"/>
    <w:rsid w:val="00CA6E41"/>
    <w:rsid w:val="00CB4893"/>
    <w:rsid w:val="00CC5F6D"/>
    <w:rsid w:val="00CC7CBB"/>
    <w:rsid w:val="00CD0F18"/>
    <w:rsid w:val="00CD21CB"/>
    <w:rsid w:val="00CD3774"/>
    <w:rsid w:val="00CD58A1"/>
    <w:rsid w:val="00CD6170"/>
    <w:rsid w:val="00CD64D5"/>
    <w:rsid w:val="00CE2D84"/>
    <w:rsid w:val="00CE524F"/>
    <w:rsid w:val="00CF47E5"/>
    <w:rsid w:val="00CF636C"/>
    <w:rsid w:val="00CF7333"/>
    <w:rsid w:val="00D035E1"/>
    <w:rsid w:val="00D04792"/>
    <w:rsid w:val="00D05087"/>
    <w:rsid w:val="00D106B2"/>
    <w:rsid w:val="00D13A54"/>
    <w:rsid w:val="00D25E4E"/>
    <w:rsid w:val="00D26AF7"/>
    <w:rsid w:val="00D34BC3"/>
    <w:rsid w:val="00D47D9F"/>
    <w:rsid w:val="00D56951"/>
    <w:rsid w:val="00D62418"/>
    <w:rsid w:val="00D62633"/>
    <w:rsid w:val="00D628C7"/>
    <w:rsid w:val="00D64C32"/>
    <w:rsid w:val="00D727E6"/>
    <w:rsid w:val="00D73966"/>
    <w:rsid w:val="00D74093"/>
    <w:rsid w:val="00D762D1"/>
    <w:rsid w:val="00D802F9"/>
    <w:rsid w:val="00D81064"/>
    <w:rsid w:val="00D82AF0"/>
    <w:rsid w:val="00D90081"/>
    <w:rsid w:val="00D94B69"/>
    <w:rsid w:val="00D9600D"/>
    <w:rsid w:val="00D9680E"/>
    <w:rsid w:val="00DA383F"/>
    <w:rsid w:val="00DA4CE9"/>
    <w:rsid w:val="00DA5548"/>
    <w:rsid w:val="00DA747D"/>
    <w:rsid w:val="00DB13E2"/>
    <w:rsid w:val="00DB2468"/>
    <w:rsid w:val="00DB4B0D"/>
    <w:rsid w:val="00DB70EA"/>
    <w:rsid w:val="00DB78F0"/>
    <w:rsid w:val="00DC20E3"/>
    <w:rsid w:val="00DC2640"/>
    <w:rsid w:val="00DC61B6"/>
    <w:rsid w:val="00DC7127"/>
    <w:rsid w:val="00DD185A"/>
    <w:rsid w:val="00DD287B"/>
    <w:rsid w:val="00DD33C9"/>
    <w:rsid w:val="00DD6A3F"/>
    <w:rsid w:val="00DE4B52"/>
    <w:rsid w:val="00DE4FDE"/>
    <w:rsid w:val="00DF14C0"/>
    <w:rsid w:val="00DF2786"/>
    <w:rsid w:val="00DF2B2F"/>
    <w:rsid w:val="00DF37DA"/>
    <w:rsid w:val="00DF48FB"/>
    <w:rsid w:val="00DF4D1C"/>
    <w:rsid w:val="00DF6BF8"/>
    <w:rsid w:val="00E00399"/>
    <w:rsid w:val="00E00DE5"/>
    <w:rsid w:val="00E0102A"/>
    <w:rsid w:val="00E05190"/>
    <w:rsid w:val="00E05E86"/>
    <w:rsid w:val="00E07402"/>
    <w:rsid w:val="00E131A4"/>
    <w:rsid w:val="00E16279"/>
    <w:rsid w:val="00E16B82"/>
    <w:rsid w:val="00E24CF6"/>
    <w:rsid w:val="00E264ED"/>
    <w:rsid w:val="00E30AF8"/>
    <w:rsid w:val="00E33EFB"/>
    <w:rsid w:val="00E34048"/>
    <w:rsid w:val="00E34B19"/>
    <w:rsid w:val="00E41905"/>
    <w:rsid w:val="00E428AA"/>
    <w:rsid w:val="00E4437D"/>
    <w:rsid w:val="00E45689"/>
    <w:rsid w:val="00E46BE9"/>
    <w:rsid w:val="00E4745B"/>
    <w:rsid w:val="00E56000"/>
    <w:rsid w:val="00E60749"/>
    <w:rsid w:val="00E61C7D"/>
    <w:rsid w:val="00E64E68"/>
    <w:rsid w:val="00E67D38"/>
    <w:rsid w:val="00E67F36"/>
    <w:rsid w:val="00E70208"/>
    <w:rsid w:val="00E71753"/>
    <w:rsid w:val="00E74380"/>
    <w:rsid w:val="00E745DE"/>
    <w:rsid w:val="00E96569"/>
    <w:rsid w:val="00EA47FD"/>
    <w:rsid w:val="00EA5130"/>
    <w:rsid w:val="00EC101F"/>
    <w:rsid w:val="00EC5AD6"/>
    <w:rsid w:val="00EC689A"/>
    <w:rsid w:val="00ED627A"/>
    <w:rsid w:val="00ED795C"/>
    <w:rsid w:val="00EE37FF"/>
    <w:rsid w:val="00EF40B7"/>
    <w:rsid w:val="00EF6A9A"/>
    <w:rsid w:val="00F0089E"/>
    <w:rsid w:val="00F01B0A"/>
    <w:rsid w:val="00F0472E"/>
    <w:rsid w:val="00F0717A"/>
    <w:rsid w:val="00F118B1"/>
    <w:rsid w:val="00F13006"/>
    <w:rsid w:val="00F202A7"/>
    <w:rsid w:val="00F24C00"/>
    <w:rsid w:val="00F264D0"/>
    <w:rsid w:val="00F266AB"/>
    <w:rsid w:val="00F276E6"/>
    <w:rsid w:val="00F3168C"/>
    <w:rsid w:val="00F4519E"/>
    <w:rsid w:val="00F520F9"/>
    <w:rsid w:val="00F546CF"/>
    <w:rsid w:val="00F56498"/>
    <w:rsid w:val="00F603EE"/>
    <w:rsid w:val="00F61D8A"/>
    <w:rsid w:val="00F6267F"/>
    <w:rsid w:val="00F71F10"/>
    <w:rsid w:val="00F7277F"/>
    <w:rsid w:val="00F72AC9"/>
    <w:rsid w:val="00F72FB3"/>
    <w:rsid w:val="00F739C5"/>
    <w:rsid w:val="00F813DD"/>
    <w:rsid w:val="00F837EF"/>
    <w:rsid w:val="00F876C7"/>
    <w:rsid w:val="00F87BB8"/>
    <w:rsid w:val="00F908AF"/>
    <w:rsid w:val="00F91B00"/>
    <w:rsid w:val="00F9211A"/>
    <w:rsid w:val="00F925B0"/>
    <w:rsid w:val="00F974CC"/>
    <w:rsid w:val="00FA3142"/>
    <w:rsid w:val="00FA5529"/>
    <w:rsid w:val="00FA6668"/>
    <w:rsid w:val="00FA6758"/>
    <w:rsid w:val="00FA6D6D"/>
    <w:rsid w:val="00FB0254"/>
    <w:rsid w:val="00FB1D60"/>
    <w:rsid w:val="00FB1E58"/>
    <w:rsid w:val="00FB20A4"/>
    <w:rsid w:val="00FB2D91"/>
    <w:rsid w:val="00FB38B3"/>
    <w:rsid w:val="00FB4C85"/>
    <w:rsid w:val="00FC2804"/>
    <w:rsid w:val="00FC360A"/>
    <w:rsid w:val="00FC41E4"/>
    <w:rsid w:val="00FD0132"/>
    <w:rsid w:val="00FD19FF"/>
    <w:rsid w:val="00FD352B"/>
    <w:rsid w:val="00FE3800"/>
    <w:rsid w:val="00FE3EBD"/>
    <w:rsid w:val="00FF482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8A29"/>
  <w15:chartTrackingRefBased/>
  <w15:docId w15:val="{05BEAC24-2054-4122-999E-73AAD849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14B"/>
    <w:rPr>
      <w:rFonts w:eastAsiaTheme="majorEastAsia" w:cstheme="majorBidi"/>
      <w:color w:val="272727" w:themeColor="text1" w:themeTint="D8"/>
    </w:rPr>
  </w:style>
  <w:style w:type="paragraph" w:styleId="Title">
    <w:name w:val="Title"/>
    <w:basedOn w:val="Normal"/>
    <w:next w:val="Normal"/>
    <w:link w:val="TitleChar"/>
    <w:uiPriority w:val="10"/>
    <w:qFormat/>
    <w:rsid w:val="00064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14B"/>
    <w:pPr>
      <w:spacing w:before="160"/>
      <w:jc w:val="center"/>
    </w:pPr>
    <w:rPr>
      <w:i/>
      <w:iCs/>
      <w:color w:val="404040" w:themeColor="text1" w:themeTint="BF"/>
    </w:rPr>
  </w:style>
  <w:style w:type="character" w:customStyle="1" w:styleId="QuoteChar">
    <w:name w:val="Quote Char"/>
    <w:basedOn w:val="DefaultParagraphFont"/>
    <w:link w:val="Quote"/>
    <w:uiPriority w:val="29"/>
    <w:rsid w:val="0006414B"/>
    <w:rPr>
      <w:i/>
      <w:iCs/>
      <w:color w:val="404040" w:themeColor="text1" w:themeTint="BF"/>
    </w:rPr>
  </w:style>
  <w:style w:type="paragraph" w:styleId="ListParagraph">
    <w:name w:val="List Paragraph"/>
    <w:basedOn w:val="Normal"/>
    <w:uiPriority w:val="34"/>
    <w:qFormat/>
    <w:rsid w:val="0006414B"/>
    <w:pPr>
      <w:ind w:left="720"/>
      <w:contextualSpacing/>
    </w:pPr>
  </w:style>
  <w:style w:type="character" w:styleId="IntenseEmphasis">
    <w:name w:val="Intense Emphasis"/>
    <w:basedOn w:val="DefaultParagraphFont"/>
    <w:uiPriority w:val="21"/>
    <w:qFormat/>
    <w:rsid w:val="0006414B"/>
    <w:rPr>
      <w:i/>
      <w:iCs/>
      <w:color w:val="0F4761" w:themeColor="accent1" w:themeShade="BF"/>
    </w:rPr>
  </w:style>
  <w:style w:type="paragraph" w:styleId="IntenseQuote">
    <w:name w:val="Intense Quote"/>
    <w:basedOn w:val="Normal"/>
    <w:next w:val="Normal"/>
    <w:link w:val="IntenseQuoteChar"/>
    <w:uiPriority w:val="30"/>
    <w:qFormat/>
    <w:rsid w:val="00064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14B"/>
    <w:rPr>
      <w:i/>
      <w:iCs/>
      <w:color w:val="0F4761" w:themeColor="accent1" w:themeShade="BF"/>
    </w:rPr>
  </w:style>
  <w:style w:type="character" w:styleId="IntenseReference">
    <w:name w:val="Intense Reference"/>
    <w:basedOn w:val="DefaultParagraphFont"/>
    <w:uiPriority w:val="32"/>
    <w:qFormat/>
    <w:rsid w:val="0006414B"/>
    <w:rPr>
      <w:b/>
      <w:bCs/>
      <w:smallCaps/>
      <w:color w:val="0F4761" w:themeColor="accent1" w:themeShade="BF"/>
      <w:spacing w:val="5"/>
    </w:rPr>
  </w:style>
  <w:style w:type="paragraph" w:styleId="NormalWeb">
    <w:name w:val="Normal (Web)"/>
    <w:basedOn w:val="Normal"/>
    <w:uiPriority w:val="99"/>
    <w:unhideWhenUsed/>
    <w:rsid w:val="004843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27C6E"/>
    <w:rPr>
      <w:sz w:val="16"/>
      <w:szCs w:val="16"/>
    </w:rPr>
  </w:style>
  <w:style w:type="paragraph" w:styleId="CommentText">
    <w:name w:val="annotation text"/>
    <w:basedOn w:val="Normal"/>
    <w:link w:val="CommentTextChar"/>
    <w:uiPriority w:val="99"/>
    <w:unhideWhenUsed/>
    <w:rsid w:val="00A27C6E"/>
    <w:pPr>
      <w:spacing w:line="240" w:lineRule="auto"/>
    </w:pPr>
    <w:rPr>
      <w:sz w:val="20"/>
      <w:szCs w:val="20"/>
    </w:rPr>
  </w:style>
  <w:style w:type="character" w:customStyle="1" w:styleId="CommentTextChar">
    <w:name w:val="Comment Text Char"/>
    <w:basedOn w:val="DefaultParagraphFont"/>
    <w:link w:val="CommentText"/>
    <w:uiPriority w:val="99"/>
    <w:rsid w:val="00A27C6E"/>
    <w:rPr>
      <w:sz w:val="20"/>
      <w:szCs w:val="20"/>
    </w:rPr>
  </w:style>
  <w:style w:type="character" w:styleId="Hyperlink">
    <w:name w:val="Hyperlink"/>
    <w:basedOn w:val="DefaultParagraphFont"/>
    <w:uiPriority w:val="99"/>
    <w:unhideWhenUsed/>
    <w:rsid w:val="00DF2B2F"/>
    <w:rPr>
      <w:color w:val="0000FF"/>
      <w:u w:val="single"/>
    </w:rPr>
  </w:style>
  <w:style w:type="character" w:customStyle="1" w:styleId="field">
    <w:name w:val="field"/>
    <w:basedOn w:val="DefaultParagraphFont"/>
    <w:rsid w:val="00DF2B2F"/>
  </w:style>
  <w:style w:type="paragraph" w:styleId="FootnoteText">
    <w:name w:val="footnote text"/>
    <w:basedOn w:val="Normal"/>
    <w:link w:val="FootnoteTextChar"/>
    <w:uiPriority w:val="99"/>
    <w:semiHidden/>
    <w:unhideWhenUsed/>
    <w:rsid w:val="004A5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2D7"/>
    <w:rPr>
      <w:sz w:val="20"/>
      <w:szCs w:val="20"/>
    </w:rPr>
  </w:style>
  <w:style w:type="character" w:styleId="FootnoteReference">
    <w:name w:val="footnote reference"/>
    <w:basedOn w:val="DefaultParagraphFont"/>
    <w:uiPriority w:val="99"/>
    <w:semiHidden/>
    <w:unhideWhenUsed/>
    <w:rsid w:val="004A52D7"/>
    <w:rPr>
      <w:vertAlign w:val="superscript"/>
    </w:rPr>
  </w:style>
  <w:style w:type="character" w:styleId="Strong">
    <w:name w:val="Strong"/>
    <w:basedOn w:val="DefaultParagraphFont"/>
    <w:uiPriority w:val="22"/>
    <w:qFormat/>
    <w:rsid w:val="004A52D7"/>
    <w:rPr>
      <w:b/>
      <w:bCs/>
    </w:rPr>
  </w:style>
  <w:style w:type="paragraph" w:customStyle="1" w:styleId="paralargecolourtext">
    <w:name w:val="paralargecolourtext"/>
    <w:basedOn w:val="Normal"/>
    <w:rsid w:val="007719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boldcolourtext">
    <w:name w:val="paraboldcolourtext"/>
    <w:basedOn w:val="Normal"/>
    <w:rsid w:val="007719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C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7BF"/>
  </w:style>
  <w:style w:type="paragraph" w:styleId="Footer">
    <w:name w:val="footer"/>
    <w:basedOn w:val="Normal"/>
    <w:link w:val="FooterChar"/>
    <w:uiPriority w:val="99"/>
    <w:unhideWhenUsed/>
    <w:rsid w:val="004C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7BF"/>
  </w:style>
  <w:style w:type="paragraph" w:customStyle="1" w:styleId="zFooter">
    <w:name w:val="z Footer"/>
    <w:basedOn w:val="Normal"/>
    <w:qFormat/>
    <w:rsid w:val="00D762D1"/>
    <w:pPr>
      <w:spacing w:after="0" w:line="276" w:lineRule="auto"/>
      <w:jc w:val="center"/>
    </w:pPr>
    <w:rPr>
      <w:rFonts w:ascii="Gellix" w:eastAsia="ヒラギノ角ゴ Pro W3" w:hAnsi="Gellix" w:cs="Times New Roman"/>
      <w:color w:val="A02B93" w:themeColor="accent5"/>
      <w:sz w:val="16"/>
      <w:szCs w:val="16"/>
      <w:lang w:val="en-US"/>
    </w:rPr>
  </w:style>
  <w:style w:type="paragraph" w:styleId="CommentSubject">
    <w:name w:val="annotation subject"/>
    <w:basedOn w:val="CommentText"/>
    <w:next w:val="CommentText"/>
    <w:link w:val="CommentSubjectChar"/>
    <w:uiPriority w:val="99"/>
    <w:semiHidden/>
    <w:unhideWhenUsed/>
    <w:rsid w:val="00BD1AFA"/>
    <w:rPr>
      <w:b/>
      <w:bCs/>
    </w:rPr>
  </w:style>
  <w:style w:type="character" w:customStyle="1" w:styleId="CommentSubjectChar">
    <w:name w:val="Comment Subject Char"/>
    <w:basedOn w:val="CommentTextChar"/>
    <w:link w:val="CommentSubject"/>
    <w:uiPriority w:val="99"/>
    <w:semiHidden/>
    <w:rsid w:val="00BD1AFA"/>
    <w:rPr>
      <w:b/>
      <w:bCs/>
      <w:sz w:val="20"/>
      <w:szCs w:val="20"/>
    </w:rPr>
  </w:style>
  <w:style w:type="character" w:styleId="UnresolvedMention">
    <w:name w:val="Unresolved Mention"/>
    <w:basedOn w:val="DefaultParagraphFont"/>
    <w:uiPriority w:val="99"/>
    <w:semiHidden/>
    <w:unhideWhenUsed/>
    <w:rsid w:val="008B54F0"/>
    <w:rPr>
      <w:color w:val="605E5C"/>
      <w:shd w:val="clear" w:color="auto" w:fill="E1DFDD"/>
    </w:rPr>
  </w:style>
  <w:style w:type="paragraph" w:styleId="Revision">
    <w:name w:val="Revision"/>
    <w:hidden/>
    <w:uiPriority w:val="99"/>
    <w:semiHidden/>
    <w:rsid w:val="00A21B7F"/>
    <w:pPr>
      <w:spacing w:after="0" w:line="240" w:lineRule="auto"/>
    </w:pPr>
  </w:style>
  <w:style w:type="table" w:styleId="TableGrid">
    <w:name w:val="Table Grid"/>
    <w:basedOn w:val="TableNormal"/>
    <w:uiPriority w:val="39"/>
    <w:rsid w:val="007E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3E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61401">
      <w:bodyDiv w:val="1"/>
      <w:marLeft w:val="0"/>
      <w:marRight w:val="0"/>
      <w:marTop w:val="0"/>
      <w:marBottom w:val="0"/>
      <w:divBdr>
        <w:top w:val="none" w:sz="0" w:space="0" w:color="auto"/>
        <w:left w:val="none" w:sz="0" w:space="0" w:color="auto"/>
        <w:bottom w:val="none" w:sz="0" w:space="0" w:color="auto"/>
        <w:right w:val="none" w:sz="0" w:space="0" w:color="auto"/>
      </w:divBdr>
    </w:div>
    <w:div w:id="562642116">
      <w:bodyDiv w:val="1"/>
      <w:marLeft w:val="0"/>
      <w:marRight w:val="0"/>
      <w:marTop w:val="0"/>
      <w:marBottom w:val="0"/>
      <w:divBdr>
        <w:top w:val="none" w:sz="0" w:space="0" w:color="auto"/>
        <w:left w:val="none" w:sz="0" w:space="0" w:color="auto"/>
        <w:bottom w:val="none" w:sz="0" w:space="0" w:color="auto"/>
        <w:right w:val="none" w:sz="0" w:space="0" w:color="auto"/>
      </w:divBdr>
    </w:div>
    <w:div w:id="593131478">
      <w:bodyDiv w:val="1"/>
      <w:marLeft w:val="0"/>
      <w:marRight w:val="0"/>
      <w:marTop w:val="0"/>
      <w:marBottom w:val="0"/>
      <w:divBdr>
        <w:top w:val="none" w:sz="0" w:space="0" w:color="auto"/>
        <w:left w:val="none" w:sz="0" w:space="0" w:color="auto"/>
        <w:bottom w:val="none" w:sz="0" w:space="0" w:color="auto"/>
        <w:right w:val="none" w:sz="0" w:space="0" w:color="auto"/>
      </w:divBdr>
    </w:div>
    <w:div w:id="610750357">
      <w:bodyDiv w:val="1"/>
      <w:marLeft w:val="0"/>
      <w:marRight w:val="0"/>
      <w:marTop w:val="0"/>
      <w:marBottom w:val="0"/>
      <w:divBdr>
        <w:top w:val="none" w:sz="0" w:space="0" w:color="auto"/>
        <w:left w:val="none" w:sz="0" w:space="0" w:color="auto"/>
        <w:bottom w:val="none" w:sz="0" w:space="0" w:color="auto"/>
        <w:right w:val="none" w:sz="0" w:space="0" w:color="auto"/>
      </w:divBdr>
      <w:divsChild>
        <w:div w:id="306974658">
          <w:marLeft w:val="0"/>
          <w:marRight w:val="0"/>
          <w:marTop w:val="0"/>
          <w:marBottom w:val="0"/>
          <w:divBdr>
            <w:top w:val="none" w:sz="0" w:space="0" w:color="auto"/>
            <w:left w:val="none" w:sz="0" w:space="0" w:color="auto"/>
            <w:bottom w:val="none" w:sz="0" w:space="0" w:color="auto"/>
            <w:right w:val="none" w:sz="0" w:space="0" w:color="auto"/>
          </w:divBdr>
          <w:divsChild>
            <w:div w:id="1369841920">
              <w:marLeft w:val="0"/>
              <w:marRight w:val="0"/>
              <w:marTop w:val="0"/>
              <w:marBottom w:val="0"/>
              <w:divBdr>
                <w:top w:val="none" w:sz="0" w:space="0" w:color="auto"/>
                <w:left w:val="none" w:sz="0" w:space="0" w:color="auto"/>
                <w:bottom w:val="none" w:sz="0" w:space="0" w:color="auto"/>
                <w:right w:val="none" w:sz="0" w:space="0" w:color="auto"/>
              </w:divBdr>
              <w:divsChild>
                <w:div w:id="1056271623">
                  <w:marLeft w:val="0"/>
                  <w:marRight w:val="0"/>
                  <w:marTop w:val="0"/>
                  <w:marBottom w:val="0"/>
                  <w:divBdr>
                    <w:top w:val="none" w:sz="0" w:space="0" w:color="auto"/>
                    <w:left w:val="none" w:sz="0" w:space="0" w:color="auto"/>
                    <w:bottom w:val="none" w:sz="0" w:space="0" w:color="auto"/>
                    <w:right w:val="none" w:sz="0" w:space="0" w:color="auto"/>
                  </w:divBdr>
                  <w:divsChild>
                    <w:div w:id="936257787">
                      <w:marLeft w:val="0"/>
                      <w:marRight w:val="0"/>
                      <w:marTop w:val="0"/>
                      <w:marBottom w:val="0"/>
                      <w:divBdr>
                        <w:top w:val="none" w:sz="0" w:space="0" w:color="auto"/>
                        <w:left w:val="none" w:sz="0" w:space="0" w:color="auto"/>
                        <w:bottom w:val="none" w:sz="0" w:space="0" w:color="auto"/>
                        <w:right w:val="none" w:sz="0" w:space="0" w:color="auto"/>
                      </w:divBdr>
                      <w:divsChild>
                        <w:div w:id="611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2850">
              <w:marLeft w:val="0"/>
              <w:marRight w:val="0"/>
              <w:marTop w:val="0"/>
              <w:marBottom w:val="0"/>
              <w:divBdr>
                <w:top w:val="none" w:sz="0" w:space="0" w:color="auto"/>
                <w:left w:val="none" w:sz="0" w:space="0" w:color="auto"/>
                <w:bottom w:val="none" w:sz="0" w:space="0" w:color="auto"/>
                <w:right w:val="none" w:sz="0" w:space="0" w:color="auto"/>
              </w:divBdr>
              <w:divsChild>
                <w:div w:id="781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1270">
      <w:bodyDiv w:val="1"/>
      <w:marLeft w:val="0"/>
      <w:marRight w:val="0"/>
      <w:marTop w:val="0"/>
      <w:marBottom w:val="0"/>
      <w:divBdr>
        <w:top w:val="none" w:sz="0" w:space="0" w:color="auto"/>
        <w:left w:val="none" w:sz="0" w:space="0" w:color="auto"/>
        <w:bottom w:val="none" w:sz="0" w:space="0" w:color="auto"/>
        <w:right w:val="none" w:sz="0" w:space="0" w:color="auto"/>
      </w:divBdr>
    </w:div>
    <w:div w:id="1037856151">
      <w:bodyDiv w:val="1"/>
      <w:marLeft w:val="0"/>
      <w:marRight w:val="0"/>
      <w:marTop w:val="0"/>
      <w:marBottom w:val="0"/>
      <w:divBdr>
        <w:top w:val="none" w:sz="0" w:space="0" w:color="auto"/>
        <w:left w:val="none" w:sz="0" w:space="0" w:color="auto"/>
        <w:bottom w:val="none" w:sz="0" w:space="0" w:color="auto"/>
        <w:right w:val="none" w:sz="0" w:space="0" w:color="auto"/>
      </w:divBdr>
    </w:div>
    <w:div w:id="1212426706">
      <w:bodyDiv w:val="1"/>
      <w:marLeft w:val="0"/>
      <w:marRight w:val="0"/>
      <w:marTop w:val="0"/>
      <w:marBottom w:val="0"/>
      <w:divBdr>
        <w:top w:val="none" w:sz="0" w:space="0" w:color="auto"/>
        <w:left w:val="none" w:sz="0" w:space="0" w:color="auto"/>
        <w:bottom w:val="none" w:sz="0" w:space="0" w:color="auto"/>
        <w:right w:val="none" w:sz="0" w:space="0" w:color="auto"/>
      </w:divBdr>
    </w:div>
    <w:div w:id="1272055465">
      <w:bodyDiv w:val="1"/>
      <w:marLeft w:val="0"/>
      <w:marRight w:val="0"/>
      <w:marTop w:val="0"/>
      <w:marBottom w:val="0"/>
      <w:divBdr>
        <w:top w:val="none" w:sz="0" w:space="0" w:color="auto"/>
        <w:left w:val="none" w:sz="0" w:space="0" w:color="auto"/>
        <w:bottom w:val="none" w:sz="0" w:space="0" w:color="auto"/>
        <w:right w:val="none" w:sz="0" w:space="0" w:color="auto"/>
      </w:divBdr>
    </w:div>
    <w:div w:id="1686398033">
      <w:bodyDiv w:val="1"/>
      <w:marLeft w:val="0"/>
      <w:marRight w:val="0"/>
      <w:marTop w:val="0"/>
      <w:marBottom w:val="0"/>
      <w:divBdr>
        <w:top w:val="none" w:sz="0" w:space="0" w:color="auto"/>
        <w:left w:val="none" w:sz="0" w:space="0" w:color="auto"/>
        <w:bottom w:val="none" w:sz="0" w:space="0" w:color="auto"/>
        <w:right w:val="none" w:sz="0" w:space="0" w:color="auto"/>
      </w:divBdr>
    </w:div>
    <w:div w:id="1772581418">
      <w:bodyDiv w:val="1"/>
      <w:marLeft w:val="0"/>
      <w:marRight w:val="0"/>
      <w:marTop w:val="0"/>
      <w:marBottom w:val="0"/>
      <w:divBdr>
        <w:top w:val="none" w:sz="0" w:space="0" w:color="auto"/>
        <w:left w:val="none" w:sz="0" w:space="0" w:color="auto"/>
        <w:bottom w:val="none" w:sz="0" w:space="0" w:color="auto"/>
        <w:right w:val="none" w:sz="0" w:space="0" w:color="auto"/>
      </w:divBdr>
    </w:div>
    <w:div w:id="1813937761">
      <w:bodyDiv w:val="1"/>
      <w:marLeft w:val="0"/>
      <w:marRight w:val="0"/>
      <w:marTop w:val="0"/>
      <w:marBottom w:val="0"/>
      <w:divBdr>
        <w:top w:val="none" w:sz="0" w:space="0" w:color="auto"/>
        <w:left w:val="none" w:sz="0" w:space="0" w:color="auto"/>
        <w:bottom w:val="none" w:sz="0" w:space="0" w:color="auto"/>
        <w:right w:val="none" w:sz="0" w:space="0" w:color="auto"/>
      </w:divBdr>
    </w:div>
    <w:div w:id="1857694094">
      <w:bodyDiv w:val="1"/>
      <w:marLeft w:val="0"/>
      <w:marRight w:val="0"/>
      <w:marTop w:val="0"/>
      <w:marBottom w:val="0"/>
      <w:divBdr>
        <w:top w:val="none" w:sz="0" w:space="0" w:color="auto"/>
        <w:left w:val="none" w:sz="0" w:space="0" w:color="auto"/>
        <w:bottom w:val="none" w:sz="0" w:space="0" w:color="auto"/>
        <w:right w:val="none" w:sz="0" w:space="0" w:color="auto"/>
      </w:divBdr>
    </w:div>
    <w:div w:id="19294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wto.org/dol2fe/Pages/SS/directdoc.aspx?filename=q:/G/TFA/W96R1.pdf&amp;Open=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docs.worldbank.org/en/doc/42b2167b86a8f1fb52391e1d5bc5b63e-0350012021/related/NTFC-Private-Sector-Participation-Guidance-Note-FINAL.pdf" TargetMode="External"/><Relationship Id="rId5" Type="http://schemas.openxmlformats.org/officeDocument/2006/relationships/numbering" Target="numbering.xml"/><Relationship Id="rId15" Type="http://schemas.openxmlformats.org/officeDocument/2006/relationships/hyperlink" Target="https://www.cbp.gov/trade/ace/trade-support-networ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ctad.org/system/files/official-document/dtltlb2017d3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ece.org/trade/publications/private-sector-participation-national-trade-facilitation-bodies-ecetrade479" TargetMode="External"/><Relationship Id="rId1" Type="http://schemas.openxmlformats.org/officeDocument/2006/relationships/hyperlink" Target="https://theloadstar.com/south-african-port-congestion-sees-queue-of-96-ships-at-anch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SharedWithUsers xmlns="465ae127-5d1e-48f1-8bba-a4710e9de403">
      <UserInfo>
        <DisplayName>PICARD Valerie</DisplayName>
        <AccountId>1675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D3247-E360-4CC3-BCAE-D06560F6C702}">
  <ds:schemaRefs>
    <ds:schemaRef ds:uri="http://schemas.microsoft.com/office/2006/metadata/properties"/>
    <ds:schemaRef ds:uri="http://schemas.microsoft.com/office/infopath/2007/PartnerControls"/>
    <ds:schemaRef ds:uri="fecf7fcc-4ac6-4448-a404-5e4417a2ee04"/>
    <ds:schemaRef ds:uri="598f140b-4145-4024-8bcc-6d7083f15a24"/>
    <ds:schemaRef ds:uri="465ae127-5d1e-48f1-8bba-a4710e9de403"/>
  </ds:schemaRefs>
</ds:datastoreItem>
</file>

<file path=customXml/itemProps2.xml><?xml version="1.0" encoding="utf-8"?>
<ds:datastoreItem xmlns:ds="http://schemas.openxmlformats.org/officeDocument/2006/customXml" ds:itemID="{D50B7FB9-41C2-4DDF-9DE7-F780486ED4AE}">
  <ds:schemaRefs>
    <ds:schemaRef ds:uri="http://schemas.openxmlformats.org/officeDocument/2006/bibliography"/>
  </ds:schemaRefs>
</ds:datastoreItem>
</file>

<file path=customXml/itemProps3.xml><?xml version="1.0" encoding="utf-8"?>
<ds:datastoreItem xmlns:ds="http://schemas.openxmlformats.org/officeDocument/2006/customXml" ds:itemID="{A470B1AB-1F65-413E-AE5D-618B247B2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806D1-F8E7-45A8-B864-0C17A9910764}">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26432</CharactersWithSpaces>
  <SharedDoc>false</SharedDoc>
  <HLinks>
    <vt:vector size="36" baseType="variant">
      <vt:variant>
        <vt:i4>3145771</vt:i4>
      </vt:variant>
      <vt:variant>
        <vt:i4>9</vt:i4>
      </vt:variant>
      <vt:variant>
        <vt:i4>0</vt:i4>
      </vt:variant>
      <vt:variant>
        <vt:i4>5</vt:i4>
      </vt:variant>
      <vt:variant>
        <vt:lpwstr>https://www.cbp.gov/trade/ace/trade-support-network</vt:lpwstr>
      </vt:variant>
      <vt:variant>
        <vt:lpwstr/>
      </vt:variant>
      <vt:variant>
        <vt:i4>5636146</vt:i4>
      </vt:variant>
      <vt:variant>
        <vt:i4>6</vt:i4>
      </vt:variant>
      <vt:variant>
        <vt:i4>0</vt:i4>
      </vt:variant>
      <vt:variant>
        <vt:i4>5</vt:i4>
      </vt:variant>
      <vt:variant>
        <vt:lpwstr>https://unctad.org/system/files/official-document/dtltlb2017d3_en.pdf</vt:lpwstr>
      </vt:variant>
      <vt:variant>
        <vt:lpwstr/>
      </vt:variant>
      <vt:variant>
        <vt:i4>8061040</vt:i4>
      </vt:variant>
      <vt:variant>
        <vt:i4>3</vt:i4>
      </vt:variant>
      <vt:variant>
        <vt:i4>0</vt:i4>
      </vt:variant>
      <vt:variant>
        <vt:i4>5</vt:i4>
      </vt:variant>
      <vt:variant>
        <vt:lpwstr>https://thedocs.worldbank.org/en/doc/42b2167b86a8f1fb52391e1d5bc5b63e-0350012021/related/NTFC-Private-Sector-Participation-Guidance-Note-FINAL.pdf</vt:lpwstr>
      </vt:variant>
      <vt:variant>
        <vt:lpwstr/>
      </vt:variant>
      <vt:variant>
        <vt:i4>5242883</vt:i4>
      </vt:variant>
      <vt:variant>
        <vt:i4>0</vt:i4>
      </vt:variant>
      <vt:variant>
        <vt:i4>0</vt:i4>
      </vt:variant>
      <vt:variant>
        <vt:i4>5</vt:i4>
      </vt:variant>
      <vt:variant>
        <vt:lpwstr>https://docs.wto.org/dol2fe/Pages/SS/directdoc.aspx?filename=q:/G/TFA/W96R1.pdf&amp;Open=True</vt:lpwstr>
      </vt:variant>
      <vt:variant>
        <vt:lpwstr/>
      </vt:variant>
      <vt:variant>
        <vt:i4>262218</vt:i4>
      </vt:variant>
      <vt:variant>
        <vt:i4>3</vt:i4>
      </vt:variant>
      <vt:variant>
        <vt:i4>0</vt:i4>
      </vt:variant>
      <vt:variant>
        <vt:i4>5</vt:i4>
      </vt:variant>
      <vt:variant>
        <vt:lpwstr>https://unece.org/trade/publications/private-sector-participation-national-trade-facilitation-bodies-ecetrade479</vt:lpwstr>
      </vt:variant>
      <vt:variant>
        <vt:lpwstr/>
      </vt:variant>
      <vt:variant>
        <vt:i4>7995449</vt:i4>
      </vt:variant>
      <vt:variant>
        <vt:i4>0</vt:i4>
      </vt:variant>
      <vt:variant>
        <vt:i4>0</vt:i4>
      </vt:variant>
      <vt:variant>
        <vt:i4>5</vt:i4>
      </vt:variant>
      <vt:variant>
        <vt:lpwstr>https://theloadstar.com/south-african-port-congestion-sees-queue-of-96-ships-at-anchor/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Bescec</dc:creator>
  <cp:keywords/>
  <dc:description/>
  <cp:lastModifiedBy>DIAO-GUEYE Florence</cp:lastModifiedBy>
  <cp:revision>601</cp:revision>
  <dcterms:created xsi:type="dcterms:W3CDTF">2024-01-11T19:27:00Z</dcterms:created>
  <dcterms:modified xsi:type="dcterms:W3CDTF">2024-03-08T09:30:00Z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