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77AA" w14:textId="7992E893" w:rsidR="002D071F" w:rsidRPr="002B621E" w:rsidRDefault="002D071F" w:rsidP="002D071F">
      <w:pPr>
        <w:rPr>
          <w:rFonts w:ascii="Gellix" w:hAnsi="Gellix"/>
          <w:i/>
          <w:iCs/>
          <w:sz w:val="18"/>
          <w:szCs w:val="18"/>
        </w:rPr>
      </w:pPr>
      <w:r w:rsidRPr="002B621E">
        <w:rPr>
          <w:rFonts w:ascii="Gellix" w:hAnsi="Gellix"/>
          <w:i/>
          <w:iCs/>
          <w:sz w:val="18"/>
          <w:szCs w:val="18"/>
        </w:rPr>
        <w:t xml:space="preserve">För en </w:t>
      </w:r>
      <w:r w:rsidR="00FD44EB" w:rsidRPr="002B621E">
        <w:rPr>
          <w:rFonts w:ascii="Gellix" w:hAnsi="Gellix"/>
          <w:i/>
          <w:iCs/>
          <w:sz w:val="18"/>
          <w:szCs w:val="18"/>
        </w:rPr>
        <w:t xml:space="preserve">övergripande </w:t>
      </w:r>
      <w:r w:rsidRPr="002B621E">
        <w:rPr>
          <w:rFonts w:ascii="Gellix" w:hAnsi="Gellix"/>
          <w:i/>
          <w:iCs/>
          <w:sz w:val="18"/>
          <w:szCs w:val="18"/>
        </w:rPr>
        <w:t xml:space="preserve">bild gällande nuvarande rättsläge för elektroniska </w:t>
      </w:r>
      <w:r w:rsidR="00420A02" w:rsidRPr="002B621E">
        <w:rPr>
          <w:rFonts w:ascii="Gellix" w:hAnsi="Gellix"/>
          <w:i/>
          <w:iCs/>
          <w:sz w:val="18"/>
          <w:szCs w:val="18"/>
        </w:rPr>
        <w:t xml:space="preserve">handelsdokument </w:t>
      </w:r>
      <w:r w:rsidRPr="002B621E">
        <w:rPr>
          <w:rFonts w:ascii="Gellix" w:hAnsi="Gellix"/>
          <w:i/>
          <w:iCs/>
          <w:sz w:val="18"/>
          <w:szCs w:val="18"/>
        </w:rPr>
        <w:t xml:space="preserve">ska detta dokument läsas i samband med vårt papper </w:t>
      </w:r>
      <w:r w:rsidRPr="002B621E">
        <w:rPr>
          <w:rFonts w:ascii="Gellix" w:hAnsi="Gellix"/>
          <w:b/>
          <w:bCs/>
          <w:i/>
          <w:iCs/>
          <w:sz w:val="18"/>
          <w:szCs w:val="18"/>
        </w:rPr>
        <w:t>Digitaliseringen av internationell handel: Rättsläget i Sverige för elektroniska prestationshandlingar</w:t>
      </w:r>
      <w:r w:rsidRPr="002B621E">
        <w:rPr>
          <w:rFonts w:ascii="Gellix" w:hAnsi="Gellix"/>
          <w:i/>
          <w:iCs/>
          <w:sz w:val="18"/>
          <w:szCs w:val="18"/>
        </w:rPr>
        <w:t>.</w:t>
      </w:r>
    </w:p>
    <w:p w14:paraId="26CDD992" w14:textId="77777777" w:rsidR="002D071F" w:rsidRPr="00AD04F5" w:rsidRDefault="002D071F" w:rsidP="002D071F">
      <w:pPr>
        <w:spacing w:line="360" w:lineRule="auto"/>
        <w:rPr>
          <w:rFonts w:ascii="Gellix" w:hAnsi="Gellix"/>
          <w:sz w:val="21"/>
          <w:szCs w:val="21"/>
        </w:rPr>
      </w:pPr>
    </w:p>
    <w:p w14:paraId="228B44F6" w14:textId="7DD65845" w:rsidR="002D071F" w:rsidRPr="00AD04F5" w:rsidRDefault="002D071F" w:rsidP="002D071F">
      <w:pPr>
        <w:spacing w:line="360" w:lineRule="auto"/>
        <w:rPr>
          <w:rFonts w:ascii="Gellix" w:hAnsi="Gellix"/>
          <w:b/>
          <w:bCs/>
          <w:sz w:val="20"/>
          <w:szCs w:val="20"/>
        </w:rPr>
      </w:pPr>
      <w:r w:rsidRPr="00AD04F5">
        <w:rPr>
          <w:rFonts w:ascii="Gellix" w:hAnsi="Gellix"/>
          <w:b/>
          <w:bCs/>
          <w:sz w:val="20"/>
          <w:szCs w:val="20"/>
        </w:rPr>
        <w:t xml:space="preserve">Varför ska elektroniska </w:t>
      </w:r>
      <w:r w:rsidR="00F1609B" w:rsidRPr="00AD04F5">
        <w:rPr>
          <w:rFonts w:ascii="Gellix" w:hAnsi="Gellix"/>
          <w:b/>
          <w:bCs/>
          <w:sz w:val="20"/>
          <w:szCs w:val="20"/>
        </w:rPr>
        <w:t xml:space="preserve">handelsdokument </w:t>
      </w:r>
      <w:r w:rsidRPr="00AD04F5">
        <w:rPr>
          <w:rFonts w:ascii="Gellix" w:hAnsi="Gellix"/>
          <w:b/>
          <w:bCs/>
          <w:sz w:val="20"/>
          <w:szCs w:val="20"/>
        </w:rPr>
        <w:t xml:space="preserve">erkännas som original i svensk lagstiftning? </w:t>
      </w:r>
    </w:p>
    <w:p w14:paraId="083CB48D" w14:textId="77777777" w:rsidR="002D071F" w:rsidRPr="00AD04F5" w:rsidRDefault="002D071F" w:rsidP="002D071F">
      <w:pPr>
        <w:spacing w:line="360" w:lineRule="auto"/>
        <w:rPr>
          <w:rFonts w:ascii="Gellix" w:hAnsi="Gellix"/>
          <w:sz w:val="21"/>
          <w:szCs w:val="21"/>
        </w:rPr>
      </w:pPr>
    </w:p>
    <w:p w14:paraId="41B3E0B6" w14:textId="7C53B117" w:rsidR="002D071F" w:rsidRPr="00FD44EB" w:rsidRDefault="002D071F" w:rsidP="002D071F">
      <w:pPr>
        <w:pStyle w:val="Liststycke"/>
        <w:numPr>
          <w:ilvl w:val="0"/>
          <w:numId w:val="17"/>
        </w:numPr>
        <w:spacing w:line="360" w:lineRule="auto"/>
        <w:rPr>
          <w:rFonts w:ascii="Gellix" w:hAnsi="Gellix"/>
          <w:sz w:val="20"/>
          <w:szCs w:val="20"/>
        </w:rPr>
      </w:pPr>
      <w:r w:rsidRPr="00FD44EB">
        <w:rPr>
          <w:rFonts w:ascii="Gellix" w:hAnsi="Gellix"/>
          <w:b/>
          <w:bCs/>
          <w:sz w:val="20"/>
          <w:szCs w:val="20"/>
        </w:rPr>
        <w:t>Ökad tillväxt</w:t>
      </w:r>
      <w:r w:rsidRPr="00FD44EB">
        <w:rPr>
          <w:rFonts w:ascii="Gellix" w:hAnsi="Gellix"/>
          <w:sz w:val="20"/>
          <w:szCs w:val="20"/>
        </w:rPr>
        <w:t>. Storbritannien</w:t>
      </w:r>
      <w:r w:rsidR="00B8493A" w:rsidRPr="00FD44EB">
        <w:rPr>
          <w:rFonts w:ascii="Gellix" w:hAnsi="Gellix"/>
          <w:sz w:val="20"/>
          <w:szCs w:val="20"/>
        </w:rPr>
        <w:t xml:space="preserve"> uppskattar</w:t>
      </w:r>
      <w:r w:rsidRPr="00FD44EB">
        <w:rPr>
          <w:rFonts w:ascii="Gellix" w:hAnsi="Gellix"/>
          <w:sz w:val="20"/>
          <w:szCs w:val="20"/>
        </w:rPr>
        <w:t xml:space="preserve"> att </w:t>
      </w:r>
      <w:r w:rsidR="00B8493A" w:rsidRPr="00FD44EB">
        <w:rPr>
          <w:rFonts w:ascii="Gellix" w:hAnsi="Gellix"/>
          <w:sz w:val="20"/>
          <w:szCs w:val="20"/>
        </w:rPr>
        <w:t xml:space="preserve">implementeringen av </w:t>
      </w:r>
      <w:r w:rsidRPr="00FD44EB">
        <w:rPr>
          <w:rFonts w:ascii="Gellix" w:hAnsi="Gellix"/>
          <w:i/>
          <w:iCs/>
          <w:sz w:val="20"/>
          <w:szCs w:val="20"/>
        </w:rPr>
        <w:t xml:space="preserve">Electronic </w:t>
      </w:r>
      <w:proofErr w:type="spellStart"/>
      <w:r w:rsidRPr="00FD44EB">
        <w:rPr>
          <w:rFonts w:ascii="Gellix" w:hAnsi="Gellix"/>
          <w:i/>
          <w:iCs/>
          <w:sz w:val="20"/>
          <w:szCs w:val="20"/>
        </w:rPr>
        <w:t>Trade</w:t>
      </w:r>
      <w:proofErr w:type="spellEnd"/>
      <w:r w:rsidRPr="00FD44EB">
        <w:rPr>
          <w:rFonts w:ascii="Gellix" w:hAnsi="Gellix"/>
          <w:i/>
          <w:iCs/>
          <w:sz w:val="20"/>
          <w:szCs w:val="20"/>
        </w:rPr>
        <w:t xml:space="preserve"> </w:t>
      </w:r>
      <w:proofErr w:type="spellStart"/>
      <w:r w:rsidRPr="00FD44EB">
        <w:rPr>
          <w:rFonts w:ascii="Gellix" w:hAnsi="Gellix"/>
          <w:i/>
          <w:iCs/>
          <w:sz w:val="20"/>
          <w:szCs w:val="20"/>
        </w:rPr>
        <w:t>Documents</w:t>
      </w:r>
      <w:proofErr w:type="spellEnd"/>
      <w:r w:rsidRPr="00FD44EB">
        <w:rPr>
          <w:rFonts w:ascii="Gellix" w:hAnsi="Gellix"/>
          <w:i/>
          <w:iCs/>
          <w:sz w:val="20"/>
          <w:szCs w:val="20"/>
        </w:rPr>
        <w:t xml:space="preserve"> </w:t>
      </w:r>
      <w:proofErr w:type="spellStart"/>
      <w:r w:rsidRPr="00FD44EB">
        <w:rPr>
          <w:rFonts w:ascii="Gellix" w:hAnsi="Gellix"/>
          <w:i/>
          <w:iCs/>
          <w:sz w:val="20"/>
          <w:szCs w:val="20"/>
        </w:rPr>
        <w:t>Act</w:t>
      </w:r>
      <w:proofErr w:type="spellEnd"/>
      <w:r w:rsidRPr="00FD44EB">
        <w:rPr>
          <w:rStyle w:val="Fotnotsreferens"/>
          <w:rFonts w:ascii="Gellix" w:hAnsi="Gellix"/>
          <w:i/>
          <w:iCs/>
          <w:sz w:val="20"/>
          <w:szCs w:val="20"/>
        </w:rPr>
        <w:footnoteReference w:id="1"/>
      </w:r>
      <w:r w:rsidRPr="00FD44EB">
        <w:rPr>
          <w:rFonts w:ascii="Gellix" w:hAnsi="Gellix"/>
          <w:sz w:val="20"/>
          <w:szCs w:val="20"/>
        </w:rPr>
        <w:t xml:space="preserve"> kommer öka tillväxten med </w:t>
      </w:r>
      <w:r w:rsidRPr="00FD44EB">
        <w:rPr>
          <w:rFonts w:ascii="Gellix" w:hAnsi="Gellix"/>
          <w:b/>
          <w:bCs/>
          <w:sz w:val="20"/>
          <w:szCs w:val="20"/>
        </w:rPr>
        <w:t>£25 miljarder</w:t>
      </w:r>
      <w:r w:rsidRPr="00FD44EB">
        <w:rPr>
          <w:rFonts w:ascii="Gellix" w:hAnsi="Gellix"/>
          <w:sz w:val="20"/>
          <w:szCs w:val="20"/>
        </w:rPr>
        <w:t xml:space="preserve"> under 2024, och frigöra </w:t>
      </w:r>
      <w:r w:rsidRPr="00FD44EB">
        <w:rPr>
          <w:rFonts w:ascii="Gellix" w:hAnsi="Gellix"/>
          <w:b/>
          <w:bCs/>
          <w:sz w:val="20"/>
          <w:szCs w:val="20"/>
        </w:rPr>
        <w:t>£224 miljarder</w:t>
      </w:r>
      <w:r w:rsidRPr="00FD44EB">
        <w:rPr>
          <w:rFonts w:ascii="Gellix" w:hAnsi="Gellix"/>
          <w:sz w:val="20"/>
          <w:szCs w:val="20"/>
        </w:rPr>
        <w:t xml:space="preserve"> i effektivitetsbesparingar</w:t>
      </w:r>
      <w:r w:rsidRPr="00FD44EB">
        <w:rPr>
          <w:rStyle w:val="Fotnotsreferens"/>
          <w:rFonts w:ascii="Gellix" w:hAnsi="Gellix"/>
          <w:sz w:val="20"/>
          <w:szCs w:val="20"/>
        </w:rPr>
        <w:footnoteReference w:id="2"/>
      </w:r>
      <w:r w:rsidRPr="00FD44EB">
        <w:rPr>
          <w:rFonts w:ascii="Gellix" w:hAnsi="Gellix"/>
          <w:sz w:val="20"/>
          <w:szCs w:val="20"/>
        </w:rPr>
        <w:t xml:space="preserve">. </w:t>
      </w:r>
    </w:p>
    <w:p w14:paraId="2CC07C10" w14:textId="19DA2896" w:rsidR="002D071F" w:rsidRPr="00FD44EB" w:rsidRDefault="002D071F" w:rsidP="002D071F">
      <w:pPr>
        <w:pStyle w:val="Liststycke"/>
        <w:numPr>
          <w:ilvl w:val="0"/>
          <w:numId w:val="17"/>
        </w:numPr>
        <w:spacing w:line="360" w:lineRule="auto"/>
        <w:rPr>
          <w:rFonts w:ascii="Gellix" w:hAnsi="Gellix"/>
          <w:sz w:val="20"/>
          <w:szCs w:val="20"/>
        </w:rPr>
      </w:pPr>
      <w:r w:rsidRPr="00FD44EB">
        <w:rPr>
          <w:rFonts w:ascii="Gellix" w:hAnsi="Gellix"/>
          <w:b/>
          <w:bCs/>
          <w:sz w:val="20"/>
          <w:szCs w:val="20"/>
        </w:rPr>
        <w:t>Reducerade kostnader</w:t>
      </w:r>
      <w:r w:rsidRPr="00FD44EB">
        <w:rPr>
          <w:rFonts w:ascii="Gellix" w:hAnsi="Gellix"/>
          <w:sz w:val="20"/>
          <w:szCs w:val="20"/>
        </w:rPr>
        <w:t>. Enligt WTO</w:t>
      </w:r>
      <w:r w:rsidRPr="00FD44EB">
        <w:rPr>
          <w:rStyle w:val="Fotnotsreferens"/>
          <w:rFonts w:ascii="Gellix" w:hAnsi="Gellix"/>
          <w:sz w:val="20"/>
          <w:szCs w:val="20"/>
        </w:rPr>
        <w:footnoteReference w:id="3"/>
      </w:r>
      <w:r w:rsidRPr="00FD44EB">
        <w:rPr>
          <w:rFonts w:ascii="Gellix" w:hAnsi="Gellix"/>
          <w:sz w:val="20"/>
          <w:szCs w:val="20"/>
        </w:rPr>
        <w:t xml:space="preserve"> kan dokumentation och byråkrati stå för </w:t>
      </w:r>
      <w:r w:rsidRPr="004D532F">
        <w:rPr>
          <w:rFonts w:ascii="Gellix" w:hAnsi="Gellix"/>
          <w:b/>
          <w:bCs/>
          <w:sz w:val="20"/>
          <w:szCs w:val="20"/>
        </w:rPr>
        <w:t>en femtedel</w:t>
      </w:r>
      <w:r w:rsidRPr="00FD44EB">
        <w:rPr>
          <w:rFonts w:ascii="Gellix" w:hAnsi="Gellix"/>
          <w:sz w:val="20"/>
          <w:szCs w:val="20"/>
        </w:rPr>
        <w:t xml:space="preserve"> av de totala fraktkostnaderna i en transaktion. </w:t>
      </w:r>
    </w:p>
    <w:p w14:paraId="03799C49" w14:textId="5376A9C7" w:rsidR="004243A3" w:rsidRPr="00BE2939" w:rsidRDefault="001B6E59" w:rsidP="004243A3">
      <w:pPr>
        <w:pStyle w:val="Liststycke"/>
        <w:numPr>
          <w:ilvl w:val="0"/>
          <w:numId w:val="17"/>
        </w:numPr>
        <w:spacing w:line="360" w:lineRule="auto"/>
        <w:rPr>
          <w:rFonts w:ascii="Gellix" w:hAnsi="Gellix"/>
          <w:sz w:val="20"/>
          <w:szCs w:val="20"/>
        </w:rPr>
      </w:pPr>
      <w:r w:rsidRPr="002A4743">
        <w:rPr>
          <w:rFonts w:ascii="Gellix" w:hAnsi="Gellix"/>
          <w:b/>
          <w:bCs/>
          <w:sz w:val="20"/>
          <w:szCs w:val="20"/>
        </w:rPr>
        <w:t>Reducerad tidsåtgång</w:t>
      </w:r>
      <w:r w:rsidRPr="00BE2939">
        <w:rPr>
          <w:rFonts w:ascii="Gellix" w:hAnsi="Gellix"/>
          <w:sz w:val="20"/>
          <w:szCs w:val="20"/>
        </w:rPr>
        <w:t xml:space="preserve">. </w:t>
      </w:r>
      <w:r w:rsidR="00BB324E">
        <w:rPr>
          <w:rFonts w:ascii="Gellix" w:hAnsi="Gellix"/>
          <w:sz w:val="20"/>
          <w:szCs w:val="20"/>
        </w:rPr>
        <w:t xml:space="preserve">En enskild transaktion </w:t>
      </w:r>
      <w:r w:rsidR="005D68AC">
        <w:rPr>
          <w:rFonts w:ascii="Gellix" w:hAnsi="Gellix"/>
          <w:sz w:val="20"/>
          <w:szCs w:val="20"/>
        </w:rPr>
        <w:t>kräver i snitt</w:t>
      </w:r>
      <w:r w:rsidR="00EB705C">
        <w:rPr>
          <w:rFonts w:ascii="Gellix" w:hAnsi="Gellix"/>
          <w:sz w:val="20"/>
          <w:szCs w:val="20"/>
        </w:rPr>
        <w:t xml:space="preserve"> </w:t>
      </w:r>
      <w:r w:rsidR="0039423C">
        <w:rPr>
          <w:rFonts w:ascii="Gellix" w:hAnsi="Gellix"/>
          <w:b/>
          <w:bCs/>
          <w:sz w:val="20"/>
          <w:szCs w:val="20"/>
        </w:rPr>
        <w:t>36</w:t>
      </w:r>
      <w:r w:rsidR="00EA7639" w:rsidRPr="008B0A13">
        <w:rPr>
          <w:rFonts w:ascii="Gellix" w:hAnsi="Gellix"/>
          <w:sz w:val="20"/>
          <w:szCs w:val="20"/>
        </w:rPr>
        <w:t xml:space="preserve"> </w:t>
      </w:r>
      <w:r w:rsidR="0024690C">
        <w:rPr>
          <w:rFonts w:ascii="Gellix" w:hAnsi="Gellix"/>
          <w:b/>
          <w:bCs/>
          <w:sz w:val="20"/>
          <w:szCs w:val="20"/>
        </w:rPr>
        <w:t>olika dokument i 240 kopior</w:t>
      </w:r>
      <w:r w:rsidR="00EB705C">
        <w:rPr>
          <w:rFonts w:ascii="Gellix" w:hAnsi="Gellix"/>
          <w:sz w:val="20"/>
          <w:szCs w:val="20"/>
        </w:rPr>
        <w:t xml:space="preserve"> som utbyts mellan </w:t>
      </w:r>
      <w:r w:rsidR="00EB705C" w:rsidRPr="004D532F">
        <w:rPr>
          <w:rFonts w:ascii="Gellix" w:hAnsi="Gellix"/>
          <w:b/>
          <w:bCs/>
          <w:sz w:val="20"/>
          <w:szCs w:val="20"/>
        </w:rPr>
        <w:t>30+ parter</w:t>
      </w:r>
      <w:r w:rsidR="0088109C">
        <w:rPr>
          <w:rStyle w:val="Fotnotsreferens"/>
          <w:rFonts w:ascii="Gellix" w:hAnsi="Gellix"/>
          <w:b/>
          <w:bCs/>
          <w:sz w:val="20"/>
          <w:szCs w:val="20"/>
        </w:rPr>
        <w:footnoteReference w:id="4"/>
      </w:r>
      <w:r w:rsidR="00EB705C">
        <w:rPr>
          <w:rFonts w:ascii="Gellix" w:hAnsi="Gellix"/>
          <w:sz w:val="20"/>
          <w:szCs w:val="20"/>
        </w:rPr>
        <w:t xml:space="preserve">. </w:t>
      </w:r>
      <w:r w:rsidR="00EA7639">
        <w:rPr>
          <w:rFonts w:ascii="Gellix" w:hAnsi="Gellix"/>
          <w:sz w:val="20"/>
          <w:szCs w:val="20"/>
        </w:rPr>
        <w:t xml:space="preserve">Elektroniska handelsdokument </w:t>
      </w:r>
      <w:r w:rsidR="001134E5">
        <w:rPr>
          <w:rFonts w:ascii="Gellix" w:hAnsi="Gellix"/>
          <w:sz w:val="20"/>
          <w:szCs w:val="20"/>
        </w:rPr>
        <w:t>minska</w:t>
      </w:r>
      <w:r w:rsidR="00F07309">
        <w:rPr>
          <w:rFonts w:ascii="Gellix" w:hAnsi="Gellix"/>
          <w:sz w:val="20"/>
          <w:szCs w:val="20"/>
        </w:rPr>
        <w:t>r</w:t>
      </w:r>
      <w:r w:rsidR="001134E5">
        <w:rPr>
          <w:rFonts w:ascii="Gellix" w:hAnsi="Gellix"/>
          <w:sz w:val="20"/>
          <w:szCs w:val="20"/>
        </w:rPr>
        <w:t xml:space="preserve"> tiden det tar att </w:t>
      </w:r>
      <w:r w:rsidR="00F07309">
        <w:rPr>
          <w:rFonts w:ascii="Gellix" w:hAnsi="Gellix"/>
          <w:sz w:val="20"/>
          <w:szCs w:val="20"/>
        </w:rPr>
        <w:t xml:space="preserve">administrera dessa </w:t>
      </w:r>
      <w:r w:rsidR="00176491">
        <w:rPr>
          <w:rFonts w:ascii="Gellix" w:hAnsi="Gellix"/>
          <w:sz w:val="20"/>
          <w:szCs w:val="20"/>
        </w:rPr>
        <w:t xml:space="preserve">dokument </w:t>
      </w:r>
      <w:r w:rsidR="00F07309">
        <w:rPr>
          <w:rFonts w:ascii="Gellix" w:hAnsi="Gellix"/>
          <w:sz w:val="20"/>
          <w:szCs w:val="20"/>
        </w:rPr>
        <w:t xml:space="preserve">med </w:t>
      </w:r>
      <w:r w:rsidR="00F07309" w:rsidRPr="004D532F">
        <w:rPr>
          <w:rFonts w:ascii="Gellix" w:hAnsi="Gellix"/>
          <w:b/>
          <w:bCs/>
          <w:sz w:val="20"/>
          <w:szCs w:val="20"/>
        </w:rPr>
        <w:t>75 %</w:t>
      </w:r>
      <w:r w:rsidR="00176491">
        <w:rPr>
          <w:rFonts w:ascii="Gellix" w:hAnsi="Gellix"/>
          <w:sz w:val="20"/>
          <w:szCs w:val="20"/>
        </w:rPr>
        <w:t>.</w:t>
      </w:r>
      <w:r w:rsidR="004F4996">
        <w:rPr>
          <w:rStyle w:val="Fotnotsreferens"/>
          <w:rFonts w:ascii="Gellix" w:hAnsi="Gellix"/>
          <w:sz w:val="20"/>
          <w:szCs w:val="20"/>
        </w:rPr>
        <w:footnoteReference w:id="5"/>
      </w:r>
    </w:p>
    <w:p w14:paraId="6F643266" w14:textId="08D0999D" w:rsidR="002D071F" w:rsidRPr="00CA40BE" w:rsidRDefault="008E4694" w:rsidP="002D071F">
      <w:pPr>
        <w:pStyle w:val="Liststycke"/>
        <w:numPr>
          <w:ilvl w:val="0"/>
          <w:numId w:val="17"/>
        </w:numPr>
        <w:spacing w:line="360" w:lineRule="auto"/>
        <w:rPr>
          <w:rFonts w:ascii="Gellix" w:hAnsi="Gellix"/>
          <w:sz w:val="20"/>
          <w:szCs w:val="20"/>
        </w:rPr>
      </w:pPr>
      <w:r>
        <w:rPr>
          <w:rFonts w:ascii="Gellix" w:hAnsi="Gellix"/>
          <w:b/>
          <w:bCs/>
          <w:sz w:val="20"/>
          <w:szCs w:val="20"/>
        </w:rPr>
        <w:t>Säkra</w:t>
      </w:r>
      <w:r w:rsidRPr="00CA40BE">
        <w:rPr>
          <w:rFonts w:ascii="Gellix" w:hAnsi="Gellix"/>
          <w:b/>
          <w:bCs/>
          <w:sz w:val="20"/>
          <w:szCs w:val="20"/>
        </w:rPr>
        <w:t xml:space="preserve"> </w:t>
      </w:r>
      <w:r w:rsidR="002D071F" w:rsidRPr="00CA40BE">
        <w:rPr>
          <w:rFonts w:ascii="Gellix" w:hAnsi="Gellix"/>
          <w:b/>
          <w:bCs/>
          <w:sz w:val="20"/>
          <w:szCs w:val="20"/>
        </w:rPr>
        <w:t>Sveriges konkurrenskraft</w:t>
      </w:r>
      <w:r w:rsidR="002D071F" w:rsidRPr="00CA40BE">
        <w:rPr>
          <w:rFonts w:ascii="Gellix" w:hAnsi="Gellix"/>
          <w:sz w:val="20"/>
          <w:szCs w:val="20"/>
        </w:rPr>
        <w:t xml:space="preserve">. Den globala implementeringen har gått långsamt, men med nuvarande initiativ från G7 </w:t>
      </w:r>
      <w:r w:rsidR="0061371B" w:rsidRPr="00CA40BE">
        <w:rPr>
          <w:rFonts w:ascii="Gellix" w:hAnsi="Gellix"/>
          <w:sz w:val="20"/>
          <w:szCs w:val="20"/>
        </w:rPr>
        <w:t>att genomföra lagändringar</w:t>
      </w:r>
      <w:r w:rsidR="003614A2">
        <w:rPr>
          <w:rStyle w:val="Fotnotsreferens"/>
          <w:rFonts w:ascii="Gellix" w:hAnsi="Gellix"/>
          <w:sz w:val="20"/>
          <w:szCs w:val="20"/>
        </w:rPr>
        <w:footnoteReference w:id="6"/>
      </w:r>
      <w:r w:rsidR="0061371B" w:rsidRPr="00CA40BE">
        <w:rPr>
          <w:rFonts w:ascii="Gellix" w:hAnsi="Gellix"/>
          <w:sz w:val="20"/>
          <w:szCs w:val="20"/>
        </w:rPr>
        <w:t xml:space="preserve"> </w:t>
      </w:r>
      <w:r w:rsidR="002D071F" w:rsidRPr="00CA40BE">
        <w:rPr>
          <w:rFonts w:ascii="Gellix" w:hAnsi="Gellix"/>
          <w:sz w:val="20"/>
          <w:szCs w:val="20"/>
        </w:rPr>
        <w:t xml:space="preserve">kan </w:t>
      </w:r>
      <w:proofErr w:type="spellStart"/>
      <w:r w:rsidR="00E15E66">
        <w:rPr>
          <w:rFonts w:ascii="Gellix" w:hAnsi="Gellix"/>
          <w:sz w:val="20"/>
          <w:szCs w:val="20"/>
        </w:rPr>
        <w:t>utvecklignen</w:t>
      </w:r>
      <w:proofErr w:type="spellEnd"/>
      <w:r w:rsidR="00E15E66" w:rsidRPr="00CA40BE">
        <w:rPr>
          <w:rFonts w:ascii="Gellix" w:hAnsi="Gellix"/>
          <w:sz w:val="20"/>
          <w:szCs w:val="20"/>
        </w:rPr>
        <w:t xml:space="preserve"> </w:t>
      </w:r>
      <w:r w:rsidR="002D071F" w:rsidRPr="00CA40BE">
        <w:rPr>
          <w:rFonts w:ascii="Gellix" w:hAnsi="Gellix"/>
          <w:sz w:val="20"/>
          <w:szCs w:val="20"/>
        </w:rPr>
        <w:t xml:space="preserve">gå fort. Utan det nödvändiga rättsliga ramverket riskerar Sverige att tappa i konkurrenskraft. </w:t>
      </w:r>
    </w:p>
    <w:p w14:paraId="71EE62EB" w14:textId="6C6BDD35" w:rsidR="002D071F" w:rsidRPr="00CA40BE" w:rsidRDefault="002D071F" w:rsidP="002D071F">
      <w:pPr>
        <w:pStyle w:val="Liststycke"/>
        <w:numPr>
          <w:ilvl w:val="0"/>
          <w:numId w:val="17"/>
        </w:numPr>
        <w:spacing w:line="360" w:lineRule="auto"/>
        <w:rPr>
          <w:rFonts w:ascii="Gellix" w:hAnsi="Gellix"/>
          <w:sz w:val="20"/>
          <w:szCs w:val="20"/>
        </w:rPr>
      </w:pPr>
      <w:r w:rsidRPr="00CA40BE">
        <w:rPr>
          <w:rFonts w:ascii="Gellix" w:hAnsi="Gellix"/>
          <w:b/>
          <w:bCs/>
          <w:sz w:val="20"/>
          <w:szCs w:val="20"/>
        </w:rPr>
        <w:t>Underlätta för svenska företag</w:t>
      </w:r>
      <w:r w:rsidRPr="00CA40BE">
        <w:rPr>
          <w:rFonts w:ascii="Gellix" w:hAnsi="Gellix"/>
          <w:sz w:val="20"/>
          <w:szCs w:val="20"/>
        </w:rPr>
        <w:t xml:space="preserve">. Att förtydliga giltigheten i elektroniska </w:t>
      </w:r>
      <w:r w:rsidR="00435441" w:rsidRPr="00CA40BE">
        <w:rPr>
          <w:rFonts w:ascii="Gellix" w:hAnsi="Gellix"/>
          <w:sz w:val="20"/>
          <w:szCs w:val="20"/>
        </w:rPr>
        <w:t xml:space="preserve">handelsdokument </w:t>
      </w:r>
      <w:r w:rsidRPr="00CA40BE">
        <w:rPr>
          <w:rFonts w:ascii="Gellix" w:hAnsi="Gellix"/>
          <w:sz w:val="20"/>
          <w:szCs w:val="20"/>
        </w:rPr>
        <w:t>spela</w:t>
      </w:r>
      <w:r w:rsidR="00576431">
        <w:rPr>
          <w:rFonts w:ascii="Gellix" w:hAnsi="Gellix"/>
          <w:sz w:val="20"/>
          <w:szCs w:val="20"/>
        </w:rPr>
        <w:t>r</w:t>
      </w:r>
      <w:r w:rsidRPr="00CA40BE">
        <w:rPr>
          <w:rFonts w:ascii="Gellix" w:hAnsi="Gellix"/>
          <w:sz w:val="20"/>
          <w:szCs w:val="20"/>
        </w:rPr>
        <w:t xml:space="preserve"> en viktig roll för att skapa juridisk tydlighet för privata aktörer att våga ställa om och digitalisera dokument som behövs för att genomföra en internationell handelstransaktion. </w:t>
      </w:r>
    </w:p>
    <w:p w14:paraId="6155D8EA" w14:textId="7B1F78F1" w:rsidR="002D071F" w:rsidRPr="007B0E48" w:rsidRDefault="002D071F" w:rsidP="002D071F">
      <w:pPr>
        <w:pStyle w:val="Liststycke"/>
        <w:numPr>
          <w:ilvl w:val="0"/>
          <w:numId w:val="17"/>
        </w:numPr>
        <w:spacing w:line="360" w:lineRule="auto"/>
        <w:rPr>
          <w:rFonts w:ascii="Gellix" w:hAnsi="Gellix"/>
          <w:sz w:val="20"/>
          <w:szCs w:val="20"/>
        </w:rPr>
      </w:pPr>
      <w:r w:rsidRPr="00CA40BE">
        <w:rPr>
          <w:rFonts w:ascii="Gellix" w:hAnsi="Gellix"/>
          <w:b/>
          <w:bCs/>
          <w:sz w:val="20"/>
          <w:szCs w:val="20"/>
        </w:rPr>
        <w:t>Utnyttja befintlig teknik</w:t>
      </w:r>
      <w:r w:rsidRPr="00CA40BE">
        <w:rPr>
          <w:rFonts w:ascii="Gellix" w:hAnsi="Gellix"/>
          <w:sz w:val="20"/>
          <w:szCs w:val="20"/>
        </w:rPr>
        <w:t>. Tekniken för att behandla elektroniska dokumentet likvärdigt fysiska finns redan på plats.</w:t>
      </w:r>
      <w:r w:rsidR="00E732D5" w:rsidRPr="00CA40BE">
        <w:rPr>
          <w:rFonts w:ascii="Gellix" w:hAnsi="Gellix"/>
          <w:sz w:val="20"/>
          <w:szCs w:val="20"/>
        </w:rPr>
        <w:t xml:space="preserve"> </w:t>
      </w:r>
      <w:r w:rsidR="004F4788">
        <w:rPr>
          <w:rFonts w:ascii="Gellix" w:hAnsi="Gellix"/>
          <w:sz w:val="20"/>
          <w:szCs w:val="20"/>
        </w:rPr>
        <w:t>L</w:t>
      </w:r>
      <w:r w:rsidR="001B56EE" w:rsidRPr="00CA40BE">
        <w:rPr>
          <w:rFonts w:ascii="Gellix" w:hAnsi="Gellix"/>
          <w:sz w:val="20"/>
          <w:szCs w:val="20"/>
        </w:rPr>
        <w:t>agstift</w:t>
      </w:r>
      <w:r w:rsidR="004F4788">
        <w:rPr>
          <w:rFonts w:ascii="Gellix" w:hAnsi="Gellix"/>
          <w:sz w:val="20"/>
          <w:szCs w:val="20"/>
        </w:rPr>
        <w:t xml:space="preserve">ning </w:t>
      </w:r>
      <w:r w:rsidR="001B56EE" w:rsidRPr="00CA40BE">
        <w:rPr>
          <w:rFonts w:ascii="Gellix" w:hAnsi="Gellix"/>
          <w:sz w:val="20"/>
          <w:szCs w:val="20"/>
        </w:rPr>
        <w:t xml:space="preserve">i enlighet med </w:t>
      </w:r>
      <w:proofErr w:type="spellStart"/>
      <w:r w:rsidR="001B56EE" w:rsidRPr="00CA40BE">
        <w:rPr>
          <w:rFonts w:ascii="Gellix" w:hAnsi="Gellix"/>
          <w:sz w:val="20"/>
          <w:szCs w:val="20"/>
        </w:rPr>
        <w:t>MLETR</w:t>
      </w:r>
      <w:proofErr w:type="spellEnd"/>
      <w:r w:rsidR="004F4788">
        <w:rPr>
          <w:rFonts w:ascii="Gellix" w:hAnsi="Gellix"/>
          <w:sz w:val="20"/>
          <w:szCs w:val="20"/>
        </w:rPr>
        <w:t xml:space="preserve"> </w:t>
      </w:r>
      <w:r w:rsidR="00CA1071">
        <w:rPr>
          <w:rFonts w:ascii="Gellix" w:hAnsi="Gellix"/>
          <w:sz w:val="20"/>
          <w:szCs w:val="20"/>
        </w:rPr>
        <w:t>skulle för</w:t>
      </w:r>
      <w:r w:rsidR="0006320B">
        <w:rPr>
          <w:rFonts w:ascii="Gellix" w:hAnsi="Gellix"/>
          <w:sz w:val="20"/>
          <w:szCs w:val="20"/>
        </w:rPr>
        <w:t xml:space="preserve">tydliga </w:t>
      </w:r>
      <w:r w:rsidR="00CA1071">
        <w:rPr>
          <w:rFonts w:ascii="Gellix" w:hAnsi="Gellix"/>
          <w:sz w:val="20"/>
          <w:szCs w:val="20"/>
        </w:rPr>
        <w:t xml:space="preserve">vilka </w:t>
      </w:r>
      <w:r w:rsidR="0006320B">
        <w:rPr>
          <w:rFonts w:ascii="Gellix" w:hAnsi="Gellix"/>
          <w:sz w:val="20"/>
          <w:szCs w:val="20"/>
        </w:rPr>
        <w:t>krav</w:t>
      </w:r>
      <w:r w:rsidR="00CA1071">
        <w:rPr>
          <w:rFonts w:ascii="Gellix" w:hAnsi="Gellix"/>
          <w:sz w:val="20"/>
          <w:szCs w:val="20"/>
        </w:rPr>
        <w:t xml:space="preserve"> som ställs</w:t>
      </w:r>
      <w:r w:rsidR="0006320B">
        <w:rPr>
          <w:rFonts w:ascii="Gellix" w:hAnsi="Gellix"/>
          <w:sz w:val="20"/>
          <w:szCs w:val="20"/>
        </w:rPr>
        <w:t xml:space="preserve"> på</w:t>
      </w:r>
      <w:r w:rsidR="00CA1071">
        <w:rPr>
          <w:rFonts w:ascii="Gellix" w:hAnsi="Gellix"/>
          <w:sz w:val="20"/>
          <w:szCs w:val="20"/>
        </w:rPr>
        <w:t xml:space="preserve"> de</w:t>
      </w:r>
      <w:r w:rsidR="0006320B">
        <w:rPr>
          <w:rFonts w:ascii="Gellix" w:hAnsi="Gellix"/>
          <w:sz w:val="20"/>
          <w:szCs w:val="20"/>
        </w:rPr>
        <w:t xml:space="preserve"> tekniska lösningar</w:t>
      </w:r>
      <w:r w:rsidR="00CA1071">
        <w:rPr>
          <w:rFonts w:ascii="Gellix" w:hAnsi="Gellix"/>
          <w:sz w:val="20"/>
          <w:szCs w:val="20"/>
        </w:rPr>
        <w:t>na</w:t>
      </w:r>
      <w:r w:rsidR="0006320B">
        <w:rPr>
          <w:rFonts w:ascii="Gellix" w:hAnsi="Gellix"/>
          <w:sz w:val="20"/>
          <w:szCs w:val="20"/>
        </w:rPr>
        <w:t xml:space="preserve"> </w:t>
      </w:r>
      <w:r w:rsidR="001B56EE" w:rsidRPr="007B0E48">
        <w:rPr>
          <w:rFonts w:ascii="Gellix" w:hAnsi="Gellix"/>
          <w:sz w:val="20"/>
          <w:szCs w:val="20"/>
        </w:rPr>
        <w:t xml:space="preserve">och gynna en framväxande </w:t>
      </w:r>
      <w:proofErr w:type="spellStart"/>
      <w:r w:rsidR="00DC6ABA">
        <w:rPr>
          <w:rFonts w:ascii="Gellix" w:hAnsi="Gellix"/>
          <w:sz w:val="20"/>
          <w:szCs w:val="20"/>
        </w:rPr>
        <w:t>fintech</w:t>
      </w:r>
      <w:r w:rsidR="002D5EEC" w:rsidRPr="007B0E48">
        <w:rPr>
          <w:rFonts w:ascii="Gellix" w:hAnsi="Gellix"/>
          <w:sz w:val="20"/>
          <w:szCs w:val="20"/>
        </w:rPr>
        <w:t>sekto</w:t>
      </w:r>
      <w:r w:rsidR="0075387D">
        <w:rPr>
          <w:rFonts w:ascii="Gellix" w:hAnsi="Gellix"/>
          <w:sz w:val="20"/>
          <w:szCs w:val="20"/>
        </w:rPr>
        <w:t>r</w:t>
      </w:r>
      <w:proofErr w:type="spellEnd"/>
      <w:r w:rsidR="0075387D">
        <w:rPr>
          <w:rFonts w:ascii="Gellix" w:hAnsi="Gellix"/>
          <w:sz w:val="20"/>
          <w:szCs w:val="20"/>
        </w:rPr>
        <w:t>.</w:t>
      </w:r>
      <w:r w:rsidR="002D5EEC" w:rsidRPr="007B0E48">
        <w:rPr>
          <w:rFonts w:ascii="Gellix" w:hAnsi="Gellix"/>
          <w:sz w:val="20"/>
          <w:szCs w:val="20"/>
        </w:rPr>
        <w:t xml:space="preserve"> </w:t>
      </w:r>
      <w:r w:rsidRPr="007B0E48">
        <w:rPr>
          <w:rFonts w:ascii="Gellix" w:hAnsi="Gellix"/>
          <w:sz w:val="20"/>
          <w:szCs w:val="20"/>
        </w:rPr>
        <w:t xml:space="preserve"> </w:t>
      </w:r>
    </w:p>
    <w:p w14:paraId="356F797A" w14:textId="19F7A4E9" w:rsidR="002D071F" w:rsidRPr="007B0E48" w:rsidRDefault="002D071F" w:rsidP="002D071F">
      <w:pPr>
        <w:pStyle w:val="Liststycke"/>
        <w:numPr>
          <w:ilvl w:val="0"/>
          <w:numId w:val="17"/>
        </w:numPr>
        <w:spacing w:line="360" w:lineRule="auto"/>
        <w:rPr>
          <w:rFonts w:ascii="Gellix" w:hAnsi="Gellix"/>
          <w:sz w:val="20"/>
          <w:szCs w:val="20"/>
        </w:rPr>
      </w:pPr>
      <w:r w:rsidRPr="007B0E48">
        <w:rPr>
          <w:rFonts w:ascii="Gellix" w:hAnsi="Gellix"/>
          <w:b/>
          <w:bCs/>
          <w:sz w:val="20"/>
          <w:szCs w:val="20"/>
        </w:rPr>
        <w:t>Förbättrad spårning</w:t>
      </w:r>
      <w:r w:rsidRPr="007B0E48">
        <w:rPr>
          <w:rFonts w:ascii="Gellix" w:hAnsi="Gellix"/>
          <w:sz w:val="20"/>
          <w:szCs w:val="20"/>
        </w:rPr>
        <w:t xml:space="preserve">. Dagens teknologi möjliggör att det elektroniska dokumentet kan paras ihop med spårningen av frakten, vilket underlättar för såväl köpare som säljare. </w:t>
      </w:r>
    </w:p>
    <w:p w14:paraId="10940973" w14:textId="0ED79DD3" w:rsidR="002D071F" w:rsidRPr="0086129B" w:rsidRDefault="002D071F" w:rsidP="002D071F">
      <w:pPr>
        <w:pStyle w:val="Liststycke"/>
        <w:numPr>
          <w:ilvl w:val="0"/>
          <w:numId w:val="17"/>
        </w:numPr>
        <w:spacing w:line="360" w:lineRule="auto"/>
        <w:rPr>
          <w:rFonts w:ascii="Gellix" w:hAnsi="Gellix"/>
          <w:sz w:val="20"/>
          <w:szCs w:val="20"/>
        </w:rPr>
      </w:pPr>
      <w:r w:rsidRPr="007B0E48">
        <w:rPr>
          <w:rFonts w:ascii="Gellix" w:hAnsi="Gellix"/>
          <w:b/>
          <w:bCs/>
          <w:sz w:val="20"/>
          <w:szCs w:val="20"/>
        </w:rPr>
        <w:t>Lägre risk för</w:t>
      </w:r>
      <w:r w:rsidR="005E6D07" w:rsidRPr="007B0E48">
        <w:rPr>
          <w:rFonts w:ascii="Gellix" w:hAnsi="Gellix"/>
          <w:b/>
          <w:bCs/>
          <w:sz w:val="20"/>
          <w:szCs w:val="20"/>
        </w:rPr>
        <w:t xml:space="preserve"> finansiell brottslighet</w:t>
      </w:r>
      <w:r w:rsidR="00A52B00" w:rsidRPr="007B0E48">
        <w:rPr>
          <w:rFonts w:ascii="Gellix" w:hAnsi="Gellix"/>
          <w:b/>
          <w:bCs/>
          <w:sz w:val="20"/>
          <w:szCs w:val="20"/>
        </w:rPr>
        <w:t>.</w:t>
      </w:r>
      <w:r w:rsidRPr="007B0E48">
        <w:rPr>
          <w:rFonts w:ascii="Gellix" w:hAnsi="Gellix"/>
          <w:b/>
          <w:bCs/>
          <w:sz w:val="20"/>
          <w:szCs w:val="20"/>
        </w:rPr>
        <w:t xml:space="preserve"> </w:t>
      </w:r>
      <w:r w:rsidRPr="0086129B">
        <w:rPr>
          <w:rFonts w:ascii="Gellix" w:hAnsi="Gellix"/>
          <w:sz w:val="20"/>
          <w:szCs w:val="20"/>
        </w:rPr>
        <w:t xml:space="preserve">Då elektroniska handelsdokument är anslutna till </w:t>
      </w:r>
      <w:r w:rsidR="00E00A82" w:rsidRPr="0086129B">
        <w:rPr>
          <w:rFonts w:ascii="Gellix" w:hAnsi="Gellix"/>
          <w:sz w:val="20"/>
          <w:szCs w:val="20"/>
        </w:rPr>
        <w:t>blockkedj</w:t>
      </w:r>
      <w:r w:rsidR="00E00A82">
        <w:rPr>
          <w:rFonts w:ascii="Gellix" w:hAnsi="Gellix"/>
          <w:sz w:val="20"/>
          <w:szCs w:val="20"/>
        </w:rPr>
        <w:t xml:space="preserve">or kan förändringar bara göras av den som </w:t>
      </w:r>
      <w:r w:rsidR="00B33BB0">
        <w:rPr>
          <w:rFonts w:ascii="Gellix" w:hAnsi="Gellix"/>
          <w:sz w:val="20"/>
          <w:szCs w:val="20"/>
        </w:rPr>
        <w:t>är behörig. Det förhindrar f</w:t>
      </w:r>
      <w:r w:rsidRPr="0086129B">
        <w:rPr>
          <w:rFonts w:ascii="Gellix" w:hAnsi="Gellix"/>
          <w:sz w:val="20"/>
          <w:szCs w:val="20"/>
        </w:rPr>
        <w:t>örfalskningar</w:t>
      </w:r>
      <w:r w:rsidR="00433D18">
        <w:rPr>
          <w:rFonts w:ascii="Gellix" w:hAnsi="Gellix"/>
          <w:sz w:val="20"/>
          <w:szCs w:val="20"/>
        </w:rPr>
        <w:t>, bedrägerier</w:t>
      </w:r>
      <w:r w:rsidRPr="0086129B">
        <w:rPr>
          <w:rFonts w:ascii="Gellix" w:hAnsi="Gellix"/>
          <w:sz w:val="20"/>
          <w:szCs w:val="20"/>
        </w:rPr>
        <w:t xml:space="preserve"> och </w:t>
      </w:r>
      <w:r w:rsidR="00B33BB0">
        <w:rPr>
          <w:rFonts w:ascii="Gellix" w:hAnsi="Gellix"/>
          <w:sz w:val="20"/>
          <w:szCs w:val="20"/>
        </w:rPr>
        <w:t xml:space="preserve">obehöriga </w:t>
      </w:r>
      <w:r w:rsidRPr="0086129B">
        <w:rPr>
          <w:rFonts w:ascii="Gellix" w:hAnsi="Gellix"/>
          <w:sz w:val="20"/>
          <w:szCs w:val="20"/>
        </w:rPr>
        <w:t xml:space="preserve">förändringar av dokument </w:t>
      </w:r>
      <w:r w:rsidR="00D36C60" w:rsidRPr="0086129B">
        <w:rPr>
          <w:rFonts w:ascii="Gellix" w:hAnsi="Gellix"/>
          <w:sz w:val="20"/>
          <w:szCs w:val="20"/>
        </w:rPr>
        <w:t xml:space="preserve">vilket </w:t>
      </w:r>
      <w:r w:rsidR="00B33BB0">
        <w:rPr>
          <w:rFonts w:ascii="Gellix" w:hAnsi="Gellix"/>
          <w:sz w:val="20"/>
          <w:szCs w:val="20"/>
        </w:rPr>
        <w:t>motverkar</w:t>
      </w:r>
      <w:r w:rsidR="00B33BB0" w:rsidRPr="0086129B">
        <w:rPr>
          <w:rFonts w:ascii="Gellix" w:hAnsi="Gellix"/>
          <w:sz w:val="20"/>
          <w:szCs w:val="20"/>
        </w:rPr>
        <w:t xml:space="preserve"> </w:t>
      </w:r>
      <w:r w:rsidR="00D36C60" w:rsidRPr="0086129B">
        <w:rPr>
          <w:rFonts w:ascii="Gellix" w:hAnsi="Gellix"/>
          <w:sz w:val="20"/>
          <w:szCs w:val="20"/>
        </w:rPr>
        <w:t>penningtvätt</w:t>
      </w:r>
      <w:r w:rsidR="006449C6" w:rsidRPr="0086129B">
        <w:rPr>
          <w:rFonts w:ascii="Gellix" w:hAnsi="Gellix"/>
          <w:sz w:val="20"/>
          <w:szCs w:val="20"/>
        </w:rPr>
        <w:t xml:space="preserve"> och </w:t>
      </w:r>
      <w:r w:rsidR="00D36C60" w:rsidRPr="0086129B">
        <w:rPr>
          <w:rFonts w:ascii="Gellix" w:hAnsi="Gellix"/>
          <w:sz w:val="20"/>
          <w:szCs w:val="20"/>
        </w:rPr>
        <w:t>säkerställer sanktionsefterlevnad</w:t>
      </w:r>
      <w:r w:rsidR="00BE4F54">
        <w:rPr>
          <w:rFonts w:ascii="Gellix" w:hAnsi="Gellix"/>
          <w:sz w:val="20"/>
          <w:szCs w:val="20"/>
        </w:rPr>
        <w:t xml:space="preserve"> samt minskar risken för rena fe</w:t>
      </w:r>
      <w:r w:rsidR="007E2C65">
        <w:rPr>
          <w:rFonts w:ascii="Gellix" w:hAnsi="Gellix"/>
          <w:sz w:val="20"/>
          <w:szCs w:val="20"/>
        </w:rPr>
        <w:t>l</w:t>
      </w:r>
      <w:r w:rsidR="006449C6" w:rsidRPr="0086129B">
        <w:rPr>
          <w:rFonts w:ascii="Gellix" w:hAnsi="Gellix"/>
          <w:sz w:val="20"/>
          <w:szCs w:val="20"/>
        </w:rPr>
        <w:t>.</w:t>
      </w:r>
      <w:r w:rsidR="00BE4F54">
        <w:rPr>
          <w:rFonts w:ascii="Gellix" w:hAnsi="Gellix"/>
          <w:i/>
          <w:iCs/>
          <w:sz w:val="20"/>
          <w:szCs w:val="20"/>
        </w:rPr>
        <w:t xml:space="preserve"> </w:t>
      </w:r>
    </w:p>
    <w:p w14:paraId="1A3B493C" w14:textId="00CE5789" w:rsidR="002D071F" w:rsidRPr="0086129B" w:rsidRDefault="002D071F" w:rsidP="002D071F">
      <w:pPr>
        <w:pStyle w:val="Liststycke"/>
        <w:numPr>
          <w:ilvl w:val="0"/>
          <w:numId w:val="17"/>
        </w:numPr>
        <w:spacing w:line="360" w:lineRule="auto"/>
        <w:rPr>
          <w:rFonts w:ascii="Gellix" w:hAnsi="Gellix"/>
          <w:sz w:val="20"/>
          <w:szCs w:val="20"/>
        </w:rPr>
      </w:pPr>
      <w:r w:rsidRPr="0086129B">
        <w:rPr>
          <w:rFonts w:ascii="Gellix" w:hAnsi="Gellix"/>
          <w:b/>
          <w:bCs/>
          <w:sz w:val="20"/>
          <w:szCs w:val="20"/>
        </w:rPr>
        <w:t>Låta lagstiftare lagstifta</w:t>
      </w:r>
      <w:r w:rsidRPr="0086129B">
        <w:rPr>
          <w:rFonts w:ascii="Gellix" w:hAnsi="Gellix"/>
          <w:sz w:val="20"/>
          <w:szCs w:val="20"/>
        </w:rPr>
        <w:t xml:space="preserve">. Praxis visar att det råder </w:t>
      </w:r>
      <w:r w:rsidR="00B11834">
        <w:rPr>
          <w:rFonts w:ascii="Gellix" w:hAnsi="Gellix"/>
          <w:sz w:val="20"/>
          <w:szCs w:val="20"/>
        </w:rPr>
        <w:t>oklarhet</w:t>
      </w:r>
      <w:r w:rsidR="00B11834" w:rsidRPr="0086129B">
        <w:rPr>
          <w:rFonts w:ascii="Gellix" w:hAnsi="Gellix"/>
          <w:sz w:val="20"/>
          <w:szCs w:val="20"/>
        </w:rPr>
        <w:t xml:space="preserve"> </w:t>
      </w:r>
      <w:r w:rsidRPr="0086129B">
        <w:rPr>
          <w:rFonts w:ascii="Gellix" w:hAnsi="Gellix"/>
          <w:sz w:val="20"/>
          <w:szCs w:val="20"/>
        </w:rPr>
        <w:t xml:space="preserve">om hur nuvarande lagstiftning ska tillämpas på elektroniska dokument. Vid liknande framtida fall skulle </w:t>
      </w:r>
      <w:r w:rsidR="00DB67AA" w:rsidRPr="0086129B">
        <w:rPr>
          <w:rFonts w:ascii="Gellix" w:hAnsi="Gellix"/>
          <w:sz w:val="20"/>
          <w:szCs w:val="20"/>
        </w:rPr>
        <w:t xml:space="preserve">ett tydligt </w:t>
      </w:r>
      <w:r w:rsidRPr="0086129B">
        <w:rPr>
          <w:rFonts w:ascii="Gellix" w:hAnsi="Gellix"/>
          <w:sz w:val="20"/>
          <w:szCs w:val="20"/>
        </w:rPr>
        <w:t>erkännande av sådana dokument</w:t>
      </w:r>
      <w:r w:rsidR="00DB67AA" w:rsidRPr="0086129B">
        <w:rPr>
          <w:rFonts w:ascii="Gellix" w:hAnsi="Gellix"/>
          <w:sz w:val="20"/>
          <w:szCs w:val="20"/>
        </w:rPr>
        <w:t xml:space="preserve"> i lagstiftningen</w:t>
      </w:r>
      <w:r w:rsidRPr="0086129B">
        <w:rPr>
          <w:rFonts w:ascii="Gellix" w:hAnsi="Gellix"/>
          <w:sz w:val="20"/>
          <w:szCs w:val="20"/>
        </w:rPr>
        <w:t xml:space="preserve"> underlätta för rättsväsendet. </w:t>
      </w:r>
    </w:p>
    <w:p w14:paraId="5B5C43FA" w14:textId="6B60A5A6" w:rsidR="008B0979" w:rsidRPr="002D071F" w:rsidRDefault="002D071F" w:rsidP="002A4743">
      <w:pPr>
        <w:pStyle w:val="Liststycke"/>
        <w:numPr>
          <w:ilvl w:val="0"/>
          <w:numId w:val="17"/>
        </w:numPr>
        <w:spacing w:line="360" w:lineRule="auto"/>
        <w:rPr>
          <w:b/>
          <w:bCs/>
          <w:noProof/>
          <w:sz w:val="22"/>
          <w:szCs w:val="22"/>
        </w:rPr>
      </w:pPr>
      <w:r w:rsidRPr="0086129B">
        <w:rPr>
          <w:rFonts w:ascii="Gellix" w:hAnsi="Gellix"/>
          <w:b/>
          <w:bCs/>
          <w:sz w:val="20"/>
          <w:szCs w:val="20"/>
        </w:rPr>
        <w:t>Harmoniserad lagstiftning</w:t>
      </w:r>
      <w:r w:rsidRPr="0086129B">
        <w:rPr>
          <w:rFonts w:ascii="Gellix" w:hAnsi="Gellix"/>
          <w:sz w:val="20"/>
          <w:szCs w:val="20"/>
        </w:rPr>
        <w:t xml:space="preserve">. Sverige bör ta efter andra länder för att underlätta </w:t>
      </w:r>
      <w:r w:rsidR="00DB67AA" w:rsidRPr="0086129B">
        <w:rPr>
          <w:rFonts w:ascii="Gellix" w:hAnsi="Gellix"/>
          <w:sz w:val="20"/>
          <w:szCs w:val="20"/>
        </w:rPr>
        <w:t xml:space="preserve">harmoniserad </w:t>
      </w:r>
      <w:r w:rsidRPr="0086129B">
        <w:rPr>
          <w:rFonts w:ascii="Gellix" w:hAnsi="Gellix"/>
          <w:sz w:val="20"/>
          <w:szCs w:val="20"/>
        </w:rPr>
        <w:t xml:space="preserve">global handel på lika villkor. </w:t>
      </w:r>
    </w:p>
    <w:sectPr w:rsidR="008B0979" w:rsidRPr="002D071F" w:rsidSect="00055801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598" w:right="1418" w:bottom="1230" w:left="1418" w:header="309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8D2A" w14:textId="77777777" w:rsidR="00055801" w:rsidRDefault="00055801" w:rsidP="000222B2">
      <w:r>
        <w:separator/>
      </w:r>
    </w:p>
    <w:p w14:paraId="4FFF4080" w14:textId="77777777" w:rsidR="00055801" w:rsidRDefault="00055801" w:rsidP="000222B2"/>
    <w:p w14:paraId="0E5A49D7" w14:textId="77777777" w:rsidR="00055801" w:rsidRDefault="00055801" w:rsidP="000222B2"/>
    <w:p w14:paraId="38CF80B1" w14:textId="77777777" w:rsidR="00055801" w:rsidRDefault="00055801" w:rsidP="000222B2"/>
    <w:p w14:paraId="0B88DA00" w14:textId="77777777" w:rsidR="00055801" w:rsidRDefault="00055801" w:rsidP="000222B2"/>
    <w:p w14:paraId="1C1FE15B" w14:textId="77777777" w:rsidR="00055801" w:rsidRDefault="00055801" w:rsidP="000222B2"/>
  </w:endnote>
  <w:endnote w:type="continuationSeparator" w:id="0">
    <w:p w14:paraId="5E300BAD" w14:textId="77777777" w:rsidR="00055801" w:rsidRDefault="00055801" w:rsidP="000222B2">
      <w:r>
        <w:continuationSeparator/>
      </w:r>
    </w:p>
    <w:p w14:paraId="743CCBD4" w14:textId="77777777" w:rsidR="00055801" w:rsidRDefault="00055801" w:rsidP="000222B2"/>
    <w:p w14:paraId="5B647801" w14:textId="77777777" w:rsidR="00055801" w:rsidRDefault="00055801" w:rsidP="000222B2"/>
    <w:p w14:paraId="385C9F19" w14:textId="77777777" w:rsidR="00055801" w:rsidRDefault="00055801" w:rsidP="000222B2"/>
    <w:p w14:paraId="545048AA" w14:textId="77777777" w:rsidR="00055801" w:rsidRDefault="00055801" w:rsidP="000222B2"/>
    <w:p w14:paraId="27007FA5" w14:textId="77777777" w:rsidR="00055801" w:rsidRDefault="00055801" w:rsidP="00022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regular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20B0604020202020204"/>
    <w:charset w:val="00"/>
    <w:family w:val="auto"/>
    <w:pitch w:val="variable"/>
    <w:sig w:usb0="A00002FF" w:usb1="4000005B" w:usb2="00000000" w:usb3="00000000" w:csb0="0000009F" w:csb1="00000000"/>
  </w:font>
  <w:font w:name="ヒラギノ角ゴ Pro W3">
    <w:altName w:val="Yu Gothic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Medium">
    <w:altName w:val="Calibri"/>
    <w:panose1 w:val="020B0604020202020204"/>
    <w:charset w:val="00"/>
    <w:family w:val="auto"/>
    <w:notTrueType/>
    <w:pitch w:val="variable"/>
    <w:sig w:usb0="A00002FF" w:usb1="4000005B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ellix">
    <w:panose1 w:val="020B0604020202020204"/>
    <w:charset w:val="4D"/>
    <w:family w:val="auto"/>
    <w:notTrueType/>
    <w:pitch w:val="variable"/>
    <w:sig w:usb0="A10000EF" w:usb1="0000207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2033719789"/>
      <w:docPartObj>
        <w:docPartGallery w:val="Page Numbers (Bottom of Page)"/>
        <w:docPartUnique/>
      </w:docPartObj>
    </w:sdtPr>
    <w:sdtContent>
      <w:p w14:paraId="17DF3894" w14:textId="77777777" w:rsidR="00A83441" w:rsidRDefault="00A83441" w:rsidP="000222B2">
        <w:pPr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F7189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1308442505"/>
      <w:docPartObj>
        <w:docPartGallery w:val="Page Numbers (Bottom of Page)"/>
        <w:docPartUnique/>
      </w:docPartObj>
    </w:sdtPr>
    <w:sdtContent>
      <w:p w14:paraId="698A3CB0" w14:textId="77777777" w:rsidR="00A83441" w:rsidRDefault="00A83441" w:rsidP="000222B2">
        <w:pPr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F7189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77470B3E" w14:textId="77777777" w:rsidR="00A83441" w:rsidRDefault="00A83441" w:rsidP="000222B2"/>
  <w:p w14:paraId="7B874B85" w14:textId="77777777" w:rsidR="00713BED" w:rsidRDefault="00713BED" w:rsidP="000222B2"/>
  <w:p w14:paraId="10693337" w14:textId="77777777" w:rsidR="00713BED" w:rsidRDefault="00713BED" w:rsidP="000222B2"/>
  <w:p w14:paraId="2EDE8F3C" w14:textId="77777777" w:rsidR="004D071C" w:rsidRDefault="004D071C" w:rsidP="000222B2"/>
  <w:p w14:paraId="2B29CADD" w14:textId="77777777" w:rsidR="004D071C" w:rsidRDefault="004D071C" w:rsidP="000222B2"/>
  <w:p w14:paraId="7D58407F" w14:textId="77777777" w:rsidR="004D071C" w:rsidRDefault="004D071C" w:rsidP="00022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7965" w14:textId="77777777" w:rsidR="004D071C" w:rsidRDefault="00E77BA3" w:rsidP="000222B2">
    <w:r w:rsidRPr="000804A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76D08AD8" wp14:editId="396B671F">
              <wp:simplePos x="0" y="0"/>
              <wp:positionH relativeFrom="page">
                <wp:posOffset>742950</wp:posOffset>
              </wp:positionH>
              <wp:positionV relativeFrom="page">
                <wp:posOffset>10045700</wp:posOffset>
              </wp:positionV>
              <wp:extent cx="6058800" cy="127710"/>
              <wp:effectExtent l="0" t="0" r="12065" b="1206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800" cy="1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71D9A" w14:textId="77777777" w:rsidR="00F400C4" w:rsidRPr="00BC4006" w:rsidRDefault="00F400C4" w:rsidP="00F400C4">
                          <w:pPr>
                            <w:pStyle w:val="zFooter"/>
                          </w:pPr>
                          <w:r>
                            <w:t>Month 2020</w:t>
                          </w:r>
                          <w:r w:rsidRPr="00BC4006">
                            <w:t xml:space="preserve"> | </w:t>
                          </w:r>
                          <w:r>
                            <w:t>DOCUMENT TITLE</w:t>
                          </w:r>
                          <w:r w:rsidRPr="00BC4006">
                            <w:t xml:space="preserve"> | </w:t>
                          </w:r>
                          <w:r w:rsidRPr="00BE622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E6229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 w:rsidRPr="00BE622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 w:rsidRPr="00BE622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FB74EB2" w14:textId="77777777" w:rsidR="00F400C4" w:rsidRPr="00BC4006" w:rsidRDefault="00F400C4" w:rsidP="00F400C4">
                          <w:pPr>
                            <w:pStyle w:val="zFooter"/>
                          </w:pPr>
                        </w:p>
                        <w:p w14:paraId="3652F3E2" w14:textId="77777777" w:rsidR="00E77BA3" w:rsidRPr="00BC4006" w:rsidRDefault="00E77BA3" w:rsidP="00E77BA3">
                          <w:pPr>
                            <w:pStyle w:val="z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08A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5pt;margin-top:791pt;width:477.0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" o:allowoverlap="f" filled="f" stroked="f">
              <v:path arrowok="t"/>
              <v:textbox inset="0,0,0,0">
                <w:txbxContent>
                  <w:p w14:paraId="07771D9A" w14:textId="77777777" w:rsidR="00F400C4" w:rsidRPr="00BC4006" w:rsidRDefault="00F400C4" w:rsidP="00F400C4">
                    <w:pPr>
                      <w:pStyle w:val="zFooter"/>
                    </w:pPr>
                    <w:r>
                      <w:t>Month 2020</w:t>
                    </w:r>
                    <w:r w:rsidRPr="00BC4006">
                      <w:t xml:space="preserve"> | </w:t>
                    </w:r>
                    <w:r>
                      <w:t>DOCUMENT TITLE</w:t>
                    </w:r>
                    <w:r w:rsidRPr="00BC4006">
                      <w:t xml:space="preserve"> | </w:t>
                    </w:r>
                    <w:r w:rsidRPr="00BE6229">
                      <w:rPr>
                        <w:b/>
                        <w:bCs/>
                      </w:rPr>
                      <w:fldChar w:fldCharType="begin"/>
                    </w:r>
                    <w:r w:rsidRPr="00BE6229">
                      <w:rPr>
                        <w:b/>
                        <w:bCs/>
                      </w:rPr>
                      <w:instrText xml:space="preserve"> PAGE </w:instrText>
                    </w:r>
                    <w:r w:rsidRPr="00BE6229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 w:rsidRPr="00BE6229">
                      <w:rPr>
                        <w:b/>
                        <w:bCs/>
                      </w:rPr>
                      <w:fldChar w:fldCharType="end"/>
                    </w:r>
                  </w:p>
                  <w:p w14:paraId="7FB74EB2" w14:textId="77777777" w:rsidR="00F400C4" w:rsidRPr="00BC4006" w:rsidRDefault="00F400C4" w:rsidP="00F400C4">
                    <w:pPr>
                      <w:pStyle w:val="zFooter"/>
                    </w:pPr>
                  </w:p>
                  <w:p w14:paraId="3652F3E2" w14:textId="77777777" w:rsidR="00E77BA3" w:rsidRPr="00BC4006" w:rsidRDefault="00E77BA3" w:rsidP="00E77BA3">
                    <w:pPr>
                      <w:pStyle w:val="z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538F" w14:textId="77777777" w:rsidR="00854E38" w:rsidRPr="002A4743" w:rsidRDefault="00854E38" w:rsidP="00854E38">
    <w:pPr>
      <w:spacing w:after="60" w:line="276" w:lineRule="auto"/>
      <w:rPr>
        <w:sz w:val="16"/>
        <w:szCs w:val="16"/>
        <w:lang w:val="en-US"/>
      </w:rPr>
    </w:pPr>
    <w:r w:rsidRPr="002A4743">
      <w:rPr>
        <w:sz w:val="16"/>
        <w:szCs w:val="16"/>
        <w:lang w:val="en-US"/>
      </w:rPr>
      <w:t>International Chamber of Commerce Sweden</w:t>
    </w:r>
    <w:r w:rsidRPr="002A4743">
      <w:rPr>
        <w:sz w:val="16"/>
        <w:szCs w:val="16"/>
        <w:lang w:val="en-US"/>
      </w:rPr>
      <w:br/>
      <w:t>Storgatan 19, 114 51 Stockholm</w:t>
    </w:r>
  </w:p>
  <w:p w14:paraId="75C89599" w14:textId="77777777" w:rsidR="00854E38" w:rsidRPr="009C63BD" w:rsidRDefault="00854E38" w:rsidP="00854E38">
    <w:pPr>
      <w:spacing w:line="276" w:lineRule="auto"/>
      <w:rPr>
        <w:sz w:val="16"/>
        <w:szCs w:val="16"/>
      </w:rPr>
    </w:pPr>
    <w:r>
      <w:rPr>
        <w:sz w:val="16"/>
        <w:szCs w:val="16"/>
      </w:rPr>
      <w:t>+46 (0)8 </w:t>
    </w:r>
    <w:proofErr w:type="gramStart"/>
    <w:r>
      <w:rPr>
        <w:sz w:val="16"/>
        <w:szCs w:val="16"/>
      </w:rPr>
      <w:t>440  89</w:t>
    </w:r>
    <w:proofErr w:type="gramEnd"/>
    <w:r>
      <w:rPr>
        <w:sz w:val="16"/>
        <w:szCs w:val="16"/>
      </w:rPr>
      <w:t xml:space="preserve"> 20</w:t>
    </w:r>
    <w:r w:rsidRPr="00854E38">
      <w:rPr>
        <w:sz w:val="16"/>
        <w:szCs w:val="16"/>
      </w:rPr>
      <w:t xml:space="preserve"> </w:t>
    </w:r>
    <w:r w:rsidRPr="00854E38">
      <w:rPr>
        <w:b/>
        <w:bCs/>
        <w:sz w:val="16"/>
        <w:szCs w:val="16"/>
      </w:rPr>
      <w:t xml:space="preserve">| </w:t>
    </w:r>
    <w:r>
      <w:rPr>
        <w:b/>
        <w:bCs/>
        <w:color w:val="006DA9"/>
        <w:sz w:val="16"/>
        <w:szCs w:val="16"/>
      </w:rPr>
      <w:t>icc.se</w:t>
    </w:r>
  </w:p>
  <w:p w14:paraId="2B200A24" w14:textId="77777777" w:rsidR="00713BED" w:rsidRPr="003A4365" w:rsidRDefault="00713BED" w:rsidP="003A4365">
    <w:pPr>
      <w:tabs>
        <w:tab w:val="left" w:pos="5361"/>
      </w:tabs>
      <w:rPr>
        <w:color w:val="FF5769" w:themeColor="accent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C305" w14:textId="77777777" w:rsidR="00055801" w:rsidRDefault="00055801" w:rsidP="000222B2">
      <w:r>
        <w:separator/>
      </w:r>
    </w:p>
    <w:p w14:paraId="4A3D8902" w14:textId="77777777" w:rsidR="00055801" w:rsidRDefault="00055801" w:rsidP="00CC2918"/>
  </w:footnote>
  <w:footnote w:type="continuationSeparator" w:id="0">
    <w:p w14:paraId="50FA773F" w14:textId="77777777" w:rsidR="00055801" w:rsidRDefault="00055801" w:rsidP="000222B2">
      <w:r>
        <w:continuationSeparator/>
      </w:r>
    </w:p>
    <w:p w14:paraId="33BD80C8" w14:textId="77777777" w:rsidR="00055801" w:rsidRDefault="00055801" w:rsidP="000222B2"/>
    <w:p w14:paraId="08024AC8" w14:textId="77777777" w:rsidR="00055801" w:rsidRDefault="00055801" w:rsidP="000222B2"/>
    <w:p w14:paraId="5AFB9121" w14:textId="77777777" w:rsidR="00055801" w:rsidRDefault="00055801" w:rsidP="000222B2"/>
    <w:p w14:paraId="7FFB7AD9" w14:textId="77777777" w:rsidR="00055801" w:rsidRDefault="00055801" w:rsidP="000222B2"/>
    <w:p w14:paraId="6DA4CB31" w14:textId="77777777" w:rsidR="00055801" w:rsidRDefault="00055801" w:rsidP="000222B2"/>
  </w:footnote>
  <w:footnote w:id="1">
    <w:p w14:paraId="6F2C40D9" w14:textId="1987E413" w:rsidR="002D071F" w:rsidRPr="00FD4044" w:rsidRDefault="002D071F" w:rsidP="00D36493">
      <w:pPr>
        <w:pStyle w:val="Fotnotstext"/>
        <w:rPr>
          <w:rFonts w:ascii="Gellix" w:hAnsi="Gellix"/>
          <w:sz w:val="16"/>
          <w:szCs w:val="16"/>
          <w:lang w:val="en-US"/>
        </w:rPr>
      </w:pPr>
      <w:r w:rsidRPr="004D532F">
        <w:rPr>
          <w:rStyle w:val="Fotnotsreferens"/>
          <w:rFonts w:ascii="Gellix" w:hAnsi="Gellix"/>
          <w:sz w:val="16"/>
          <w:szCs w:val="16"/>
        </w:rPr>
        <w:footnoteRef/>
      </w:r>
      <w:r w:rsidRPr="00FD4044">
        <w:rPr>
          <w:rFonts w:ascii="Gellix" w:hAnsi="Gellix"/>
          <w:sz w:val="16"/>
          <w:szCs w:val="16"/>
          <w:lang w:val="en-US"/>
        </w:rPr>
        <w:t xml:space="preserve"> </w:t>
      </w:r>
      <w:r w:rsidR="00D36493" w:rsidRPr="00FD4044">
        <w:rPr>
          <w:rFonts w:ascii="Gellix" w:hAnsi="Gellix"/>
          <w:sz w:val="16"/>
          <w:szCs w:val="16"/>
          <w:lang w:val="en-US"/>
        </w:rPr>
        <w:t>Electronic Trade Documents</w:t>
      </w:r>
      <w:r w:rsidR="00656858">
        <w:rPr>
          <w:rFonts w:ascii="Gellix" w:hAnsi="Gellix"/>
          <w:sz w:val="16"/>
          <w:szCs w:val="16"/>
          <w:lang w:val="en-US"/>
        </w:rPr>
        <w:t xml:space="preserve"> </w:t>
      </w:r>
      <w:r w:rsidR="00D36493" w:rsidRPr="00FD4044">
        <w:rPr>
          <w:rFonts w:ascii="Gellix" w:hAnsi="Gellix"/>
          <w:sz w:val="16"/>
          <w:szCs w:val="16"/>
          <w:lang w:val="en-US"/>
        </w:rPr>
        <w:t xml:space="preserve">Summary, </w:t>
      </w:r>
      <w:r w:rsidR="00D36493">
        <w:rPr>
          <w:rFonts w:ascii="Gellix" w:hAnsi="Gellix"/>
          <w:sz w:val="16"/>
          <w:szCs w:val="16"/>
          <w:lang w:val="en-US"/>
        </w:rPr>
        <w:t xml:space="preserve">UK Law Commission </w:t>
      </w:r>
      <w:hyperlink r:id="rId1" w:history="1">
        <w:r w:rsidR="00D36493" w:rsidRPr="00FD4044">
          <w:rPr>
            <w:rStyle w:val="Hyperlnk"/>
            <w:rFonts w:ascii="Gellix" w:hAnsi="Gellix"/>
            <w:sz w:val="16"/>
            <w:szCs w:val="16"/>
            <w:lang w:val="en-US"/>
          </w:rPr>
          <w:t>https://cloud-platform-e218f50a4812967ba1215eaecede923f.s3.amazonaws.com/uploads/sites/30/2022/03/Electronic-Trade-Documents-summary-of-final-report-.pdf</w:t>
        </w:r>
      </w:hyperlink>
    </w:p>
  </w:footnote>
  <w:footnote w:id="2">
    <w:p w14:paraId="5D3E8DF4" w14:textId="54362F34" w:rsidR="002D071F" w:rsidRPr="00FD4044" w:rsidRDefault="002D071F" w:rsidP="002D071F">
      <w:pPr>
        <w:pStyle w:val="Fotnotstext"/>
        <w:rPr>
          <w:rFonts w:ascii="Gellix" w:hAnsi="Gellix"/>
          <w:sz w:val="16"/>
          <w:szCs w:val="16"/>
          <w:lang w:val="en-US"/>
        </w:rPr>
      </w:pPr>
      <w:r w:rsidRPr="00FD4044">
        <w:rPr>
          <w:rStyle w:val="Fotnotsreferens"/>
          <w:rFonts w:ascii="Gellix" w:hAnsi="Gellix"/>
          <w:sz w:val="16"/>
          <w:szCs w:val="16"/>
        </w:rPr>
        <w:footnoteRef/>
      </w:r>
      <w:r w:rsidRPr="00FD4044">
        <w:rPr>
          <w:rFonts w:ascii="Gellix" w:hAnsi="Gellix"/>
          <w:sz w:val="16"/>
          <w:szCs w:val="16"/>
          <w:lang w:val="en-US"/>
        </w:rPr>
        <w:t xml:space="preserve"> </w:t>
      </w:r>
      <w:r w:rsidR="005425B1" w:rsidRPr="00FD4044">
        <w:rPr>
          <w:rFonts w:ascii="Gellix" w:hAnsi="Gellix"/>
          <w:sz w:val="16"/>
          <w:szCs w:val="16"/>
          <w:lang w:val="en-US"/>
        </w:rPr>
        <w:t xml:space="preserve">Electronic </w:t>
      </w:r>
      <w:r w:rsidR="005425B1">
        <w:rPr>
          <w:rFonts w:ascii="Gellix" w:hAnsi="Gellix"/>
          <w:sz w:val="16"/>
          <w:szCs w:val="16"/>
          <w:lang w:val="en-US"/>
        </w:rPr>
        <w:t>T</w:t>
      </w:r>
      <w:r w:rsidR="005425B1" w:rsidRPr="00FD4044">
        <w:rPr>
          <w:rFonts w:ascii="Gellix" w:hAnsi="Gellix"/>
          <w:sz w:val="16"/>
          <w:szCs w:val="16"/>
          <w:lang w:val="en-US"/>
        </w:rPr>
        <w:t xml:space="preserve">rade </w:t>
      </w:r>
      <w:r w:rsidR="005425B1">
        <w:rPr>
          <w:rFonts w:ascii="Gellix" w:hAnsi="Gellix"/>
          <w:sz w:val="16"/>
          <w:szCs w:val="16"/>
          <w:lang w:val="en-US"/>
        </w:rPr>
        <w:t>D</w:t>
      </w:r>
      <w:r w:rsidR="005425B1" w:rsidRPr="00FD4044">
        <w:rPr>
          <w:rFonts w:ascii="Gellix" w:hAnsi="Gellix"/>
          <w:sz w:val="16"/>
          <w:szCs w:val="16"/>
          <w:lang w:val="en-US"/>
        </w:rPr>
        <w:t>ocuments</w:t>
      </w:r>
      <w:r w:rsidR="005425B1">
        <w:rPr>
          <w:rFonts w:ascii="Gellix" w:hAnsi="Gellix"/>
          <w:sz w:val="16"/>
          <w:szCs w:val="16"/>
          <w:lang w:val="en-US"/>
        </w:rPr>
        <w:t>, UK Law Commission,</w:t>
      </w:r>
      <w:r w:rsidR="005425B1" w:rsidRPr="00FD4044">
        <w:rPr>
          <w:rFonts w:ascii="Gellix" w:hAnsi="Gellix"/>
          <w:sz w:val="16"/>
          <w:szCs w:val="16"/>
          <w:lang w:val="en-US"/>
        </w:rPr>
        <w:t xml:space="preserve"> </w:t>
      </w:r>
      <w:hyperlink r:id="rId2" w:history="1">
        <w:r w:rsidRPr="00FD4044">
          <w:rPr>
            <w:rStyle w:val="Hyperlnk"/>
            <w:rFonts w:ascii="Gellix" w:hAnsi="Gellix"/>
            <w:sz w:val="16"/>
            <w:szCs w:val="16"/>
            <w:lang w:val="en-US"/>
          </w:rPr>
          <w:t>https://lawcom.gov.uk/project/electronic-trade-documents/</w:t>
        </w:r>
      </w:hyperlink>
      <w:r w:rsidRPr="00FD4044">
        <w:rPr>
          <w:rFonts w:ascii="Gellix" w:hAnsi="Gellix"/>
          <w:sz w:val="16"/>
          <w:szCs w:val="16"/>
          <w:lang w:val="en-US"/>
        </w:rPr>
        <w:t xml:space="preserve"> </w:t>
      </w:r>
    </w:p>
  </w:footnote>
  <w:footnote w:id="3">
    <w:p w14:paraId="43D8BFE1" w14:textId="49496879" w:rsidR="002D071F" w:rsidRPr="00FD4044" w:rsidRDefault="002D071F" w:rsidP="002D071F">
      <w:pPr>
        <w:pStyle w:val="Fotnotstext"/>
        <w:rPr>
          <w:rFonts w:ascii="Gellix" w:hAnsi="Gellix"/>
          <w:sz w:val="16"/>
          <w:szCs w:val="16"/>
          <w:lang w:val="en-US"/>
        </w:rPr>
      </w:pPr>
      <w:r w:rsidRPr="00FD4044">
        <w:rPr>
          <w:rStyle w:val="Fotnotsreferens"/>
          <w:rFonts w:ascii="Gellix" w:hAnsi="Gellix"/>
          <w:sz w:val="16"/>
          <w:szCs w:val="16"/>
        </w:rPr>
        <w:footnoteRef/>
      </w:r>
      <w:r w:rsidRPr="00FD4044">
        <w:rPr>
          <w:rFonts w:ascii="Gellix" w:hAnsi="Gellix"/>
          <w:sz w:val="16"/>
          <w:szCs w:val="16"/>
          <w:lang w:val="en-US"/>
        </w:rPr>
        <w:t xml:space="preserve"> </w:t>
      </w:r>
      <w:r w:rsidR="005425B1" w:rsidRPr="00FD4044">
        <w:rPr>
          <w:rFonts w:ascii="Gellix" w:hAnsi="Gellix"/>
          <w:sz w:val="16"/>
          <w:szCs w:val="16"/>
          <w:lang w:val="en-US"/>
        </w:rPr>
        <w:t xml:space="preserve">WTO World Trade Report 20218, </w:t>
      </w:r>
      <w:hyperlink r:id="rId3" w:history="1">
        <w:r w:rsidR="005425B1" w:rsidRPr="00FD4044">
          <w:rPr>
            <w:rStyle w:val="Hyperlnk"/>
            <w:rFonts w:ascii="Gellix" w:hAnsi="Gellix"/>
            <w:sz w:val="16"/>
            <w:szCs w:val="16"/>
            <w:lang w:val="en-US"/>
          </w:rPr>
          <w:t>https://www.wto.org/english/res_e/publications_e/world_trade_report18_e.pdf</w:t>
        </w:r>
      </w:hyperlink>
      <w:r w:rsidRPr="00FD4044">
        <w:rPr>
          <w:rFonts w:ascii="Gellix" w:hAnsi="Gellix"/>
          <w:sz w:val="16"/>
          <w:szCs w:val="16"/>
          <w:lang w:val="en-US"/>
        </w:rPr>
        <w:t xml:space="preserve"> </w:t>
      </w:r>
    </w:p>
  </w:footnote>
  <w:footnote w:id="4">
    <w:p w14:paraId="512D00FB" w14:textId="20EE3D59" w:rsidR="0088109C" w:rsidRPr="00FD4044" w:rsidRDefault="0088109C">
      <w:pPr>
        <w:pStyle w:val="Fotnotstext"/>
        <w:rPr>
          <w:rFonts w:ascii="Gellix" w:hAnsi="Gellix"/>
          <w:sz w:val="16"/>
          <w:szCs w:val="16"/>
          <w:lang w:val="en-US"/>
        </w:rPr>
      </w:pPr>
      <w:r w:rsidRPr="00FD4044">
        <w:rPr>
          <w:rStyle w:val="Fotnotsreferens"/>
          <w:rFonts w:ascii="Gellix" w:hAnsi="Gellix"/>
          <w:sz w:val="16"/>
          <w:szCs w:val="16"/>
        </w:rPr>
        <w:footnoteRef/>
      </w:r>
      <w:r w:rsidRPr="00FD4044">
        <w:rPr>
          <w:rFonts w:ascii="Gellix" w:hAnsi="Gellix"/>
          <w:sz w:val="16"/>
          <w:szCs w:val="16"/>
          <w:lang w:val="en-US"/>
        </w:rPr>
        <w:t xml:space="preserve"> WTO-ICC Standards Toolkit for Cross-border Paperless Trade,</w:t>
      </w:r>
      <w:r w:rsidR="00D36493">
        <w:rPr>
          <w:rFonts w:ascii="Gellix" w:hAnsi="Gellix"/>
          <w:sz w:val="16"/>
          <w:szCs w:val="16"/>
          <w:lang w:val="en-US"/>
        </w:rPr>
        <w:t xml:space="preserve"> </w:t>
      </w:r>
      <w:hyperlink r:id="rId4" w:history="1">
        <w:r w:rsidR="00C10994" w:rsidRPr="00FD4044">
          <w:rPr>
            <w:rStyle w:val="Hyperlnk"/>
            <w:rFonts w:ascii="Gellix" w:hAnsi="Gellix"/>
            <w:sz w:val="16"/>
            <w:szCs w:val="16"/>
            <w:lang w:val="en-US"/>
          </w:rPr>
          <w:t>https://www.wto.org/english/res_e/booksp_e/standtoolkit22_e.pdf</w:t>
        </w:r>
      </w:hyperlink>
    </w:p>
  </w:footnote>
  <w:footnote w:id="5">
    <w:p w14:paraId="492C7DA0" w14:textId="55F7DA1F" w:rsidR="004F4996" w:rsidRPr="00FD4044" w:rsidRDefault="004F4996">
      <w:pPr>
        <w:pStyle w:val="Fotnotstext"/>
        <w:rPr>
          <w:rFonts w:ascii="Gellix" w:hAnsi="Gellix"/>
          <w:sz w:val="16"/>
          <w:szCs w:val="16"/>
          <w:lang w:val="en-US"/>
        </w:rPr>
      </w:pPr>
      <w:r w:rsidRPr="00FD4044">
        <w:rPr>
          <w:rStyle w:val="Fotnotsreferens"/>
          <w:rFonts w:ascii="Gellix" w:hAnsi="Gellix"/>
          <w:sz w:val="16"/>
          <w:szCs w:val="16"/>
        </w:rPr>
        <w:footnoteRef/>
      </w:r>
      <w:r w:rsidRPr="00FD4044">
        <w:rPr>
          <w:rFonts w:ascii="Gellix" w:hAnsi="Gellix"/>
          <w:sz w:val="16"/>
          <w:szCs w:val="16"/>
          <w:lang w:val="en-US"/>
        </w:rPr>
        <w:t xml:space="preserve"> Creating a Modern Digital Trade System, ICC United Kingdom, </w:t>
      </w:r>
      <w:hyperlink r:id="rId5" w:history="1">
        <w:r w:rsidR="006A2425" w:rsidRPr="00FD4044">
          <w:rPr>
            <w:rStyle w:val="Hyperlnk"/>
            <w:rFonts w:ascii="Gellix" w:hAnsi="Gellix"/>
            <w:sz w:val="16"/>
            <w:szCs w:val="16"/>
            <w:lang w:val="en-US"/>
          </w:rPr>
          <w:t>https://www.dsi.iccwbo.org/_files/ugd/0b6be5_e6bef2857560420793110fa0bea642d8.pdf</w:t>
        </w:r>
      </w:hyperlink>
      <w:r w:rsidR="006A2425" w:rsidRPr="00FD4044">
        <w:rPr>
          <w:rFonts w:ascii="Gellix" w:hAnsi="Gellix"/>
          <w:sz w:val="16"/>
          <w:szCs w:val="16"/>
          <w:lang w:val="en-US"/>
        </w:rPr>
        <w:t xml:space="preserve"> </w:t>
      </w:r>
    </w:p>
  </w:footnote>
  <w:footnote w:id="6">
    <w:p w14:paraId="725B6B33" w14:textId="04ACCFBB" w:rsidR="003614A2" w:rsidRPr="00FD4044" w:rsidRDefault="003614A2" w:rsidP="00FD4044">
      <w:pPr>
        <w:rPr>
          <w:sz w:val="16"/>
          <w:szCs w:val="16"/>
          <w:lang w:val="en-US"/>
        </w:rPr>
      </w:pPr>
      <w:r w:rsidRPr="00FD4044">
        <w:rPr>
          <w:rStyle w:val="Fotnotsreferens"/>
          <w:rFonts w:ascii="Gellix" w:hAnsi="Gellix"/>
          <w:sz w:val="16"/>
          <w:szCs w:val="16"/>
        </w:rPr>
        <w:footnoteRef/>
      </w:r>
      <w:r w:rsidRPr="00FD4044">
        <w:rPr>
          <w:rFonts w:ascii="Gellix" w:hAnsi="Gellix"/>
          <w:sz w:val="16"/>
          <w:szCs w:val="16"/>
          <w:lang w:val="en-US"/>
        </w:rPr>
        <w:t xml:space="preserve"> </w:t>
      </w:r>
      <w:r w:rsidR="00C10994" w:rsidRPr="00C10994">
        <w:rPr>
          <w:rFonts w:ascii="Gellix" w:hAnsi="Gellix"/>
          <w:sz w:val="16"/>
          <w:szCs w:val="16"/>
          <w:lang w:val="en-US"/>
        </w:rPr>
        <w:t>UK G7 Presidency Statement, Digital and Tech</w:t>
      </w:r>
      <w:r w:rsidR="00C10994">
        <w:rPr>
          <w:rFonts w:ascii="Gellix" w:hAnsi="Gellix"/>
          <w:sz w:val="16"/>
          <w:szCs w:val="16"/>
          <w:lang w:val="en-US"/>
        </w:rPr>
        <w:t xml:space="preserve">, </w:t>
      </w:r>
      <w:hyperlink r:id="rId6" w:history="1">
        <w:r w:rsidRPr="00FD4044">
          <w:rPr>
            <w:rStyle w:val="Hyperlnk"/>
            <w:rFonts w:ascii="Gellix" w:hAnsi="Gellix"/>
            <w:sz w:val="16"/>
            <w:szCs w:val="16"/>
            <w:lang w:val="en-US"/>
          </w:rPr>
          <w:t>http://www.g7.utoronto.ca/ict/2021-presidency-statement.html</w:t>
        </w:r>
      </w:hyperlink>
      <w:r w:rsidRPr="00FD4044">
        <w:rPr>
          <w:sz w:val="16"/>
          <w:szCs w:val="16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46D0" w14:textId="77777777" w:rsidR="00155E25" w:rsidRDefault="00155E25" w:rsidP="000222B2">
    <w:pPr>
      <w:pStyle w:val="Sidhuvud"/>
    </w:pPr>
  </w:p>
  <w:p w14:paraId="2A648815" w14:textId="77777777" w:rsidR="004D071C" w:rsidRDefault="004D071C" w:rsidP="000222B2"/>
  <w:p w14:paraId="6DC56478" w14:textId="77777777" w:rsidR="004D071C" w:rsidRDefault="004D071C" w:rsidP="000222B2"/>
  <w:p w14:paraId="48AC3D70" w14:textId="77777777" w:rsidR="004D071C" w:rsidRDefault="004D071C" w:rsidP="00022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0A9F" w14:textId="77777777" w:rsidR="00713BED" w:rsidRDefault="00713BED" w:rsidP="00833DE3"/>
  <w:p w14:paraId="1795208D" w14:textId="77777777" w:rsidR="005A3059" w:rsidRDefault="0082383A" w:rsidP="00E869D4">
    <w:pPr>
      <w:ind w:right="-575"/>
      <w:jc w:val="right"/>
    </w:pPr>
    <w:r>
      <w:t xml:space="preserve">      </w:t>
    </w:r>
    <w:r w:rsidR="00DF7189">
      <w:t xml:space="preserve">  </w:t>
    </w:r>
    <w:r>
      <w:t xml:space="preserve">  </w:t>
    </w:r>
    <w:r w:rsidR="00DF7189">
      <w:t xml:space="preserve">   </w:t>
    </w:r>
    <w:r w:rsidR="00E36B83">
      <w:rPr>
        <w:noProof/>
      </w:rPr>
      <w:t xml:space="preserve"> </w:t>
    </w:r>
    <w:r w:rsidR="006D1CCD">
      <w:rPr>
        <w:noProof/>
      </w:rPr>
      <w:drawing>
        <wp:inline distT="0" distB="0" distL="0" distR="0" wp14:anchorId="685FE467" wp14:editId="41CA42F2">
          <wp:extent cx="1099454" cy="795600"/>
          <wp:effectExtent l="0" t="0" r="5715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9454" cy="79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269"/>
    <w:multiLevelType w:val="hybridMultilevel"/>
    <w:tmpl w:val="DFDA4444"/>
    <w:lvl w:ilvl="0" w:tplc="849E0BB2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FF5769" w:themeColor="accent4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DCC"/>
    <w:multiLevelType w:val="hybridMultilevel"/>
    <w:tmpl w:val="53AA139E"/>
    <w:lvl w:ilvl="0" w:tplc="5CD4938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BEF"/>
    <w:multiLevelType w:val="hybridMultilevel"/>
    <w:tmpl w:val="74A0BE3A"/>
    <w:lvl w:ilvl="0" w:tplc="F5FEA89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86BBE6"/>
        <w:sz w:val="22"/>
      </w:rPr>
    </w:lvl>
    <w:lvl w:ilvl="1" w:tplc="6EAE70CC">
      <w:start w:val="1"/>
      <w:numFmt w:val="bullet"/>
      <w:pStyle w:val="bullet3"/>
      <w:lvlText w:val=""/>
      <w:lvlJc w:val="left"/>
      <w:pPr>
        <w:ind w:left="2160" w:hanging="360"/>
      </w:pPr>
      <w:rPr>
        <w:rFonts w:ascii="Symbol" w:hAnsi="Symbol" w:hint="default"/>
        <w:b/>
        <w:i w:val="0"/>
        <w:color w:val="853DE5" w:themeColor="accent3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3A85"/>
    <w:multiLevelType w:val="multilevel"/>
    <w:tmpl w:val="9C1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8554BE"/>
    <w:multiLevelType w:val="hybridMultilevel"/>
    <w:tmpl w:val="6EE26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F10AE"/>
    <w:multiLevelType w:val="hybridMultilevel"/>
    <w:tmpl w:val="CE287332"/>
    <w:lvl w:ilvl="0" w:tplc="9AECC14C">
      <w:start w:val="1"/>
      <w:numFmt w:val="bullet"/>
      <w:pStyle w:val="1BulletTitle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1D8702F1"/>
    <w:multiLevelType w:val="multilevel"/>
    <w:tmpl w:val="119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AD1123"/>
    <w:multiLevelType w:val="hybridMultilevel"/>
    <w:tmpl w:val="86A4D108"/>
    <w:lvl w:ilvl="0" w:tplc="B854E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91A2A"/>
    <w:multiLevelType w:val="hybridMultilevel"/>
    <w:tmpl w:val="4DFC1D18"/>
    <w:lvl w:ilvl="0" w:tplc="993AE094">
      <w:start w:val="1"/>
      <w:numFmt w:val="bullet"/>
      <w:pStyle w:val="Bullet1"/>
      <w:lvlText w:val="—"/>
      <w:lvlJc w:val="left"/>
      <w:pPr>
        <w:ind w:left="720" w:hanging="360"/>
      </w:pPr>
      <w:rPr>
        <w:rFonts w:ascii="Arial Black" w:hAnsi="Arial Black" w:hint="default"/>
        <w:color w:val="000000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A62A2"/>
    <w:multiLevelType w:val="hybridMultilevel"/>
    <w:tmpl w:val="EE9EA5CC"/>
    <w:lvl w:ilvl="0" w:tplc="FB48B046">
      <w:start w:val="1"/>
      <w:numFmt w:val="decimal"/>
      <w:pStyle w:val="Bullet123title"/>
      <w:lvlText w:val="%1."/>
      <w:lvlJc w:val="left"/>
      <w:pPr>
        <w:ind w:left="2062" w:hanging="360"/>
      </w:pPr>
      <w:rPr>
        <w:rFonts w:ascii="Arial" w:hAnsi="Arial" w:hint="default"/>
        <w:b/>
        <w:i w:val="0"/>
        <w:color w:val="007BFF" w:themeColor="text1"/>
      </w:rPr>
    </w:lvl>
    <w:lvl w:ilvl="1" w:tplc="040C0019">
      <w:start w:val="1"/>
      <w:numFmt w:val="lowerLetter"/>
      <w:lvlText w:val="%2."/>
      <w:lvlJc w:val="left"/>
      <w:pPr>
        <w:ind w:left="4058" w:hanging="360"/>
      </w:pPr>
    </w:lvl>
    <w:lvl w:ilvl="2" w:tplc="040C001B" w:tentative="1">
      <w:start w:val="1"/>
      <w:numFmt w:val="lowerRoman"/>
      <w:lvlText w:val="%3."/>
      <w:lvlJc w:val="right"/>
      <w:pPr>
        <w:ind w:left="4778" w:hanging="180"/>
      </w:pPr>
    </w:lvl>
    <w:lvl w:ilvl="3" w:tplc="040C000F" w:tentative="1">
      <w:start w:val="1"/>
      <w:numFmt w:val="decimal"/>
      <w:lvlText w:val="%4."/>
      <w:lvlJc w:val="left"/>
      <w:pPr>
        <w:ind w:left="5498" w:hanging="360"/>
      </w:pPr>
    </w:lvl>
    <w:lvl w:ilvl="4" w:tplc="040C0019" w:tentative="1">
      <w:start w:val="1"/>
      <w:numFmt w:val="lowerLetter"/>
      <w:lvlText w:val="%5."/>
      <w:lvlJc w:val="left"/>
      <w:pPr>
        <w:ind w:left="6218" w:hanging="360"/>
      </w:pPr>
    </w:lvl>
    <w:lvl w:ilvl="5" w:tplc="040C001B" w:tentative="1">
      <w:start w:val="1"/>
      <w:numFmt w:val="lowerRoman"/>
      <w:lvlText w:val="%6."/>
      <w:lvlJc w:val="right"/>
      <w:pPr>
        <w:ind w:left="6938" w:hanging="180"/>
      </w:pPr>
    </w:lvl>
    <w:lvl w:ilvl="6" w:tplc="040C000F" w:tentative="1">
      <w:start w:val="1"/>
      <w:numFmt w:val="decimal"/>
      <w:lvlText w:val="%7."/>
      <w:lvlJc w:val="left"/>
      <w:pPr>
        <w:ind w:left="7658" w:hanging="360"/>
      </w:pPr>
    </w:lvl>
    <w:lvl w:ilvl="7" w:tplc="040C0019" w:tentative="1">
      <w:start w:val="1"/>
      <w:numFmt w:val="lowerLetter"/>
      <w:lvlText w:val="%8."/>
      <w:lvlJc w:val="left"/>
      <w:pPr>
        <w:ind w:left="8378" w:hanging="360"/>
      </w:pPr>
    </w:lvl>
    <w:lvl w:ilvl="8" w:tplc="040C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 w15:restartNumberingAfterBreak="0">
    <w:nsid w:val="4B5C4E50"/>
    <w:multiLevelType w:val="hybridMultilevel"/>
    <w:tmpl w:val="40D226B8"/>
    <w:lvl w:ilvl="0" w:tplc="EE8045C0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F6582"/>
    <w:multiLevelType w:val="hybridMultilevel"/>
    <w:tmpl w:val="9F26FCAC"/>
    <w:lvl w:ilvl="0" w:tplc="C9B23B60">
      <w:start w:val="1"/>
      <w:numFmt w:val="lowerLetter"/>
      <w:pStyle w:val="Bulletabc"/>
      <w:lvlText w:val="%1."/>
      <w:lvlJc w:val="left"/>
      <w:pPr>
        <w:ind w:left="994" w:hanging="360"/>
      </w:pPr>
      <w:rPr>
        <w:rFonts w:ascii="Helvetica" w:hAnsi="Helvetica" w:hint="default"/>
        <w:b/>
        <w:i w:val="0"/>
        <w:color w:val="000000" w:themeColor="background1"/>
        <w:sz w:val="20"/>
      </w:rPr>
    </w:lvl>
    <w:lvl w:ilvl="1" w:tplc="67FA7586">
      <w:start w:val="1"/>
      <w:numFmt w:val="bullet"/>
      <w:lvlText w:val=""/>
      <w:lvlJc w:val="left"/>
      <w:pPr>
        <w:ind w:left="1714" w:hanging="360"/>
      </w:pPr>
      <w:rPr>
        <w:rFonts w:ascii="Symbol" w:hAnsi="Symbol" w:hint="default"/>
        <w:b/>
        <w:i w:val="0"/>
        <w:color w:val="007DFF" w:themeColor="accent1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2" w15:restartNumberingAfterBreak="0">
    <w:nsid w:val="5BCB4DC1"/>
    <w:multiLevelType w:val="hybridMultilevel"/>
    <w:tmpl w:val="5B7E60DE"/>
    <w:lvl w:ilvl="0" w:tplc="F826508E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12815"/>
    <w:multiLevelType w:val="hybridMultilevel"/>
    <w:tmpl w:val="158AC724"/>
    <w:lvl w:ilvl="0" w:tplc="FA8A093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86BBE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E6A8A"/>
    <w:multiLevelType w:val="hybridMultilevel"/>
    <w:tmpl w:val="1EC020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561DC1"/>
    <w:multiLevelType w:val="hybridMultilevel"/>
    <w:tmpl w:val="5598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95493">
    <w:abstractNumId w:val="13"/>
  </w:num>
  <w:num w:numId="2" w16cid:durableId="635992341">
    <w:abstractNumId w:val="12"/>
  </w:num>
  <w:num w:numId="3" w16cid:durableId="2048794710">
    <w:abstractNumId w:val="10"/>
  </w:num>
  <w:num w:numId="4" w16cid:durableId="1829708508">
    <w:abstractNumId w:val="9"/>
  </w:num>
  <w:num w:numId="5" w16cid:durableId="435175558">
    <w:abstractNumId w:val="11"/>
  </w:num>
  <w:num w:numId="6" w16cid:durableId="1439636879">
    <w:abstractNumId w:val="6"/>
  </w:num>
  <w:num w:numId="7" w16cid:durableId="1797213110">
    <w:abstractNumId w:val="2"/>
  </w:num>
  <w:num w:numId="8" w16cid:durableId="2114587002">
    <w:abstractNumId w:val="5"/>
  </w:num>
  <w:num w:numId="9" w16cid:durableId="968777797">
    <w:abstractNumId w:val="9"/>
    <w:lvlOverride w:ilvl="0">
      <w:startOverride w:val="1"/>
    </w:lvlOverride>
  </w:num>
  <w:num w:numId="10" w16cid:durableId="603415736">
    <w:abstractNumId w:val="15"/>
  </w:num>
  <w:num w:numId="11" w16cid:durableId="783114883">
    <w:abstractNumId w:val="3"/>
  </w:num>
  <w:num w:numId="12" w16cid:durableId="68625500">
    <w:abstractNumId w:val="4"/>
  </w:num>
  <w:num w:numId="13" w16cid:durableId="758218543">
    <w:abstractNumId w:val="0"/>
  </w:num>
  <w:num w:numId="14" w16cid:durableId="418672943">
    <w:abstractNumId w:val="8"/>
  </w:num>
  <w:num w:numId="15" w16cid:durableId="357968599">
    <w:abstractNumId w:val="14"/>
  </w:num>
  <w:num w:numId="16" w16cid:durableId="1632710449">
    <w:abstractNumId w:val="1"/>
  </w:num>
  <w:num w:numId="17" w16cid:durableId="1203639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1F"/>
    <w:rsid w:val="0000374E"/>
    <w:rsid w:val="00005B26"/>
    <w:rsid w:val="00005FE1"/>
    <w:rsid w:val="00015B9A"/>
    <w:rsid w:val="00020BE4"/>
    <w:rsid w:val="000222B2"/>
    <w:rsid w:val="00025D1F"/>
    <w:rsid w:val="00025E29"/>
    <w:rsid w:val="00027564"/>
    <w:rsid w:val="00031842"/>
    <w:rsid w:val="00031E2C"/>
    <w:rsid w:val="00033B5D"/>
    <w:rsid w:val="0003494A"/>
    <w:rsid w:val="00055801"/>
    <w:rsid w:val="0006320B"/>
    <w:rsid w:val="00066E2E"/>
    <w:rsid w:val="00066FB3"/>
    <w:rsid w:val="00073C9B"/>
    <w:rsid w:val="00076260"/>
    <w:rsid w:val="000804A3"/>
    <w:rsid w:val="00081CF0"/>
    <w:rsid w:val="00090CD6"/>
    <w:rsid w:val="0009104F"/>
    <w:rsid w:val="0009106C"/>
    <w:rsid w:val="000A3105"/>
    <w:rsid w:val="000B46FC"/>
    <w:rsid w:val="000B55F7"/>
    <w:rsid w:val="000C2AE0"/>
    <w:rsid w:val="000D14D9"/>
    <w:rsid w:val="000D49B7"/>
    <w:rsid w:val="000E2DBE"/>
    <w:rsid w:val="000E33A2"/>
    <w:rsid w:val="000E3EFB"/>
    <w:rsid w:val="000E6F97"/>
    <w:rsid w:val="000F4B12"/>
    <w:rsid w:val="000F53A2"/>
    <w:rsid w:val="00100A48"/>
    <w:rsid w:val="00105633"/>
    <w:rsid w:val="001068A9"/>
    <w:rsid w:val="001111BB"/>
    <w:rsid w:val="00112A3E"/>
    <w:rsid w:val="001134E5"/>
    <w:rsid w:val="0011614F"/>
    <w:rsid w:val="001167E2"/>
    <w:rsid w:val="0012295E"/>
    <w:rsid w:val="00135A76"/>
    <w:rsid w:val="00135CA4"/>
    <w:rsid w:val="00136F6B"/>
    <w:rsid w:val="001432B7"/>
    <w:rsid w:val="00150573"/>
    <w:rsid w:val="00155E25"/>
    <w:rsid w:val="001615B8"/>
    <w:rsid w:val="00162B26"/>
    <w:rsid w:val="001632BA"/>
    <w:rsid w:val="00166AD9"/>
    <w:rsid w:val="00167A50"/>
    <w:rsid w:val="00170E8D"/>
    <w:rsid w:val="00176491"/>
    <w:rsid w:val="00185D6E"/>
    <w:rsid w:val="00186FE9"/>
    <w:rsid w:val="001934A3"/>
    <w:rsid w:val="00194940"/>
    <w:rsid w:val="0019639E"/>
    <w:rsid w:val="001B56EE"/>
    <w:rsid w:val="001B6E59"/>
    <w:rsid w:val="001C3083"/>
    <w:rsid w:val="001C30D7"/>
    <w:rsid w:val="001D001D"/>
    <w:rsid w:val="001D13F7"/>
    <w:rsid w:val="001D373D"/>
    <w:rsid w:val="001E0D4A"/>
    <w:rsid w:val="001E22C0"/>
    <w:rsid w:val="001E7B2A"/>
    <w:rsid w:val="001F1DBB"/>
    <w:rsid w:val="001F387D"/>
    <w:rsid w:val="00200339"/>
    <w:rsid w:val="00202AF6"/>
    <w:rsid w:val="00203D45"/>
    <w:rsid w:val="00204CEA"/>
    <w:rsid w:val="00210280"/>
    <w:rsid w:val="00210D94"/>
    <w:rsid w:val="0021386A"/>
    <w:rsid w:val="0021453F"/>
    <w:rsid w:val="002169CB"/>
    <w:rsid w:val="00220931"/>
    <w:rsid w:val="00233F14"/>
    <w:rsid w:val="00240027"/>
    <w:rsid w:val="002400A4"/>
    <w:rsid w:val="0024690C"/>
    <w:rsid w:val="00263B1F"/>
    <w:rsid w:val="00265BAB"/>
    <w:rsid w:val="0026785D"/>
    <w:rsid w:val="00270284"/>
    <w:rsid w:val="00274109"/>
    <w:rsid w:val="0027423C"/>
    <w:rsid w:val="00276BA1"/>
    <w:rsid w:val="00280347"/>
    <w:rsid w:val="00281207"/>
    <w:rsid w:val="00284831"/>
    <w:rsid w:val="00285613"/>
    <w:rsid w:val="00294CAA"/>
    <w:rsid w:val="00297294"/>
    <w:rsid w:val="002A4743"/>
    <w:rsid w:val="002A64A3"/>
    <w:rsid w:val="002A70D9"/>
    <w:rsid w:val="002B413F"/>
    <w:rsid w:val="002B5995"/>
    <w:rsid w:val="002B621E"/>
    <w:rsid w:val="002C70CF"/>
    <w:rsid w:val="002D071F"/>
    <w:rsid w:val="002D5EEC"/>
    <w:rsid w:val="002E0FAE"/>
    <w:rsid w:val="002E230A"/>
    <w:rsid w:val="002E31D7"/>
    <w:rsid w:val="002F59F1"/>
    <w:rsid w:val="002F5AA4"/>
    <w:rsid w:val="002F79EA"/>
    <w:rsid w:val="00300E8C"/>
    <w:rsid w:val="00324CEE"/>
    <w:rsid w:val="00324DD6"/>
    <w:rsid w:val="00325812"/>
    <w:rsid w:val="00325F18"/>
    <w:rsid w:val="00331899"/>
    <w:rsid w:val="00334FE0"/>
    <w:rsid w:val="00340A8F"/>
    <w:rsid w:val="00345BBA"/>
    <w:rsid w:val="003526D0"/>
    <w:rsid w:val="0035342B"/>
    <w:rsid w:val="00353CE4"/>
    <w:rsid w:val="00355B0D"/>
    <w:rsid w:val="003614A2"/>
    <w:rsid w:val="003637FD"/>
    <w:rsid w:val="00367115"/>
    <w:rsid w:val="003729EC"/>
    <w:rsid w:val="00372ED9"/>
    <w:rsid w:val="00385D56"/>
    <w:rsid w:val="00385FC7"/>
    <w:rsid w:val="0039423C"/>
    <w:rsid w:val="003A2696"/>
    <w:rsid w:val="003A2D6C"/>
    <w:rsid w:val="003A4365"/>
    <w:rsid w:val="003A4AFA"/>
    <w:rsid w:val="003B49DA"/>
    <w:rsid w:val="003C43E7"/>
    <w:rsid w:val="003C4D6B"/>
    <w:rsid w:val="003C5FE2"/>
    <w:rsid w:val="003C7D63"/>
    <w:rsid w:val="003D1B0C"/>
    <w:rsid w:val="003E3BF2"/>
    <w:rsid w:val="003E4C3E"/>
    <w:rsid w:val="003E659C"/>
    <w:rsid w:val="003F5625"/>
    <w:rsid w:val="00411DCE"/>
    <w:rsid w:val="004139C4"/>
    <w:rsid w:val="00420A02"/>
    <w:rsid w:val="00420CA7"/>
    <w:rsid w:val="0042225E"/>
    <w:rsid w:val="00424223"/>
    <w:rsid w:val="004243A3"/>
    <w:rsid w:val="00425558"/>
    <w:rsid w:val="00426450"/>
    <w:rsid w:val="00433D18"/>
    <w:rsid w:val="00435441"/>
    <w:rsid w:val="004358DE"/>
    <w:rsid w:val="004421DD"/>
    <w:rsid w:val="0044286F"/>
    <w:rsid w:val="00443AD5"/>
    <w:rsid w:val="00447E8F"/>
    <w:rsid w:val="00451115"/>
    <w:rsid w:val="00453863"/>
    <w:rsid w:val="0045547F"/>
    <w:rsid w:val="00457BDE"/>
    <w:rsid w:val="00460DD1"/>
    <w:rsid w:val="004733A1"/>
    <w:rsid w:val="0048226B"/>
    <w:rsid w:val="004900AE"/>
    <w:rsid w:val="004923C4"/>
    <w:rsid w:val="004A3EE2"/>
    <w:rsid w:val="004B06ED"/>
    <w:rsid w:val="004B2579"/>
    <w:rsid w:val="004B280F"/>
    <w:rsid w:val="004B2CB5"/>
    <w:rsid w:val="004B5F87"/>
    <w:rsid w:val="004B7677"/>
    <w:rsid w:val="004C1023"/>
    <w:rsid w:val="004C135E"/>
    <w:rsid w:val="004C556C"/>
    <w:rsid w:val="004C5696"/>
    <w:rsid w:val="004D071C"/>
    <w:rsid w:val="004D532F"/>
    <w:rsid w:val="004E3C5C"/>
    <w:rsid w:val="004F4788"/>
    <w:rsid w:val="004F4996"/>
    <w:rsid w:val="004F5470"/>
    <w:rsid w:val="00502E89"/>
    <w:rsid w:val="00504E87"/>
    <w:rsid w:val="00506A06"/>
    <w:rsid w:val="00516255"/>
    <w:rsid w:val="005212F2"/>
    <w:rsid w:val="00527A46"/>
    <w:rsid w:val="005425B1"/>
    <w:rsid w:val="005428D3"/>
    <w:rsid w:val="00551F5A"/>
    <w:rsid w:val="0055363F"/>
    <w:rsid w:val="00556DA0"/>
    <w:rsid w:val="0056385B"/>
    <w:rsid w:val="005707B6"/>
    <w:rsid w:val="00571AD1"/>
    <w:rsid w:val="00576431"/>
    <w:rsid w:val="00580B5B"/>
    <w:rsid w:val="00587F9C"/>
    <w:rsid w:val="005A3059"/>
    <w:rsid w:val="005A419B"/>
    <w:rsid w:val="005A644E"/>
    <w:rsid w:val="005B2476"/>
    <w:rsid w:val="005B6593"/>
    <w:rsid w:val="005D4128"/>
    <w:rsid w:val="005D68AC"/>
    <w:rsid w:val="005E0323"/>
    <w:rsid w:val="005E5255"/>
    <w:rsid w:val="005E6D07"/>
    <w:rsid w:val="005F3AB5"/>
    <w:rsid w:val="00601A18"/>
    <w:rsid w:val="0061371B"/>
    <w:rsid w:val="00617BDC"/>
    <w:rsid w:val="00622006"/>
    <w:rsid w:val="0063143A"/>
    <w:rsid w:val="00636AA9"/>
    <w:rsid w:val="006449C6"/>
    <w:rsid w:val="0064672D"/>
    <w:rsid w:val="00656858"/>
    <w:rsid w:val="00691AF1"/>
    <w:rsid w:val="006A03A1"/>
    <w:rsid w:val="006A2425"/>
    <w:rsid w:val="006A5618"/>
    <w:rsid w:val="006A680B"/>
    <w:rsid w:val="006A7F96"/>
    <w:rsid w:val="006B2ADE"/>
    <w:rsid w:val="006B4096"/>
    <w:rsid w:val="006B6CBB"/>
    <w:rsid w:val="006B7D26"/>
    <w:rsid w:val="006D1CCD"/>
    <w:rsid w:val="006D376A"/>
    <w:rsid w:val="006E08EE"/>
    <w:rsid w:val="006E7C8A"/>
    <w:rsid w:val="006F6E99"/>
    <w:rsid w:val="00701973"/>
    <w:rsid w:val="00713BED"/>
    <w:rsid w:val="007353CC"/>
    <w:rsid w:val="007407A2"/>
    <w:rsid w:val="00747C4A"/>
    <w:rsid w:val="00751B80"/>
    <w:rsid w:val="0075387D"/>
    <w:rsid w:val="00756101"/>
    <w:rsid w:val="007753BF"/>
    <w:rsid w:val="00781468"/>
    <w:rsid w:val="0078704E"/>
    <w:rsid w:val="00790FC7"/>
    <w:rsid w:val="00793260"/>
    <w:rsid w:val="007947FA"/>
    <w:rsid w:val="007A6F0E"/>
    <w:rsid w:val="007A7755"/>
    <w:rsid w:val="007B0E48"/>
    <w:rsid w:val="007B1058"/>
    <w:rsid w:val="007B152B"/>
    <w:rsid w:val="007B5B65"/>
    <w:rsid w:val="007B7E6C"/>
    <w:rsid w:val="007C741C"/>
    <w:rsid w:val="007D0530"/>
    <w:rsid w:val="007D0BCB"/>
    <w:rsid w:val="007D1F1D"/>
    <w:rsid w:val="007D2D44"/>
    <w:rsid w:val="007D4EF0"/>
    <w:rsid w:val="007E0093"/>
    <w:rsid w:val="007E2C65"/>
    <w:rsid w:val="007E3EEE"/>
    <w:rsid w:val="007E730C"/>
    <w:rsid w:val="007E762B"/>
    <w:rsid w:val="007F041C"/>
    <w:rsid w:val="007F120F"/>
    <w:rsid w:val="007F7060"/>
    <w:rsid w:val="008070AD"/>
    <w:rsid w:val="008073B5"/>
    <w:rsid w:val="0081173F"/>
    <w:rsid w:val="0082383A"/>
    <w:rsid w:val="00833DE3"/>
    <w:rsid w:val="00840B04"/>
    <w:rsid w:val="00841BC9"/>
    <w:rsid w:val="008449DA"/>
    <w:rsid w:val="00847619"/>
    <w:rsid w:val="00854E38"/>
    <w:rsid w:val="00855839"/>
    <w:rsid w:val="0086129B"/>
    <w:rsid w:val="00867D39"/>
    <w:rsid w:val="00870D09"/>
    <w:rsid w:val="00875AD8"/>
    <w:rsid w:val="00880752"/>
    <w:rsid w:val="0088109C"/>
    <w:rsid w:val="00885DF1"/>
    <w:rsid w:val="00887849"/>
    <w:rsid w:val="008933FA"/>
    <w:rsid w:val="00894761"/>
    <w:rsid w:val="00897133"/>
    <w:rsid w:val="00897AFC"/>
    <w:rsid w:val="008A7253"/>
    <w:rsid w:val="008B0979"/>
    <w:rsid w:val="008B0A13"/>
    <w:rsid w:val="008B6DA3"/>
    <w:rsid w:val="008B6F92"/>
    <w:rsid w:val="008C7234"/>
    <w:rsid w:val="008D0750"/>
    <w:rsid w:val="008D0A62"/>
    <w:rsid w:val="008E2972"/>
    <w:rsid w:val="008E4694"/>
    <w:rsid w:val="008F4CA6"/>
    <w:rsid w:val="008F7BB2"/>
    <w:rsid w:val="0090626B"/>
    <w:rsid w:val="00907CAC"/>
    <w:rsid w:val="0092130C"/>
    <w:rsid w:val="0092267A"/>
    <w:rsid w:val="00926781"/>
    <w:rsid w:val="00927906"/>
    <w:rsid w:val="00934723"/>
    <w:rsid w:val="009429AB"/>
    <w:rsid w:val="00945FD7"/>
    <w:rsid w:val="00973404"/>
    <w:rsid w:val="00981D39"/>
    <w:rsid w:val="00997DC0"/>
    <w:rsid w:val="009A14A7"/>
    <w:rsid w:val="009A1B4C"/>
    <w:rsid w:val="009A7998"/>
    <w:rsid w:val="009B0E91"/>
    <w:rsid w:val="009B39E8"/>
    <w:rsid w:val="009C4882"/>
    <w:rsid w:val="009C63BD"/>
    <w:rsid w:val="009C6478"/>
    <w:rsid w:val="009D4641"/>
    <w:rsid w:val="009E027B"/>
    <w:rsid w:val="009E4B00"/>
    <w:rsid w:val="009F007E"/>
    <w:rsid w:val="009F0E22"/>
    <w:rsid w:val="009F431B"/>
    <w:rsid w:val="009F5411"/>
    <w:rsid w:val="009F6830"/>
    <w:rsid w:val="00A026B8"/>
    <w:rsid w:val="00A03AFF"/>
    <w:rsid w:val="00A06FD3"/>
    <w:rsid w:val="00A1594F"/>
    <w:rsid w:val="00A16BA3"/>
    <w:rsid w:val="00A21052"/>
    <w:rsid w:val="00A2334C"/>
    <w:rsid w:val="00A240AD"/>
    <w:rsid w:val="00A37FE6"/>
    <w:rsid w:val="00A425CA"/>
    <w:rsid w:val="00A44A18"/>
    <w:rsid w:val="00A456A2"/>
    <w:rsid w:val="00A47BC3"/>
    <w:rsid w:val="00A52B00"/>
    <w:rsid w:val="00A577BC"/>
    <w:rsid w:val="00A604A8"/>
    <w:rsid w:val="00A66786"/>
    <w:rsid w:val="00A7098D"/>
    <w:rsid w:val="00A75CAF"/>
    <w:rsid w:val="00A77A05"/>
    <w:rsid w:val="00A80C77"/>
    <w:rsid w:val="00A83441"/>
    <w:rsid w:val="00A83B5C"/>
    <w:rsid w:val="00AB1A1B"/>
    <w:rsid w:val="00AC1C7F"/>
    <w:rsid w:val="00AC528A"/>
    <w:rsid w:val="00AC7BC8"/>
    <w:rsid w:val="00AD04F5"/>
    <w:rsid w:val="00AD2825"/>
    <w:rsid w:val="00AD48FC"/>
    <w:rsid w:val="00AE006D"/>
    <w:rsid w:val="00AF3B5A"/>
    <w:rsid w:val="00AF3CD4"/>
    <w:rsid w:val="00AF46DF"/>
    <w:rsid w:val="00B00DB2"/>
    <w:rsid w:val="00B01B4A"/>
    <w:rsid w:val="00B07E52"/>
    <w:rsid w:val="00B10E6B"/>
    <w:rsid w:val="00B11834"/>
    <w:rsid w:val="00B11858"/>
    <w:rsid w:val="00B20144"/>
    <w:rsid w:val="00B20248"/>
    <w:rsid w:val="00B260C8"/>
    <w:rsid w:val="00B33BB0"/>
    <w:rsid w:val="00B4143F"/>
    <w:rsid w:val="00B426CE"/>
    <w:rsid w:val="00B43A02"/>
    <w:rsid w:val="00B46DF9"/>
    <w:rsid w:val="00B51302"/>
    <w:rsid w:val="00B67FBC"/>
    <w:rsid w:val="00B766E8"/>
    <w:rsid w:val="00B82075"/>
    <w:rsid w:val="00B832C0"/>
    <w:rsid w:val="00B8493A"/>
    <w:rsid w:val="00B90664"/>
    <w:rsid w:val="00B96148"/>
    <w:rsid w:val="00B961BC"/>
    <w:rsid w:val="00B96A95"/>
    <w:rsid w:val="00BB324E"/>
    <w:rsid w:val="00BB5B44"/>
    <w:rsid w:val="00BC4006"/>
    <w:rsid w:val="00BC54FF"/>
    <w:rsid w:val="00BD5D5F"/>
    <w:rsid w:val="00BD77B9"/>
    <w:rsid w:val="00BE2939"/>
    <w:rsid w:val="00BE4F54"/>
    <w:rsid w:val="00C0070A"/>
    <w:rsid w:val="00C05A6F"/>
    <w:rsid w:val="00C10994"/>
    <w:rsid w:val="00C126F0"/>
    <w:rsid w:val="00C14130"/>
    <w:rsid w:val="00C15EBB"/>
    <w:rsid w:val="00C22A9D"/>
    <w:rsid w:val="00C2349C"/>
    <w:rsid w:val="00C24BAB"/>
    <w:rsid w:val="00C357EF"/>
    <w:rsid w:val="00C462CB"/>
    <w:rsid w:val="00C51B83"/>
    <w:rsid w:val="00C575F3"/>
    <w:rsid w:val="00C63312"/>
    <w:rsid w:val="00C63EFA"/>
    <w:rsid w:val="00C659D6"/>
    <w:rsid w:val="00C703F5"/>
    <w:rsid w:val="00C80D2E"/>
    <w:rsid w:val="00C85B95"/>
    <w:rsid w:val="00C94CA5"/>
    <w:rsid w:val="00C97655"/>
    <w:rsid w:val="00C97896"/>
    <w:rsid w:val="00CA1071"/>
    <w:rsid w:val="00CA387E"/>
    <w:rsid w:val="00CA40BE"/>
    <w:rsid w:val="00CB0683"/>
    <w:rsid w:val="00CB0C14"/>
    <w:rsid w:val="00CB7647"/>
    <w:rsid w:val="00CC2918"/>
    <w:rsid w:val="00CD1F12"/>
    <w:rsid w:val="00CD2A09"/>
    <w:rsid w:val="00CE5B75"/>
    <w:rsid w:val="00CE5F2A"/>
    <w:rsid w:val="00CF07B8"/>
    <w:rsid w:val="00CF60B3"/>
    <w:rsid w:val="00CF7630"/>
    <w:rsid w:val="00D026C0"/>
    <w:rsid w:val="00D041FD"/>
    <w:rsid w:val="00D05131"/>
    <w:rsid w:val="00D15AE3"/>
    <w:rsid w:val="00D24CE9"/>
    <w:rsid w:val="00D32638"/>
    <w:rsid w:val="00D36493"/>
    <w:rsid w:val="00D36C60"/>
    <w:rsid w:val="00D40D4D"/>
    <w:rsid w:val="00D41609"/>
    <w:rsid w:val="00D43092"/>
    <w:rsid w:val="00D45547"/>
    <w:rsid w:val="00D51377"/>
    <w:rsid w:val="00D631F7"/>
    <w:rsid w:val="00D65DA0"/>
    <w:rsid w:val="00D74067"/>
    <w:rsid w:val="00D74EED"/>
    <w:rsid w:val="00D80AB5"/>
    <w:rsid w:val="00D829D4"/>
    <w:rsid w:val="00D838E7"/>
    <w:rsid w:val="00D84D27"/>
    <w:rsid w:val="00D87E79"/>
    <w:rsid w:val="00DA5588"/>
    <w:rsid w:val="00DB01DD"/>
    <w:rsid w:val="00DB0B93"/>
    <w:rsid w:val="00DB1EDB"/>
    <w:rsid w:val="00DB5365"/>
    <w:rsid w:val="00DB67AA"/>
    <w:rsid w:val="00DC6ABA"/>
    <w:rsid w:val="00DD3E1E"/>
    <w:rsid w:val="00DD4EEF"/>
    <w:rsid w:val="00DD550F"/>
    <w:rsid w:val="00DE18C0"/>
    <w:rsid w:val="00DF0377"/>
    <w:rsid w:val="00DF3E96"/>
    <w:rsid w:val="00DF6FD1"/>
    <w:rsid w:val="00DF7189"/>
    <w:rsid w:val="00E00A82"/>
    <w:rsid w:val="00E00CF6"/>
    <w:rsid w:val="00E01B45"/>
    <w:rsid w:val="00E10836"/>
    <w:rsid w:val="00E127FC"/>
    <w:rsid w:val="00E15E66"/>
    <w:rsid w:val="00E16C71"/>
    <w:rsid w:val="00E2096D"/>
    <w:rsid w:val="00E2137C"/>
    <w:rsid w:val="00E2271A"/>
    <w:rsid w:val="00E36B83"/>
    <w:rsid w:val="00E41CA7"/>
    <w:rsid w:val="00E430BE"/>
    <w:rsid w:val="00E47557"/>
    <w:rsid w:val="00E50730"/>
    <w:rsid w:val="00E52DEE"/>
    <w:rsid w:val="00E63180"/>
    <w:rsid w:val="00E732D5"/>
    <w:rsid w:val="00E77BA3"/>
    <w:rsid w:val="00E84C3A"/>
    <w:rsid w:val="00E84F04"/>
    <w:rsid w:val="00E860D5"/>
    <w:rsid w:val="00E869D4"/>
    <w:rsid w:val="00E92D99"/>
    <w:rsid w:val="00E93387"/>
    <w:rsid w:val="00E960BF"/>
    <w:rsid w:val="00EA0912"/>
    <w:rsid w:val="00EA3B6A"/>
    <w:rsid w:val="00EA7639"/>
    <w:rsid w:val="00EB073A"/>
    <w:rsid w:val="00EB0D42"/>
    <w:rsid w:val="00EB1359"/>
    <w:rsid w:val="00EB254E"/>
    <w:rsid w:val="00EB705C"/>
    <w:rsid w:val="00EC3BD2"/>
    <w:rsid w:val="00EC5A72"/>
    <w:rsid w:val="00ED4726"/>
    <w:rsid w:val="00EF188C"/>
    <w:rsid w:val="00EF661F"/>
    <w:rsid w:val="00F07309"/>
    <w:rsid w:val="00F10F71"/>
    <w:rsid w:val="00F1445A"/>
    <w:rsid w:val="00F1609B"/>
    <w:rsid w:val="00F165C1"/>
    <w:rsid w:val="00F2385E"/>
    <w:rsid w:val="00F26CA1"/>
    <w:rsid w:val="00F32FC1"/>
    <w:rsid w:val="00F344E4"/>
    <w:rsid w:val="00F400C4"/>
    <w:rsid w:val="00F41813"/>
    <w:rsid w:val="00F43989"/>
    <w:rsid w:val="00F53B6B"/>
    <w:rsid w:val="00F73B6C"/>
    <w:rsid w:val="00F87027"/>
    <w:rsid w:val="00F9420D"/>
    <w:rsid w:val="00FA3985"/>
    <w:rsid w:val="00FA7338"/>
    <w:rsid w:val="00FA7600"/>
    <w:rsid w:val="00FB5622"/>
    <w:rsid w:val="00FB78E7"/>
    <w:rsid w:val="00FC5252"/>
    <w:rsid w:val="00FC6C61"/>
    <w:rsid w:val="00FD4044"/>
    <w:rsid w:val="00FD44EB"/>
    <w:rsid w:val="00FE0A90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A50658"/>
  <w14:defaultImageDpi w14:val="300"/>
  <w15:docId w15:val="{1548C59E-27AD-754D-976B-B8DD8CF1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/>
    <w:lsdException w:name="heading 4" w:locked="1" w:semiHidden="1" w:unhideWhenUsed="1" w:qFormat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2D071F"/>
    <w:rPr>
      <w:rFonts w:asciiTheme="minorHAnsi" w:eastAsiaTheme="minorHAnsi" w:hAnsiTheme="minorHAnsi" w:cstheme="minorBidi"/>
      <w:kern w:val="2"/>
      <w:sz w:val="24"/>
      <w:szCs w:val="24"/>
      <w:lang w:val="sv-SE"/>
      <w14:ligatures w14:val="standardContextual"/>
    </w:rPr>
  </w:style>
  <w:style w:type="paragraph" w:styleId="Rubrik1">
    <w:name w:val="heading 1"/>
    <w:aliases w:val="Subtitle"/>
    <w:basedOn w:val="Normal"/>
    <w:next w:val="Normal"/>
    <w:link w:val="Rubrik1Char"/>
    <w:locked/>
    <w:rsid w:val="00AF3CD4"/>
    <w:pPr>
      <w:keepNext/>
      <w:keepLines/>
      <w:outlineLvl w:val="0"/>
    </w:pPr>
    <w:rPr>
      <w:rFonts w:eastAsiaTheme="majorEastAsia" w:cstheme="majorBidi"/>
      <w:color w:val="86BBE6"/>
      <w:sz w:val="28"/>
      <w:szCs w:val="32"/>
    </w:rPr>
  </w:style>
  <w:style w:type="paragraph" w:styleId="Rubrik2">
    <w:name w:val="heading 2"/>
    <w:basedOn w:val="Rubrik3"/>
    <w:next w:val="Normal"/>
    <w:link w:val="Rubrik2Char"/>
    <w:unhideWhenUsed/>
    <w:qFormat/>
    <w:locked/>
    <w:rsid w:val="009F007E"/>
    <w:pPr>
      <w:spacing w:before="360"/>
      <w:outlineLvl w:val="1"/>
    </w:pPr>
    <w:rPr>
      <w:b/>
      <w:color w:val="000000" w:themeColor="background1"/>
      <w:sz w:val="26"/>
      <w:szCs w:val="26"/>
    </w:rPr>
  </w:style>
  <w:style w:type="paragraph" w:styleId="Rubrik3">
    <w:name w:val="heading 3"/>
    <w:basedOn w:val="Normal"/>
    <w:next w:val="Normal"/>
    <w:link w:val="Rubrik3Char"/>
    <w:unhideWhenUsed/>
    <w:locked/>
    <w:rsid w:val="00185D6E"/>
    <w:pPr>
      <w:keepNext/>
      <w:keepLines/>
      <w:spacing w:before="40"/>
      <w:outlineLvl w:val="2"/>
    </w:pPr>
    <w:rPr>
      <w:rFonts w:eastAsiaTheme="majorEastAsia" w:cstheme="majorBidi"/>
      <w:color w:val="007BFF" w:themeColor="text1"/>
    </w:rPr>
  </w:style>
  <w:style w:type="paragraph" w:styleId="Rubrik4">
    <w:name w:val="heading 4"/>
    <w:aliases w:val="bullet"/>
    <w:basedOn w:val="Normal"/>
    <w:next w:val="Normal"/>
    <w:link w:val="Rubrik4Char"/>
    <w:unhideWhenUsed/>
    <w:qFormat/>
    <w:locked/>
    <w:rsid w:val="009F007E"/>
    <w:pPr>
      <w:spacing w:before="280" w:after="60"/>
      <w:ind w:left="714" w:hanging="357"/>
      <w:outlineLvl w:val="3"/>
    </w:pPr>
    <w:rPr>
      <w:b/>
      <w:color w:val="000000" w:themeColor="background1"/>
    </w:rPr>
  </w:style>
  <w:style w:type="paragraph" w:styleId="Rubrik5">
    <w:name w:val="heading 5"/>
    <w:basedOn w:val="Normal"/>
    <w:next w:val="Normal"/>
    <w:link w:val="Rubrik5Char"/>
    <w:unhideWhenUsed/>
    <w:locked/>
    <w:rsid w:val="00185D6E"/>
    <w:pPr>
      <w:keepNext/>
      <w:keepLines/>
      <w:spacing w:before="40"/>
      <w:outlineLvl w:val="4"/>
    </w:pPr>
    <w:rPr>
      <w:rFonts w:eastAsiaTheme="majorEastAsia" w:cstheme="majorBidi"/>
      <w:color w:val="FF5769" w:themeColor="accent4"/>
      <w:u w:val="single"/>
    </w:rPr>
  </w:style>
  <w:style w:type="paragraph" w:styleId="Rubrik6">
    <w:name w:val="heading 6"/>
    <w:basedOn w:val="Normal"/>
    <w:next w:val="Normal"/>
    <w:link w:val="Rubrik6Char"/>
    <w:semiHidden/>
    <w:unhideWhenUsed/>
    <w:locked/>
    <w:rsid w:val="00B832C0"/>
    <w:pPr>
      <w:keepNext/>
      <w:keepLines/>
      <w:spacing w:before="40"/>
      <w:outlineLvl w:val="5"/>
    </w:pPr>
    <w:rPr>
      <w:rFonts w:eastAsiaTheme="majorEastAsia" w:cstheme="majorBidi"/>
      <w:i/>
      <w:color w:val="FF5769" w:themeColor="accent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zFooter">
    <w:name w:val="z Footer"/>
    <w:basedOn w:val="Normal"/>
    <w:qFormat/>
    <w:rsid w:val="00BC4006"/>
    <w:pPr>
      <w:jc w:val="center"/>
    </w:pPr>
    <w:rPr>
      <w:color w:val="999998" w:themeColor="accent5"/>
      <w:sz w:val="16"/>
      <w:szCs w:val="16"/>
    </w:rPr>
  </w:style>
  <w:style w:type="paragraph" w:customStyle="1" w:styleId="Bullet1">
    <w:name w:val="Bullet 1"/>
    <w:basedOn w:val="Normal"/>
    <w:qFormat/>
    <w:rsid w:val="008B6F92"/>
    <w:pPr>
      <w:numPr>
        <w:numId w:val="14"/>
      </w:numPr>
    </w:pPr>
  </w:style>
  <w:style w:type="paragraph" w:customStyle="1" w:styleId="Bullet123title">
    <w:name w:val="Bullet 123 title"/>
    <w:basedOn w:val="Normal"/>
    <w:qFormat/>
    <w:rsid w:val="009F007E"/>
    <w:pPr>
      <w:numPr>
        <w:numId w:val="4"/>
      </w:numPr>
      <w:spacing w:before="120" w:after="60"/>
      <w:ind w:left="714" w:hanging="357"/>
    </w:pPr>
  </w:style>
  <w:style w:type="character" w:customStyle="1" w:styleId="Rubrik6Char">
    <w:name w:val="Rubrik 6 Char"/>
    <w:basedOn w:val="Standardstycketeckensnitt"/>
    <w:link w:val="Rubrik6"/>
    <w:semiHidden/>
    <w:rsid w:val="00B832C0"/>
    <w:rPr>
      <w:rFonts w:ascii="Arial" w:eastAsiaTheme="majorEastAsia" w:hAnsi="Arial" w:cstheme="majorBidi"/>
      <w:i/>
      <w:color w:val="FF5769" w:themeColor="accent4"/>
      <w:sz w:val="22"/>
      <w:szCs w:val="24"/>
    </w:rPr>
  </w:style>
  <w:style w:type="paragraph" w:customStyle="1" w:styleId="Address">
    <w:name w:val="Address"/>
    <w:basedOn w:val="Normal"/>
    <w:uiPriority w:val="99"/>
    <w:rsid w:val="002F59F1"/>
    <w:pPr>
      <w:tabs>
        <w:tab w:val="left" w:pos="1680"/>
      </w:tabs>
      <w:autoSpaceDE w:val="0"/>
      <w:autoSpaceDN w:val="0"/>
      <w:adjustRightInd w:val="0"/>
      <w:spacing w:line="220" w:lineRule="exact"/>
      <w:textAlignment w:val="center"/>
    </w:pPr>
    <w:rPr>
      <w:rFonts w:eastAsia="Times New Roman" w:cs="Gotham-Book"/>
      <w:spacing w:val="5"/>
      <w:sz w:val="17"/>
      <w:szCs w:val="17"/>
      <w:lang w:val="en-GB"/>
    </w:rPr>
  </w:style>
  <w:style w:type="paragraph" w:customStyle="1" w:styleId="Bulletabc">
    <w:name w:val="Bullet a b c"/>
    <w:basedOn w:val="Normal"/>
    <w:qFormat/>
    <w:rsid w:val="00EB254E"/>
    <w:pPr>
      <w:numPr>
        <w:numId w:val="5"/>
      </w:numPr>
      <w:spacing w:before="120"/>
    </w:pPr>
  </w:style>
  <w:style w:type="character" w:styleId="Sidnummer">
    <w:name w:val="page number"/>
    <w:basedOn w:val="Standardstycketeckensnitt"/>
    <w:semiHidden/>
    <w:unhideWhenUsed/>
    <w:locked/>
    <w:rsid w:val="00A83441"/>
  </w:style>
  <w:style w:type="paragraph" w:styleId="Liststycke">
    <w:name w:val="List Paragraph"/>
    <w:basedOn w:val="Normal"/>
    <w:uiPriority w:val="34"/>
    <w:qFormat/>
    <w:rsid w:val="000E33A2"/>
    <w:pPr>
      <w:ind w:left="720"/>
      <w:contextualSpacing/>
    </w:pPr>
  </w:style>
  <w:style w:type="character" w:styleId="Stark">
    <w:name w:val="Strong"/>
    <w:aliases w:val="Bold"/>
    <w:basedOn w:val="Standardstycketeckensnitt"/>
    <w:qFormat/>
    <w:locked/>
    <w:rsid w:val="0021453F"/>
    <w:rPr>
      <w:rFonts w:ascii="Helvetica" w:hAnsi="Helvetica"/>
      <w:b/>
      <w:bCs/>
      <w:color w:val="auto"/>
    </w:rPr>
  </w:style>
  <w:style w:type="character" w:customStyle="1" w:styleId="Rubrik5Char">
    <w:name w:val="Rubrik 5 Char"/>
    <w:basedOn w:val="Standardstycketeckensnitt"/>
    <w:link w:val="Rubrik5"/>
    <w:rsid w:val="00185D6E"/>
    <w:rPr>
      <w:rFonts w:ascii="Arial" w:eastAsiaTheme="majorEastAsia" w:hAnsi="Arial" w:cstheme="majorBidi"/>
      <w:color w:val="FF5769" w:themeColor="accent4"/>
      <w:sz w:val="22"/>
      <w:szCs w:val="24"/>
      <w:u w:val="single"/>
    </w:rPr>
  </w:style>
  <w:style w:type="paragraph" w:styleId="Rubrik">
    <w:name w:val="Title"/>
    <w:basedOn w:val="zBandoTITLE"/>
    <w:next w:val="Normal"/>
    <w:link w:val="RubrikChar"/>
    <w:qFormat/>
    <w:locked/>
    <w:rsid w:val="003637FD"/>
    <w:pPr>
      <w:spacing w:before="240" w:line="264" w:lineRule="auto"/>
    </w:pPr>
    <w:rPr>
      <w:b w:val="0"/>
      <w:bCs w:val="0"/>
      <w:color w:val="000000" w:themeColor="background1"/>
      <w:sz w:val="80"/>
      <w:szCs w:val="80"/>
    </w:rPr>
  </w:style>
  <w:style w:type="character" w:customStyle="1" w:styleId="RubrikChar">
    <w:name w:val="Rubrik Char"/>
    <w:basedOn w:val="Standardstycketeckensnitt"/>
    <w:link w:val="Rubrik"/>
    <w:rsid w:val="003637FD"/>
    <w:rPr>
      <w:rFonts w:ascii="Helvetica" w:eastAsia="ヒラギノ角ゴ Pro W3" w:hAnsi="Helvetica"/>
      <w:color w:val="000000" w:themeColor="background1"/>
      <w:sz w:val="80"/>
      <w:szCs w:val="80"/>
    </w:rPr>
  </w:style>
  <w:style w:type="character" w:customStyle="1" w:styleId="Rubrik1Char">
    <w:name w:val="Rubrik 1 Char"/>
    <w:aliases w:val="Subtitle Char"/>
    <w:basedOn w:val="Standardstycketeckensnitt"/>
    <w:link w:val="Rubrik1"/>
    <w:rsid w:val="00AF3CD4"/>
    <w:rPr>
      <w:rFonts w:ascii="Arial" w:eastAsiaTheme="majorEastAsia" w:hAnsi="Arial" w:cstheme="majorBidi"/>
      <w:color w:val="86BBE6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9F007E"/>
    <w:rPr>
      <w:rFonts w:ascii="Helvetica" w:eastAsiaTheme="majorEastAsia" w:hAnsi="Helvetica" w:cstheme="majorBidi"/>
      <w:b/>
      <w:color w:val="000000" w:themeColor="background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rsid w:val="00185D6E"/>
    <w:rPr>
      <w:rFonts w:ascii="Arial" w:eastAsiaTheme="majorEastAsia" w:hAnsi="Arial" w:cstheme="majorBidi"/>
      <w:color w:val="007BFF" w:themeColor="text1"/>
      <w:sz w:val="22"/>
      <w:szCs w:val="24"/>
    </w:rPr>
  </w:style>
  <w:style w:type="character" w:customStyle="1" w:styleId="Rubrik4Char">
    <w:name w:val="Rubrik 4 Char"/>
    <w:aliases w:val="bullet Char"/>
    <w:basedOn w:val="Standardstycketeckensnitt"/>
    <w:link w:val="Rubrik4"/>
    <w:rsid w:val="009F007E"/>
    <w:rPr>
      <w:rFonts w:ascii="Helvetica" w:eastAsia="ヒラギノ角ゴ Pro W3" w:hAnsi="Helvetica"/>
      <w:b/>
      <w:color w:val="000000" w:themeColor="background1"/>
      <w:sz w:val="22"/>
      <w:szCs w:val="24"/>
    </w:rPr>
  </w:style>
  <w:style w:type="paragraph" w:styleId="Citat">
    <w:name w:val="Quote"/>
    <w:aliases w:val="&quot;Citation&quot;"/>
    <w:basedOn w:val="Normal"/>
    <w:next w:val="Normal"/>
    <w:link w:val="CitatChar"/>
    <w:uiPriority w:val="29"/>
    <w:qFormat/>
    <w:rsid w:val="009F007E"/>
    <w:pPr>
      <w:spacing w:before="200" w:after="160"/>
      <w:ind w:left="864" w:right="864"/>
      <w:jc w:val="center"/>
    </w:pPr>
    <w:rPr>
      <w:i/>
      <w:iCs/>
      <w:color w:val="000000" w:themeColor="background1"/>
    </w:rPr>
  </w:style>
  <w:style w:type="character" w:customStyle="1" w:styleId="CitatChar">
    <w:name w:val="Citat Char"/>
    <w:aliases w:val="&quot;Citation&quot; Char"/>
    <w:basedOn w:val="Standardstycketeckensnitt"/>
    <w:link w:val="Citat"/>
    <w:uiPriority w:val="29"/>
    <w:rsid w:val="009F007E"/>
    <w:rPr>
      <w:rFonts w:ascii="Helvetica" w:eastAsia="ヒラギノ角ゴ Pro W3" w:hAnsi="Helvetica"/>
      <w:i/>
      <w:iCs/>
      <w:color w:val="000000" w:themeColor="background1"/>
      <w:sz w:val="22"/>
      <w:szCs w:val="24"/>
    </w:rPr>
  </w:style>
  <w:style w:type="paragraph" w:customStyle="1" w:styleId="Bullet2">
    <w:name w:val="Bullet 2"/>
    <w:basedOn w:val="Normal"/>
    <w:qFormat/>
    <w:rsid w:val="000E33A2"/>
    <w:pPr>
      <w:numPr>
        <w:numId w:val="16"/>
      </w:numPr>
    </w:pPr>
  </w:style>
  <w:style w:type="paragraph" w:styleId="Sidhuvud">
    <w:name w:val="header"/>
    <w:basedOn w:val="Normal"/>
    <w:link w:val="SidhuvudChar"/>
    <w:unhideWhenUsed/>
    <w:locked/>
    <w:rsid w:val="00D40D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40D4D"/>
    <w:rPr>
      <w:rFonts w:ascii="Arial" w:eastAsia="ヒラギノ角ゴ Pro W3" w:hAnsi="Arial"/>
      <w:color w:val="000000"/>
      <w:sz w:val="22"/>
      <w:szCs w:val="24"/>
    </w:rPr>
  </w:style>
  <w:style w:type="paragraph" w:customStyle="1" w:styleId="xmsolistparagraph">
    <w:name w:val="x_msolistparagraph"/>
    <w:basedOn w:val="Normal"/>
    <w:rsid w:val="00A06FD3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paragraph" w:customStyle="1" w:styleId="1BulletTitle">
    <w:name w:val="1 Bullet Title"/>
    <w:qFormat/>
    <w:rsid w:val="009F007E"/>
    <w:pPr>
      <w:numPr>
        <w:numId w:val="8"/>
      </w:numPr>
      <w:spacing w:before="360" w:after="120"/>
    </w:pPr>
    <w:rPr>
      <w:rFonts w:ascii="Helvetica" w:eastAsia="ヒラギノ角ゴ Pro W3" w:hAnsi="Helvetica"/>
      <w:b/>
      <w:color w:val="000000" w:themeColor="background1"/>
      <w:sz w:val="24"/>
      <w:szCs w:val="24"/>
    </w:rPr>
  </w:style>
  <w:style w:type="paragraph" w:customStyle="1" w:styleId="bullet3">
    <w:name w:val="bullet 3"/>
    <w:basedOn w:val="Normal"/>
    <w:qFormat/>
    <w:rsid w:val="00DF3E96"/>
    <w:pPr>
      <w:numPr>
        <w:ilvl w:val="1"/>
        <w:numId w:val="7"/>
      </w:numPr>
      <w:ind w:left="1494"/>
    </w:pPr>
  </w:style>
  <w:style w:type="paragraph" w:customStyle="1" w:styleId="zBandoTalkingPoints">
    <w:name w:val="zBando Talking Points"/>
    <w:qFormat/>
    <w:rsid w:val="005B2476"/>
    <w:pPr>
      <w:spacing w:line="288" w:lineRule="auto"/>
    </w:pPr>
    <w:rPr>
      <w:rFonts w:ascii="Arial" w:eastAsia="ヒラギノ角ゴ Pro W3" w:hAnsi="Arial"/>
      <w:color w:val="000000" w:themeColor="background1"/>
      <w:sz w:val="24"/>
      <w:szCs w:val="24"/>
    </w:rPr>
  </w:style>
  <w:style w:type="paragraph" w:customStyle="1" w:styleId="zBandoTITLE">
    <w:name w:val="zBando TITLE"/>
    <w:basedOn w:val="Normal"/>
    <w:qFormat/>
    <w:rsid w:val="006E7C8A"/>
    <w:pPr>
      <w:spacing w:line="288" w:lineRule="auto"/>
    </w:pPr>
    <w:rPr>
      <w:b/>
      <w:bCs/>
      <w:color w:val="FFFFFF"/>
    </w:rPr>
  </w:style>
  <w:style w:type="paragraph" w:customStyle="1" w:styleId="zBandoDateandPlace">
    <w:name w:val="zBando Date and Place"/>
    <w:basedOn w:val="Normal"/>
    <w:qFormat/>
    <w:rsid w:val="006E7C8A"/>
    <w:pPr>
      <w:spacing w:line="288" w:lineRule="auto"/>
    </w:pPr>
    <w:rPr>
      <w:color w:val="FFFFFF"/>
      <w:szCs w:val="20"/>
    </w:rPr>
  </w:style>
  <w:style w:type="paragraph" w:customStyle="1" w:styleId="SubTitle">
    <w:name w:val="Sub Title"/>
    <w:basedOn w:val="Rubrik2"/>
    <w:link w:val="SubTitleCar"/>
    <w:qFormat/>
    <w:rsid w:val="00453863"/>
    <w:pPr>
      <w:spacing w:before="0"/>
    </w:pPr>
    <w:rPr>
      <w:sz w:val="36"/>
      <w:szCs w:val="36"/>
    </w:rPr>
  </w:style>
  <w:style w:type="character" w:customStyle="1" w:styleId="SubTitleCar">
    <w:name w:val="Sub Title Car"/>
    <w:basedOn w:val="Rubrik2Char"/>
    <w:link w:val="SubTitle"/>
    <w:rsid w:val="00453863"/>
    <w:rPr>
      <w:rFonts w:ascii="Helvetica" w:eastAsiaTheme="majorEastAsia" w:hAnsi="Helvetica" w:cstheme="majorBidi"/>
      <w:b/>
      <w:color w:val="000000" w:themeColor="background1"/>
      <w:sz w:val="36"/>
      <w:szCs w:val="36"/>
    </w:rPr>
  </w:style>
  <w:style w:type="paragraph" w:customStyle="1" w:styleId="Default">
    <w:name w:val="Default"/>
    <w:rsid w:val="004358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358D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Standardstycketeckensnitt"/>
    <w:rsid w:val="004358DE"/>
  </w:style>
  <w:style w:type="character" w:customStyle="1" w:styleId="eop">
    <w:name w:val="eop"/>
    <w:basedOn w:val="Standardstycketeckensnitt"/>
    <w:rsid w:val="004358DE"/>
  </w:style>
  <w:style w:type="paragraph" w:customStyle="1" w:styleId="Subbullet">
    <w:name w:val="Sub bullet"/>
    <w:basedOn w:val="1BulletTitle"/>
    <w:qFormat/>
    <w:rsid w:val="001934A3"/>
    <w:pPr>
      <w:spacing w:before="120" w:after="115"/>
    </w:pPr>
    <w:rPr>
      <w:b w:val="0"/>
      <w:bCs/>
    </w:rPr>
  </w:style>
  <w:style w:type="table" w:styleId="Tabellrutnt">
    <w:name w:val="Table Grid"/>
    <w:basedOn w:val="Normaltabell"/>
    <w:locked/>
    <w:rsid w:val="009A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title">
    <w:name w:val="Session title"/>
    <w:basedOn w:val="Normal"/>
    <w:qFormat/>
    <w:rsid w:val="009F007E"/>
    <w:pPr>
      <w:spacing w:after="200" w:line="276" w:lineRule="auto"/>
      <w:ind w:left="2130" w:hanging="2130"/>
    </w:pPr>
    <w:rPr>
      <w:rFonts w:ascii="Gotham Medium" w:eastAsia="Calibri" w:hAnsi="Gotham Medium" w:cs="Arial"/>
      <w:color w:val="000000" w:themeColor="background1"/>
      <w:lang w:val="en-GB"/>
    </w:rPr>
  </w:style>
  <w:style w:type="paragraph" w:customStyle="1" w:styleId="Aucunstyle">
    <w:name w:val="[Aucun style]"/>
    <w:rsid w:val="006B7D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character" w:styleId="Hyperlnk">
    <w:name w:val="Hyperlink"/>
    <w:basedOn w:val="Standardstycketeckensnitt"/>
    <w:uiPriority w:val="99"/>
    <w:unhideWhenUsed/>
    <w:locked/>
    <w:rsid w:val="002D071F"/>
    <w:rPr>
      <w:color w:val="007D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locked/>
    <w:rsid w:val="002D071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071F"/>
    <w:rPr>
      <w:rFonts w:asciiTheme="minorHAnsi" w:eastAsiaTheme="minorHAnsi" w:hAnsiTheme="minorHAnsi" w:cstheme="minorBidi"/>
      <w:kern w:val="2"/>
      <w:lang w:val="sv-SE"/>
      <w14:ligatures w14:val="standardContextual"/>
    </w:rPr>
  </w:style>
  <w:style w:type="character" w:styleId="Fotnotsreferens">
    <w:name w:val="footnote reference"/>
    <w:basedOn w:val="Standardstycketeckensnitt"/>
    <w:uiPriority w:val="99"/>
    <w:semiHidden/>
    <w:unhideWhenUsed/>
    <w:locked/>
    <w:rsid w:val="002D071F"/>
    <w:rPr>
      <w:vertAlign w:val="superscript"/>
    </w:rPr>
  </w:style>
  <w:style w:type="paragraph" w:styleId="Revision">
    <w:name w:val="Revision"/>
    <w:hidden/>
    <w:uiPriority w:val="99"/>
    <w:semiHidden/>
    <w:rsid w:val="00B8493A"/>
    <w:rPr>
      <w:rFonts w:asciiTheme="minorHAnsi" w:eastAsiaTheme="minorHAnsi" w:hAnsiTheme="minorHAnsi" w:cstheme="minorBidi"/>
      <w:kern w:val="2"/>
      <w:sz w:val="24"/>
      <w:szCs w:val="24"/>
      <w:lang w:val="sv-SE"/>
      <w14:ligatures w14:val="standardContextual"/>
    </w:rPr>
  </w:style>
  <w:style w:type="character" w:styleId="AnvndHyperlnk">
    <w:name w:val="FollowedHyperlink"/>
    <w:basedOn w:val="Standardstycketeckensnitt"/>
    <w:semiHidden/>
    <w:unhideWhenUsed/>
    <w:locked/>
    <w:rsid w:val="0061371B"/>
    <w:rPr>
      <w:color w:val="003493" w:themeColor="followedHyperlink"/>
      <w:u w:val="single"/>
    </w:rPr>
  </w:style>
  <w:style w:type="character" w:styleId="Kommentarsreferens">
    <w:name w:val="annotation reference"/>
    <w:basedOn w:val="Standardstycketeckensnitt"/>
    <w:semiHidden/>
    <w:unhideWhenUsed/>
    <w:locked/>
    <w:rsid w:val="001632BA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locked/>
    <w:rsid w:val="001632B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632BA"/>
    <w:rPr>
      <w:rFonts w:asciiTheme="minorHAnsi" w:eastAsiaTheme="minorHAnsi" w:hAnsiTheme="minorHAnsi" w:cstheme="minorBidi"/>
      <w:kern w:val="2"/>
      <w:lang w:val="sv-SE"/>
      <w14:ligatures w14:val="standardContextual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locked/>
    <w:rsid w:val="001632B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632BA"/>
    <w:rPr>
      <w:rFonts w:asciiTheme="minorHAnsi" w:eastAsiaTheme="minorHAnsi" w:hAnsiTheme="minorHAnsi" w:cstheme="minorBidi"/>
      <w:b/>
      <w:bCs/>
      <w:kern w:val="2"/>
      <w:lang w:val="sv-SE"/>
      <w14:ligatures w14:val="standardContextual"/>
    </w:rPr>
  </w:style>
  <w:style w:type="character" w:styleId="Olstomnmnande">
    <w:name w:val="Unresolved Mention"/>
    <w:basedOn w:val="Standardstycketeckensnitt"/>
    <w:rsid w:val="004B5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to.org/english/res_e/publications_e/world_trade_report18_e.pdf" TargetMode="External"/><Relationship Id="rId2" Type="http://schemas.openxmlformats.org/officeDocument/2006/relationships/hyperlink" Target="https://lawcom.gov.uk/project/electronic-trade-documents/" TargetMode="External"/><Relationship Id="rId1" Type="http://schemas.openxmlformats.org/officeDocument/2006/relationships/hyperlink" Target="https://cloud-platform-e218f50a4812967ba1215eaecede923f.s3.amazonaws.com/uploads/sites/30/2022/03/Electronic-Trade-Documents-summary-of-final-report-.pdf" TargetMode="External"/><Relationship Id="rId6" Type="http://schemas.openxmlformats.org/officeDocument/2006/relationships/hyperlink" Target="http://www.g7.utoronto.ca/ict/2021-presidency-statement.html" TargetMode="External"/><Relationship Id="rId5" Type="http://schemas.openxmlformats.org/officeDocument/2006/relationships/hyperlink" Target="https://www.dsi.iccwbo.org/_files/ugd/0b6be5_e6bef2857560420793110fa0bea642d8.pdf" TargetMode="External"/><Relationship Id="rId4" Type="http://schemas.openxmlformats.org/officeDocument/2006/relationships/hyperlink" Target="https://www.wto.org/english/res_e/booksp_e/standtoolkit22_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sperlabardi/Library/Group%20Containers/UBF8T346G9.Office/User%20Content.localized/Templates.localized/2023_ICC_SE_Letterhead.dotx" TargetMode="External"/></Relationships>
</file>

<file path=word/theme/theme1.xml><?xml version="1.0" encoding="utf-8"?>
<a:theme xmlns:a="http://schemas.openxmlformats.org/drawingml/2006/main" name="Office Theme">
  <a:themeElements>
    <a:clrScheme name="WE ARE ICC">
      <a:dk1>
        <a:srgbClr val="007BFF"/>
      </a:dk1>
      <a:lt1>
        <a:srgbClr val="000000"/>
      </a:lt1>
      <a:dk2>
        <a:srgbClr val="FFFFFF"/>
      </a:dk2>
      <a:lt2>
        <a:srgbClr val="007BFF"/>
      </a:lt2>
      <a:accent1>
        <a:srgbClr val="007DFF"/>
      </a:accent1>
      <a:accent2>
        <a:srgbClr val="00BC00"/>
      </a:accent2>
      <a:accent3>
        <a:srgbClr val="853DE5"/>
      </a:accent3>
      <a:accent4>
        <a:srgbClr val="FF5769"/>
      </a:accent4>
      <a:accent5>
        <a:srgbClr val="999998"/>
      </a:accent5>
      <a:accent6>
        <a:srgbClr val="382F2C"/>
      </a:accent6>
      <a:hlink>
        <a:srgbClr val="007DFF"/>
      </a:hlink>
      <a:folHlink>
        <a:srgbClr val="003493"/>
      </a:folHlink>
    </a:clrScheme>
    <a:fontScheme name="HELVETICA">
      <a:majorFont>
        <a:latin typeface="Helvetica regular"/>
        <a:ea typeface=""/>
        <a:cs typeface=""/>
      </a:majorFont>
      <a:minorFont>
        <a:latin typeface="Helvetica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CD8AE9B02F834195A39A8818C62C25" ma:contentTypeVersion="18" ma:contentTypeDescription="Skapa ett nytt dokument." ma:contentTypeScope="" ma:versionID="68044c27f87581aaa9ded941f0000546">
  <xsd:schema xmlns:xsd="http://www.w3.org/2001/XMLSchema" xmlns:xs="http://www.w3.org/2001/XMLSchema" xmlns:p="http://schemas.microsoft.com/office/2006/metadata/properties" xmlns:ns2="b46b9808-7eec-4557-8a10-cd7b08f26e01" xmlns:ns3="accf3299-9573-4a58-beeb-36e55a0a02b7" targetNamespace="http://schemas.microsoft.com/office/2006/metadata/properties" ma:root="true" ma:fieldsID="eb68d920fa725831aebbda8a131f5033" ns2:_="" ns3:_="">
    <xsd:import namespace="b46b9808-7eec-4557-8a10-cd7b08f26e01"/>
    <xsd:import namespace="accf3299-9573-4a58-beeb-36e55a0a0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b9808-7eec-4557-8a10-cd7b08f26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05e4c55e-88cb-4eed-b3cd-b87cde6875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3299-9573-4a58-beeb-36e55a0a02b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c39796-daf0-44f0-9bdc-1b952d1d5c8a}" ma:internalName="TaxCatchAll" ma:showField="CatchAllData" ma:web="accf3299-9573-4a58-beeb-36e55a0a0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f3299-9573-4a58-beeb-36e55a0a02b7" xsi:nil="true"/>
    <lcf76f155ced4ddcb4097134ff3c332f xmlns="b46b9808-7eec-4557-8a10-cd7b08f26e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6F968E-0C07-334B-A439-662D834A6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9E6B1B-9DD7-458C-9A9E-C7A023B42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B5CF6-4229-4B4D-A81F-5A5DC81C0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b9808-7eec-4557-8a10-cd7b08f26e01"/>
    <ds:schemaRef ds:uri="accf3299-9573-4a58-beeb-36e55a0a0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8D1F5-1C0F-476E-B981-7C7E10CED06E}">
  <ds:schemaRefs>
    <ds:schemaRef ds:uri="http://schemas.microsoft.com/office/2006/metadata/properties"/>
    <ds:schemaRef ds:uri="http://schemas.microsoft.com/office/infopath/2007/PartnerControls"/>
    <ds:schemaRef ds:uri="accf3299-9573-4a58-beeb-36e55a0a02b7"/>
    <ds:schemaRef ds:uri="b46b9808-7eec-4557-8a10-cd7b08f26e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2023_ICC_SE_Letterhead.dotx</Template>
  <TotalTime>120</TotalTime>
  <Pages>1</Pages>
  <Words>408</Words>
  <Characters>2167</Characters>
  <Application>Microsoft Office Word</Application>
  <DocSecurity>0</DocSecurity>
  <Lines>18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ICC Letterhead</vt:lpstr>
      <vt:lpstr>ICC Letterhead</vt:lpstr>
      <vt:lpstr>ICC Letterhead</vt:lpstr>
    </vt:vector>
  </TitlesOfParts>
  <Company/>
  <LinksUpToDate>false</LinksUpToDate>
  <CharactersWithSpaces>2570</CharactersWithSpaces>
  <SharedDoc>false</SharedDoc>
  <HLinks>
    <vt:vector size="18" baseType="variant">
      <vt:variant>
        <vt:i4>4390976</vt:i4>
      </vt:variant>
      <vt:variant>
        <vt:i4>-1</vt:i4>
      </vt:variant>
      <vt:variant>
        <vt:i4>2054</vt:i4>
      </vt:variant>
      <vt:variant>
        <vt:i4>1</vt:i4>
      </vt:variant>
      <vt:variant>
        <vt:lpwstr>ICC WCF logo_horz_CMYK</vt:lpwstr>
      </vt:variant>
      <vt:variant>
        <vt:lpwstr/>
      </vt:variant>
      <vt:variant>
        <vt:i4>6160411</vt:i4>
      </vt:variant>
      <vt:variant>
        <vt:i4>-1</vt:i4>
      </vt:variant>
      <vt:variant>
        <vt:i4>2055</vt:i4>
      </vt:variant>
      <vt:variant>
        <vt:i4>1</vt:i4>
      </vt:variant>
      <vt:variant>
        <vt:lpwstr>ICC ATA Address Line</vt:lpwstr>
      </vt:variant>
      <vt:variant>
        <vt:lpwstr/>
      </vt:variant>
      <vt:variant>
        <vt:i4>5046319</vt:i4>
      </vt:variant>
      <vt:variant>
        <vt:i4>-1</vt:i4>
      </vt:variant>
      <vt:variant>
        <vt:i4>2056</vt:i4>
      </vt:variant>
      <vt:variant>
        <vt:i4>1</vt:i4>
      </vt:variant>
      <vt:variant>
        <vt:lpwstr>ATA logo with tagline_CMYK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 Sweden</dc:creator>
  <cp:keywords/>
  <cp:lastModifiedBy>ICC Sweden</cp:lastModifiedBy>
  <cp:revision>100</cp:revision>
  <cp:lastPrinted>2022-06-03T16:07:00Z</cp:lastPrinted>
  <dcterms:created xsi:type="dcterms:W3CDTF">2024-03-05T08:32:00Z</dcterms:created>
  <dcterms:modified xsi:type="dcterms:W3CDTF">2024-03-14T10:18:00Z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0x010100A3CD8AE9B02F834195A39A8818C62C25</vt:lpwstr>
  </property>
  <property fmtid="{D5CDD505-2E9C-101B-9397-08002B2CF9AE}" pid="3" name="Order">
    <vt:r8>17900</vt:r8>
  </property>
  <property fmtid="{D5CDD505-2E9C-101B-9397-08002B2CF9AE}" pid="4" name="MediaServiceImageTags">
    <vt:lpwstr/>
  </property>
  <property fmtid="{D5CDD505-2E9C-101B-9397-08002B2CF9AE}" pid="5" name="_dlc_policyId">
    <vt:lpwstr>0x01010040BB9D21FF7C414DBAE17BB9C7DADD2E|-1315905429</vt:lpwstr>
  </property>
  <property fmtid="{D5CDD505-2E9C-101B-9397-08002B2CF9AE}" pid="6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months&lt;/period&gt;&lt;/formula&gt;</vt:lpwstr>
  </property>
  <property fmtid="{D5CDD505-2E9C-101B-9397-08002B2CF9AE}" pid="7" name="_dlc_DocIdItemGuid">
    <vt:lpwstr>a73a0d94-099e-48ad-b46f-4719d87c47fa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