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6840" w14:textId="6A32B395" w:rsidR="00F24F74" w:rsidRDefault="00F24F74" w:rsidP="00F24F74">
      <w:pPr>
        <w:spacing w:after="0"/>
        <w:jc w:val="center"/>
        <w:rPr>
          <w:rFonts w:ascii="Gellix" w:hAnsi="Gellix"/>
        </w:rPr>
      </w:pPr>
      <w:r>
        <w:rPr>
          <w:rFonts w:ascii="Gellix" w:hAnsi="Gellix"/>
        </w:rPr>
        <w:t>[on ICC notepaper]</w:t>
      </w:r>
    </w:p>
    <w:p w14:paraId="00A9E34C" w14:textId="07393D2D" w:rsidR="00F24F74" w:rsidRDefault="00F24F74" w:rsidP="00F24F74">
      <w:pPr>
        <w:spacing w:after="0"/>
        <w:rPr>
          <w:rFonts w:ascii="Gellix" w:hAnsi="Gellix"/>
        </w:rPr>
      </w:pPr>
    </w:p>
    <w:p w14:paraId="2C60F9F9" w14:textId="77777777" w:rsidR="00F24F74" w:rsidRDefault="00F24F74" w:rsidP="00F24F74">
      <w:pPr>
        <w:spacing w:after="0"/>
        <w:rPr>
          <w:rFonts w:ascii="Gellix" w:hAnsi="Gellix"/>
        </w:rPr>
      </w:pPr>
    </w:p>
    <w:p w14:paraId="4ADE3596" w14:textId="018A3624" w:rsidR="00F24F74" w:rsidRPr="000A01B4" w:rsidRDefault="00F24F74" w:rsidP="00F24F74">
      <w:pPr>
        <w:spacing w:after="0"/>
        <w:jc w:val="center"/>
        <w:rPr>
          <w:rFonts w:ascii="Gellix" w:hAnsi="Gellix"/>
          <w:b/>
          <w:bCs/>
          <w:sz w:val="28"/>
          <w:szCs w:val="28"/>
        </w:rPr>
      </w:pPr>
      <w:r w:rsidRPr="000A01B4">
        <w:rPr>
          <w:rFonts w:ascii="Gellix" w:hAnsi="Gellix"/>
          <w:b/>
          <w:bCs/>
          <w:sz w:val="28"/>
          <w:szCs w:val="28"/>
        </w:rPr>
        <w:t xml:space="preserve">Strengthening the Global Methane Pledge to </w:t>
      </w:r>
      <w:r w:rsidR="008071DB">
        <w:rPr>
          <w:rFonts w:ascii="Gellix" w:hAnsi="Gellix"/>
          <w:b/>
          <w:bCs/>
          <w:sz w:val="28"/>
          <w:szCs w:val="28"/>
        </w:rPr>
        <w:t xml:space="preserve">keep </w:t>
      </w:r>
      <w:r w:rsidR="00332870" w:rsidRPr="00332870">
        <w:rPr>
          <w:rFonts w:ascii="Gellix" w:hAnsi="Gellix"/>
          <w:b/>
          <w:bCs/>
          <w:sz w:val="28"/>
          <w:szCs w:val="28"/>
        </w:rPr>
        <w:t>1.5°C</w:t>
      </w:r>
      <w:r w:rsidRPr="000A01B4">
        <w:rPr>
          <w:rFonts w:ascii="Gellix" w:hAnsi="Gellix"/>
          <w:b/>
          <w:bCs/>
          <w:sz w:val="28"/>
          <w:szCs w:val="28"/>
        </w:rPr>
        <w:t xml:space="preserve"> </w:t>
      </w:r>
      <w:r w:rsidR="000D2058">
        <w:rPr>
          <w:rFonts w:ascii="Gellix" w:hAnsi="Gellix"/>
          <w:b/>
          <w:bCs/>
          <w:sz w:val="28"/>
          <w:szCs w:val="28"/>
        </w:rPr>
        <w:t>within reach</w:t>
      </w:r>
    </w:p>
    <w:p w14:paraId="099FA565" w14:textId="66E991A3" w:rsidR="00F24F74" w:rsidRPr="00F24F74" w:rsidRDefault="00F24F74" w:rsidP="00F24F74">
      <w:pPr>
        <w:spacing w:after="0"/>
        <w:jc w:val="center"/>
        <w:rPr>
          <w:rFonts w:ascii="Gellix" w:hAnsi="Gellix"/>
          <w:i/>
          <w:iCs/>
        </w:rPr>
      </w:pPr>
      <w:r w:rsidRPr="000A01B4">
        <w:rPr>
          <w:rFonts w:ascii="Gellix" w:hAnsi="Gellix"/>
          <w:i/>
          <w:iCs/>
          <w:sz w:val="24"/>
          <w:szCs w:val="24"/>
        </w:rPr>
        <w:t>A call to action from global business</w:t>
      </w:r>
      <w:r w:rsidR="001C5CB2">
        <w:rPr>
          <w:rFonts w:ascii="Gellix" w:hAnsi="Gellix"/>
          <w:i/>
          <w:iCs/>
          <w:sz w:val="24"/>
          <w:szCs w:val="24"/>
        </w:rPr>
        <w:t xml:space="preserve"> </w:t>
      </w:r>
    </w:p>
    <w:p w14:paraId="512D55BA" w14:textId="77777777" w:rsidR="00F24F74" w:rsidRDefault="00F24F74" w:rsidP="00F24F74">
      <w:pPr>
        <w:spacing w:after="0"/>
        <w:rPr>
          <w:rFonts w:ascii="Gellix" w:hAnsi="Gellix"/>
        </w:rPr>
      </w:pPr>
    </w:p>
    <w:p w14:paraId="2269BC1B" w14:textId="70E2243A" w:rsidR="00F24F74" w:rsidRDefault="00F24F74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 xml:space="preserve">Global business </w:t>
      </w:r>
      <w:r w:rsidR="00DE3552">
        <w:rPr>
          <w:rFonts w:ascii="Gellix" w:hAnsi="Gellix"/>
        </w:rPr>
        <w:t xml:space="preserve">fully </w:t>
      </w:r>
      <w:r>
        <w:rPr>
          <w:rFonts w:ascii="Gellix" w:hAnsi="Gellix"/>
        </w:rPr>
        <w:t>recognises the imperative</w:t>
      </w:r>
      <w:r w:rsidRPr="00F24F74">
        <w:rPr>
          <w:rFonts w:ascii="Gellix" w:hAnsi="Gellix"/>
        </w:rPr>
        <w:t xml:space="preserve"> </w:t>
      </w:r>
      <w:r w:rsidR="00DE3552">
        <w:rPr>
          <w:rFonts w:ascii="Gellix" w:hAnsi="Gellix"/>
        </w:rPr>
        <w:t xml:space="preserve">to </w:t>
      </w:r>
      <w:r w:rsidRPr="00F24F74">
        <w:rPr>
          <w:rFonts w:ascii="Gellix" w:hAnsi="Gellix"/>
        </w:rPr>
        <w:t xml:space="preserve">take decisive action to rapidly reduce methane emissions to achieve near-term climate gains within this decade. </w:t>
      </w:r>
    </w:p>
    <w:p w14:paraId="499EEFEB" w14:textId="77777777" w:rsidR="00F24F74" w:rsidRDefault="00F24F74" w:rsidP="008071DB">
      <w:pPr>
        <w:spacing w:after="0"/>
        <w:rPr>
          <w:rFonts w:ascii="Gellix" w:hAnsi="Gellix"/>
        </w:rPr>
      </w:pPr>
    </w:p>
    <w:p w14:paraId="2759D5EB" w14:textId="5DBCFF10" w:rsidR="00F24F74" w:rsidRDefault="00881B85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>In this connection, w</w:t>
      </w:r>
      <w:r w:rsidR="00F24F74">
        <w:rPr>
          <w:rFonts w:ascii="Gellix" w:hAnsi="Gellix"/>
        </w:rPr>
        <w:t xml:space="preserve">e </w:t>
      </w:r>
      <w:r w:rsidR="00DE3552">
        <w:rPr>
          <w:rFonts w:ascii="Gellix" w:hAnsi="Gellix"/>
        </w:rPr>
        <w:t>acknowledge</w:t>
      </w:r>
      <w:r w:rsidR="00F24F74">
        <w:rPr>
          <w:rFonts w:ascii="Gellix" w:hAnsi="Gellix"/>
        </w:rPr>
        <w:t xml:space="preserve"> the </w:t>
      </w:r>
      <w:r w:rsidR="00DE3552">
        <w:rPr>
          <w:rFonts w:ascii="Gellix" w:hAnsi="Gellix"/>
        </w:rPr>
        <w:t xml:space="preserve">clear </w:t>
      </w:r>
      <w:r w:rsidR="00F24F74">
        <w:rPr>
          <w:rFonts w:ascii="Gellix" w:hAnsi="Gellix"/>
        </w:rPr>
        <w:t xml:space="preserve">conclusion of the </w:t>
      </w:r>
      <w:r w:rsidR="00F24F74" w:rsidRPr="00F24F74">
        <w:rPr>
          <w:rFonts w:ascii="Gellix" w:hAnsi="Gellix"/>
        </w:rPr>
        <w:t xml:space="preserve">Global Methane Assessment </w:t>
      </w:r>
      <w:r w:rsidR="00F24F74">
        <w:rPr>
          <w:rFonts w:ascii="Gellix" w:hAnsi="Gellix"/>
        </w:rPr>
        <w:t xml:space="preserve">that a </w:t>
      </w:r>
      <w:r w:rsidR="00F24F74" w:rsidRPr="00F24F74">
        <w:rPr>
          <w:rFonts w:ascii="Gellix" w:hAnsi="Gellix"/>
        </w:rPr>
        <w:t xml:space="preserve">45% reduction in global methane emissions by 2030 </w:t>
      </w:r>
      <w:r w:rsidR="00DE3552">
        <w:rPr>
          <w:rFonts w:ascii="Gellix" w:hAnsi="Gellix"/>
        </w:rPr>
        <w:t>(</w:t>
      </w:r>
      <w:r w:rsidR="00F24F74" w:rsidRPr="00F24F74">
        <w:rPr>
          <w:rFonts w:ascii="Gellix" w:hAnsi="Gellix"/>
        </w:rPr>
        <w:t>compared to a 2020 baseline</w:t>
      </w:r>
      <w:r w:rsidR="00DE3552">
        <w:rPr>
          <w:rFonts w:ascii="Gellix" w:hAnsi="Gellix"/>
        </w:rPr>
        <w:t>)</w:t>
      </w:r>
      <w:r w:rsidR="00F24F74" w:rsidRPr="00F24F74">
        <w:rPr>
          <w:rFonts w:ascii="Gellix" w:hAnsi="Gellix"/>
        </w:rPr>
        <w:t xml:space="preserve"> is the most cost-effective pathway to limit global warming to 1.5°C</w:t>
      </w:r>
      <w:r>
        <w:rPr>
          <w:rFonts w:ascii="Gellix" w:hAnsi="Gellix"/>
        </w:rPr>
        <w:t xml:space="preserve"> – while potentially yielding significant co-benefits including improved</w:t>
      </w:r>
      <w:r w:rsidR="008F28F6">
        <w:rPr>
          <w:rFonts w:ascii="Gellix" w:hAnsi="Gellix"/>
        </w:rPr>
        <w:t xml:space="preserve"> air quality and</w:t>
      </w:r>
      <w:r>
        <w:rPr>
          <w:rFonts w:ascii="Gellix" w:hAnsi="Gellix"/>
        </w:rPr>
        <w:t xml:space="preserve"> agricultural and industrial productivity.</w:t>
      </w:r>
    </w:p>
    <w:p w14:paraId="7C2AA165" w14:textId="77777777" w:rsidR="00881B85" w:rsidRDefault="00881B85" w:rsidP="008071DB">
      <w:pPr>
        <w:spacing w:after="0"/>
        <w:rPr>
          <w:rFonts w:ascii="Gellix" w:hAnsi="Gellix"/>
        </w:rPr>
      </w:pPr>
    </w:p>
    <w:p w14:paraId="69AB7953" w14:textId="11F2C8C7" w:rsidR="00881B85" w:rsidRDefault="00881B85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 xml:space="preserve">We are also deeply conscious that the </w:t>
      </w:r>
      <w:r w:rsidRPr="00881B85">
        <w:rPr>
          <w:rFonts w:ascii="Gellix" w:hAnsi="Gellix"/>
        </w:rPr>
        <w:t xml:space="preserve">levels of methane mitigation needed </w:t>
      </w:r>
      <w:r>
        <w:rPr>
          <w:rFonts w:ascii="Gellix" w:hAnsi="Gellix"/>
        </w:rPr>
        <w:t xml:space="preserve">over the next decade cannot </w:t>
      </w:r>
      <w:r w:rsidRPr="00881B85">
        <w:rPr>
          <w:rFonts w:ascii="Gellix" w:hAnsi="Gellix"/>
        </w:rPr>
        <w:t xml:space="preserve">be achieved by broader decarbonization strategies alone. Focused strategies </w:t>
      </w:r>
      <w:r w:rsidR="000A01B4">
        <w:rPr>
          <w:rFonts w:ascii="Gellix" w:hAnsi="Gellix"/>
        </w:rPr>
        <w:t xml:space="preserve">and policy reforms </w:t>
      </w:r>
      <w:r w:rsidR="00DE3552">
        <w:rPr>
          <w:rFonts w:ascii="Gellix" w:hAnsi="Gellix"/>
        </w:rPr>
        <w:t xml:space="preserve">– </w:t>
      </w:r>
      <w:r w:rsidRPr="00881B85">
        <w:rPr>
          <w:rFonts w:ascii="Gellix" w:hAnsi="Gellix"/>
        </w:rPr>
        <w:t xml:space="preserve">specifically targeting methane </w:t>
      </w:r>
      <w:r w:rsidR="00DE3552">
        <w:rPr>
          <w:rFonts w:ascii="Gellix" w:hAnsi="Gellix"/>
        </w:rPr>
        <w:t xml:space="preserve">– </w:t>
      </w:r>
      <w:r w:rsidRPr="00881B85">
        <w:rPr>
          <w:rFonts w:ascii="Gellix" w:hAnsi="Gellix"/>
        </w:rPr>
        <w:t>need</w:t>
      </w:r>
      <w:r w:rsidR="00DE3552">
        <w:rPr>
          <w:rFonts w:ascii="Gellix" w:hAnsi="Gellix"/>
        </w:rPr>
        <w:t xml:space="preserve"> </w:t>
      </w:r>
      <w:r w:rsidRPr="00881B85">
        <w:rPr>
          <w:rFonts w:ascii="Gellix" w:hAnsi="Gellix"/>
        </w:rPr>
        <w:t>to be implemented to achieve sufficient methane mitigation</w:t>
      </w:r>
      <w:r w:rsidR="00DE3552">
        <w:rPr>
          <w:rFonts w:ascii="Gellix" w:hAnsi="Gellix"/>
        </w:rPr>
        <w:t xml:space="preserve"> to deliver on our shared climate goals. </w:t>
      </w:r>
    </w:p>
    <w:p w14:paraId="26912C56" w14:textId="77777777" w:rsidR="00DE3552" w:rsidRDefault="00DE3552" w:rsidP="008071DB">
      <w:pPr>
        <w:spacing w:after="0"/>
        <w:rPr>
          <w:rFonts w:ascii="Gellix" w:hAnsi="Gellix"/>
        </w:rPr>
      </w:pPr>
    </w:p>
    <w:p w14:paraId="62135855" w14:textId="4A3864CB" w:rsidR="008F28F6" w:rsidRDefault="00DE3552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 xml:space="preserve">In this context, we warmly welcome </w:t>
      </w:r>
      <w:r w:rsidR="00B56EA9">
        <w:rPr>
          <w:rFonts w:ascii="Gellix" w:hAnsi="Gellix"/>
        </w:rPr>
        <w:t>t</w:t>
      </w:r>
      <w:r>
        <w:rPr>
          <w:rFonts w:ascii="Gellix" w:hAnsi="Gellix"/>
        </w:rPr>
        <w:t>he</w:t>
      </w:r>
      <w:r w:rsidR="00B56EA9">
        <w:rPr>
          <w:rFonts w:ascii="Gellix" w:hAnsi="Gellix"/>
        </w:rPr>
        <w:t xml:space="preserve"> creation of the</w:t>
      </w:r>
      <w:r>
        <w:rPr>
          <w:rFonts w:ascii="Gellix" w:hAnsi="Gellix"/>
        </w:rPr>
        <w:t xml:space="preserve"> landmark </w:t>
      </w:r>
      <w:r w:rsidRPr="00DE3552">
        <w:rPr>
          <w:rFonts w:ascii="Gellix" w:hAnsi="Gellix"/>
        </w:rPr>
        <w:t>Global Methane Pledge (GMP)</w:t>
      </w:r>
      <w:r>
        <w:rPr>
          <w:rFonts w:ascii="Gellix" w:hAnsi="Gellix"/>
        </w:rPr>
        <w:t xml:space="preserve"> to accelerate action to </w:t>
      </w:r>
      <w:r w:rsidRPr="00DE3552">
        <w:rPr>
          <w:rFonts w:ascii="Gellix" w:hAnsi="Gellix"/>
        </w:rPr>
        <w:t>reduc</w:t>
      </w:r>
      <w:r>
        <w:rPr>
          <w:rFonts w:ascii="Gellix" w:hAnsi="Gellix"/>
        </w:rPr>
        <w:t>e</w:t>
      </w:r>
      <w:r w:rsidRPr="00DE3552">
        <w:rPr>
          <w:rFonts w:ascii="Gellix" w:hAnsi="Gellix"/>
        </w:rPr>
        <w:t xml:space="preserve"> methane emissions from energy, agriculture, and waste</w:t>
      </w:r>
      <w:r w:rsidR="00DE4ABD">
        <w:rPr>
          <w:rFonts w:ascii="Gellix" w:hAnsi="Gellix"/>
        </w:rPr>
        <w:t xml:space="preserve"> – and </w:t>
      </w:r>
      <w:r w:rsidR="00B56EA9">
        <w:rPr>
          <w:rFonts w:ascii="Gellix" w:hAnsi="Gellix"/>
        </w:rPr>
        <w:t xml:space="preserve">applaud the efforts of </w:t>
      </w:r>
      <w:r w:rsidR="008F28F6">
        <w:rPr>
          <w:rFonts w:ascii="Gellix" w:hAnsi="Gellix"/>
        </w:rPr>
        <w:t xml:space="preserve">endorsing </w:t>
      </w:r>
      <w:r w:rsidR="00B56EA9">
        <w:rPr>
          <w:rFonts w:ascii="Gellix" w:hAnsi="Gellix"/>
        </w:rPr>
        <w:t>governments to ensure its effective implementation</w:t>
      </w:r>
      <w:r w:rsidR="000A01B4">
        <w:rPr>
          <w:rFonts w:ascii="Gellix" w:hAnsi="Gellix"/>
        </w:rPr>
        <w:t xml:space="preserve"> over the past two years</w:t>
      </w:r>
      <w:r w:rsidR="00B56EA9">
        <w:rPr>
          <w:rFonts w:ascii="Gellix" w:hAnsi="Gellix"/>
        </w:rPr>
        <w:t xml:space="preserve">. </w:t>
      </w:r>
    </w:p>
    <w:p w14:paraId="0FECE378" w14:textId="77777777" w:rsidR="00B56EA9" w:rsidRDefault="00B56EA9" w:rsidP="008071DB">
      <w:pPr>
        <w:spacing w:after="0"/>
        <w:rPr>
          <w:rFonts w:ascii="Gellix" w:hAnsi="Gellix"/>
        </w:rPr>
      </w:pPr>
    </w:p>
    <w:p w14:paraId="7060D6CE" w14:textId="1318EDF8" w:rsidR="000A01B4" w:rsidRDefault="000A01B4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 xml:space="preserve">We now see COP28 as an opportunity to go further and faster – together. </w:t>
      </w:r>
    </w:p>
    <w:p w14:paraId="6CA6C7E9" w14:textId="77777777" w:rsidR="008071DB" w:rsidRDefault="008071DB" w:rsidP="008071DB">
      <w:pPr>
        <w:spacing w:after="0"/>
        <w:rPr>
          <w:rFonts w:ascii="Gellix" w:hAnsi="Gellix"/>
        </w:rPr>
      </w:pPr>
    </w:p>
    <w:p w14:paraId="5C07EE7E" w14:textId="2F40DDF1" w:rsidR="007C2A8B" w:rsidRDefault="007C2A8B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>While businesses across network are firmly committed to reduc</w:t>
      </w:r>
      <w:r w:rsidR="008F28F6">
        <w:rPr>
          <w:rFonts w:ascii="Gellix" w:hAnsi="Gellix"/>
        </w:rPr>
        <w:t>ing</w:t>
      </w:r>
      <w:r>
        <w:rPr>
          <w:rFonts w:ascii="Gellix" w:hAnsi="Gellix"/>
        </w:rPr>
        <w:t xml:space="preserve"> methane emissions, clear</w:t>
      </w:r>
      <w:r w:rsidR="00B80B33">
        <w:rPr>
          <w:rFonts w:ascii="Gellix" w:hAnsi="Gellix"/>
        </w:rPr>
        <w:t xml:space="preserve"> policy</w:t>
      </w:r>
      <w:r>
        <w:rPr>
          <w:rFonts w:ascii="Gellix" w:hAnsi="Gellix"/>
        </w:rPr>
        <w:t xml:space="preserve"> signals</w:t>
      </w:r>
      <w:r w:rsidR="00B80B33">
        <w:rPr>
          <w:rFonts w:ascii="Gellix" w:hAnsi="Gellix"/>
        </w:rPr>
        <w:t xml:space="preserve"> </w:t>
      </w:r>
      <w:r>
        <w:rPr>
          <w:rFonts w:ascii="Gellix" w:hAnsi="Gellix"/>
        </w:rPr>
        <w:t xml:space="preserve">from governments </w:t>
      </w:r>
      <w:r w:rsidR="005E6F9C">
        <w:rPr>
          <w:rFonts w:ascii="Gellix" w:hAnsi="Gellix"/>
        </w:rPr>
        <w:t xml:space="preserve">– backed by </w:t>
      </w:r>
      <w:r w:rsidR="008F06FC">
        <w:rPr>
          <w:rFonts w:ascii="Gellix" w:hAnsi="Gellix"/>
        </w:rPr>
        <w:t>strong</w:t>
      </w:r>
      <w:r w:rsidR="005E6F9C">
        <w:rPr>
          <w:rFonts w:ascii="Gellix" w:hAnsi="Gellix"/>
        </w:rPr>
        <w:t xml:space="preserve"> accountability measures – </w:t>
      </w:r>
      <w:r>
        <w:rPr>
          <w:rFonts w:ascii="Gellix" w:hAnsi="Gellix"/>
        </w:rPr>
        <w:t xml:space="preserve">are </w:t>
      </w:r>
      <w:r w:rsidR="00921569">
        <w:rPr>
          <w:rFonts w:ascii="Gellix" w:hAnsi="Gellix"/>
        </w:rPr>
        <w:t xml:space="preserve">urgently </w:t>
      </w:r>
      <w:r>
        <w:rPr>
          <w:rFonts w:ascii="Gellix" w:hAnsi="Gellix"/>
        </w:rPr>
        <w:t xml:space="preserve">needed to </w:t>
      </w:r>
      <w:r w:rsidR="00B53133">
        <w:rPr>
          <w:rFonts w:ascii="Gellix" w:hAnsi="Gellix"/>
        </w:rPr>
        <w:t>scale</w:t>
      </w:r>
      <w:r w:rsidR="00FA4196">
        <w:rPr>
          <w:rFonts w:ascii="Gellix" w:hAnsi="Gellix"/>
        </w:rPr>
        <w:t>-</w:t>
      </w:r>
      <w:r w:rsidR="008F28F6">
        <w:rPr>
          <w:rFonts w:ascii="Gellix" w:hAnsi="Gellix"/>
        </w:rPr>
        <w:t>up</w:t>
      </w:r>
      <w:r w:rsidR="00B53133">
        <w:rPr>
          <w:rFonts w:ascii="Gellix" w:hAnsi="Gellix"/>
        </w:rPr>
        <w:t xml:space="preserve"> </w:t>
      </w:r>
      <w:r w:rsidR="008E2BEB">
        <w:rPr>
          <w:rFonts w:ascii="Gellix" w:hAnsi="Gellix"/>
        </w:rPr>
        <w:t>miti</w:t>
      </w:r>
      <w:r w:rsidR="000B40D8">
        <w:rPr>
          <w:rFonts w:ascii="Gellix" w:hAnsi="Gellix"/>
        </w:rPr>
        <w:t xml:space="preserve">gation </w:t>
      </w:r>
      <w:r w:rsidR="00BB565C">
        <w:rPr>
          <w:rFonts w:ascii="Gellix" w:hAnsi="Gellix"/>
        </w:rPr>
        <w:t>efforts</w:t>
      </w:r>
      <w:r w:rsidR="008071DB">
        <w:rPr>
          <w:rFonts w:ascii="Gellix" w:hAnsi="Gellix"/>
        </w:rPr>
        <w:t xml:space="preserve"> </w:t>
      </w:r>
      <w:r w:rsidR="000B40D8">
        <w:rPr>
          <w:rFonts w:ascii="Gellix" w:hAnsi="Gellix"/>
        </w:rPr>
        <w:t xml:space="preserve">that </w:t>
      </w:r>
      <w:r w:rsidR="00BB565C">
        <w:rPr>
          <w:rFonts w:ascii="Gellix" w:hAnsi="Gellix"/>
        </w:rPr>
        <w:t>are</w:t>
      </w:r>
      <w:r w:rsidR="000B40D8">
        <w:rPr>
          <w:rFonts w:ascii="Gellix" w:hAnsi="Gellix"/>
        </w:rPr>
        <w:t xml:space="preserve"> </w:t>
      </w:r>
      <w:r w:rsidR="002377E9">
        <w:rPr>
          <w:rFonts w:ascii="Gellix" w:hAnsi="Gellix"/>
        </w:rPr>
        <w:t xml:space="preserve">ultimately </w:t>
      </w:r>
      <w:r w:rsidR="000B40D8">
        <w:rPr>
          <w:rFonts w:ascii="Gellix" w:hAnsi="Gellix"/>
        </w:rPr>
        <w:t xml:space="preserve">required by the end of this </w:t>
      </w:r>
      <w:r w:rsidR="006D68DC">
        <w:rPr>
          <w:rFonts w:ascii="Gellix" w:hAnsi="Gellix"/>
        </w:rPr>
        <w:t xml:space="preserve">decade. </w:t>
      </w:r>
    </w:p>
    <w:p w14:paraId="7E653782" w14:textId="77777777" w:rsidR="00737BC7" w:rsidRDefault="00737BC7" w:rsidP="008071DB">
      <w:pPr>
        <w:spacing w:after="0"/>
        <w:rPr>
          <w:rFonts w:ascii="Gellix" w:hAnsi="Gellix"/>
        </w:rPr>
      </w:pPr>
    </w:p>
    <w:p w14:paraId="365782FA" w14:textId="2746526C" w:rsidR="00F803E1" w:rsidRDefault="000A01B4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 xml:space="preserve">To this end, we call on governments to </w:t>
      </w:r>
      <w:r w:rsidR="00F803E1">
        <w:rPr>
          <w:rFonts w:ascii="Gellix" w:hAnsi="Gellix"/>
        </w:rPr>
        <w:t>actively consider</w:t>
      </w:r>
      <w:r>
        <w:rPr>
          <w:rFonts w:ascii="Gellix" w:hAnsi="Gellix"/>
        </w:rPr>
        <w:t xml:space="preserve"> how the GMP can be strengthened </w:t>
      </w:r>
      <w:r w:rsidR="002B62E3">
        <w:rPr>
          <w:rFonts w:ascii="Gellix" w:hAnsi="Gellix"/>
        </w:rPr>
        <w:t xml:space="preserve">and evolved </w:t>
      </w:r>
      <w:r>
        <w:rPr>
          <w:rFonts w:ascii="Gellix" w:hAnsi="Gellix"/>
        </w:rPr>
        <w:t xml:space="preserve">to </w:t>
      </w:r>
      <w:r w:rsidR="00BB565C">
        <w:rPr>
          <w:rFonts w:ascii="Gellix" w:hAnsi="Gellix"/>
        </w:rPr>
        <w:t>be</w:t>
      </w:r>
      <w:r w:rsidR="001775CD">
        <w:rPr>
          <w:rFonts w:ascii="Gellix" w:hAnsi="Gellix"/>
        </w:rPr>
        <w:t>come</w:t>
      </w:r>
      <w:r w:rsidR="00BB565C">
        <w:rPr>
          <w:rFonts w:ascii="Gellix" w:hAnsi="Gellix"/>
        </w:rPr>
        <w:t xml:space="preserve"> a </w:t>
      </w:r>
      <w:r w:rsidR="00B02F51">
        <w:rPr>
          <w:rFonts w:ascii="Gellix" w:hAnsi="Gellix"/>
        </w:rPr>
        <w:t>catalyst</w:t>
      </w:r>
      <w:r w:rsidR="00BB565C">
        <w:rPr>
          <w:rFonts w:ascii="Gellix" w:hAnsi="Gellix"/>
        </w:rPr>
        <w:t xml:space="preserve"> of </w:t>
      </w:r>
      <w:r w:rsidR="00602CD2">
        <w:rPr>
          <w:rFonts w:ascii="Gellix" w:hAnsi="Gellix"/>
        </w:rPr>
        <w:t xml:space="preserve">truly transformative action. </w:t>
      </w:r>
      <w:r w:rsidR="00B02F51">
        <w:rPr>
          <w:rFonts w:ascii="Gellix" w:hAnsi="Gellix"/>
        </w:rPr>
        <w:t xml:space="preserve">In particular, we recommend that: </w:t>
      </w:r>
    </w:p>
    <w:p w14:paraId="3D3039D0" w14:textId="77777777" w:rsidR="00B02F51" w:rsidRDefault="00B02F51" w:rsidP="008071DB">
      <w:pPr>
        <w:spacing w:after="0"/>
        <w:rPr>
          <w:rFonts w:ascii="Gellix" w:hAnsi="Gellix"/>
        </w:rPr>
      </w:pPr>
    </w:p>
    <w:p w14:paraId="30989E45" w14:textId="7BD8BDDF" w:rsidR="00B02F51" w:rsidRDefault="00B02F51" w:rsidP="008071DB">
      <w:pPr>
        <w:pStyle w:val="ListParagraph"/>
        <w:numPr>
          <w:ilvl w:val="0"/>
          <w:numId w:val="2"/>
        </w:numPr>
        <w:spacing w:after="0"/>
        <w:rPr>
          <w:rFonts w:ascii="Gellix" w:hAnsi="Gellix"/>
        </w:rPr>
      </w:pPr>
      <w:r w:rsidRPr="00DB6596">
        <w:rPr>
          <w:rFonts w:ascii="Gellix" w:hAnsi="Gellix"/>
          <w:b/>
          <w:bCs/>
        </w:rPr>
        <w:t xml:space="preserve">All </w:t>
      </w:r>
      <w:r w:rsidR="00106C3D" w:rsidRPr="00DB6596">
        <w:rPr>
          <w:rFonts w:ascii="Gellix" w:hAnsi="Gellix"/>
          <w:b/>
          <w:bCs/>
        </w:rPr>
        <w:t xml:space="preserve">countries that </w:t>
      </w:r>
      <w:r w:rsidR="00CF78D6">
        <w:rPr>
          <w:rFonts w:ascii="Gellix" w:hAnsi="Gellix"/>
          <w:b/>
          <w:bCs/>
        </w:rPr>
        <w:t xml:space="preserve">have </w:t>
      </w:r>
      <w:r w:rsidR="00106C3D" w:rsidRPr="00DB6596">
        <w:rPr>
          <w:rFonts w:ascii="Gellix" w:hAnsi="Gellix"/>
          <w:b/>
          <w:bCs/>
        </w:rPr>
        <w:t>joined</w:t>
      </w:r>
      <w:r w:rsidR="00AD18F8" w:rsidRPr="00DB6596">
        <w:rPr>
          <w:rFonts w:ascii="Gellix" w:hAnsi="Gellix"/>
          <w:b/>
          <w:bCs/>
        </w:rPr>
        <w:t xml:space="preserve"> the GMP should be required to submit </w:t>
      </w:r>
      <w:r w:rsidR="00FA6C43" w:rsidRPr="00DB6596">
        <w:rPr>
          <w:rFonts w:ascii="Gellix" w:hAnsi="Gellix"/>
          <w:b/>
          <w:bCs/>
        </w:rPr>
        <w:t>detailed national action plans by COP29</w:t>
      </w:r>
      <w:r w:rsidR="00FA6C43" w:rsidRPr="00DB6596">
        <w:rPr>
          <w:rFonts w:ascii="Gellix" w:hAnsi="Gellix"/>
        </w:rPr>
        <w:t xml:space="preserve">. </w:t>
      </w:r>
      <w:r w:rsidR="00BD6C4F" w:rsidRPr="00DB6596">
        <w:rPr>
          <w:rFonts w:ascii="Gellix" w:hAnsi="Gellix"/>
        </w:rPr>
        <w:t xml:space="preserve">Appropriate technical assistance should be made available to any developing countries requiring support to meet this </w:t>
      </w:r>
      <w:r w:rsidR="006E0817" w:rsidRPr="00DB6596">
        <w:rPr>
          <w:rFonts w:ascii="Gellix" w:hAnsi="Gellix"/>
        </w:rPr>
        <w:t>deadline</w:t>
      </w:r>
      <w:r w:rsidR="007D4F85" w:rsidRPr="00DB6596">
        <w:rPr>
          <w:rFonts w:ascii="Gellix" w:hAnsi="Gellix"/>
        </w:rPr>
        <w:t xml:space="preserve"> – </w:t>
      </w:r>
      <w:r w:rsidR="00747721" w:rsidRPr="00DB6596">
        <w:rPr>
          <w:rFonts w:ascii="Gellix" w:hAnsi="Gellix"/>
        </w:rPr>
        <w:t xml:space="preserve">backed by </w:t>
      </w:r>
      <w:r w:rsidR="007D4F85" w:rsidRPr="00DB6596">
        <w:rPr>
          <w:rFonts w:ascii="Gellix" w:hAnsi="Gellix"/>
        </w:rPr>
        <w:t xml:space="preserve">enhanced </w:t>
      </w:r>
      <w:r w:rsidR="00747721" w:rsidRPr="00DB6596">
        <w:rPr>
          <w:rFonts w:ascii="Gellix" w:hAnsi="Gellix"/>
        </w:rPr>
        <w:t>resourcing for</w:t>
      </w:r>
      <w:r w:rsidR="007D4F85" w:rsidRPr="00DB6596">
        <w:rPr>
          <w:rFonts w:ascii="Gellix" w:hAnsi="Gellix"/>
        </w:rPr>
        <w:t xml:space="preserve"> the Climate and Clean Air Coalition</w:t>
      </w:r>
      <w:r w:rsidR="004064D3" w:rsidRPr="00DB6596">
        <w:rPr>
          <w:rFonts w:ascii="Gellix" w:hAnsi="Gellix"/>
        </w:rPr>
        <w:t xml:space="preserve"> and the UN Environment Program</w:t>
      </w:r>
      <w:r w:rsidR="007D4F85">
        <w:rPr>
          <w:rFonts w:ascii="Gellix" w:hAnsi="Gellix"/>
        </w:rPr>
        <w:t xml:space="preserve">. </w:t>
      </w:r>
    </w:p>
    <w:p w14:paraId="714E9DEC" w14:textId="77777777" w:rsidR="00B72DB3" w:rsidRPr="00785E45" w:rsidRDefault="00B72DB3" w:rsidP="008071DB">
      <w:pPr>
        <w:pStyle w:val="ListParagraph"/>
        <w:spacing w:after="0"/>
        <w:rPr>
          <w:rFonts w:ascii="Gellix" w:hAnsi="Gellix"/>
        </w:rPr>
      </w:pPr>
    </w:p>
    <w:p w14:paraId="179F9F74" w14:textId="74E1C05F" w:rsidR="00B72DB3" w:rsidRDefault="00195E32" w:rsidP="008071DB">
      <w:pPr>
        <w:pStyle w:val="ListParagraph"/>
        <w:numPr>
          <w:ilvl w:val="0"/>
          <w:numId w:val="2"/>
        </w:numPr>
        <w:spacing w:after="0"/>
        <w:rPr>
          <w:rFonts w:ascii="Gellix" w:hAnsi="Gellix"/>
        </w:rPr>
      </w:pPr>
      <w:r w:rsidRPr="007F48B6">
        <w:rPr>
          <w:rFonts w:ascii="Gellix" w:hAnsi="Gellix"/>
          <w:b/>
          <w:bCs/>
        </w:rPr>
        <w:t xml:space="preserve">Annual ministerial meetings of the GMP </w:t>
      </w:r>
      <w:r w:rsidR="00205F89" w:rsidRPr="007F48B6">
        <w:rPr>
          <w:rFonts w:ascii="Gellix" w:hAnsi="Gellix"/>
          <w:b/>
          <w:bCs/>
        </w:rPr>
        <w:t>from 202</w:t>
      </w:r>
      <w:r w:rsidR="00FC3182">
        <w:rPr>
          <w:rFonts w:ascii="Gellix" w:hAnsi="Gellix"/>
          <w:b/>
          <w:bCs/>
        </w:rPr>
        <w:t>5</w:t>
      </w:r>
      <w:r w:rsidR="00205F89" w:rsidRPr="007F48B6">
        <w:rPr>
          <w:rFonts w:ascii="Gellix" w:hAnsi="Gellix"/>
          <w:b/>
          <w:bCs/>
        </w:rPr>
        <w:t xml:space="preserve"> onwards </w:t>
      </w:r>
      <w:r w:rsidRPr="007F48B6">
        <w:rPr>
          <w:rFonts w:ascii="Gellix" w:hAnsi="Gellix"/>
          <w:b/>
          <w:bCs/>
        </w:rPr>
        <w:t xml:space="preserve">should incorporate </w:t>
      </w:r>
      <w:r w:rsidR="00196495" w:rsidRPr="007F48B6">
        <w:rPr>
          <w:rFonts w:ascii="Gellix" w:hAnsi="Gellix"/>
          <w:b/>
          <w:bCs/>
        </w:rPr>
        <w:t xml:space="preserve">progress </w:t>
      </w:r>
      <w:r w:rsidR="00205F89" w:rsidRPr="007F48B6">
        <w:rPr>
          <w:rFonts w:ascii="Gellix" w:hAnsi="Gellix"/>
          <w:b/>
          <w:bCs/>
        </w:rPr>
        <w:t xml:space="preserve">reports from </w:t>
      </w:r>
      <w:r w:rsidR="007F48B6" w:rsidRPr="007F48B6">
        <w:rPr>
          <w:rFonts w:ascii="Gellix" w:hAnsi="Gellix"/>
          <w:b/>
          <w:bCs/>
        </w:rPr>
        <w:t xml:space="preserve">all </w:t>
      </w:r>
      <w:r w:rsidR="00106C3D">
        <w:rPr>
          <w:rFonts w:ascii="Gellix" w:hAnsi="Gellix"/>
          <w:b/>
          <w:bCs/>
        </w:rPr>
        <w:t>GMP</w:t>
      </w:r>
      <w:r w:rsidR="00106C3D" w:rsidRPr="007F48B6">
        <w:rPr>
          <w:rFonts w:ascii="Gellix" w:hAnsi="Gellix"/>
          <w:b/>
          <w:bCs/>
        </w:rPr>
        <w:t xml:space="preserve"> </w:t>
      </w:r>
      <w:r w:rsidR="00205F89" w:rsidRPr="007F48B6">
        <w:rPr>
          <w:rFonts w:ascii="Gellix" w:hAnsi="Gellix"/>
          <w:b/>
          <w:bCs/>
        </w:rPr>
        <w:t>gover</w:t>
      </w:r>
      <w:r w:rsidR="007F48B6" w:rsidRPr="007F48B6">
        <w:rPr>
          <w:rFonts w:ascii="Gellix" w:hAnsi="Gellix"/>
          <w:b/>
          <w:bCs/>
        </w:rPr>
        <w:t xml:space="preserve">nments on their </w:t>
      </w:r>
      <w:r w:rsidR="002A2CCB">
        <w:rPr>
          <w:rFonts w:ascii="Gellix" w:hAnsi="Gellix"/>
          <w:b/>
          <w:bCs/>
        </w:rPr>
        <w:t xml:space="preserve">methane reduction efforts </w:t>
      </w:r>
      <w:r w:rsidR="00E77B46">
        <w:rPr>
          <w:rFonts w:ascii="Gellix" w:hAnsi="Gellix"/>
          <w:b/>
          <w:bCs/>
        </w:rPr>
        <w:t xml:space="preserve">to the highest tier of UNFCCC reporting </w:t>
      </w:r>
      <w:r w:rsidR="008F1883">
        <w:rPr>
          <w:rFonts w:ascii="Gellix" w:hAnsi="Gellix"/>
        </w:rPr>
        <w:t>–</w:t>
      </w:r>
      <w:r w:rsidR="008071DB">
        <w:rPr>
          <w:rFonts w:ascii="Gellix" w:hAnsi="Gellix"/>
        </w:rPr>
        <w:t xml:space="preserve"> </w:t>
      </w:r>
      <w:r w:rsidR="008F1883">
        <w:rPr>
          <w:rFonts w:ascii="Gellix" w:hAnsi="Gellix"/>
        </w:rPr>
        <w:t xml:space="preserve">creating an </w:t>
      </w:r>
      <w:r w:rsidR="00E83BE9">
        <w:rPr>
          <w:rFonts w:ascii="Gellix" w:hAnsi="Gellix"/>
        </w:rPr>
        <w:t>(</w:t>
      </w:r>
      <w:r w:rsidR="008F1883">
        <w:rPr>
          <w:rFonts w:ascii="Gellix" w:hAnsi="Gellix"/>
        </w:rPr>
        <w:t>informal</w:t>
      </w:r>
      <w:r w:rsidR="00E83BE9">
        <w:rPr>
          <w:rFonts w:ascii="Gellix" w:hAnsi="Gellix"/>
        </w:rPr>
        <w:t>)</w:t>
      </w:r>
      <w:r w:rsidR="008F1883">
        <w:rPr>
          <w:rFonts w:ascii="Gellix" w:hAnsi="Gellix"/>
        </w:rPr>
        <w:t xml:space="preserve"> accountability mechanism capable of </w:t>
      </w:r>
      <w:r w:rsidR="00196495">
        <w:rPr>
          <w:rFonts w:ascii="Gellix" w:hAnsi="Gellix"/>
        </w:rPr>
        <w:t xml:space="preserve">boosting </w:t>
      </w:r>
      <w:r w:rsidR="002A2CCB">
        <w:rPr>
          <w:rFonts w:ascii="Gellix" w:hAnsi="Gellix"/>
        </w:rPr>
        <w:t xml:space="preserve">private </w:t>
      </w:r>
      <w:r w:rsidR="00196495">
        <w:rPr>
          <w:rFonts w:ascii="Gellix" w:hAnsi="Gellix"/>
        </w:rPr>
        <w:t xml:space="preserve">investment in mitigation solutions. </w:t>
      </w:r>
    </w:p>
    <w:p w14:paraId="3034D183" w14:textId="77777777" w:rsidR="00121AD3" w:rsidRPr="00121AD3" w:rsidRDefault="00121AD3" w:rsidP="008071DB">
      <w:pPr>
        <w:pStyle w:val="ListParagraph"/>
        <w:rPr>
          <w:rFonts w:ascii="Gellix" w:hAnsi="Gellix"/>
        </w:rPr>
      </w:pPr>
    </w:p>
    <w:p w14:paraId="4D546363" w14:textId="65D7DC9D" w:rsidR="007B074D" w:rsidRPr="008B30AF" w:rsidRDefault="00615AB1" w:rsidP="008071DB">
      <w:pPr>
        <w:pStyle w:val="ListParagraph"/>
        <w:numPr>
          <w:ilvl w:val="0"/>
          <w:numId w:val="2"/>
        </w:numPr>
        <w:rPr>
          <w:rFonts w:ascii="Gellix" w:hAnsi="Gellix"/>
        </w:rPr>
      </w:pPr>
      <w:r>
        <w:rPr>
          <w:rFonts w:ascii="Gellix" w:hAnsi="Gellix"/>
          <w:b/>
          <w:bCs/>
        </w:rPr>
        <w:t>T</w:t>
      </w:r>
      <w:r w:rsidR="00451D35" w:rsidRPr="007B074D">
        <w:rPr>
          <w:rFonts w:ascii="Gellix" w:hAnsi="Gellix"/>
          <w:b/>
          <w:bCs/>
        </w:rPr>
        <w:t xml:space="preserve">he endorsement model </w:t>
      </w:r>
      <w:r w:rsidR="007B074D" w:rsidRPr="007B074D">
        <w:rPr>
          <w:rFonts w:ascii="Gellix" w:hAnsi="Gellix"/>
          <w:b/>
          <w:bCs/>
        </w:rPr>
        <w:t xml:space="preserve">for the GMP </w:t>
      </w:r>
      <w:r>
        <w:rPr>
          <w:rFonts w:ascii="Gellix" w:hAnsi="Gellix"/>
          <w:b/>
          <w:bCs/>
        </w:rPr>
        <w:t xml:space="preserve">should be evolved </w:t>
      </w:r>
      <w:r w:rsidR="00451D35" w:rsidRPr="007B074D">
        <w:rPr>
          <w:rFonts w:ascii="Gellix" w:hAnsi="Gellix"/>
          <w:b/>
          <w:bCs/>
        </w:rPr>
        <w:t>from “joining” to “signing”</w:t>
      </w:r>
      <w:r>
        <w:rPr>
          <w:rFonts w:ascii="Gellix" w:hAnsi="Gellix"/>
          <w:b/>
          <w:bCs/>
        </w:rPr>
        <w:t xml:space="preserve"> before COP29</w:t>
      </w:r>
      <w:r w:rsidR="00451D35" w:rsidRPr="00451D35">
        <w:rPr>
          <w:rFonts w:ascii="Gellix" w:hAnsi="Gellix"/>
        </w:rPr>
        <w:t>, including explicit</w:t>
      </w:r>
      <w:r w:rsidR="008B30AF">
        <w:rPr>
          <w:rFonts w:ascii="Gellix" w:hAnsi="Gellix"/>
        </w:rPr>
        <w:t xml:space="preserve"> recognition</w:t>
      </w:r>
      <w:r w:rsidR="00451D35" w:rsidRPr="00451D35">
        <w:rPr>
          <w:rFonts w:ascii="Gellix" w:hAnsi="Gellix"/>
        </w:rPr>
        <w:t xml:space="preserve"> to the two key expectations above</w:t>
      </w:r>
      <w:r w:rsidR="007B074D">
        <w:rPr>
          <w:rFonts w:ascii="Gellix" w:hAnsi="Gellix"/>
        </w:rPr>
        <w:t xml:space="preserve"> – sending an unequivocal political </w:t>
      </w:r>
      <w:r>
        <w:rPr>
          <w:rFonts w:ascii="Gellix" w:hAnsi="Gellix"/>
        </w:rPr>
        <w:t xml:space="preserve">signal regarding the international community’s </w:t>
      </w:r>
      <w:r w:rsidR="008B30AF">
        <w:rPr>
          <w:rFonts w:ascii="Gellix" w:hAnsi="Gellix"/>
        </w:rPr>
        <w:t xml:space="preserve">commitment to </w:t>
      </w:r>
      <w:r w:rsidR="001F5A1B">
        <w:rPr>
          <w:rFonts w:ascii="Gellix" w:hAnsi="Gellix"/>
        </w:rPr>
        <w:t xml:space="preserve">fully implement the Pledge. </w:t>
      </w:r>
    </w:p>
    <w:p w14:paraId="421C3085" w14:textId="77777777" w:rsidR="00747721" w:rsidRPr="00582AFD" w:rsidRDefault="00747721" w:rsidP="008071DB">
      <w:pPr>
        <w:pStyle w:val="ListParagraph"/>
        <w:spacing w:after="0"/>
        <w:rPr>
          <w:rFonts w:ascii="Gellix" w:hAnsi="Gellix"/>
        </w:rPr>
      </w:pPr>
    </w:p>
    <w:p w14:paraId="7CE5BA26" w14:textId="7DB0C0C2" w:rsidR="00CF5ADA" w:rsidRDefault="00CB0CBA" w:rsidP="008071DB">
      <w:pPr>
        <w:pStyle w:val="ListParagraph"/>
        <w:numPr>
          <w:ilvl w:val="0"/>
          <w:numId w:val="2"/>
        </w:numPr>
        <w:spacing w:after="0"/>
        <w:rPr>
          <w:rFonts w:ascii="Gellix" w:hAnsi="Gellix"/>
        </w:rPr>
      </w:pPr>
      <w:r>
        <w:rPr>
          <w:rFonts w:ascii="Gellix" w:hAnsi="Gellix"/>
          <w:b/>
          <w:bCs/>
        </w:rPr>
        <w:t>Delivering t</w:t>
      </w:r>
      <w:r w:rsidR="00C40FED" w:rsidRPr="0032671F">
        <w:rPr>
          <w:rFonts w:ascii="Gellix" w:hAnsi="Gellix"/>
          <w:b/>
          <w:bCs/>
        </w:rPr>
        <w:t xml:space="preserve">he GMP should </w:t>
      </w:r>
      <w:r w:rsidR="00CE45CE" w:rsidRPr="0032671F">
        <w:rPr>
          <w:rFonts w:ascii="Gellix" w:hAnsi="Gellix"/>
          <w:b/>
          <w:bCs/>
        </w:rPr>
        <w:t>b</w:t>
      </w:r>
      <w:r w:rsidR="00C40FED" w:rsidRPr="0032671F">
        <w:rPr>
          <w:rFonts w:ascii="Gellix" w:hAnsi="Gellix"/>
          <w:b/>
          <w:bCs/>
        </w:rPr>
        <w:t xml:space="preserve">e positioned as the key </w:t>
      </w:r>
      <w:r>
        <w:rPr>
          <w:rFonts w:ascii="Gellix" w:hAnsi="Gellix"/>
          <w:b/>
          <w:bCs/>
        </w:rPr>
        <w:t>goal</w:t>
      </w:r>
      <w:r w:rsidR="00C40FED" w:rsidRPr="0032671F">
        <w:rPr>
          <w:rFonts w:ascii="Gellix" w:hAnsi="Gellix"/>
          <w:b/>
          <w:bCs/>
        </w:rPr>
        <w:t xml:space="preserve"> for all multilateral</w:t>
      </w:r>
      <w:r w:rsidR="00CE45CE" w:rsidRPr="0032671F">
        <w:rPr>
          <w:rFonts w:ascii="Gellix" w:hAnsi="Gellix"/>
          <w:b/>
          <w:bCs/>
        </w:rPr>
        <w:t xml:space="preserve"> funding to </w:t>
      </w:r>
      <w:r w:rsidR="00C57F8D" w:rsidRPr="0032671F">
        <w:rPr>
          <w:rFonts w:ascii="Gellix" w:hAnsi="Gellix"/>
          <w:b/>
          <w:bCs/>
        </w:rPr>
        <w:t>support methane reduction efforts</w:t>
      </w:r>
      <w:r w:rsidR="00C57F8D">
        <w:rPr>
          <w:rFonts w:ascii="Gellix" w:hAnsi="Gellix"/>
        </w:rPr>
        <w:t xml:space="preserve"> – brining coherence </w:t>
      </w:r>
      <w:r w:rsidR="00342156">
        <w:rPr>
          <w:rFonts w:ascii="Gellix" w:hAnsi="Gellix"/>
        </w:rPr>
        <w:t xml:space="preserve">and focus </w:t>
      </w:r>
      <w:r w:rsidR="00C57F8D">
        <w:rPr>
          <w:rFonts w:ascii="Gellix" w:hAnsi="Gellix"/>
        </w:rPr>
        <w:t>to an in</w:t>
      </w:r>
      <w:r w:rsidR="0032671F">
        <w:rPr>
          <w:rFonts w:ascii="Gellix" w:hAnsi="Gellix"/>
        </w:rPr>
        <w:t xml:space="preserve">creasingly heterogeneous </w:t>
      </w:r>
      <w:r w:rsidR="001F262D">
        <w:rPr>
          <w:rFonts w:ascii="Gellix" w:hAnsi="Gellix"/>
        </w:rPr>
        <w:t xml:space="preserve">public </w:t>
      </w:r>
      <w:r w:rsidR="00CF5ADA">
        <w:rPr>
          <w:rFonts w:ascii="Gellix" w:hAnsi="Gellix"/>
        </w:rPr>
        <w:t xml:space="preserve">financing environment. </w:t>
      </w:r>
    </w:p>
    <w:p w14:paraId="14233579" w14:textId="77777777" w:rsidR="00CF5ADA" w:rsidRPr="00CF5ADA" w:rsidRDefault="00CF5ADA" w:rsidP="008071DB">
      <w:pPr>
        <w:pStyle w:val="ListParagraph"/>
        <w:rPr>
          <w:rFonts w:ascii="Gellix" w:hAnsi="Gellix"/>
        </w:rPr>
      </w:pPr>
    </w:p>
    <w:p w14:paraId="13A528D5" w14:textId="59DED991" w:rsidR="00747721" w:rsidRDefault="0090027C" w:rsidP="008071DB">
      <w:pPr>
        <w:pStyle w:val="ListParagraph"/>
        <w:numPr>
          <w:ilvl w:val="0"/>
          <w:numId w:val="2"/>
        </w:numPr>
        <w:spacing w:after="0"/>
        <w:rPr>
          <w:rFonts w:ascii="Gellix" w:hAnsi="Gellix"/>
        </w:rPr>
      </w:pPr>
      <w:r w:rsidRPr="00254EC4">
        <w:rPr>
          <w:rFonts w:ascii="Gellix" w:hAnsi="Gellix"/>
          <w:b/>
          <w:bCs/>
        </w:rPr>
        <w:t xml:space="preserve">Governance and administration of the Pledge should be </w:t>
      </w:r>
      <w:r w:rsidR="003D2B66" w:rsidRPr="00254EC4">
        <w:rPr>
          <w:rFonts w:ascii="Gellix" w:hAnsi="Gellix"/>
          <w:b/>
          <w:bCs/>
        </w:rPr>
        <w:t>placed under the UNFCCC</w:t>
      </w:r>
      <w:r w:rsidR="003D2B66">
        <w:rPr>
          <w:rFonts w:ascii="Gellix" w:hAnsi="Gellix"/>
        </w:rPr>
        <w:t xml:space="preserve"> – establishing the GMP as a core</w:t>
      </w:r>
      <w:r w:rsidR="00921569">
        <w:rPr>
          <w:rFonts w:ascii="Gellix" w:hAnsi="Gellix"/>
        </w:rPr>
        <w:t xml:space="preserve"> </w:t>
      </w:r>
      <w:r w:rsidR="00254EC4">
        <w:rPr>
          <w:rFonts w:ascii="Gellix" w:hAnsi="Gellix"/>
        </w:rPr>
        <w:t xml:space="preserve">component of annual COP meetings. </w:t>
      </w:r>
    </w:p>
    <w:p w14:paraId="11F229DA" w14:textId="77777777" w:rsidR="00254EC4" w:rsidRDefault="00254EC4" w:rsidP="008071DB">
      <w:pPr>
        <w:spacing w:after="0"/>
        <w:rPr>
          <w:rFonts w:ascii="Gellix" w:hAnsi="Gellix"/>
        </w:rPr>
      </w:pPr>
    </w:p>
    <w:p w14:paraId="6B369C28" w14:textId="00DFDC93" w:rsidR="00254EC4" w:rsidRDefault="00254EC4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 xml:space="preserve">Taken together, we believe that these steps have significant potential </w:t>
      </w:r>
      <w:r w:rsidR="00A838AF">
        <w:rPr>
          <w:rFonts w:ascii="Gellix" w:hAnsi="Gellix"/>
        </w:rPr>
        <w:t>to</w:t>
      </w:r>
      <w:r w:rsidR="0053475C">
        <w:rPr>
          <w:rFonts w:ascii="Gellix" w:hAnsi="Gellix"/>
        </w:rPr>
        <w:t xml:space="preserve"> </w:t>
      </w:r>
      <w:r w:rsidR="00106C3D">
        <w:rPr>
          <w:rFonts w:ascii="Gellix" w:hAnsi="Gellix"/>
        </w:rPr>
        <w:t xml:space="preserve">synchronise </w:t>
      </w:r>
      <w:r w:rsidR="001E1D1D">
        <w:rPr>
          <w:rFonts w:ascii="Gellix" w:hAnsi="Gellix"/>
        </w:rPr>
        <w:t xml:space="preserve">actions of governments and business </w:t>
      </w:r>
      <w:r w:rsidR="003A7FC3">
        <w:rPr>
          <w:rFonts w:ascii="Gellix" w:hAnsi="Gellix"/>
        </w:rPr>
        <w:t>across all sectors</w:t>
      </w:r>
      <w:r w:rsidR="00FA4196">
        <w:rPr>
          <w:rFonts w:ascii="Gellix" w:hAnsi="Gellix"/>
        </w:rPr>
        <w:t xml:space="preserve"> </w:t>
      </w:r>
      <w:r w:rsidR="00865795">
        <w:rPr>
          <w:rFonts w:ascii="Gellix" w:hAnsi="Gellix"/>
        </w:rPr>
        <w:t>to reduce methane emissions</w:t>
      </w:r>
      <w:r w:rsidR="00106C3D">
        <w:rPr>
          <w:rFonts w:ascii="Gellix" w:hAnsi="Gellix"/>
        </w:rPr>
        <w:t xml:space="preserve"> most effectively,</w:t>
      </w:r>
      <w:r w:rsidR="00865795">
        <w:rPr>
          <w:rFonts w:ascii="Gellix" w:hAnsi="Gellix"/>
        </w:rPr>
        <w:t xml:space="preserve"> in line with the original intent </w:t>
      </w:r>
      <w:r w:rsidR="001F262D">
        <w:rPr>
          <w:rFonts w:ascii="Gellix" w:hAnsi="Gellix"/>
        </w:rPr>
        <w:t>of the GMP</w:t>
      </w:r>
      <w:r w:rsidR="00F54FC8">
        <w:rPr>
          <w:rFonts w:ascii="Gellix" w:hAnsi="Gellix"/>
        </w:rPr>
        <w:t xml:space="preserve">. </w:t>
      </w:r>
    </w:p>
    <w:p w14:paraId="159001A9" w14:textId="77777777" w:rsidR="00B25691" w:rsidRDefault="00B25691" w:rsidP="008071DB">
      <w:pPr>
        <w:spacing w:after="0"/>
        <w:rPr>
          <w:rFonts w:ascii="Gellix" w:hAnsi="Gellix"/>
        </w:rPr>
      </w:pPr>
    </w:p>
    <w:p w14:paraId="6AB9D331" w14:textId="0CB970D5" w:rsidR="00F17429" w:rsidRDefault="00B25691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>As business</w:t>
      </w:r>
      <w:r w:rsidR="00F17429">
        <w:rPr>
          <w:rFonts w:ascii="Gellix" w:hAnsi="Gellix"/>
        </w:rPr>
        <w:t>,</w:t>
      </w:r>
      <w:r>
        <w:rPr>
          <w:rFonts w:ascii="Gellix" w:hAnsi="Gellix"/>
        </w:rPr>
        <w:t xml:space="preserve"> we </w:t>
      </w:r>
      <w:r w:rsidR="008C676A">
        <w:rPr>
          <w:rFonts w:ascii="Gellix" w:hAnsi="Gellix"/>
        </w:rPr>
        <w:t xml:space="preserve">are acutely aware of the imperative to </w:t>
      </w:r>
      <w:r w:rsidR="001775CD">
        <w:rPr>
          <w:rFonts w:ascii="Gellix" w:hAnsi="Gellix"/>
        </w:rPr>
        <w:t xml:space="preserve">take decisive action to </w:t>
      </w:r>
      <w:r w:rsidR="00B329E1">
        <w:rPr>
          <w:rFonts w:ascii="Gellix" w:hAnsi="Gellix"/>
        </w:rPr>
        <w:t>reduce human-ca</w:t>
      </w:r>
      <w:r w:rsidR="00336186">
        <w:rPr>
          <w:rFonts w:ascii="Gellix" w:hAnsi="Gellix"/>
        </w:rPr>
        <w:t>used methane emissions</w:t>
      </w:r>
      <w:r w:rsidR="00F17429">
        <w:rPr>
          <w:rFonts w:ascii="Gellix" w:hAnsi="Gellix"/>
        </w:rPr>
        <w:t xml:space="preserve">. And to do so before the end of this decade. </w:t>
      </w:r>
    </w:p>
    <w:p w14:paraId="1A152556" w14:textId="77777777" w:rsidR="00F17429" w:rsidRDefault="00F17429" w:rsidP="008071DB">
      <w:pPr>
        <w:spacing w:after="0"/>
        <w:rPr>
          <w:rFonts w:ascii="Gellix" w:hAnsi="Gellix"/>
        </w:rPr>
      </w:pPr>
    </w:p>
    <w:p w14:paraId="2E2E733A" w14:textId="638A9C53" w:rsidR="008071DB" w:rsidRDefault="00F17429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 xml:space="preserve">We urge you to take the opportunity at COP28 </w:t>
      </w:r>
      <w:r w:rsidR="007F70D1">
        <w:rPr>
          <w:rFonts w:ascii="Gellix" w:hAnsi="Gellix"/>
        </w:rPr>
        <w:t xml:space="preserve">to ensure that the GMP </w:t>
      </w:r>
      <w:r w:rsidR="001C5CB2">
        <w:rPr>
          <w:rFonts w:ascii="Gellix" w:hAnsi="Gellix"/>
        </w:rPr>
        <w:t>become</w:t>
      </w:r>
      <w:r w:rsidR="009A4E65">
        <w:rPr>
          <w:rFonts w:ascii="Gellix" w:hAnsi="Gellix"/>
        </w:rPr>
        <w:t>s</w:t>
      </w:r>
      <w:r w:rsidR="001C5CB2">
        <w:rPr>
          <w:rFonts w:ascii="Gellix" w:hAnsi="Gellix"/>
        </w:rPr>
        <w:t xml:space="preserve"> </w:t>
      </w:r>
      <w:r w:rsidR="007F70D1">
        <w:rPr>
          <w:rFonts w:ascii="Gellix" w:hAnsi="Gellix"/>
        </w:rPr>
        <w:t xml:space="preserve">fully equipped to deliver the pace </w:t>
      </w:r>
      <w:r w:rsidR="004D34E4">
        <w:rPr>
          <w:rFonts w:ascii="Gellix" w:hAnsi="Gellix"/>
        </w:rPr>
        <w:t>of action that is required</w:t>
      </w:r>
      <w:r w:rsidR="001E1D1D">
        <w:rPr>
          <w:rFonts w:ascii="Gellix" w:hAnsi="Gellix"/>
        </w:rPr>
        <w:t xml:space="preserve"> </w:t>
      </w:r>
      <w:r w:rsidR="00215A4F">
        <w:rPr>
          <w:rFonts w:ascii="Gellix" w:hAnsi="Gellix"/>
        </w:rPr>
        <w:t xml:space="preserve">– </w:t>
      </w:r>
      <w:r w:rsidR="001E1D1D">
        <w:rPr>
          <w:rFonts w:ascii="Gellix" w:hAnsi="Gellix"/>
        </w:rPr>
        <w:t xml:space="preserve">and </w:t>
      </w:r>
      <w:r w:rsidR="00215A4F">
        <w:rPr>
          <w:rFonts w:ascii="Gellix" w:hAnsi="Gellix"/>
        </w:rPr>
        <w:t xml:space="preserve">support important </w:t>
      </w:r>
      <w:r w:rsidR="001E1D1D">
        <w:rPr>
          <w:rFonts w:ascii="Gellix" w:hAnsi="Gellix"/>
        </w:rPr>
        <w:t>scale up efforts such as the COP</w:t>
      </w:r>
      <w:r w:rsidR="00571906">
        <w:rPr>
          <w:rFonts w:ascii="Gellix" w:hAnsi="Gellix"/>
        </w:rPr>
        <w:t>28</w:t>
      </w:r>
      <w:r w:rsidR="001E1D1D">
        <w:rPr>
          <w:rFonts w:ascii="Gellix" w:hAnsi="Gellix"/>
        </w:rPr>
        <w:t xml:space="preserve"> </w:t>
      </w:r>
      <w:r w:rsidR="00215A4F" w:rsidRPr="00215A4F">
        <w:rPr>
          <w:rFonts w:ascii="Gellix" w:hAnsi="Gellix"/>
        </w:rPr>
        <w:t>Oil and Gas Decarbonisation Charter</w:t>
      </w:r>
      <w:r w:rsidR="00215A4F">
        <w:rPr>
          <w:rFonts w:ascii="Gellix" w:hAnsi="Gellix"/>
        </w:rPr>
        <w:t xml:space="preserve">. </w:t>
      </w:r>
    </w:p>
    <w:p w14:paraId="7D8258F6" w14:textId="77777777" w:rsidR="008071DB" w:rsidRDefault="008071DB" w:rsidP="008071DB">
      <w:pPr>
        <w:spacing w:after="0"/>
        <w:rPr>
          <w:rFonts w:ascii="Gellix" w:hAnsi="Gellix"/>
        </w:rPr>
      </w:pPr>
    </w:p>
    <w:p w14:paraId="729D0443" w14:textId="5BF518CD" w:rsidR="00F17429" w:rsidRPr="00C00B7D" w:rsidRDefault="004D34E4" w:rsidP="008071DB">
      <w:pPr>
        <w:spacing w:after="0"/>
        <w:rPr>
          <w:rFonts w:ascii="Gellix" w:hAnsi="Gellix"/>
        </w:rPr>
      </w:pPr>
      <w:r>
        <w:rPr>
          <w:rFonts w:ascii="Gellix" w:hAnsi="Gellix"/>
        </w:rPr>
        <w:t>Business as usual is not an option</w:t>
      </w:r>
      <w:r w:rsidR="00C00B7D">
        <w:rPr>
          <w:rFonts w:ascii="Gellix" w:hAnsi="Gellix"/>
        </w:rPr>
        <w:t xml:space="preserve"> – for any of us – </w:t>
      </w:r>
      <w:r>
        <w:rPr>
          <w:rFonts w:ascii="Gellix" w:hAnsi="Gellix"/>
        </w:rPr>
        <w:t>if we are to</w:t>
      </w:r>
      <w:r w:rsidR="009126F5">
        <w:rPr>
          <w:rFonts w:ascii="Gellix" w:hAnsi="Gellix"/>
        </w:rPr>
        <w:t xml:space="preserve"> </w:t>
      </w:r>
      <w:r w:rsidR="008071DB">
        <w:rPr>
          <w:rFonts w:ascii="Gellix" w:hAnsi="Gellix"/>
        </w:rPr>
        <w:t xml:space="preserve">keep </w:t>
      </w:r>
      <w:r w:rsidR="00332870" w:rsidRPr="00332870">
        <w:rPr>
          <w:rFonts w:ascii="Gellix" w:hAnsi="Gellix"/>
        </w:rPr>
        <w:t>1.5°C</w:t>
      </w:r>
      <w:r w:rsidR="008071DB">
        <w:rPr>
          <w:rFonts w:ascii="Gellix" w:hAnsi="Gellix"/>
        </w:rPr>
        <w:t xml:space="preserve"> </w:t>
      </w:r>
      <w:r w:rsidR="009126F5">
        <w:rPr>
          <w:rFonts w:ascii="Gellix" w:hAnsi="Gellix"/>
        </w:rPr>
        <w:t>with</w:t>
      </w:r>
      <w:r w:rsidR="008071DB">
        <w:rPr>
          <w:rFonts w:ascii="Gellix" w:hAnsi="Gellix"/>
        </w:rPr>
        <w:t>in</w:t>
      </w:r>
      <w:r w:rsidR="009126F5">
        <w:rPr>
          <w:rFonts w:ascii="Gellix" w:hAnsi="Gellix"/>
        </w:rPr>
        <w:t xml:space="preserve"> reach</w:t>
      </w:r>
      <w:r>
        <w:rPr>
          <w:rFonts w:ascii="Gellix" w:hAnsi="Gellix"/>
        </w:rPr>
        <w:t xml:space="preserve">. </w:t>
      </w:r>
    </w:p>
    <w:sectPr w:rsidR="00F17429" w:rsidRPr="00C00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9D8B" w14:textId="77777777" w:rsidR="00EB03E3" w:rsidRDefault="00EB03E3" w:rsidP="008A3DD8">
      <w:pPr>
        <w:spacing w:after="0" w:line="240" w:lineRule="auto"/>
      </w:pPr>
      <w:r>
        <w:separator/>
      </w:r>
    </w:p>
  </w:endnote>
  <w:endnote w:type="continuationSeparator" w:id="0">
    <w:p w14:paraId="56EF4BD9" w14:textId="77777777" w:rsidR="00EB03E3" w:rsidRDefault="00EB03E3" w:rsidP="008A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BBED" w14:textId="77777777" w:rsidR="00EB03E3" w:rsidRDefault="00EB03E3" w:rsidP="008A3DD8">
      <w:pPr>
        <w:spacing w:after="0" w:line="240" w:lineRule="auto"/>
      </w:pPr>
      <w:r>
        <w:separator/>
      </w:r>
    </w:p>
  </w:footnote>
  <w:footnote w:type="continuationSeparator" w:id="0">
    <w:p w14:paraId="0D44CFA7" w14:textId="77777777" w:rsidR="00EB03E3" w:rsidRDefault="00EB03E3" w:rsidP="008A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4FF"/>
    <w:multiLevelType w:val="hybridMultilevel"/>
    <w:tmpl w:val="D756904C"/>
    <w:lvl w:ilvl="0" w:tplc="90CE9FF4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24DA"/>
    <w:multiLevelType w:val="hybridMultilevel"/>
    <w:tmpl w:val="E51CF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62208">
    <w:abstractNumId w:val="0"/>
  </w:num>
  <w:num w:numId="2" w16cid:durableId="148867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74"/>
    <w:rsid w:val="000615B6"/>
    <w:rsid w:val="000A01B4"/>
    <w:rsid w:val="000B40D8"/>
    <w:rsid w:val="000D2058"/>
    <w:rsid w:val="00106C3D"/>
    <w:rsid w:val="00121AD3"/>
    <w:rsid w:val="001775CD"/>
    <w:rsid w:val="00195E32"/>
    <w:rsid w:val="00196495"/>
    <w:rsid w:val="001C5CB2"/>
    <w:rsid w:val="001E1D1D"/>
    <w:rsid w:val="001F262D"/>
    <w:rsid w:val="001F5A1B"/>
    <w:rsid w:val="00205F89"/>
    <w:rsid w:val="00215A4F"/>
    <w:rsid w:val="002377E9"/>
    <w:rsid w:val="00254EC4"/>
    <w:rsid w:val="00287238"/>
    <w:rsid w:val="002A2CCB"/>
    <w:rsid w:val="002B62E3"/>
    <w:rsid w:val="002C6DD1"/>
    <w:rsid w:val="0032671F"/>
    <w:rsid w:val="00332870"/>
    <w:rsid w:val="00336186"/>
    <w:rsid w:val="00342156"/>
    <w:rsid w:val="003A7FC3"/>
    <w:rsid w:val="003D2B66"/>
    <w:rsid w:val="004064D3"/>
    <w:rsid w:val="00451D35"/>
    <w:rsid w:val="004D34E4"/>
    <w:rsid w:val="0053475C"/>
    <w:rsid w:val="00571906"/>
    <w:rsid w:val="00582AFD"/>
    <w:rsid w:val="005A58BA"/>
    <w:rsid w:val="005C573B"/>
    <w:rsid w:val="005E6F9C"/>
    <w:rsid w:val="00602CD2"/>
    <w:rsid w:val="00615AB1"/>
    <w:rsid w:val="00682E8D"/>
    <w:rsid w:val="00694FA3"/>
    <w:rsid w:val="006D68DC"/>
    <w:rsid w:val="006D74F4"/>
    <w:rsid w:val="006E0817"/>
    <w:rsid w:val="00735F88"/>
    <w:rsid w:val="00737BC7"/>
    <w:rsid w:val="00747721"/>
    <w:rsid w:val="00785E45"/>
    <w:rsid w:val="007B074D"/>
    <w:rsid w:val="007C2A8B"/>
    <w:rsid w:val="007D4F85"/>
    <w:rsid w:val="007F48B6"/>
    <w:rsid w:val="007F70D1"/>
    <w:rsid w:val="008071DB"/>
    <w:rsid w:val="00865795"/>
    <w:rsid w:val="00881B85"/>
    <w:rsid w:val="008A3DD8"/>
    <w:rsid w:val="008B30AF"/>
    <w:rsid w:val="008C676A"/>
    <w:rsid w:val="008E2BEB"/>
    <w:rsid w:val="008F06FC"/>
    <w:rsid w:val="008F1883"/>
    <w:rsid w:val="008F28F6"/>
    <w:rsid w:val="0090027C"/>
    <w:rsid w:val="009126F5"/>
    <w:rsid w:val="00921569"/>
    <w:rsid w:val="009A4E65"/>
    <w:rsid w:val="009B5507"/>
    <w:rsid w:val="00A45D7C"/>
    <w:rsid w:val="00A838AF"/>
    <w:rsid w:val="00AD18F8"/>
    <w:rsid w:val="00B02F51"/>
    <w:rsid w:val="00B25691"/>
    <w:rsid w:val="00B329E1"/>
    <w:rsid w:val="00B53133"/>
    <w:rsid w:val="00B56EA9"/>
    <w:rsid w:val="00B72DB3"/>
    <w:rsid w:val="00B80B33"/>
    <w:rsid w:val="00BB565C"/>
    <w:rsid w:val="00BD6C4F"/>
    <w:rsid w:val="00C00B7D"/>
    <w:rsid w:val="00C06CB7"/>
    <w:rsid w:val="00C40FED"/>
    <w:rsid w:val="00C57F8D"/>
    <w:rsid w:val="00CB0CBA"/>
    <w:rsid w:val="00CE45CE"/>
    <w:rsid w:val="00CF5ADA"/>
    <w:rsid w:val="00CF78D6"/>
    <w:rsid w:val="00D348D7"/>
    <w:rsid w:val="00D54EB7"/>
    <w:rsid w:val="00DB6596"/>
    <w:rsid w:val="00DE3552"/>
    <w:rsid w:val="00DE4ABD"/>
    <w:rsid w:val="00DE72B6"/>
    <w:rsid w:val="00E77B46"/>
    <w:rsid w:val="00E83BE9"/>
    <w:rsid w:val="00E86770"/>
    <w:rsid w:val="00EA33F5"/>
    <w:rsid w:val="00EB03E3"/>
    <w:rsid w:val="00F17429"/>
    <w:rsid w:val="00F24F74"/>
    <w:rsid w:val="00F54FC8"/>
    <w:rsid w:val="00F803E1"/>
    <w:rsid w:val="00FA4196"/>
    <w:rsid w:val="00FA6C43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8FE42"/>
  <w15:chartTrackingRefBased/>
  <w15:docId w15:val="{7E5F08D3-85C7-4F71-9D3D-C7A4298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E1"/>
    <w:pPr>
      <w:ind w:left="720"/>
      <w:contextualSpacing/>
    </w:pPr>
  </w:style>
  <w:style w:type="paragraph" w:styleId="Revision">
    <w:name w:val="Revision"/>
    <w:hidden/>
    <w:uiPriority w:val="99"/>
    <w:semiHidden/>
    <w:rsid w:val="008F28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0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C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D8"/>
  </w:style>
  <w:style w:type="paragraph" w:styleId="Footer">
    <w:name w:val="footer"/>
    <w:basedOn w:val="Normal"/>
    <w:link w:val="FooterChar"/>
    <w:uiPriority w:val="99"/>
    <w:unhideWhenUsed/>
    <w:rsid w:val="008A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f7fcc-4ac6-4448-a404-5e4417a2ee04">
      <Terms xmlns="http://schemas.microsoft.com/office/infopath/2007/PartnerControls"/>
    </lcf76f155ced4ddcb4097134ff3c332f>
    <TaxCatchAll xmlns="598f140b-4145-4024-8bcc-6d7083f15a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7" ma:contentTypeDescription="Create a new document." ma:contentTypeScope="" ma:versionID="2e754feca39e09b3b51e0a0f69e615e3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252dc435c72297ae287a5a0fe633524c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0E998-9C2C-466E-B857-31A6B2044506}">
  <ds:schemaRefs>
    <ds:schemaRef ds:uri="http://purl.org/dc/terms/"/>
    <ds:schemaRef ds:uri="465ae127-5d1e-48f1-8bba-a4710e9de403"/>
    <ds:schemaRef ds:uri="http://schemas.microsoft.com/office/2006/documentManagement/types"/>
    <ds:schemaRef ds:uri="http://schemas.microsoft.com/office/2006/metadata/properties"/>
    <ds:schemaRef ds:uri="http://purl.org/dc/dcmitype/"/>
    <ds:schemaRef ds:uri="fecf7fcc-4ac6-4448-a404-5e4417a2ee0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98f140b-4145-4024-8bcc-6d7083f15a2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8060D-2B37-4A50-8FF2-98C0AB452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C9D57-8957-4857-A2F2-DAC5AA9AA6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Chamber of Commerce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Andrew</dc:creator>
  <cp:keywords/>
  <dc:description/>
  <cp:lastModifiedBy>ICC</cp:lastModifiedBy>
  <cp:revision>5</cp:revision>
  <dcterms:created xsi:type="dcterms:W3CDTF">2023-11-14T09:40:00Z</dcterms:created>
  <dcterms:modified xsi:type="dcterms:W3CDTF">2023-11-14T10:03:00Z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MediaServiceImageTags">
    <vt:lpwstr/>
  </property>
</Properties>
</file>