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735C" w14:textId="77777777" w:rsidR="00910C2B" w:rsidRDefault="00B55B94" w:rsidP="00E74987">
      <w:pPr>
        <w:pStyle w:val="Title"/>
        <w:jc w:val="center"/>
        <w:rPr>
          <w:rFonts w:ascii="Gellix" w:hAnsi="Gellix"/>
          <w:b/>
          <w:bCs/>
          <w:color w:val="007DFF" w:themeColor="accent2"/>
          <w:sz w:val="48"/>
          <w:szCs w:val="48"/>
        </w:rPr>
      </w:pPr>
      <w:r w:rsidRPr="00AE76E1">
        <w:rPr>
          <w:rFonts w:ascii="Gellix" w:hAnsi="Gellix"/>
          <w:b/>
          <w:bCs/>
          <w:color w:val="007DFF" w:themeColor="accent2"/>
          <w:sz w:val="48"/>
          <w:szCs w:val="48"/>
        </w:rPr>
        <w:t>ICC Proposals for Effective Carbon Pricing:</w:t>
      </w:r>
      <w:r w:rsidR="006955BA" w:rsidRPr="00AE76E1">
        <w:rPr>
          <w:rFonts w:ascii="Gellix" w:hAnsi="Gellix"/>
          <w:b/>
          <w:bCs/>
          <w:color w:val="007DFF" w:themeColor="accent2"/>
          <w:sz w:val="48"/>
          <w:szCs w:val="48"/>
        </w:rPr>
        <w:t xml:space="preserve"> </w:t>
      </w:r>
    </w:p>
    <w:p w14:paraId="03368203" w14:textId="6E6360D2" w:rsidR="00B55B94" w:rsidRPr="00AE76E1" w:rsidRDefault="00910C2B" w:rsidP="00E74987">
      <w:pPr>
        <w:pStyle w:val="Title"/>
        <w:jc w:val="center"/>
        <w:rPr>
          <w:rFonts w:ascii="Gellix" w:hAnsi="Gellix"/>
          <w:b/>
          <w:bCs/>
          <w:color w:val="007DFF" w:themeColor="accent2"/>
          <w:sz w:val="48"/>
          <w:szCs w:val="48"/>
        </w:rPr>
      </w:pPr>
      <w:r>
        <w:rPr>
          <w:rFonts w:ascii="Gellix" w:hAnsi="Gellix"/>
          <w:b/>
          <w:bCs/>
          <w:color w:val="007DFF" w:themeColor="accent2"/>
          <w:sz w:val="48"/>
          <w:szCs w:val="48"/>
        </w:rPr>
        <w:t>L</w:t>
      </w:r>
      <w:r w:rsidR="00D25742">
        <w:rPr>
          <w:rFonts w:ascii="Gellix" w:hAnsi="Gellix"/>
          <w:b/>
          <w:bCs/>
          <w:color w:val="007DFF" w:themeColor="accent2"/>
          <w:sz w:val="48"/>
          <w:szCs w:val="48"/>
        </w:rPr>
        <w:t xml:space="preserve">eakage and </w:t>
      </w:r>
      <w:r>
        <w:rPr>
          <w:rFonts w:ascii="Gellix" w:hAnsi="Gellix"/>
          <w:b/>
          <w:bCs/>
          <w:color w:val="007DFF" w:themeColor="accent2"/>
          <w:sz w:val="48"/>
          <w:szCs w:val="48"/>
        </w:rPr>
        <w:t>L</w:t>
      </w:r>
      <w:r w:rsidR="00D25742">
        <w:rPr>
          <w:rFonts w:ascii="Gellix" w:hAnsi="Gellix"/>
          <w:b/>
          <w:bCs/>
          <w:color w:val="007DFF" w:themeColor="accent2"/>
          <w:sz w:val="48"/>
          <w:szCs w:val="48"/>
        </w:rPr>
        <w:t>ink</w:t>
      </w:r>
      <w:r>
        <w:rPr>
          <w:rFonts w:ascii="Gellix" w:hAnsi="Gellix"/>
          <w:b/>
          <w:bCs/>
          <w:color w:val="007DFF" w:themeColor="accent2"/>
          <w:sz w:val="48"/>
          <w:szCs w:val="48"/>
        </w:rPr>
        <w:t>age Considerations</w:t>
      </w:r>
    </w:p>
    <w:p w14:paraId="6C3FCB25" w14:textId="77777777" w:rsidR="006A7EDE" w:rsidRDefault="006A7EDE">
      <w:pPr>
        <w:rPr>
          <w:lang w:val="en-US"/>
        </w:rPr>
      </w:pPr>
    </w:p>
    <w:p w14:paraId="067F1389" w14:textId="66858A16" w:rsidR="00E502BB" w:rsidRDefault="00DA6AA9" w:rsidP="00E502BB">
      <w:pPr>
        <w:rPr>
          <w:sz w:val="24"/>
          <w:szCs w:val="24"/>
          <w:lang w:val="en-US"/>
        </w:rPr>
      </w:pPr>
      <w:r>
        <w:rPr>
          <w:sz w:val="24"/>
          <w:szCs w:val="24"/>
          <w:lang w:val="en-US"/>
        </w:rPr>
        <w:br/>
      </w:r>
    </w:p>
    <w:p w14:paraId="0DBC2226" w14:textId="2C506AAA" w:rsidR="00406110" w:rsidRPr="008F050B" w:rsidRDefault="004B1FFE" w:rsidP="00406110">
      <w:pPr>
        <w:spacing w:line="360" w:lineRule="auto"/>
        <w:rPr>
          <w:sz w:val="25"/>
          <w:szCs w:val="25"/>
          <w:lang w:val="en-US"/>
        </w:rPr>
      </w:pPr>
      <w:r w:rsidRPr="008F050B">
        <w:rPr>
          <w:sz w:val="25"/>
          <w:szCs w:val="25"/>
          <w:lang w:val="en-US"/>
        </w:rPr>
        <w:t>Executive Summary</w:t>
      </w:r>
    </w:p>
    <w:p w14:paraId="47AD3A92" w14:textId="2418D11A" w:rsidR="00482A61" w:rsidRPr="008F050B" w:rsidRDefault="00482A61" w:rsidP="00406110">
      <w:pPr>
        <w:spacing w:line="360" w:lineRule="auto"/>
        <w:rPr>
          <w:sz w:val="25"/>
          <w:szCs w:val="25"/>
          <w:lang w:val="en-US"/>
        </w:rPr>
      </w:pPr>
      <w:r w:rsidRPr="008F050B">
        <w:rPr>
          <w:sz w:val="25"/>
          <w:szCs w:val="25"/>
          <w:lang w:val="en-US"/>
        </w:rPr>
        <w:t xml:space="preserve">Part I: </w:t>
      </w:r>
      <w:r w:rsidR="00E502BB" w:rsidRPr="008F050B">
        <w:rPr>
          <w:sz w:val="25"/>
          <w:szCs w:val="25"/>
          <w:lang w:val="en-US"/>
        </w:rPr>
        <w:t>ICC Proposals for Effective Carbon Pricing</w:t>
      </w:r>
      <w:r w:rsidR="00CD10EC" w:rsidRPr="008F050B">
        <w:rPr>
          <w:sz w:val="25"/>
          <w:szCs w:val="25"/>
          <w:lang w:val="en-US"/>
        </w:rPr>
        <w:t xml:space="preserve">: </w:t>
      </w:r>
      <w:r w:rsidR="00910C2B">
        <w:rPr>
          <w:sz w:val="25"/>
          <w:szCs w:val="25"/>
          <w:lang w:val="en-US"/>
        </w:rPr>
        <w:t>L</w:t>
      </w:r>
      <w:r w:rsidR="00CD10EC" w:rsidRPr="008F050B">
        <w:rPr>
          <w:sz w:val="25"/>
          <w:szCs w:val="25"/>
          <w:lang w:val="en-US"/>
        </w:rPr>
        <w:t xml:space="preserve">eakage </w:t>
      </w:r>
      <w:r w:rsidR="00617D70" w:rsidRPr="008F050B">
        <w:rPr>
          <w:sz w:val="25"/>
          <w:szCs w:val="25"/>
          <w:lang w:val="en-US"/>
        </w:rPr>
        <w:t xml:space="preserve">&amp; </w:t>
      </w:r>
      <w:r w:rsidR="00910C2B">
        <w:rPr>
          <w:sz w:val="25"/>
          <w:szCs w:val="25"/>
          <w:lang w:val="en-US"/>
        </w:rPr>
        <w:t>L</w:t>
      </w:r>
      <w:r w:rsidR="00CD10EC" w:rsidRPr="008F050B">
        <w:rPr>
          <w:sz w:val="25"/>
          <w:szCs w:val="25"/>
          <w:lang w:val="en-US"/>
        </w:rPr>
        <w:t>ink</w:t>
      </w:r>
      <w:r w:rsidR="00910C2B">
        <w:rPr>
          <w:sz w:val="25"/>
          <w:szCs w:val="25"/>
          <w:lang w:val="en-US"/>
        </w:rPr>
        <w:t>age Considerations</w:t>
      </w:r>
    </w:p>
    <w:p w14:paraId="0E7BD169" w14:textId="671AA803" w:rsidR="00482A61" w:rsidRPr="00B136BA" w:rsidRDefault="00482A61" w:rsidP="00406110">
      <w:pPr>
        <w:spacing w:line="360" w:lineRule="auto"/>
        <w:rPr>
          <w:sz w:val="25"/>
          <w:szCs w:val="25"/>
          <w:lang w:val="fr-FR"/>
        </w:rPr>
      </w:pPr>
      <w:r w:rsidRPr="00B136BA">
        <w:rPr>
          <w:sz w:val="25"/>
          <w:szCs w:val="25"/>
          <w:lang w:val="fr-FR"/>
        </w:rPr>
        <w:t xml:space="preserve">Part II: </w:t>
      </w:r>
      <w:r w:rsidR="00772D83" w:rsidRPr="00B136BA">
        <w:rPr>
          <w:sz w:val="25"/>
          <w:szCs w:val="25"/>
          <w:lang w:val="fr-FR"/>
        </w:rPr>
        <w:t xml:space="preserve">Carbon </w:t>
      </w:r>
      <w:r w:rsidR="00CD10EC" w:rsidRPr="00B136BA">
        <w:rPr>
          <w:sz w:val="25"/>
          <w:szCs w:val="25"/>
          <w:lang w:val="fr-FR"/>
        </w:rPr>
        <w:t>Leakage</w:t>
      </w:r>
      <w:r w:rsidR="00910C2B" w:rsidRPr="00B136BA">
        <w:rPr>
          <w:sz w:val="25"/>
          <w:szCs w:val="25"/>
          <w:lang w:val="fr-FR"/>
        </w:rPr>
        <w:t xml:space="preserve"> Considerations</w:t>
      </w:r>
    </w:p>
    <w:p w14:paraId="32D8AC21" w14:textId="6078C577" w:rsidR="00EF6730" w:rsidRPr="00B136BA" w:rsidRDefault="00482A61" w:rsidP="00406110">
      <w:pPr>
        <w:spacing w:line="360" w:lineRule="auto"/>
        <w:rPr>
          <w:sz w:val="25"/>
          <w:szCs w:val="25"/>
          <w:lang w:val="fr-FR"/>
        </w:rPr>
      </w:pPr>
      <w:r w:rsidRPr="00B136BA">
        <w:rPr>
          <w:sz w:val="25"/>
          <w:szCs w:val="25"/>
          <w:lang w:val="fr-FR"/>
        </w:rPr>
        <w:t>Part I</w:t>
      </w:r>
      <w:r w:rsidR="00F21FAA" w:rsidRPr="00B136BA">
        <w:rPr>
          <w:sz w:val="25"/>
          <w:szCs w:val="25"/>
          <w:lang w:val="fr-FR"/>
        </w:rPr>
        <w:t>II</w:t>
      </w:r>
      <w:r w:rsidRPr="00B136BA">
        <w:rPr>
          <w:sz w:val="25"/>
          <w:szCs w:val="25"/>
          <w:lang w:val="fr-FR"/>
        </w:rPr>
        <w:t xml:space="preserve">: </w:t>
      </w:r>
      <w:r w:rsidR="00910C2B" w:rsidRPr="00B136BA">
        <w:rPr>
          <w:sz w:val="25"/>
          <w:szCs w:val="25"/>
          <w:lang w:val="fr-FR"/>
        </w:rPr>
        <w:t xml:space="preserve">Carbon </w:t>
      </w:r>
      <w:r w:rsidR="00B04B43" w:rsidRPr="00B136BA">
        <w:rPr>
          <w:sz w:val="25"/>
          <w:szCs w:val="25"/>
          <w:lang w:val="fr-FR"/>
        </w:rPr>
        <w:t>Link</w:t>
      </w:r>
      <w:r w:rsidR="00910C2B" w:rsidRPr="00B136BA">
        <w:rPr>
          <w:sz w:val="25"/>
          <w:szCs w:val="25"/>
          <w:lang w:val="fr-FR"/>
        </w:rPr>
        <w:t>age Considerations</w:t>
      </w:r>
    </w:p>
    <w:p w14:paraId="57EEFE8B" w14:textId="6756CF70" w:rsidR="000741DD" w:rsidRPr="008F050B" w:rsidRDefault="00E502BB" w:rsidP="00406110">
      <w:pPr>
        <w:spacing w:line="360" w:lineRule="auto"/>
        <w:rPr>
          <w:sz w:val="25"/>
          <w:szCs w:val="25"/>
          <w:lang w:val="en-US"/>
        </w:rPr>
      </w:pPr>
      <w:r w:rsidRPr="008F050B">
        <w:rPr>
          <w:sz w:val="25"/>
          <w:szCs w:val="25"/>
          <w:lang w:val="en-US"/>
        </w:rPr>
        <w:t>Bibliograph</w:t>
      </w:r>
      <w:r w:rsidR="00C00A1C" w:rsidRPr="008F050B">
        <w:rPr>
          <w:sz w:val="25"/>
          <w:szCs w:val="25"/>
          <w:lang w:val="en-US"/>
        </w:rPr>
        <w:t>y</w:t>
      </w:r>
    </w:p>
    <w:p w14:paraId="0124A6D0" w14:textId="77777777" w:rsidR="000741DD" w:rsidRPr="008F050B" w:rsidRDefault="00E502BB" w:rsidP="00406110">
      <w:pPr>
        <w:spacing w:line="360" w:lineRule="auto"/>
        <w:rPr>
          <w:sz w:val="25"/>
          <w:szCs w:val="25"/>
          <w:lang w:val="en-US"/>
        </w:rPr>
      </w:pPr>
      <w:r w:rsidRPr="008F050B">
        <w:rPr>
          <w:sz w:val="25"/>
          <w:szCs w:val="25"/>
          <w:lang w:val="en-US"/>
        </w:rPr>
        <w:t>Annex I</w:t>
      </w:r>
      <w:r w:rsidRPr="008F050B">
        <w:rPr>
          <w:sz w:val="25"/>
          <w:szCs w:val="25"/>
          <w:lang w:val="en-US"/>
        </w:rPr>
        <w:tab/>
      </w:r>
    </w:p>
    <w:p w14:paraId="73572DCF" w14:textId="166022D3" w:rsidR="006A7EDE" w:rsidRPr="008F050B" w:rsidRDefault="00E502BB" w:rsidP="00406110">
      <w:pPr>
        <w:spacing w:line="360" w:lineRule="auto"/>
        <w:rPr>
          <w:sz w:val="25"/>
          <w:szCs w:val="25"/>
          <w:lang w:val="en-US"/>
        </w:rPr>
      </w:pPr>
      <w:r w:rsidRPr="008F050B">
        <w:rPr>
          <w:sz w:val="25"/>
          <w:szCs w:val="25"/>
          <w:lang w:val="en-US"/>
        </w:rPr>
        <w:t>Annex II</w:t>
      </w:r>
    </w:p>
    <w:p w14:paraId="096782D1" w14:textId="58062568" w:rsidR="006A7EDE" w:rsidRDefault="006A7EDE">
      <w:pPr>
        <w:rPr>
          <w:lang w:val="en-US"/>
        </w:rPr>
      </w:pPr>
      <w:r>
        <w:rPr>
          <w:lang w:val="en-US"/>
        </w:rPr>
        <w:br w:type="page"/>
      </w:r>
    </w:p>
    <w:p w14:paraId="14F48F88" w14:textId="2263727B" w:rsidR="0053112B" w:rsidRPr="00681D03" w:rsidRDefault="00EB645E" w:rsidP="370ED9C3">
      <w:pPr>
        <w:pStyle w:val="Heading1"/>
        <w:numPr>
          <w:ilvl w:val="0"/>
          <w:numId w:val="33"/>
        </w:numPr>
        <w:spacing w:before="0" w:line="240" w:lineRule="auto"/>
      </w:pPr>
      <w:r>
        <w:lastRenderedPageBreak/>
        <w:t>Executive Summary</w:t>
      </w:r>
    </w:p>
    <w:p w14:paraId="6B933CA7" w14:textId="77777777" w:rsidR="00BB0A9A" w:rsidRPr="00681D03" w:rsidRDefault="00BB0A9A" w:rsidP="370ED9C3">
      <w:pPr>
        <w:spacing w:after="0" w:line="240" w:lineRule="auto"/>
        <w:rPr>
          <w:sz w:val="21"/>
          <w:szCs w:val="21"/>
          <w:shd w:val="clear" w:color="auto" w:fill="FFFFFF"/>
        </w:rPr>
      </w:pPr>
    </w:p>
    <w:p w14:paraId="7014D344" w14:textId="73921504" w:rsidR="00910C2B" w:rsidRPr="00A144E0" w:rsidRDefault="003214A8" w:rsidP="370ED9C3">
      <w:pPr>
        <w:spacing w:after="0" w:line="240" w:lineRule="auto"/>
        <w:rPr>
          <w:sz w:val="21"/>
          <w:szCs w:val="21"/>
          <w:shd w:val="clear" w:color="auto" w:fill="FFFFFF"/>
        </w:rPr>
      </w:pPr>
      <w:r w:rsidRPr="00A144E0">
        <w:rPr>
          <w:sz w:val="21"/>
          <w:szCs w:val="21"/>
          <w:shd w:val="clear" w:color="auto" w:fill="FFFFFF"/>
        </w:rPr>
        <w:t>National</w:t>
      </w:r>
      <w:r w:rsidR="00910C2B" w:rsidRPr="00A144E0">
        <w:rPr>
          <w:sz w:val="21"/>
          <w:szCs w:val="21"/>
          <w:shd w:val="clear" w:color="auto" w:fill="FFFFFF"/>
        </w:rPr>
        <w:t xml:space="preserve"> or subnational carbon pricing compliance mechanisms </w:t>
      </w:r>
      <w:r w:rsidR="00210F58" w:rsidRPr="00A144E0">
        <w:rPr>
          <w:sz w:val="21"/>
          <w:szCs w:val="21"/>
          <w:shd w:val="clear" w:color="auto" w:fill="FFFFFF"/>
        </w:rPr>
        <w:t xml:space="preserve">are </w:t>
      </w:r>
      <w:r w:rsidR="00F32F84" w:rsidRPr="00A144E0">
        <w:rPr>
          <w:sz w:val="21"/>
          <w:szCs w:val="21"/>
          <w:shd w:val="clear" w:color="auto" w:fill="FFFFFF"/>
        </w:rPr>
        <w:t>market-based</w:t>
      </w:r>
      <w:r w:rsidR="00E756B4" w:rsidRPr="00A144E0">
        <w:rPr>
          <w:sz w:val="21"/>
          <w:szCs w:val="21"/>
          <w:shd w:val="clear" w:color="auto" w:fill="FFFFFF"/>
        </w:rPr>
        <w:t xml:space="preserve"> approaches</w:t>
      </w:r>
      <w:r w:rsidR="00210F58" w:rsidRPr="00A144E0">
        <w:rPr>
          <w:sz w:val="21"/>
          <w:szCs w:val="21"/>
          <w:shd w:val="clear" w:color="auto" w:fill="FFFFFF"/>
        </w:rPr>
        <w:t xml:space="preserve"> </w:t>
      </w:r>
      <w:r w:rsidR="007009CB" w:rsidRPr="00A144E0">
        <w:rPr>
          <w:sz w:val="21"/>
          <w:szCs w:val="21"/>
          <w:shd w:val="clear" w:color="auto" w:fill="FFFFFF"/>
        </w:rPr>
        <w:t xml:space="preserve">to </w:t>
      </w:r>
      <w:r w:rsidR="00910C2B" w:rsidRPr="00A144E0">
        <w:rPr>
          <w:sz w:val="21"/>
          <w:szCs w:val="21"/>
          <w:shd w:val="clear" w:color="auto" w:fill="FFFFFF"/>
        </w:rPr>
        <w:t>reduc</w:t>
      </w:r>
      <w:r w:rsidR="00210F58" w:rsidRPr="00A144E0">
        <w:rPr>
          <w:sz w:val="21"/>
          <w:szCs w:val="21"/>
          <w:shd w:val="clear" w:color="auto" w:fill="FFFFFF"/>
        </w:rPr>
        <w:t>e</w:t>
      </w:r>
      <w:r w:rsidR="00910C2B" w:rsidRPr="00A144E0">
        <w:rPr>
          <w:sz w:val="21"/>
          <w:szCs w:val="21"/>
          <w:shd w:val="clear" w:color="auto" w:fill="FFFFFF"/>
        </w:rPr>
        <w:t xml:space="preserve"> and remov</w:t>
      </w:r>
      <w:r w:rsidR="00210F58" w:rsidRPr="00A144E0">
        <w:rPr>
          <w:sz w:val="21"/>
          <w:szCs w:val="21"/>
          <w:shd w:val="clear" w:color="auto" w:fill="FFFFFF"/>
        </w:rPr>
        <w:t>e</w:t>
      </w:r>
      <w:r w:rsidR="00910C2B" w:rsidRPr="00A144E0">
        <w:rPr>
          <w:sz w:val="21"/>
          <w:szCs w:val="21"/>
          <w:shd w:val="clear" w:color="auto" w:fill="FFFFFF"/>
        </w:rPr>
        <w:t xml:space="preserve"> greenhouse gas emissions </w:t>
      </w:r>
      <w:r w:rsidR="007009CB" w:rsidRPr="00A144E0">
        <w:rPr>
          <w:sz w:val="21"/>
          <w:szCs w:val="21"/>
          <w:shd w:val="clear" w:color="auto" w:fill="FFFFFF"/>
        </w:rPr>
        <w:t>(GHG)</w:t>
      </w:r>
      <w:proofErr w:type="gramStart"/>
      <w:r w:rsidR="00210F58" w:rsidRPr="00A144E0">
        <w:rPr>
          <w:sz w:val="21"/>
          <w:szCs w:val="21"/>
          <w:shd w:val="clear" w:color="auto" w:fill="FFFFFF"/>
        </w:rPr>
        <w:t xml:space="preserve">.  </w:t>
      </w:r>
      <w:proofErr w:type="gramEnd"/>
      <w:r w:rsidR="00210F58" w:rsidRPr="00A144E0">
        <w:rPr>
          <w:sz w:val="21"/>
          <w:szCs w:val="21"/>
          <w:shd w:val="clear" w:color="auto" w:fill="FFFFFF"/>
        </w:rPr>
        <w:t>The</w:t>
      </w:r>
      <w:r w:rsidR="00910C2B" w:rsidRPr="00A144E0">
        <w:rPr>
          <w:sz w:val="21"/>
          <w:szCs w:val="21"/>
          <w:shd w:val="clear" w:color="auto" w:fill="FFFFFF"/>
        </w:rPr>
        <w:t>y incentivis</w:t>
      </w:r>
      <w:r w:rsidR="00210F58" w:rsidRPr="00A144E0">
        <w:rPr>
          <w:sz w:val="21"/>
          <w:szCs w:val="21"/>
          <w:shd w:val="clear" w:color="auto" w:fill="FFFFFF"/>
        </w:rPr>
        <w:t>e market</w:t>
      </w:r>
      <w:r w:rsidR="00910C2B" w:rsidRPr="00A144E0">
        <w:rPr>
          <w:sz w:val="21"/>
          <w:szCs w:val="21"/>
          <w:shd w:val="clear" w:color="auto" w:fill="FFFFFF"/>
        </w:rPr>
        <w:t xml:space="preserve"> behaviour change</w:t>
      </w:r>
      <w:r w:rsidR="00210F58" w:rsidRPr="00A144E0">
        <w:rPr>
          <w:sz w:val="21"/>
          <w:szCs w:val="21"/>
          <w:shd w:val="clear" w:color="auto" w:fill="FFFFFF"/>
        </w:rPr>
        <w:t xml:space="preserve"> to reduce emissions and </w:t>
      </w:r>
      <w:r w:rsidR="00910C2B" w:rsidRPr="00A144E0">
        <w:rPr>
          <w:sz w:val="21"/>
          <w:szCs w:val="21"/>
          <w:shd w:val="clear" w:color="auto" w:fill="FFFFFF"/>
        </w:rPr>
        <w:t xml:space="preserve">invest in </w:t>
      </w:r>
      <w:r w:rsidR="00210F58" w:rsidRPr="00A144E0">
        <w:rPr>
          <w:sz w:val="21"/>
          <w:szCs w:val="21"/>
          <w:shd w:val="clear" w:color="auto" w:fill="FFFFFF"/>
        </w:rPr>
        <w:t xml:space="preserve">scaled up </w:t>
      </w:r>
      <w:r w:rsidR="00BA6E17" w:rsidRPr="00A144E0">
        <w:rPr>
          <w:sz w:val="21"/>
          <w:szCs w:val="21"/>
          <w:shd w:val="clear" w:color="auto" w:fill="FFFFFF"/>
        </w:rPr>
        <w:t xml:space="preserve">climate mitigation and adaptation </w:t>
      </w:r>
      <w:r w:rsidR="00910C2B" w:rsidRPr="00A144E0">
        <w:rPr>
          <w:sz w:val="21"/>
          <w:szCs w:val="21"/>
          <w:shd w:val="clear" w:color="auto" w:fill="FFFFFF"/>
        </w:rPr>
        <w:t>solutions.</w:t>
      </w:r>
      <w:r w:rsidR="00102F25" w:rsidRPr="00A144E0">
        <w:rPr>
          <w:sz w:val="21"/>
          <w:szCs w:val="21"/>
          <w:shd w:val="clear" w:color="auto" w:fill="FFFFFF"/>
        </w:rPr>
        <w:t xml:space="preserve"> </w:t>
      </w:r>
      <w:r w:rsidR="00910C2B" w:rsidRPr="00A144E0">
        <w:rPr>
          <w:sz w:val="21"/>
          <w:szCs w:val="21"/>
          <w:shd w:val="clear" w:color="auto" w:fill="FFFFFF"/>
        </w:rPr>
        <w:t xml:space="preserve">Such mechanisms frequently form part of </w:t>
      </w:r>
      <w:r w:rsidR="00210F58" w:rsidRPr="00A144E0">
        <w:rPr>
          <w:sz w:val="21"/>
          <w:szCs w:val="21"/>
          <w:shd w:val="clear" w:color="auto" w:fill="FFFFFF"/>
        </w:rPr>
        <w:t xml:space="preserve">a </w:t>
      </w:r>
      <w:r w:rsidR="0015093B" w:rsidRPr="00A144E0">
        <w:rPr>
          <w:sz w:val="21"/>
          <w:szCs w:val="21"/>
          <w:shd w:val="clear" w:color="auto" w:fill="FFFFFF"/>
        </w:rPr>
        <w:t>countr</w:t>
      </w:r>
      <w:r w:rsidR="00210F58" w:rsidRPr="00A144E0">
        <w:rPr>
          <w:sz w:val="21"/>
          <w:szCs w:val="21"/>
          <w:shd w:val="clear" w:color="auto" w:fill="FFFFFF"/>
        </w:rPr>
        <w:t>y</w:t>
      </w:r>
      <w:r w:rsidR="0015093B" w:rsidRPr="00A144E0">
        <w:rPr>
          <w:sz w:val="21"/>
          <w:szCs w:val="21"/>
          <w:shd w:val="clear" w:color="auto" w:fill="FFFFFF"/>
        </w:rPr>
        <w:t>’</w:t>
      </w:r>
      <w:r w:rsidR="00210F58" w:rsidRPr="00A144E0">
        <w:rPr>
          <w:sz w:val="21"/>
          <w:szCs w:val="21"/>
          <w:shd w:val="clear" w:color="auto" w:fill="FFFFFF"/>
        </w:rPr>
        <w:t>s</w:t>
      </w:r>
      <w:r w:rsidR="0015093B" w:rsidRPr="00A144E0">
        <w:rPr>
          <w:sz w:val="21"/>
          <w:szCs w:val="21"/>
          <w:shd w:val="clear" w:color="auto" w:fill="FFFFFF"/>
        </w:rPr>
        <w:t xml:space="preserve"> </w:t>
      </w:r>
      <w:r w:rsidR="00910C2B" w:rsidRPr="00A144E0">
        <w:rPr>
          <w:sz w:val="21"/>
          <w:szCs w:val="21"/>
          <w:shd w:val="clear" w:color="auto" w:fill="FFFFFF"/>
        </w:rPr>
        <w:t>strateg</w:t>
      </w:r>
      <w:r w:rsidR="00210F58" w:rsidRPr="00A144E0">
        <w:rPr>
          <w:sz w:val="21"/>
          <w:szCs w:val="21"/>
          <w:shd w:val="clear" w:color="auto" w:fill="FFFFFF"/>
        </w:rPr>
        <w:t>y for</w:t>
      </w:r>
      <w:r w:rsidR="00BA2F17" w:rsidRPr="00A144E0">
        <w:rPr>
          <w:sz w:val="21"/>
          <w:szCs w:val="21"/>
          <w:shd w:val="clear" w:color="auto" w:fill="FFFFFF"/>
        </w:rPr>
        <w:t xml:space="preserve"> </w:t>
      </w:r>
      <w:r w:rsidR="00401464" w:rsidRPr="00A144E0">
        <w:rPr>
          <w:sz w:val="21"/>
          <w:szCs w:val="21"/>
          <w:shd w:val="clear" w:color="auto" w:fill="FFFFFF"/>
        </w:rPr>
        <w:t xml:space="preserve">GHG </w:t>
      </w:r>
      <w:r w:rsidR="00BA2F17" w:rsidRPr="00A144E0">
        <w:rPr>
          <w:sz w:val="21"/>
          <w:szCs w:val="21"/>
          <w:shd w:val="clear" w:color="auto" w:fill="FFFFFF"/>
        </w:rPr>
        <w:t>emission</w:t>
      </w:r>
      <w:r w:rsidR="00210F58" w:rsidRPr="00A144E0">
        <w:rPr>
          <w:sz w:val="21"/>
          <w:szCs w:val="21"/>
          <w:shd w:val="clear" w:color="auto" w:fill="FFFFFF"/>
        </w:rPr>
        <w:t xml:space="preserve"> reduction</w:t>
      </w:r>
      <w:r w:rsidR="00596E88" w:rsidRPr="00A144E0">
        <w:rPr>
          <w:sz w:val="21"/>
          <w:szCs w:val="21"/>
          <w:shd w:val="clear" w:color="auto" w:fill="FFFFFF"/>
        </w:rPr>
        <w:t>,</w:t>
      </w:r>
      <w:r w:rsidR="00BA2F17" w:rsidRPr="00A144E0">
        <w:rPr>
          <w:sz w:val="21"/>
          <w:szCs w:val="21"/>
          <w:shd w:val="clear" w:color="auto" w:fill="FFFFFF"/>
        </w:rPr>
        <w:t xml:space="preserve"> </w:t>
      </w:r>
      <w:r w:rsidR="00910C2B" w:rsidRPr="00A144E0">
        <w:rPr>
          <w:sz w:val="21"/>
          <w:szCs w:val="21"/>
          <w:shd w:val="clear" w:color="auto" w:fill="FFFFFF"/>
        </w:rPr>
        <w:t>in accordance with nationally determined contributions (NDCs) pursuant to the Paris Agreement</w:t>
      </w:r>
      <w:r w:rsidR="00FE7900" w:rsidRPr="00A144E0">
        <w:rPr>
          <w:rStyle w:val="FootnoteReference"/>
          <w:sz w:val="21"/>
          <w:szCs w:val="21"/>
          <w:shd w:val="clear" w:color="auto" w:fill="FFFFFF"/>
        </w:rPr>
        <w:footnoteReference w:id="2"/>
      </w:r>
      <w:r w:rsidR="00910C2B" w:rsidRPr="00A144E0">
        <w:rPr>
          <w:sz w:val="21"/>
          <w:szCs w:val="21"/>
          <w:shd w:val="clear" w:color="auto" w:fill="FFFFFF"/>
        </w:rPr>
        <w:t>.</w:t>
      </w:r>
    </w:p>
    <w:p w14:paraId="2FC5DDA6" w14:textId="77777777" w:rsidR="00910C2B" w:rsidRPr="00A144E0" w:rsidRDefault="00910C2B" w:rsidP="370ED9C3">
      <w:pPr>
        <w:spacing w:after="0" w:line="240" w:lineRule="auto"/>
        <w:rPr>
          <w:sz w:val="21"/>
          <w:szCs w:val="21"/>
          <w:shd w:val="clear" w:color="auto" w:fill="FFFFFF"/>
        </w:rPr>
      </w:pPr>
    </w:p>
    <w:p w14:paraId="0333A5EE" w14:textId="44A3E91C" w:rsidR="00517E7E" w:rsidRPr="00A144E0" w:rsidRDefault="00475BB3" w:rsidP="370ED9C3">
      <w:pPr>
        <w:spacing w:after="0" w:line="240" w:lineRule="auto"/>
        <w:rPr>
          <w:sz w:val="21"/>
          <w:szCs w:val="21"/>
          <w:shd w:val="clear" w:color="auto" w:fill="FFFFFF"/>
        </w:rPr>
      </w:pPr>
      <w:r w:rsidRPr="00A144E0">
        <w:rPr>
          <w:sz w:val="21"/>
          <w:szCs w:val="21"/>
          <w:shd w:val="clear" w:color="auto" w:fill="FFFFFF"/>
        </w:rPr>
        <w:t>According to the recent 2023 IPCC report</w:t>
      </w:r>
      <w:r w:rsidRPr="00A144E0">
        <w:rPr>
          <w:rStyle w:val="FootnoteReference"/>
          <w:sz w:val="21"/>
          <w:szCs w:val="21"/>
          <w:shd w:val="clear" w:color="auto" w:fill="FFFFFF"/>
        </w:rPr>
        <w:footnoteReference w:id="3"/>
      </w:r>
      <w:r w:rsidR="004151F5" w:rsidRPr="00A144E0">
        <w:rPr>
          <w:sz w:val="21"/>
          <w:szCs w:val="21"/>
          <w:shd w:val="clear" w:color="auto" w:fill="FFFFFF"/>
        </w:rPr>
        <w:t xml:space="preserve">, </w:t>
      </w:r>
      <w:r w:rsidRPr="00A144E0">
        <w:rPr>
          <w:sz w:val="21"/>
          <w:szCs w:val="21"/>
          <w:shd w:val="clear" w:color="auto" w:fill="FFFFFF"/>
        </w:rPr>
        <w:t>and UNFCCC Synthesis Report for the first “Global Stocktake</w:t>
      </w:r>
      <w:r w:rsidR="00210F58" w:rsidRPr="00A144E0">
        <w:rPr>
          <w:sz w:val="21"/>
          <w:szCs w:val="21"/>
          <w:shd w:val="clear" w:color="auto" w:fill="FFFFFF"/>
        </w:rPr>
        <w:t>”</w:t>
      </w:r>
      <w:r w:rsidR="00BB0A9A" w:rsidRPr="00A144E0">
        <w:rPr>
          <w:rStyle w:val="FootnoteReference"/>
          <w:sz w:val="21"/>
          <w:szCs w:val="21"/>
          <w:shd w:val="clear" w:color="auto" w:fill="FFFFFF"/>
        </w:rPr>
        <w:footnoteReference w:id="4"/>
      </w:r>
      <w:r w:rsidR="00517E7E" w:rsidRPr="00A144E0">
        <w:rPr>
          <w:sz w:val="21"/>
          <w:szCs w:val="21"/>
          <w:shd w:val="clear" w:color="auto" w:fill="FFFFFF"/>
        </w:rPr>
        <w:t xml:space="preserve">, </w:t>
      </w:r>
      <w:r w:rsidR="002D1D95" w:rsidRPr="00A144E0">
        <w:rPr>
          <w:sz w:val="21"/>
          <w:szCs w:val="21"/>
          <w:shd w:val="clear" w:color="auto" w:fill="FFFFFF"/>
        </w:rPr>
        <w:t xml:space="preserve">the </w:t>
      </w:r>
      <w:r w:rsidR="00517E7E" w:rsidRPr="00A144E0">
        <w:rPr>
          <w:sz w:val="21"/>
          <w:szCs w:val="21"/>
          <w:shd w:val="clear" w:color="auto" w:fill="FFFFFF"/>
        </w:rPr>
        <w:t xml:space="preserve">current </w:t>
      </w:r>
      <w:r w:rsidR="002D1D95" w:rsidRPr="00A144E0">
        <w:rPr>
          <w:sz w:val="21"/>
          <w:szCs w:val="21"/>
          <w:shd w:val="clear" w:color="auto" w:fill="FFFFFF"/>
        </w:rPr>
        <w:t>countr</w:t>
      </w:r>
      <w:r w:rsidR="00210F58" w:rsidRPr="00A144E0">
        <w:rPr>
          <w:sz w:val="21"/>
          <w:szCs w:val="21"/>
          <w:shd w:val="clear" w:color="auto" w:fill="FFFFFF"/>
        </w:rPr>
        <w:t>y</w:t>
      </w:r>
      <w:r w:rsidR="002D1D95" w:rsidRPr="00A144E0">
        <w:rPr>
          <w:sz w:val="21"/>
          <w:szCs w:val="21"/>
          <w:shd w:val="clear" w:color="auto" w:fill="FFFFFF"/>
        </w:rPr>
        <w:t xml:space="preserve"> </w:t>
      </w:r>
      <w:r w:rsidR="00517E7E" w:rsidRPr="00A144E0">
        <w:rPr>
          <w:sz w:val="21"/>
          <w:szCs w:val="21"/>
          <w:shd w:val="clear" w:color="auto" w:fill="FFFFFF"/>
        </w:rPr>
        <w:t xml:space="preserve">NDCs remain </w:t>
      </w:r>
      <w:r w:rsidR="00E83F9E" w:rsidRPr="00A144E0">
        <w:rPr>
          <w:sz w:val="21"/>
          <w:szCs w:val="21"/>
          <w:shd w:val="clear" w:color="auto" w:fill="FFFFFF"/>
        </w:rPr>
        <w:t xml:space="preserve">highly </w:t>
      </w:r>
      <w:r w:rsidR="00517E7E" w:rsidRPr="00A144E0">
        <w:rPr>
          <w:sz w:val="21"/>
          <w:szCs w:val="21"/>
          <w:shd w:val="clear" w:color="auto" w:fill="FFFFFF"/>
        </w:rPr>
        <w:t xml:space="preserve">insufficient to meet the Paris Agreement goals. This shows clear gaps in ambition, </w:t>
      </w:r>
      <w:r w:rsidR="002A5190" w:rsidRPr="00A144E0">
        <w:rPr>
          <w:sz w:val="21"/>
          <w:szCs w:val="21"/>
          <w:shd w:val="clear" w:color="auto" w:fill="FFFFFF"/>
        </w:rPr>
        <w:t>implementation,</w:t>
      </w:r>
      <w:r w:rsidR="00517E7E" w:rsidRPr="00A144E0">
        <w:rPr>
          <w:sz w:val="21"/>
          <w:szCs w:val="21"/>
          <w:shd w:val="clear" w:color="auto" w:fill="FFFFFF"/>
        </w:rPr>
        <w:t xml:space="preserve"> and the enabling conditions to provide a credible global response to the climate crisis.</w:t>
      </w:r>
    </w:p>
    <w:p w14:paraId="6F714797" w14:textId="77777777" w:rsidR="00517E7E" w:rsidRPr="00A144E0" w:rsidRDefault="00517E7E" w:rsidP="370ED9C3">
      <w:pPr>
        <w:spacing w:after="0" w:line="240" w:lineRule="auto"/>
        <w:rPr>
          <w:sz w:val="21"/>
          <w:szCs w:val="21"/>
          <w:shd w:val="clear" w:color="auto" w:fill="FFFFFF"/>
        </w:rPr>
      </w:pPr>
    </w:p>
    <w:p w14:paraId="67D46B89" w14:textId="35BADD67" w:rsidR="00517E7E" w:rsidRPr="00A144E0" w:rsidRDefault="00517E7E" w:rsidP="370ED9C3">
      <w:pPr>
        <w:spacing w:after="0" w:line="240" w:lineRule="auto"/>
        <w:rPr>
          <w:rFonts w:cs="Arial"/>
          <w:sz w:val="21"/>
          <w:szCs w:val="21"/>
        </w:rPr>
      </w:pPr>
      <w:r w:rsidRPr="00A144E0">
        <w:rPr>
          <w:sz w:val="21"/>
          <w:szCs w:val="21"/>
          <w:shd w:val="clear" w:color="auto" w:fill="FFFFFF"/>
        </w:rPr>
        <w:t xml:space="preserve">COP28, and the first Global Stocktake (GST) of the Paris Agreement, represent a milestone moment for governments to build on the </w:t>
      </w:r>
      <w:hyperlink r:id="rId11" w:history="1">
        <w:r w:rsidRPr="00A144E0">
          <w:rPr>
            <w:rStyle w:val="Hyperlink"/>
            <w:rFonts w:cs="Arial"/>
            <w:sz w:val="21"/>
            <w:szCs w:val="21"/>
          </w:rPr>
          <w:t>Sharm el-Sheikh Implementation Plan</w:t>
        </w:r>
      </w:hyperlink>
      <w:r w:rsidRPr="00A144E0">
        <w:rPr>
          <w:rFonts w:cs="Arial"/>
          <w:sz w:val="21"/>
          <w:szCs w:val="21"/>
        </w:rPr>
        <w:t xml:space="preserve"> </w:t>
      </w:r>
      <w:hyperlink r:id="rId12" w:history="1">
        <w:r w:rsidR="00C40933" w:rsidRPr="00A144E0">
          <w:rPr>
            <w:rFonts w:cs="Arial"/>
            <w:sz w:val="21"/>
            <w:szCs w:val="21"/>
          </w:rPr>
          <w:t xml:space="preserve">and </w:t>
        </w:r>
        <w:r w:rsidR="000A5907" w:rsidRPr="00A144E0">
          <w:rPr>
            <w:rStyle w:val="Hyperlink"/>
            <w:rFonts w:cs="Arial"/>
            <w:sz w:val="21"/>
            <w:szCs w:val="21"/>
          </w:rPr>
          <w:t>Glasgow Climate Pact</w:t>
        </w:r>
      </w:hyperlink>
      <w:r w:rsidRPr="00A144E0">
        <w:rPr>
          <w:rFonts w:cs="Arial"/>
          <w:sz w:val="21"/>
          <w:szCs w:val="21"/>
        </w:rPr>
        <w:t xml:space="preserve">, </w:t>
      </w:r>
      <w:r w:rsidR="00210F58" w:rsidRPr="00A144E0">
        <w:rPr>
          <w:rFonts w:cs="Arial"/>
          <w:sz w:val="21"/>
          <w:szCs w:val="21"/>
        </w:rPr>
        <w:t xml:space="preserve">which </w:t>
      </w:r>
      <w:r w:rsidRPr="00A144E0">
        <w:rPr>
          <w:rFonts w:cs="Arial"/>
          <w:sz w:val="21"/>
          <w:szCs w:val="21"/>
        </w:rPr>
        <w:t>reaffirmed countr</w:t>
      </w:r>
      <w:r w:rsidR="00210F58" w:rsidRPr="00A144E0">
        <w:rPr>
          <w:rFonts w:cs="Arial"/>
          <w:sz w:val="21"/>
          <w:szCs w:val="21"/>
        </w:rPr>
        <w:t>y</w:t>
      </w:r>
      <w:r w:rsidRPr="00A144E0">
        <w:rPr>
          <w:rFonts w:cs="Arial"/>
          <w:sz w:val="21"/>
          <w:szCs w:val="21"/>
        </w:rPr>
        <w:t xml:space="preserve"> commitment to set out actions for closing the emissions gap, keep 1.5°C alive, and achieve a clear roadmap for action in this critical decade for action. </w:t>
      </w:r>
    </w:p>
    <w:p w14:paraId="09D67B5C" w14:textId="77777777" w:rsidR="00D70920" w:rsidRPr="00A144E0" w:rsidRDefault="00D70920" w:rsidP="370ED9C3">
      <w:pPr>
        <w:spacing w:after="0" w:line="240" w:lineRule="auto"/>
        <w:rPr>
          <w:sz w:val="21"/>
          <w:szCs w:val="21"/>
          <w:lang w:val="en-US"/>
        </w:rPr>
      </w:pPr>
    </w:p>
    <w:p w14:paraId="15B34938" w14:textId="0A9C7D8F" w:rsidR="00DB3269" w:rsidRPr="00A144E0" w:rsidRDefault="00252008" w:rsidP="370ED9C3">
      <w:pPr>
        <w:spacing w:after="0" w:line="240" w:lineRule="auto"/>
        <w:rPr>
          <w:sz w:val="21"/>
          <w:szCs w:val="21"/>
        </w:rPr>
      </w:pPr>
      <w:r w:rsidRPr="00A144E0">
        <w:rPr>
          <w:sz w:val="21"/>
          <w:szCs w:val="21"/>
        </w:rPr>
        <w:t xml:space="preserve">As part of this plan for action, </w:t>
      </w:r>
      <w:r w:rsidR="00DB3269" w:rsidRPr="00A144E0">
        <w:rPr>
          <w:sz w:val="21"/>
          <w:szCs w:val="21"/>
        </w:rPr>
        <w:t xml:space="preserve">focus </w:t>
      </w:r>
      <w:r w:rsidR="00910C2B" w:rsidRPr="00A144E0">
        <w:rPr>
          <w:sz w:val="21"/>
          <w:szCs w:val="21"/>
        </w:rPr>
        <w:t>s shift to implement</w:t>
      </w:r>
      <w:r w:rsidR="00210F58" w:rsidRPr="00A144E0">
        <w:rPr>
          <w:sz w:val="21"/>
          <w:szCs w:val="21"/>
        </w:rPr>
        <w:t>ing</w:t>
      </w:r>
      <w:r w:rsidR="00910C2B" w:rsidRPr="00A144E0">
        <w:rPr>
          <w:sz w:val="21"/>
          <w:szCs w:val="21"/>
        </w:rPr>
        <w:t xml:space="preserve"> and enforc</w:t>
      </w:r>
      <w:r w:rsidR="00210F58" w:rsidRPr="00A144E0">
        <w:rPr>
          <w:sz w:val="21"/>
          <w:szCs w:val="21"/>
        </w:rPr>
        <w:t>ing</w:t>
      </w:r>
      <w:r w:rsidR="00910C2B" w:rsidRPr="00A144E0">
        <w:rPr>
          <w:sz w:val="21"/>
          <w:szCs w:val="21"/>
        </w:rPr>
        <w:t xml:space="preserve"> </w:t>
      </w:r>
      <w:r w:rsidR="00DB3269" w:rsidRPr="00A144E0">
        <w:rPr>
          <w:sz w:val="21"/>
          <w:szCs w:val="21"/>
        </w:rPr>
        <w:t>effective</w:t>
      </w:r>
      <w:r w:rsidR="00210F58" w:rsidRPr="00A144E0">
        <w:rPr>
          <w:sz w:val="21"/>
          <w:szCs w:val="21"/>
        </w:rPr>
        <w:t>,</w:t>
      </w:r>
      <w:r w:rsidR="00225310" w:rsidRPr="00A144E0">
        <w:rPr>
          <w:sz w:val="21"/>
          <w:szCs w:val="21"/>
        </w:rPr>
        <w:t xml:space="preserve"> enabling </w:t>
      </w:r>
      <w:r w:rsidR="00DB3269" w:rsidRPr="00A144E0">
        <w:rPr>
          <w:sz w:val="21"/>
          <w:szCs w:val="21"/>
        </w:rPr>
        <w:t>policies</w:t>
      </w:r>
      <w:r w:rsidR="00D81D40" w:rsidRPr="00A144E0">
        <w:rPr>
          <w:sz w:val="21"/>
          <w:szCs w:val="21"/>
        </w:rPr>
        <w:t xml:space="preserve"> and solutions</w:t>
      </w:r>
      <w:r w:rsidR="008B042A" w:rsidRPr="00A144E0">
        <w:rPr>
          <w:sz w:val="21"/>
          <w:szCs w:val="21"/>
        </w:rPr>
        <w:t>.</w:t>
      </w:r>
      <w:r w:rsidR="009C467D" w:rsidRPr="00A144E0">
        <w:rPr>
          <w:sz w:val="21"/>
          <w:szCs w:val="21"/>
        </w:rPr>
        <w:t xml:space="preserve"> </w:t>
      </w:r>
      <w:r w:rsidR="00910C2B" w:rsidRPr="00A144E0">
        <w:rPr>
          <w:sz w:val="21"/>
          <w:szCs w:val="21"/>
        </w:rPr>
        <w:t>C</w:t>
      </w:r>
      <w:r w:rsidR="00412B21" w:rsidRPr="00A144E0">
        <w:rPr>
          <w:sz w:val="21"/>
          <w:szCs w:val="21"/>
        </w:rPr>
        <w:t>arbon pricing</w:t>
      </w:r>
      <w:r w:rsidR="00DB3269" w:rsidRPr="00A144E0">
        <w:rPr>
          <w:sz w:val="21"/>
          <w:szCs w:val="21"/>
        </w:rPr>
        <w:t xml:space="preserve"> is a</w:t>
      </w:r>
      <w:r w:rsidR="00DB3269" w:rsidRPr="00A144E0" w:rsidDel="00210F58">
        <w:rPr>
          <w:sz w:val="21"/>
          <w:szCs w:val="21"/>
        </w:rPr>
        <w:t>n</w:t>
      </w:r>
      <w:r w:rsidR="00DB3269" w:rsidRPr="00A144E0">
        <w:rPr>
          <w:sz w:val="21"/>
          <w:szCs w:val="21"/>
        </w:rPr>
        <w:t xml:space="preserve"> essential tool</w:t>
      </w:r>
      <w:r w:rsidR="00910C2B" w:rsidRPr="00A144E0">
        <w:rPr>
          <w:sz w:val="21"/>
          <w:szCs w:val="21"/>
        </w:rPr>
        <w:t xml:space="preserve"> </w:t>
      </w:r>
      <w:r w:rsidR="00210F58" w:rsidRPr="00A144E0">
        <w:rPr>
          <w:sz w:val="21"/>
          <w:szCs w:val="21"/>
        </w:rPr>
        <w:t>for</w:t>
      </w:r>
      <w:r w:rsidR="004A28A8" w:rsidRPr="00A144E0">
        <w:rPr>
          <w:sz w:val="21"/>
          <w:szCs w:val="21"/>
        </w:rPr>
        <w:t xml:space="preserve"> </w:t>
      </w:r>
      <w:r w:rsidR="00DB3269" w:rsidRPr="00A144E0">
        <w:rPr>
          <w:sz w:val="21"/>
          <w:szCs w:val="21"/>
        </w:rPr>
        <w:t>comprehensive policy packages</w:t>
      </w:r>
      <w:r w:rsidR="00210F58" w:rsidRPr="00A144E0">
        <w:rPr>
          <w:sz w:val="21"/>
          <w:szCs w:val="21"/>
        </w:rPr>
        <w:t>; it assists</w:t>
      </w:r>
      <w:r w:rsidR="00DB3269" w:rsidRPr="00A144E0">
        <w:rPr>
          <w:sz w:val="21"/>
          <w:szCs w:val="21"/>
        </w:rPr>
        <w:t xml:space="preserve"> governments achieve </w:t>
      </w:r>
      <w:r w:rsidR="00210F58" w:rsidRPr="00A144E0">
        <w:rPr>
          <w:sz w:val="21"/>
          <w:szCs w:val="21"/>
        </w:rPr>
        <w:t xml:space="preserve">existing </w:t>
      </w:r>
      <w:r w:rsidR="00DB3269" w:rsidRPr="00A144E0">
        <w:rPr>
          <w:sz w:val="21"/>
          <w:szCs w:val="21"/>
        </w:rPr>
        <w:t xml:space="preserve">NDCs at the lowest possible cost, scale up investment for </w:t>
      </w:r>
      <w:r w:rsidR="00210F58" w:rsidRPr="00A144E0">
        <w:rPr>
          <w:sz w:val="21"/>
          <w:szCs w:val="21"/>
        </w:rPr>
        <w:t xml:space="preserve">further </w:t>
      </w:r>
      <w:r w:rsidR="00DB3269" w:rsidRPr="00A144E0">
        <w:rPr>
          <w:sz w:val="21"/>
          <w:szCs w:val="21"/>
        </w:rPr>
        <w:t xml:space="preserve">climate mitigation and adaption efforts and </w:t>
      </w:r>
      <w:r w:rsidR="00210F58" w:rsidRPr="00A144E0">
        <w:rPr>
          <w:sz w:val="21"/>
          <w:szCs w:val="21"/>
        </w:rPr>
        <w:t xml:space="preserve">rachet up </w:t>
      </w:r>
      <w:r w:rsidR="00DB3269" w:rsidRPr="00A144E0">
        <w:rPr>
          <w:sz w:val="21"/>
          <w:szCs w:val="21"/>
        </w:rPr>
        <w:t xml:space="preserve">ambition. </w:t>
      </w:r>
    </w:p>
    <w:p w14:paraId="3EC53E5B" w14:textId="1A0CB1A7" w:rsidR="00517E7E" w:rsidRPr="00A144E0" w:rsidRDefault="0069125C" w:rsidP="370ED9C3">
      <w:pPr>
        <w:spacing w:after="0" w:line="240" w:lineRule="auto"/>
        <w:rPr>
          <w:sz w:val="21"/>
          <w:szCs w:val="21"/>
        </w:rPr>
      </w:pPr>
      <w:r w:rsidRPr="00A144E0">
        <w:rPr>
          <w:sz w:val="21"/>
          <w:szCs w:val="21"/>
        </w:rPr>
        <w:t xml:space="preserve"> </w:t>
      </w:r>
      <w:r w:rsidR="00252008" w:rsidRPr="00A144E0">
        <w:rPr>
          <w:sz w:val="21"/>
          <w:szCs w:val="21"/>
        </w:rPr>
        <w:t xml:space="preserve"> </w:t>
      </w:r>
    </w:p>
    <w:p w14:paraId="0A5BB46E" w14:textId="3089893A" w:rsidR="00517E7E" w:rsidRPr="00A144E0" w:rsidRDefault="00682A02" w:rsidP="370ED9C3">
      <w:pPr>
        <w:spacing w:after="0" w:line="240" w:lineRule="auto"/>
        <w:rPr>
          <w:sz w:val="21"/>
          <w:szCs w:val="21"/>
        </w:rPr>
      </w:pPr>
      <w:r w:rsidRPr="00A144E0">
        <w:rPr>
          <w:sz w:val="21"/>
          <w:szCs w:val="21"/>
        </w:rPr>
        <w:t xml:space="preserve">The International Chamber of Commerce (ICC) – as the </w:t>
      </w:r>
      <w:r w:rsidR="00273361" w:rsidRPr="00A144E0">
        <w:rPr>
          <w:sz w:val="21"/>
          <w:szCs w:val="21"/>
        </w:rPr>
        <w:t xml:space="preserve">official </w:t>
      </w:r>
      <w:r w:rsidR="00B34B5F" w:rsidRPr="00A144E0">
        <w:rPr>
          <w:sz w:val="21"/>
          <w:szCs w:val="21"/>
        </w:rPr>
        <w:t>business convenor to the UN</w:t>
      </w:r>
      <w:r w:rsidR="00D46AAA" w:rsidRPr="00A144E0">
        <w:rPr>
          <w:sz w:val="21"/>
          <w:szCs w:val="21"/>
        </w:rPr>
        <w:t xml:space="preserve"> </w:t>
      </w:r>
      <w:r w:rsidR="00B34B5F" w:rsidRPr="00A144E0">
        <w:rPr>
          <w:sz w:val="21"/>
          <w:szCs w:val="21"/>
        </w:rPr>
        <w:t>F</w:t>
      </w:r>
      <w:r w:rsidR="00D46AAA" w:rsidRPr="00A144E0">
        <w:rPr>
          <w:sz w:val="21"/>
          <w:szCs w:val="21"/>
        </w:rPr>
        <w:t>ramework Convention on Climate Change (UNF</w:t>
      </w:r>
      <w:r w:rsidR="00B34B5F" w:rsidRPr="00A144E0">
        <w:rPr>
          <w:sz w:val="21"/>
          <w:szCs w:val="21"/>
        </w:rPr>
        <w:t>CCC</w:t>
      </w:r>
      <w:r w:rsidR="00D46AAA" w:rsidRPr="00A144E0">
        <w:rPr>
          <w:sz w:val="21"/>
          <w:szCs w:val="21"/>
        </w:rPr>
        <w:t>)</w:t>
      </w:r>
      <w:r w:rsidR="006F6635" w:rsidRPr="00A144E0">
        <w:rPr>
          <w:sz w:val="21"/>
          <w:szCs w:val="21"/>
        </w:rPr>
        <w:t xml:space="preserve">, </w:t>
      </w:r>
      <w:r w:rsidR="00721B17" w:rsidRPr="00A144E0">
        <w:rPr>
          <w:sz w:val="21"/>
          <w:szCs w:val="21"/>
        </w:rPr>
        <w:t>strongly support</w:t>
      </w:r>
      <w:r w:rsidR="004A28A8" w:rsidRPr="00A144E0">
        <w:rPr>
          <w:sz w:val="21"/>
          <w:szCs w:val="21"/>
        </w:rPr>
        <w:t>s</w:t>
      </w:r>
      <w:r w:rsidR="00721B17" w:rsidRPr="00A144E0">
        <w:rPr>
          <w:sz w:val="21"/>
          <w:szCs w:val="21"/>
        </w:rPr>
        <w:t xml:space="preserve"> the use of market-based approaches and the successful </w:t>
      </w:r>
      <w:r w:rsidR="006874C4" w:rsidRPr="00A144E0">
        <w:rPr>
          <w:sz w:val="21"/>
          <w:szCs w:val="21"/>
        </w:rPr>
        <w:t>operationalisation</w:t>
      </w:r>
      <w:r w:rsidR="00721B17" w:rsidRPr="00A144E0">
        <w:rPr>
          <w:sz w:val="21"/>
          <w:szCs w:val="21"/>
        </w:rPr>
        <w:t xml:space="preserve"> of a new phase of emissions trading under Article 6 of the Paris Agreement</w:t>
      </w:r>
      <w:r w:rsidR="004A28A8" w:rsidRPr="00A144E0">
        <w:rPr>
          <w:sz w:val="21"/>
          <w:szCs w:val="21"/>
        </w:rPr>
        <w:t xml:space="preserve"> – </w:t>
      </w:r>
      <w:r w:rsidR="00721B17" w:rsidRPr="00A144E0">
        <w:rPr>
          <w:sz w:val="21"/>
          <w:szCs w:val="21"/>
        </w:rPr>
        <w:t xml:space="preserve">an essential part of international climate policy. We recognise that </w:t>
      </w:r>
      <w:r w:rsidR="0044088A" w:rsidRPr="00A144E0">
        <w:rPr>
          <w:sz w:val="21"/>
          <w:szCs w:val="21"/>
        </w:rPr>
        <w:t>market</w:t>
      </w:r>
      <w:r w:rsidR="00721B17" w:rsidRPr="00A144E0">
        <w:rPr>
          <w:sz w:val="21"/>
          <w:szCs w:val="21"/>
        </w:rPr>
        <w:t xml:space="preserve"> mechanisms</w:t>
      </w:r>
      <w:r w:rsidR="003E0ADC" w:rsidRPr="00A144E0">
        <w:rPr>
          <w:sz w:val="21"/>
          <w:szCs w:val="21"/>
        </w:rPr>
        <w:t xml:space="preserve"> – </w:t>
      </w:r>
      <w:r w:rsidR="007F6FAC" w:rsidRPr="00A144E0">
        <w:rPr>
          <w:sz w:val="21"/>
          <w:szCs w:val="21"/>
        </w:rPr>
        <w:t xml:space="preserve">if </w:t>
      </w:r>
      <w:r w:rsidR="00A847AA" w:rsidRPr="00A144E0">
        <w:rPr>
          <w:sz w:val="21"/>
          <w:szCs w:val="21"/>
        </w:rPr>
        <w:t>develop</w:t>
      </w:r>
      <w:r w:rsidR="00F87042" w:rsidRPr="00A144E0">
        <w:rPr>
          <w:sz w:val="21"/>
          <w:szCs w:val="21"/>
        </w:rPr>
        <w:t>ed</w:t>
      </w:r>
      <w:r w:rsidR="00A847AA" w:rsidRPr="00A144E0">
        <w:rPr>
          <w:sz w:val="21"/>
          <w:szCs w:val="21"/>
        </w:rPr>
        <w:t xml:space="preserve"> and implemented effectively</w:t>
      </w:r>
      <w:r w:rsidR="003E0ADC" w:rsidRPr="00A144E0">
        <w:rPr>
          <w:sz w:val="21"/>
          <w:szCs w:val="21"/>
        </w:rPr>
        <w:t xml:space="preserve"> – </w:t>
      </w:r>
      <w:r w:rsidR="00A847AA" w:rsidRPr="00A144E0">
        <w:rPr>
          <w:sz w:val="21"/>
          <w:szCs w:val="21"/>
        </w:rPr>
        <w:t>can</w:t>
      </w:r>
      <w:r w:rsidR="00721B17" w:rsidRPr="00A144E0">
        <w:rPr>
          <w:sz w:val="21"/>
          <w:szCs w:val="21"/>
        </w:rPr>
        <w:t xml:space="preserve"> play an instrumental role in achieving the goals of the Paris Agreement.</w:t>
      </w:r>
    </w:p>
    <w:p w14:paraId="6D2B4F1F" w14:textId="77777777" w:rsidR="00517E7E" w:rsidRPr="00A144E0" w:rsidRDefault="00517E7E" w:rsidP="370ED9C3">
      <w:pPr>
        <w:spacing w:after="0" w:line="240" w:lineRule="auto"/>
        <w:rPr>
          <w:sz w:val="21"/>
          <w:szCs w:val="21"/>
        </w:rPr>
      </w:pPr>
    </w:p>
    <w:p w14:paraId="1BF6FD44" w14:textId="2C07D810" w:rsidR="006E5B15" w:rsidRPr="00A144E0" w:rsidRDefault="006E5B15" w:rsidP="000D6ADA">
      <w:pPr>
        <w:spacing w:after="0" w:line="240" w:lineRule="auto"/>
        <w:rPr>
          <w:sz w:val="21"/>
          <w:szCs w:val="21"/>
        </w:rPr>
      </w:pPr>
      <w:r w:rsidRPr="00A144E0">
        <w:rPr>
          <w:sz w:val="21"/>
          <w:szCs w:val="21"/>
        </w:rPr>
        <w:t>Since 2021, ICC has drawn on the experience of its global membership in more than 170 countries to develop</w:t>
      </w:r>
      <w:r w:rsidR="004649C0" w:rsidRPr="00A144E0">
        <w:rPr>
          <w:sz w:val="21"/>
          <w:szCs w:val="21"/>
        </w:rPr>
        <w:t xml:space="preserve"> </w:t>
      </w:r>
      <w:hyperlink r:id="rId13">
        <w:r w:rsidR="00921B96" w:rsidRPr="00A144E0">
          <w:rPr>
            <w:rStyle w:val="Hyperlink"/>
            <w:sz w:val="21"/>
            <w:szCs w:val="21"/>
          </w:rPr>
          <w:t>core principles</w:t>
        </w:r>
      </w:hyperlink>
      <w:r w:rsidR="00921B96" w:rsidRPr="00A144E0">
        <w:rPr>
          <w:sz w:val="21"/>
          <w:szCs w:val="21"/>
        </w:rPr>
        <w:t xml:space="preserve"> </w:t>
      </w:r>
      <w:r w:rsidR="0082220D" w:rsidRPr="00A144E0">
        <w:rPr>
          <w:sz w:val="21"/>
          <w:szCs w:val="21"/>
        </w:rPr>
        <w:t xml:space="preserve">and </w:t>
      </w:r>
      <w:hyperlink r:id="rId14">
        <w:r w:rsidR="0082220D" w:rsidRPr="00A144E0">
          <w:rPr>
            <w:rStyle w:val="Hyperlink"/>
            <w:sz w:val="21"/>
            <w:szCs w:val="21"/>
          </w:rPr>
          <w:t xml:space="preserve">guidance </w:t>
        </w:r>
        <w:r w:rsidR="00921B96" w:rsidRPr="00A144E0">
          <w:rPr>
            <w:rStyle w:val="Hyperlink"/>
            <w:sz w:val="21"/>
            <w:szCs w:val="21"/>
          </w:rPr>
          <w:t>for the effective design</w:t>
        </w:r>
      </w:hyperlink>
      <w:r w:rsidR="00921B96" w:rsidRPr="00A144E0">
        <w:rPr>
          <w:sz w:val="21"/>
          <w:szCs w:val="21"/>
        </w:rPr>
        <w:t xml:space="preserve"> of carbon pricing instruments</w:t>
      </w:r>
      <w:r w:rsidR="0044088A" w:rsidRPr="00A144E0">
        <w:rPr>
          <w:sz w:val="21"/>
          <w:szCs w:val="21"/>
        </w:rPr>
        <w:t>.  These</w:t>
      </w:r>
      <w:r w:rsidRPr="00A144E0">
        <w:rPr>
          <w:sz w:val="21"/>
          <w:szCs w:val="21"/>
        </w:rPr>
        <w:t xml:space="preserve"> </w:t>
      </w:r>
      <w:r w:rsidR="00B81F70" w:rsidRPr="00A144E0">
        <w:rPr>
          <w:sz w:val="21"/>
          <w:szCs w:val="21"/>
        </w:rPr>
        <w:t>emphasis</w:t>
      </w:r>
      <w:r w:rsidR="0044088A" w:rsidRPr="00A144E0">
        <w:rPr>
          <w:sz w:val="21"/>
          <w:szCs w:val="21"/>
        </w:rPr>
        <w:t>e</w:t>
      </w:r>
      <w:r w:rsidR="00B81F70" w:rsidRPr="00A144E0">
        <w:rPr>
          <w:sz w:val="21"/>
          <w:szCs w:val="21"/>
        </w:rPr>
        <w:t xml:space="preserve"> </w:t>
      </w:r>
      <w:r w:rsidRPr="00A144E0">
        <w:rPr>
          <w:sz w:val="21"/>
          <w:szCs w:val="21"/>
        </w:rPr>
        <w:t xml:space="preserve">the need for predictable, </w:t>
      </w:r>
      <w:proofErr w:type="gramStart"/>
      <w:r w:rsidRPr="00A144E0">
        <w:rPr>
          <w:sz w:val="21"/>
          <w:szCs w:val="21"/>
        </w:rPr>
        <w:t>effective</w:t>
      </w:r>
      <w:proofErr w:type="gramEnd"/>
      <w:r w:rsidRPr="00A144E0">
        <w:rPr>
          <w:sz w:val="21"/>
          <w:szCs w:val="21"/>
        </w:rPr>
        <w:t xml:space="preserve"> and smartly designed </w:t>
      </w:r>
      <w:r w:rsidRPr="00A144E0">
        <w:rPr>
          <w:sz w:val="21"/>
          <w:szCs w:val="21"/>
        </w:rPr>
        <w:lastRenderedPageBreak/>
        <w:t>carbon pricing as well as a coherent international approach</w:t>
      </w:r>
      <w:r w:rsidR="0044088A" w:rsidRPr="00A144E0">
        <w:rPr>
          <w:sz w:val="21"/>
          <w:szCs w:val="21"/>
        </w:rPr>
        <w:t xml:space="preserve"> that is built</w:t>
      </w:r>
      <w:r w:rsidR="003561A1" w:rsidRPr="00A144E0">
        <w:rPr>
          <w:sz w:val="21"/>
          <w:szCs w:val="21"/>
        </w:rPr>
        <w:t xml:space="preserve"> on </w:t>
      </w:r>
      <w:r w:rsidR="00FD2421" w:rsidRPr="00A144E0">
        <w:rPr>
          <w:sz w:val="21"/>
          <w:szCs w:val="21"/>
        </w:rPr>
        <w:t>broader</w:t>
      </w:r>
      <w:r w:rsidR="00C405CF" w:rsidRPr="00A144E0">
        <w:rPr>
          <w:sz w:val="21"/>
          <w:szCs w:val="21"/>
        </w:rPr>
        <w:t xml:space="preserve"> pr</w:t>
      </w:r>
      <w:r w:rsidR="001B4DCB" w:rsidRPr="00A144E0">
        <w:rPr>
          <w:sz w:val="21"/>
          <w:szCs w:val="21"/>
        </w:rPr>
        <w:t>inciples</w:t>
      </w:r>
      <w:r w:rsidR="0044088A" w:rsidRPr="00A144E0">
        <w:rPr>
          <w:sz w:val="21"/>
          <w:szCs w:val="21"/>
        </w:rPr>
        <w:t xml:space="preserve"> for effective emission reduction.  Improved</w:t>
      </w:r>
      <w:r w:rsidR="00BF27D1" w:rsidRPr="00A144E0">
        <w:rPr>
          <w:sz w:val="21"/>
          <w:szCs w:val="21"/>
        </w:rPr>
        <w:t xml:space="preserve"> </w:t>
      </w:r>
      <w:r w:rsidR="0044088A" w:rsidRPr="00A144E0">
        <w:rPr>
          <w:sz w:val="21"/>
          <w:szCs w:val="21"/>
        </w:rPr>
        <w:t xml:space="preserve">global </w:t>
      </w:r>
      <w:r w:rsidR="00BF27D1" w:rsidRPr="00A144E0">
        <w:rPr>
          <w:sz w:val="21"/>
          <w:szCs w:val="21"/>
        </w:rPr>
        <w:t xml:space="preserve">consistency </w:t>
      </w:r>
      <w:r w:rsidR="0044088A" w:rsidRPr="00A144E0">
        <w:rPr>
          <w:sz w:val="21"/>
          <w:szCs w:val="21"/>
        </w:rPr>
        <w:t>is</w:t>
      </w:r>
      <w:r w:rsidR="00217C59" w:rsidRPr="00A144E0">
        <w:rPr>
          <w:sz w:val="21"/>
          <w:szCs w:val="21"/>
        </w:rPr>
        <w:t xml:space="preserve"> key </w:t>
      </w:r>
      <w:r w:rsidRPr="00A144E0">
        <w:rPr>
          <w:sz w:val="21"/>
          <w:szCs w:val="21"/>
        </w:rPr>
        <w:t xml:space="preserve">to </w:t>
      </w:r>
      <w:r w:rsidR="0044088A" w:rsidRPr="00A144E0">
        <w:rPr>
          <w:sz w:val="21"/>
          <w:szCs w:val="21"/>
        </w:rPr>
        <w:t xml:space="preserve">legitimacy and </w:t>
      </w:r>
      <w:r w:rsidRPr="00A144E0">
        <w:rPr>
          <w:sz w:val="21"/>
          <w:szCs w:val="21"/>
        </w:rPr>
        <w:t>unlock</w:t>
      </w:r>
      <w:r w:rsidR="00910C2B" w:rsidRPr="00A144E0">
        <w:rPr>
          <w:sz w:val="21"/>
          <w:szCs w:val="21"/>
        </w:rPr>
        <w:t>ing</w:t>
      </w:r>
      <w:r w:rsidRPr="00A144E0">
        <w:rPr>
          <w:sz w:val="21"/>
          <w:szCs w:val="21"/>
        </w:rPr>
        <w:t xml:space="preserve"> full environmental and economic benefits of market-based policies</w:t>
      </w:r>
      <w:r w:rsidR="001E51E3" w:rsidRPr="00A144E0">
        <w:rPr>
          <w:sz w:val="21"/>
          <w:szCs w:val="21"/>
        </w:rPr>
        <w:t xml:space="preserve">, </w:t>
      </w:r>
      <w:r w:rsidR="0044088A" w:rsidRPr="00A144E0">
        <w:rPr>
          <w:sz w:val="21"/>
          <w:szCs w:val="21"/>
        </w:rPr>
        <w:t xml:space="preserve">as well as greater convergence in </w:t>
      </w:r>
      <w:r w:rsidR="000D6ADA" w:rsidRPr="00A144E0">
        <w:rPr>
          <w:sz w:val="21"/>
          <w:szCs w:val="21"/>
        </w:rPr>
        <w:t xml:space="preserve">global </w:t>
      </w:r>
      <w:r w:rsidR="0044088A" w:rsidRPr="00A144E0">
        <w:rPr>
          <w:sz w:val="21"/>
          <w:szCs w:val="21"/>
        </w:rPr>
        <w:t xml:space="preserve">carbon </w:t>
      </w:r>
      <w:r w:rsidR="000D6ADA" w:rsidRPr="00A144E0">
        <w:rPr>
          <w:sz w:val="21"/>
          <w:szCs w:val="21"/>
        </w:rPr>
        <w:t>pric</w:t>
      </w:r>
      <w:r w:rsidR="0044088A" w:rsidRPr="00A144E0">
        <w:rPr>
          <w:sz w:val="21"/>
          <w:szCs w:val="21"/>
        </w:rPr>
        <w:t>ing</w:t>
      </w:r>
      <w:r w:rsidR="005577CF" w:rsidRPr="00A144E0">
        <w:rPr>
          <w:sz w:val="21"/>
          <w:szCs w:val="21"/>
        </w:rPr>
        <w:t>.</w:t>
      </w:r>
    </w:p>
    <w:p w14:paraId="0E23E7D7" w14:textId="77777777" w:rsidR="00227D10" w:rsidRPr="00A144E0" w:rsidRDefault="00227D10" w:rsidP="370ED9C3">
      <w:pPr>
        <w:spacing w:after="0" w:line="240" w:lineRule="auto"/>
        <w:rPr>
          <w:sz w:val="21"/>
          <w:szCs w:val="21"/>
        </w:rPr>
      </w:pPr>
    </w:p>
    <w:p w14:paraId="3F4745B5" w14:textId="449849BB" w:rsidR="00870614" w:rsidRPr="00A144E0" w:rsidRDefault="00E52BDC" w:rsidP="370ED9C3">
      <w:pPr>
        <w:spacing w:after="0" w:line="240" w:lineRule="auto"/>
        <w:rPr>
          <w:sz w:val="21"/>
          <w:szCs w:val="21"/>
        </w:rPr>
      </w:pPr>
      <w:r w:rsidRPr="00A144E0">
        <w:rPr>
          <w:sz w:val="21"/>
          <w:szCs w:val="21"/>
        </w:rPr>
        <w:t>Over th</w:t>
      </w:r>
      <w:r w:rsidR="00FD2421" w:rsidRPr="00A144E0">
        <w:rPr>
          <w:sz w:val="21"/>
          <w:szCs w:val="21"/>
        </w:rPr>
        <w:t>is period</w:t>
      </w:r>
      <w:r w:rsidRPr="00A144E0">
        <w:rPr>
          <w:sz w:val="21"/>
          <w:szCs w:val="21"/>
        </w:rPr>
        <w:t xml:space="preserve">, </w:t>
      </w:r>
      <w:r w:rsidR="00C66C77" w:rsidRPr="00A144E0">
        <w:rPr>
          <w:sz w:val="21"/>
          <w:szCs w:val="21"/>
        </w:rPr>
        <w:t xml:space="preserve">ICC </w:t>
      </w:r>
      <w:r w:rsidR="005A22D5" w:rsidRPr="00A144E0">
        <w:rPr>
          <w:sz w:val="21"/>
          <w:szCs w:val="21"/>
        </w:rPr>
        <w:t xml:space="preserve">has </w:t>
      </w:r>
      <w:r w:rsidR="003032C3" w:rsidRPr="00A144E0">
        <w:rPr>
          <w:sz w:val="21"/>
          <w:szCs w:val="21"/>
        </w:rPr>
        <w:t>engage</w:t>
      </w:r>
      <w:r w:rsidR="005A22D5" w:rsidRPr="00A144E0">
        <w:rPr>
          <w:sz w:val="21"/>
          <w:szCs w:val="21"/>
        </w:rPr>
        <w:t>d</w:t>
      </w:r>
      <w:r w:rsidR="00C66C77" w:rsidRPr="00A144E0">
        <w:rPr>
          <w:sz w:val="21"/>
          <w:szCs w:val="21"/>
        </w:rPr>
        <w:t xml:space="preserve"> </w:t>
      </w:r>
      <w:r w:rsidR="00B71E94" w:rsidRPr="00A144E0">
        <w:rPr>
          <w:sz w:val="21"/>
          <w:szCs w:val="21"/>
        </w:rPr>
        <w:t xml:space="preserve">extensively </w:t>
      </w:r>
      <w:r w:rsidR="00C66C77" w:rsidRPr="00A144E0">
        <w:rPr>
          <w:sz w:val="21"/>
          <w:szCs w:val="21"/>
        </w:rPr>
        <w:t>with</w:t>
      </w:r>
      <w:r w:rsidR="00905F16" w:rsidRPr="00A144E0">
        <w:rPr>
          <w:sz w:val="21"/>
          <w:szCs w:val="21"/>
        </w:rPr>
        <w:t xml:space="preserve"> businesses operating </w:t>
      </w:r>
      <w:r w:rsidR="00960024" w:rsidRPr="00A144E0">
        <w:rPr>
          <w:sz w:val="21"/>
          <w:szCs w:val="21"/>
        </w:rPr>
        <w:t xml:space="preserve">under the </w:t>
      </w:r>
      <w:r w:rsidR="002D1C67" w:rsidRPr="00A144E0">
        <w:rPr>
          <w:sz w:val="21"/>
          <w:szCs w:val="21"/>
        </w:rPr>
        <w:t>~70+</w:t>
      </w:r>
      <w:r w:rsidR="0026625F" w:rsidRPr="00A144E0">
        <w:rPr>
          <w:sz w:val="21"/>
          <w:szCs w:val="21"/>
        </w:rPr>
        <w:t xml:space="preserve"> </w:t>
      </w:r>
      <w:r w:rsidR="00960024" w:rsidRPr="00A144E0">
        <w:rPr>
          <w:sz w:val="21"/>
          <w:szCs w:val="21"/>
        </w:rPr>
        <w:t xml:space="preserve">different carbon pricing regimes </w:t>
      </w:r>
      <w:r w:rsidR="00910C2B" w:rsidRPr="00A144E0">
        <w:rPr>
          <w:sz w:val="21"/>
          <w:szCs w:val="21"/>
        </w:rPr>
        <w:t xml:space="preserve">currently </w:t>
      </w:r>
      <w:r w:rsidR="00960024" w:rsidRPr="00A144E0">
        <w:rPr>
          <w:sz w:val="21"/>
          <w:szCs w:val="21"/>
        </w:rPr>
        <w:t>in force</w:t>
      </w:r>
      <w:r w:rsidR="00E74113" w:rsidRPr="00A144E0">
        <w:rPr>
          <w:sz w:val="21"/>
          <w:szCs w:val="21"/>
        </w:rPr>
        <w:t>,</w:t>
      </w:r>
      <w:r w:rsidR="00910C2B" w:rsidRPr="00A144E0">
        <w:rPr>
          <w:sz w:val="21"/>
          <w:szCs w:val="21"/>
        </w:rPr>
        <w:t xml:space="preserve"> and</w:t>
      </w:r>
      <w:r w:rsidR="00B73080" w:rsidRPr="00A144E0">
        <w:rPr>
          <w:sz w:val="21"/>
          <w:szCs w:val="21"/>
        </w:rPr>
        <w:t xml:space="preserve"> </w:t>
      </w:r>
      <w:r w:rsidR="00910C2B" w:rsidRPr="00A144E0" w:rsidDel="00B73080">
        <w:rPr>
          <w:sz w:val="21"/>
          <w:szCs w:val="21"/>
        </w:rPr>
        <w:t xml:space="preserve">key </w:t>
      </w:r>
      <w:r w:rsidR="00910C2B" w:rsidRPr="00A144E0">
        <w:rPr>
          <w:sz w:val="21"/>
          <w:szCs w:val="21"/>
        </w:rPr>
        <w:t xml:space="preserve">concerns </w:t>
      </w:r>
      <w:proofErr w:type="gramStart"/>
      <w:r w:rsidR="00B73080" w:rsidRPr="00A144E0">
        <w:rPr>
          <w:sz w:val="21"/>
          <w:szCs w:val="21"/>
        </w:rPr>
        <w:t>were raised</w:t>
      </w:r>
      <w:proofErr w:type="gramEnd"/>
      <w:r w:rsidR="00910C2B" w:rsidRPr="00A144E0">
        <w:rPr>
          <w:sz w:val="21"/>
          <w:szCs w:val="21"/>
        </w:rPr>
        <w:t xml:space="preserve"> in relation</w:t>
      </w:r>
      <w:r w:rsidR="00B73080" w:rsidRPr="00A144E0">
        <w:rPr>
          <w:sz w:val="21"/>
          <w:szCs w:val="21"/>
        </w:rPr>
        <w:t xml:space="preserve"> to</w:t>
      </w:r>
      <w:r w:rsidR="00910C2B" w:rsidRPr="00A144E0">
        <w:rPr>
          <w:sz w:val="21"/>
          <w:szCs w:val="21"/>
        </w:rPr>
        <w:t xml:space="preserve"> both </w:t>
      </w:r>
      <w:r w:rsidR="00C66C77" w:rsidRPr="00A144E0">
        <w:rPr>
          <w:sz w:val="21"/>
          <w:szCs w:val="21"/>
        </w:rPr>
        <w:t>carbon leakage</w:t>
      </w:r>
      <w:r w:rsidR="00910C2B" w:rsidRPr="00A144E0">
        <w:rPr>
          <w:sz w:val="21"/>
          <w:szCs w:val="21"/>
        </w:rPr>
        <w:t xml:space="preserve"> and carbon linkage</w:t>
      </w:r>
      <w:r w:rsidR="00C66C77" w:rsidRPr="00A144E0">
        <w:rPr>
          <w:sz w:val="21"/>
          <w:szCs w:val="21"/>
        </w:rPr>
        <w:t>.</w:t>
      </w:r>
      <w:r w:rsidR="00910C2B" w:rsidRPr="00A144E0">
        <w:rPr>
          <w:sz w:val="21"/>
          <w:szCs w:val="21"/>
        </w:rPr>
        <w:t xml:space="preserve"> These concerns </w:t>
      </w:r>
      <w:proofErr w:type="gramStart"/>
      <w:r w:rsidR="00910C2B" w:rsidRPr="00A144E0">
        <w:rPr>
          <w:sz w:val="21"/>
          <w:szCs w:val="21"/>
        </w:rPr>
        <w:t>are considered</w:t>
      </w:r>
      <w:proofErr w:type="gramEnd"/>
      <w:r w:rsidR="00910C2B" w:rsidRPr="00A144E0">
        <w:rPr>
          <w:sz w:val="21"/>
          <w:szCs w:val="21"/>
        </w:rPr>
        <w:t xml:space="preserve"> in this third report and </w:t>
      </w:r>
      <w:r w:rsidR="00BF5F3D" w:rsidRPr="00A144E0">
        <w:rPr>
          <w:sz w:val="21"/>
          <w:szCs w:val="21"/>
        </w:rPr>
        <w:t xml:space="preserve">ICC </w:t>
      </w:r>
      <w:r w:rsidR="00910C2B" w:rsidRPr="00A144E0">
        <w:rPr>
          <w:sz w:val="21"/>
          <w:szCs w:val="21"/>
        </w:rPr>
        <w:t>makes</w:t>
      </w:r>
      <w:r w:rsidR="00BF5F3D" w:rsidRPr="00A144E0">
        <w:rPr>
          <w:sz w:val="21"/>
          <w:szCs w:val="21"/>
        </w:rPr>
        <w:t xml:space="preserve"> the following recommendations and proposals </w:t>
      </w:r>
      <w:r w:rsidR="00C66C77" w:rsidRPr="00A144E0">
        <w:rPr>
          <w:sz w:val="21"/>
          <w:szCs w:val="21"/>
        </w:rPr>
        <w:t>for consideration by policymakers in addressing the</w:t>
      </w:r>
      <w:r w:rsidR="00910C2B" w:rsidRPr="00A144E0">
        <w:rPr>
          <w:sz w:val="21"/>
          <w:szCs w:val="21"/>
        </w:rPr>
        <w:t>m</w:t>
      </w:r>
      <w:r w:rsidR="00E940D1" w:rsidRPr="00A144E0">
        <w:rPr>
          <w:sz w:val="21"/>
          <w:szCs w:val="21"/>
        </w:rPr>
        <w:t xml:space="preserve">: </w:t>
      </w:r>
    </w:p>
    <w:p w14:paraId="2FF835B8" w14:textId="77777777" w:rsidR="00870614" w:rsidRPr="00A144E0" w:rsidRDefault="00870614" w:rsidP="370ED9C3">
      <w:pPr>
        <w:spacing w:after="0" w:line="240" w:lineRule="auto"/>
        <w:rPr>
          <w:sz w:val="21"/>
          <w:szCs w:val="21"/>
        </w:rPr>
      </w:pPr>
    </w:p>
    <w:p w14:paraId="2804B829" w14:textId="08750720" w:rsidR="00C66C77" w:rsidRPr="00A144E0" w:rsidRDefault="006902DB" w:rsidP="370ED9C3">
      <w:pPr>
        <w:spacing w:after="0" w:line="240" w:lineRule="auto"/>
        <w:rPr>
          <w:sz w:val="21"/>
          <w:szCs w:val="21"/>
        </w:rPr>
      </w:pPr>
      <w:r w:rsidRPr="00A144E0">
        <w:rPr>
          <w:sz w:val="21"/>
          <w:szCs w:val="21"/>
        </w:rPr>
        <w:t>[</w:t>
      </w:r>
      <w:r w:rsidR="00590387" w:rsidRPr="00A144E0">
        <w:rPr>
          <w:sz w:val="21"/>
          <w:szCs w:val="21"/>
        </w:rPr>
        <w:t xml:space="preserve">PLACEHOLDER: </w:t>
      </w:r>
      <w:r w:rsidR="00B64508" w:rsidRPr="00A144E0">
        <w:rPr>
          <w:sz w:val="21"/>
          <w:szCs w:val="21"/>
        </w:rPr>
        <w:t>INFO</w:t>
      </w:r>
      <w:r w:rsidR="00792AF4" w:rsidRPr="00A144E0">
        <w:rPr>
          <w:sz w:val="21"/>
          <w:szCs w:val="21"/>
        </w:rPr>
        <w:t>GRAPHIC</w:t>
      </w:r>
      <w:r w:rsidR="00590387" w:rsidRPr="00A144E0">
        <w:rPr>
          <w:sz w:val="21"/>
          <w:szCs w:val="21"/>
        </w:rPr>
        <w:t>S</w:t>
      </w:r>
      <w:r w:rsidR="00B64508" w:rsidRPr="00A144E0">
        <w:rPr>
          <w:sz w:val="21"/>
          <w:szCs w:val="21"/>
        </w:rPr>
        <w:t xml:space="preserve"> FOR</w:t>
      </w:r>
      <w:r w:rsidR="00E940D1" w:rsidRPr="00A144E0">
        <w:rPr>
          <w:sz w:val="21"/>
          <w:szCs w:val="21"/>
        </w:rPr>
        <w:t xml:space="preserve"> </w:t>
      </w:r>
      <w:r w:rsidR="002552DF" w:rsidRPr="00A144E0">
        <w:rPr>
          <w:sz w:val="21"/>
          <w:szCs w:val="21"/>
        </w:rPr>
        <w:t>ICC PROPOSALS]</w:t>
      </w:r>
      <w:r w:rsidR="00870614" w:rsidRPr="00A144E0">
        <w:rPr>
          <w:sz w:val="21"/>
          <w:szCs w:val="21"/>
        </w:rPr>
        <w:t xml:space="preserve"> </w:t>
      </w:r>
      <w:r w:rsidR="00C66C77" w:rsidRPr="00A144E0">
        <w:rPr>
          <w:sz w:val="21"/>
          <w:szCs w:val="21"/>
        </w:rPr>
        <w:t xml:space="preserve"> </w:t>
      </w:r>
    </w:p>
    <w:p w14:paraId="1BACF14F" w14:textId="77777777" w:rsidR="00227D10" w:rsidRPr="00A144E0" w:rsidRDefault="00227D10" w:rsidP="370ED9C3">
      <w:pPr>
        <w:spacing w:after="0" w:line="240" w:lineRule="auto"/>
        <w:rPr>
          <w:sz w:val="21"/>
          <w:szCs w:val="21"/>
        </w:rPr>
      </w:pPr>
    </w:p>
    <w:p w14:paraId="52CAA181" w14:textId="4AD7EA30" w:rsidR="00227D10" w:rsidRPr="00A144E0" w:rsidRDefault="006902DB" w:rsidP="370ED9C3">
      <w:pPr>
        <w:spacing w:after="0" w:line="240" w:lineRule="auto"/>
        <w:rPr>
          <w:sz w:val="21"/>
          <w:szCs w:val="21"/>
        </w:rPr>
      </w:pPr>
      <w:r w:rsidRPr="00A144E0">
        <w:rPr>
          <w:sz w:val="21"/>
          <w:szCs w:val="21"/>
        </w:rPr>
        <w:t>[</w:t>
      </w:r>
      <w:r w:rsidR="00B903AA" w:rsidRPr="00A144E0">
        <w:rPr>
          <w:sz w:val="21"/>
          <w:szCs w:val="21"/>
        </w:rPr>
        <w:t>LEAKAGE</w:t>
      </w:r>
      <w:r w:rsidRPr="00A144E0">
        <w:rPr>
          <w:sz w:val="21"/>
          <w:szCs w:val="21"/>
        </w:rPr>
        <w:t>]</w:t>
      </w:r>
    </w:p>
    <w:p w14:paraId="40E4FF67" w14:textId="77777777" w:rsidR="00B903AA" w:rsidRPr="00A144E0" w:rsidRDefault="00B903AA" w:rsidP="370ED9C3">
      <w:pPr>
        <w:spacing w:after="0" w:line="240" w:lineRule="auto"/>
        <w:rPr>
          <w:sz w:val="21"/>
          <w:szCs w:val="21"/>
        </w:rPr>
      </w:pPr>
    </w:p>
    <w:p w14:paraId="69F52C28" w14:textId="2D416358" w:rsidR="00B903AA" w:rsidRPr="00A144E0" w:rsidRDefault="006902DB" w:rsidP="370ED9C3">
      <w:pPr>
        <w:spacing w:after="0" w:line="240" w:lineRule="auto"/>
        <w:rPr>
          <w:sz w:val="21"/>
          <w:szCs w:val="21"/>
        </w:rPr>
      </w:pPr>
      <w:r w:rsidRPr="00A144E0">
        <w:rPr>
          <w:sz w:val="21"/>
          <w:szCs w:val="21"/>
        </w:rPr>
        <w:t>[</w:t>
      </w:r>
      <w:r w:rsidR="00B903AA" w:rsidRPr="00A144E0">
        <w:rPr>
          <w:sz w:val="21"/>
          <w:szCs w:val="21"/>
        </w:rPr>
        <w:t>LINKAGE</w:t>
      </w:r>
      <w:r w:rsidRPr="00A144E0">
        <w:rPr>
          <w:sz w:val="21"/>
          <w:szCs w:val="21"/>
        </w:rPr>
        <w:t>]</w:t>
      </w:r>
    </w:p>
    <w:p w14:paraId="65E990CF" w14:textId="32CFE493" w:rsidR="001B273D" w:rsidRPr="00A144E0" w:rsidRDefault="001B273D" w:rsidP="370ED9C3">
      <w:pPr>
        <w:spacing w:after="0" w:line="240" w:lineRule="auto"/>
        <w:rPr>
          <w:sz w:val="21"/>
          <w:szCs w:val="21"/>
        </w:rPr>
      </w:pPr>
    </w:p>
    <w:p w14:paraId="4C654059" w14:textId="163201D7" w:rsidR="001B273D" w:rsidRPr="00A144E0" w:rsidRDefault="001B273D" w:rsidP="001B273D">
      <w:pPr>
        <w:spacing w:after="0" w:line="240" w:lineRule="auto"/>
        <w:rPr>
          <w:sz w:val="21"/>
          <w:szCs w:val="21"/>
        </w:rPr>
      </w:pPr>
      <w:r w:rsidRPr="00A144E0">
        <w:rPr>
          <w:sz w:val="21"/>
          <w:szCs w:val="21"/>
        </w:rPr>
        <w:t xml:space="preserve">The report </w:t>
      </w:r>
      <w:proofErr w:type="gramStart"/>
      <w:r w:rsidR="00416AC1" w:rsidRPr="00A144E0">
        <w:rPr>
          <w:sz w:val="21"/>
          <w:szCs w:val="21"/>
        </w:rPr>
        <w:t xml:space="preserve">is also </w:t>
      </w:r>
      <w:r w:rsidRPr="00A144E0">
        <w:rPr>
          <w:sz w:val="21"/>
          <w:szCs w:val="21"/>
        </w:rPr>
        <w:t>complemented</w:t>
      </w:r>
      <w:proofErr w:type="gramEnd"/>
      <w:r w:rsidRPr="00A144E0">
        <w:rPr>
          <w:sz w:val="21"/>
          <w:szCs w:val="21"/>
        </w:rPr>
        <w:t xml:space="preserve"> </w:t>
      </w:r>
      <w:r w:rsidR="003032C3" w:rsidRPr="00A144E0">
        <w:rPr>
          <w:sz w:val="21"/>
          <w:szCs w:val="21"/>
        </w:rPr>
        <w:t>by an</w:t>
      </w:r>
      <w:r w:rsidRPr="00A144E0">
        <w:rPr>
          <w:sz w:val="21"/>
          <w:szCs w:val="21"/>
        </w:rPr>
        <w:t xml:space="preserve"> ICC </w:t>
      </w:r>
      <w:r w:rsidR="00583804" w:rsidRPr="00A144E0">
        <w:rPr>
          <w:sz w:val="21"/>
          <w:szCs w:val="21"/>
        </w:rPr>
        <w:t xml:space="preserve">report </w:t>
      </w:r>
      <w:r w:rsidRPr="00A144E0">
        <w:rPr>
          <w:sz w:val="21"/>
          <w:szCs w:val="21"/>
        </w:rPr>
        <w:t>study that</w:t>
      </w:r>
      <w:r w:rsidR="00FB36FF" w:rsidRPr="00A144E0">
        <w:rPr>
          <w:sz w:val="21"/>
          <w:szCs w:val="21"/>
        </w:rPr>
        <w:t xml:space="preserve"> will study the effect of carbon pricing on inflation through time and explore potential policies that could help to mitigate th</w:t>
      </w:r>
      <w:r w:rsidR="00101772" w:rsidRPr="00A144E0">
        <w:rPr>
          <w:sz w:val="21"/>
          <w:szCs w:val="21"/>
        </w:rPr>
        <w:t>e</w:t>
      </w:r>
      <w:r w:rsidR="00FB36FF" w:rsidRPr="00A144E0">
        <w:rPr>
          <w:sz w:val="21"/>
          <w:szCs w:val="21"/>
        </w:rPr>
        <w:t xml:space="preserve"> inflationary shock.</w:t>
      </w:r>
    </w:p>
    <w:p w14:paraId="05105AA3" w14:textId="77777777" w:rsidR="00227D10" w:rsidRPr="00A144E0" w:rsidRDefault="00227D10" w:rsidP="00123805">
      <w:pPr>
        <w:spacing w:after="0" w:line="240" w:lineRule="auto"/>
        <w:rPr>
          <w:sz w:val="21"/>
          <w:szCs w:val="21"/>
        </w:rPr>
      </w:pPr>
    </w:p>
    <w:p w14:paraId="2BDDAB49" w14:textId="77777777" w:rsidR="00227D10" w:rsidRDefault="00227D10" w:rsidP="00123805">
      <w:pPr>
        <w:spacing w:after="0" w:line="240" w:lineRule="auto"/>
        <w:rPr>
          <w:sz w:val="21"/>
          <w:szCs w:val="21"/>
        </w:rPr>
      </w:pPr>
    </w:p>
    <w:p w14:paraId="266D1276" w14:textId="77777777" w:rsidR="00227D10" w:rsidRDefault="00227D10" w:rsidP="00123805">
      <w:pPr>
        <w:spacing w:after="0" w:line="240" w:lineRule="auto"/>
        <w:rPr>
          <w:sz w:val="21"/>
          <w:szCs w:val="21"/>
        </w:rPr>
      </w:pPr>
    </w:p>
    <w:p w14:paraId="19012D9B" w14:textId="77777777" w:rsidR="00227D10" w:rsidRDefault="00227D10" w:rsidP="00123805">
      <w:pPr>
        <w:spacing w:after="0" w:line="240" w:lineRule="auto"/>
        <w:rPr>
          <w:sz w:val="21"/>
          <w:szCs w:val="21"/>
        </w:rPr>
      </w:pPr>
    </w:p>
    <w:p w14:paraId="63627276" w14:textId="77777777" w:rsidR="00227D10" w:rsidRDefault="00227D10" w:rsidP="00123805">
      <w:pPr>
        <w:spacing w:after="0" w:line="240" w:lineRule="auto"/>
        <w:rPr>
          <w:sz w:val="21"/>
          <w:szCs w:val="21"/>
        </w:rPr>
      </w:pPr>
    </w:p>
    <w:p w14:paraId="4354CADF" w14:textId="77777777" w:rsidR="00227D10" w:rsidRDefault="00227D10" w:rsidP="00123805">
      <w:pPr>
        <w:spacing w:after="0" w:line="240" w:lineRule="auto"/>
        <w:rPr>
          <w:sz w:val="21"/>
          <w:szCs w:val="21"/>
        </w:rPr>
      </w:pPr>
    </w:p>
    <w:p w14:paraId="07277B18" w14:textId="77777777" w:rsidR="00227D10" w:rsidRDefault="00227D10" w:rsidP="00123805">
      <w:pPr>
        <w:spacing w:after="0" w:line="240" w:lineRule="auto"/>
        <w:rPr>
          <w:sz w:val="21"/>
          <w:szCs w:val="21"/>
        </w:rPr>
      </w:pPr>
    </w:p>
    <w:p w14:paraId="636A0698" w14:textId="77777777" w:rsidR="00227D10" w:rsidRDefault="00227D10" w:rsidP="00123805">
      <w:pPr>
        <w:spacing w:after="0" w:line="240" w:lineRule="auto"/>
        <w:rPr>
          <w:sz w:val="21"/>
          <w:szCs w:val="21"/>
        </w:rPr>
      </w:pPr>
    </w:p>
    <w:p w14:paraId="1211676A" w14:textId="77777777" w:rsidR="00227D10" w:rsidRDefault="00227D10" w:rsidP="00123805">
      <w:pPr>
        <w:spacing w:after="0" w:line="240" w:lineRule="auto"/>
        <w:rPr>
          <w:sz w:val="21"/>
          <w:szCs w:val="21"/>
        </w:rPr>
      </w:pPr>
    </w:p>
    <w:p w14:paraId="15368BE9" w14:textId="77777777" w:rsidR="00227D10" w:rsidRDefault="00227D10" w:rsidP="00123805">
      <w:pPr>
        <w:spacing w:after="0" w:line="240" w:lineRule="auto"/>
        <w:rPr>
          <w:sz w:val="21"/>
          <w:szCs w:val="21"/>
        </w:rPr>
      </w:pPr>
    </w:p>
    <w:p w14:paraId="2FB9AF1F" w14:textId="77777777" w:rsidR="00227D10" w:rsidRDefault="00227D10" w:rsidP="00123805">
      <w:pPr>
        <w:spacing w:after="0" w:line="240" w:lineRule="auto"/>
        <w:rPr>
          <w:sz w:val="21"/>
          <w:szCs w:val="21"/>
        </w:rPr>
      </w:pPr>
    </w:p>
    <w:p w14:paraId="5055E5E9" w14:textId="4C0ED2F6" w:rsidR="00A77083" w:rsidRDefault="00A77083">
      <w:pPr>
        <w:rPr>
          <w:sz w:val="21"/>
          <w:szCs w:val="21"/>
          <w:lang w:val="en-US"/>
        </w:rPr>
      </w:pPr>
      <w:r>
        <w:rPr>
          <w:sz w:val="21"/>
          <w:szCs w:val="21"/>
          <w:lang w:val="en-US"/>
        </w:rPr>
        <w:br w:type="page"/>
      </w:r>
    </w:p>
    <w:p w14:paraId="11C4198C" w14:textId="759D5279" w:rsidR="0003608C" w:rsidRPr="00590387" w:rsidRDefault="00A31867" w:rsidP="009C545C">
      <w:pPr>
        <w:pStyle w:val="Heading1"/>
        <w:numPr>
          <w:ilvl w:val="0"/>
          <w:numId w:val="33"/>
        </w:numPr>
        <w:spacing w:before="0" w:line="240" w:lineRule="auto"/>
      </w:pPr>
      <w:bookmarkStart w:id="0" w:name="_Toc143701977"/>
      <w:r w:rsidRPr="00590387">
        <w:rPr>
          <w:rStyle w:val="Heading1Char"/>
          <w:b/>
          <w:bCs/>
        </w:rPr>
        <w:lastRenderedPageBreak/>
        <w:t xml:space="preserve">ICC Proposals for </w:t>
      </w:r>
      <w:r w:rsidRPr="00476926">
        <w:rPr>
          <w:rStyle w:val="Heading1Char"/>
          <w:b/>
          <w:bCs/>
        </w:rPr>
        <w:t>Effective Carbon Pricing</w:t>
      </w:r>
      <w:bookmarkEnd w:id="0"/>
      <w:r w:rsidR="002E4FAE" w:rsidRPr="00476926">
        <w:t xml:space="preserve"> </w:t>
      </w:r>
    </w:p>
    <w:p w14:paraId="3D78C22B" w14:textId="77777777" w:rsidR="00A31867" w:rsidRPr="00123805" w:rsidRDefault="00A31867" w:rsidP="00123805">
      <w:pPr>
        <w:pStyle w:val="ListParagraph"/>
        <w:spacing w:after="0" w:line="240" w:lineRule="auto"/>
        <w:rPr>
          <w:sz w:val="21"/>
          <w:szCs w:val="21"/>
          <w:lang w:val="en-US"/>
        </w:rPr>
      </w:pPr>
    </w:p>
    <w:p w14:paraId="6591BB48" w14:textId="2089FD66" w:rsidR="006A0D96" w:rsidRPr="00A144E0" w:rsidRDefault="00ED55BA" w:rsidP="00A144E0">
      <w:pPr>
        <w:spacing w:after="0" w:line="240" w:lineRule="auto"/>
        <w:rPr>
          <w:sz w:val="21"/>
          <w:szCs w:val="21"/>
        </w:rPr>
      </w:pPr>
      <w:r w:rsidRPr="00A144E0">
        <w:rPr>
          <w:sz w:val="21"/>
          <w:szCs w:val="21"/>
        </w:rPr>
        <w:t>As outline</w:t>
      </w:r>
      <w:r w:rsidR="007E3FFF" w:rsidRPr="00A144E0">
        <w:rPr>
          <w:sz w:val="21"/>
          <w:szCs w:val="21"/>
        </w:rPr>
        <w:t xml:space="preserve">d in </w:t>
      </w:r>
      <w:r w:rsidR="00A54000" w:rsidRPr="00A144E0">
        <w:rPr>
          <w:sz w:val="21"/>
          <w:szCs w:val="21"/>
        </w:rPr>
        <w:t xml:space="preserve">the </w:t>
      </w:r>
      <w:r w:rsidRPr="00A144E0">
        <w:rPr>
          <w:sz w:val="21"/>
          <w:szCs w:val="21"/>
        </w:rPr>
        <w:t>ICC Carbon Pricing Principles</w:t>
      </w:r>
      <w:r w:rsidR="006C6B67" w:rsidRPr="00A144E0">
        <w:rPr>
          <w:sz w:val="21"/>
          <w:szCs w:val="21"/>
        </w:rPr>
        <w:t>,</w:t>
      </w:r>
      <w:r w:rsidR="00BC23B8" w:rsidRPr="00A144E0">
        <w:rPr>
          <w:sz w:val="21"/>
          <w:szCs w:val="21"/>
        </w:rPr>
        <w:t xml:space="preserve"> effective and smartly designed carbon pricing </w:t>
      </w:r>
      <w:r w:rsidR="00910C2B" w:rsidRPr="00A144E0">
        <w:rPr>
          <w:sz w:val="21"/>
          <w:szCs w:val="21"/>
        </w:rPr>
        <w:t>mechanisms</w:t>
      </w:r>
      <w:r w:rsidR="00BC23B8" w:rsidRPr="00A144E0">
        <w:rPr>
          <w:sz w:val="21"/>
          <w:szCs w:val="21"/>
        </w:rPr>
        <w:t xml:space="preserve"> </w:t>
      </w:r>
      <w:r w:rsidR="00352DEB" w:rsidRPr="00A144E0">
        <w:rPr>
          <w:sz w:val="21"/>
          <w:szCs w:val="21"/>
        </w:rPr>
        <w:t xml:space="preserve">can </w:t>
      </w:r>
      <w:r w:rsidR="00BC23B8" w:rsidRPr="00A144E0">
        <w:rPr>
          <w:sz w:val="21"/>
          <w:szCs w:val="21"/>
        </w:rPr>
        <w:t xml:space="preserve">play </w:t>
      </w:r>
      <w:proofErr w:type="gramStart"/>
      <w:r w:rsidR="00BC23B8" w:rsidRPr="00A144E0">
        <w:rPr>
          <w:sz w:val="21"/>
          <w:szCs w:val="21"/>
        </w:rPr>
        <w:t>an important role</w:t>
      </w:r>
      <w:proofErr w:type="gramEnd"/>
      <w:r w:rsidR="00BC23B8" w:rsidRPr="00A144E0">
        <w:rPr>
          <w:sz w:val="21"/>
          <w:szCs w:val="21"/>
        </w:rPr>
        <w:t xml:space="preserve"> in </w:t>
      </w:r>
      <w:r w:rsidR="00910C2B" w:rsidRPr="00A144E0">
        <w:rPr>
          <w:sz w:val="21"/>
          <w:szCs w:val="21"/>
        </w:rPr>
        <w:t xml:space="preserve">reducing and removing greenhouse gas emissions and </w:t>
      </w:r>
      <w:r w:rsidR="00777B90" w:rsidRPr="00A144E0">
        <w:rPr>
          <w:sz w:val="21"/>
          <w:szCs w:val="21"/>
        </w:rPr>
        <w:t>achieving a net zero future by 20</w:t>
      </w:r>
      <w:r w:rsidR="00584C28" w:rsidRPr="00A144E0">
        <w:rPr>
          <w:sz w:val="21"/>
          <w:szCs w:val="21"/>
        </w:rPr>
        <w:t>50</w:t>
      </w:r>
      <w:r w:rsidR="00BC23B8" w:rsidRPr="00A144E0">
        <w:rPr>
          <w:sz w:val="21"/>
          <w:szCs w:val="21"/>
        </w:rPr>
        <w:t xml:space="preserve">. </w:t>
      </w:r>
      <w:r w:rsidR="00910C2B" w:rsidRPr="00A144E0">
        <w:rPr>
          <w:sz w:val="21"/>
          <w:szCs w:val="21"/>
        </w:rPr>
        <w:t>Effective</w:t>
      </w:r>
      <w:r w:rsidR="0044088A" w:rsidRPr="00A144E0">
        <w:rPr>
          <w:sz w:val="21"/>
          <w:szCs w:val="21"/>
        </w:rPr>
        <w:t xml:space="preserve"> </w:t>
      </w:r>
      <w:r w:rsidR="00BC23B8" w:rsidRPr="00A144E0">
        <w:rPr>
          <w:sz w:val="21"/>
          <w:szCs w:val="21"/>
        </w:rPr>
        <w:t xml:space="preserve">carbon pricing </w:t>
      </w:r>
      <w:r w:rsidR="00C52253" w:rsidRPr="00A144E0">
        <w:rPr>
          <w:sz w:val="21"/>
          <w:szCs w:val="21"/>
        </w:rPr>
        <w:t xml:space="preserve">systems </w:t>
      </w:r>
      <w:r w:rsidR="003032C3" w:rsidRPr="00A144E0">
        <w:rPr>
          <w:sz w:val="21"/>
          <w:szCs w:val="21"/>
        </w:rPr>
        <w:t>should:</w:t>
      </w:r>
    </w:p>
    <w:p w14:paraId="32CED168" w14:textId="4B59A60C" w:rsidR="00E100A2" w:rsidRPr="00A144E0" w:rsidRDefault="00E100A2" w:rsidP="00A144E0">
      <w:pPr>
        <w:spacing w:after="0" w:line="240" w:lineRule="auto"/>
        <w:rPr>
          <w:sz w:val="21"/>
          <w:szCs w:val="21"/>
        </w:rPr>
      </w:pPr>
    </w:p>
    <w:p w14:paraId="0D28B585" w14:textId="13DB1071" w:rsidR="00EA6BF4" w:rsidRPr="00A144E0" w:rsidRDefault="002F7AFD" w:rsidP="00A144E0">
      <w:pPr>
        <w:pStyle w:val="ListParagraph"/>
        <w:numPr>
          <w:ilvl w:val="0"/>
          <w:numId w:val="30"/>
        </w:numPr>
        <w:spacing w:after="0" w:line="240" w:lineRule="auto"/>
        <w:rPr>
          <w:b/>
          <w:bCs/>
          <w:sz w:val="21"/>
          <w:szCs w:val="21"/>
        </w:rPr>
      </w:pPr>
      <w:r w:rsidRPr="00A144E0">
        <w:rPr>
          <w:b/>
          <w:bCs/>
          <w:sz w:val="21"/>
          <w:szCs w:val="21"/>
        </w:rPr>
        <w:t xml:space="preserve">focus </w:t>
      </w:r>
      <w:r w:rsidR="00591C17" w:rsidRPr="00A144E0">
        <w:rPr>
          <w:b/>
          <w:bCs/>
          <w:sz w:val="21"/>
          <w:szCs w:val="21"/>
        </w:rPr>
        <w:t>on GHG emissions reduction</w:t>
      </w:r>
      <w:r w:rsidRPr="00A144E0">
        <w:rPr>
          <w:b/>
          <w:bCs/>
          <w:sz w:val="21"/>
          <w:szCs w:val="21"/>
        </w:rPr>
        <w:t xml:space="preserve"> </w:t>
      </w:r>
      <w:r w:rsidR="005010D8" w:rsidRPr="00A144E0">
        <w:rPr>
          <w:b/>
          <w:bCs/>
          <w:sz w:val="21"/>
          <w:szCs w:val="21"/>
        </w:rPr>
        <w:t xml:space="preserve">as prime target, including </w:t>
      </w:r>
      <w:r w:rsidR="0051321F" w:rsidRPr="00A144E0">
        <w:rPr>
          <w:b/>
          <w:bCs/>
          <w:sz w:val="21"/>
          <w:szCs w:val="21"/>
        </w:rPr>
        <w:t xml:space="preserve">prevention of </w:t>
      </w:r>
      <w:r w:rsidR="007E7178" w:rsidRPr="00A144E0">
        <w:rPr>
          <w:b/>
          <w:bCs/>
          <w:sz w:val="21"/>
          <w:szCs w:val="21"/>
        </w:rPr>
        <w:t xml:space="preserve">GHG </w:t>
      </w:r>
      <w:r w:rsidR="007E7178" w:rsidRPr="00A144E0">
        <w:rPr>
          <w:sz w:val="21"/>
          <w:szCs w:val="21"/>
        </w:rPr>
        <w:t>leakage</w:t>
      </w:r>
      <w:r w:rsidR="009D52AC" w:rsidRPr="00A144E0">
        <w:rPr>
          <w:sz w:val="21"/>
          <w:szCs w:val="21"/>
        </w:rPr>
        <w:t xml:space="preserve">, </w:t>
      </w:r>
      <w:r w:rsidR="00E225EF" w:rsidRPr="00A144E0">
        <w:rPr>
          <w:sz w:val="21"/>
          <w:szCs w:val="21"/>
        </w:rPr>
        <w:t>with the aim of</w:t>
      </w:r>
      <w:r w:rsidR="009D52AC" w:rsidRPr="00A144E0">
        <w:rPr>
          <w:sz w:val="21"/>
          <w:szCs w:val="21"/>
        </w:rPr>
        <w:t xml:space="preserve"> </w:t>
      </w:r>
      <w:r w:rsidR="00BC3AA6" w:rsidRPr="00A144E0">
        <w:rPr>
          <w:b/>
          <w:bCs/>
          <w:sz w:val="21"/>
          <w:szCs w:val="21"/>
        </w:rPr>
        <w:t>halving GHG emissions by 2030 and achieving net zero emissions by 2050</w:t>
      </w:r>
      <w:r w:rsidR="00BC3AA6" w:rsidRPr="00A144E0">
        <w:rPr>
          <w:sz w:val="21"/>
          <w:szCs w:val="21"/>
        </w:rPr>
        <w:t xml:space="preserve"> by both reducing</w:t>
      </w:r>
      <w:r w:rsidR="005071AE" w:rsidRPr="00A144E0">
        <w:rPr>
          <w:sz w:val="21"/>
          <w:szCs w:val="21"/>
        </w:rPr>
        <w:t xml:space="preserve"> </w:t>
      </w:r>
      <w:r w:rsidR="00BC3AA6" w:rsidRPr="00A144E0">
        <w:rPr>
          <w:sz w:val="21"/>
          <w:szCs w:val="21"/>
        </w:rPr>
        <w:t>emissions and increasing removals, in line with the latest available science;</w:t>
      </w:r>
    </w:p>
    <w:p w14:paraId="6DC879F1" w14:textId="31541809" w:rsidR="00EA6BF4" w:rsidRPr="00A144E0" w:rsidRDefault="00EA6BF4" w:rsidP="00A144E0">
      <w:pPr>
        <w:pStyle w:val="ListParagraph"/>
        <w:numPr>
          <w:ilvl w:val="0"/>
          <w:numId w:val="30"/>
        </w:numPr>
        <w:spacing w:after="0" w:line="240" w:lineRule="auto"/>
        <w:rPr>
          <w:sz w:val="21"/>
          <w:szCs w:val="21"/>
        </w:rPr>
      </w:pPr>
      <w:r w:rsidRPr="00A144E0">
        <w:rPr>
          <w:b/>
          <w:bCs/>
          <w:sz w:val="21"/>
          <w:szCs w:val="21"/>
        </w:rPr>
        <w:t>provide a predictable framework</w:t>
      </w:r>
      <w:r w:rsidRPr="00A144E0">
        <w:rPr>
          <w:sz w:val="21"/>
          <w:szCs w:val="21"/>
        </w:rPr>
        <w:t xml:space="preserve"> t</w:t>
      </w:r>
      <w:r w:rsidR="00910C2B" w:rsidRPr="00A144E0">
        <w:rPr>
          <w:sz w:val="21"/>
          <w:szCs w:val="21"/>
        </w:rPr>
        <w:t xml:space="preserve">o </w:t>
      </w:r>
      <w:r w:rsidRPr="00A144E0">
        <w:rPr>
          <w:sz w:val="21"/>
          <w:szCs w:val="21"/>
        </w:rPr>
        <w:t xml:space="preserve">facilitate national, </w:t>
      </w:r>
      <w:proofErr w:type="gramStart"/>
      <w:r w:rsidRPr="00A144E0">
        <w:rPr>
          <w:sz w:val="21"/>
          <w:szCs w:val="21"/>
        </w:rPr>
        <w:t>subnational</w:t>
      </w:r>
      <w:proofErr w:type="gramEnd"/>
      <w:r w:rsidRPr="00A144E0">
        <w:rPr>
          <w:sz w:val="21"/>
          <w:szCs w:val="21"/>
        </w:rPr>
        <w:t xml:space="preserve"> and international cooperation</w:t>
      </w:r>
      <w:r w:rsidR="00FB100C" w:rsidRPr="00A144E0">
        <w:rPr>
          <w:sz w:val="21"/>
          <w:szCs w:val="21"/>
        </w:rPr>
        <w:t>;</w:t>
      </w:r>
      <w:r w:rsidRPr="00A144E0">
        <w:rPr>
          <w:sz w:val="21"/>
          <w:szCs w:val="21"/>
        </w:rPr>
        <w:t xml:space="preserve"> </w:t>
      </w:r>
    </w:p>
    <w:p w14:paraId="3EFB0F75" w14:textId="22F28AEB" w:rsidR="00EA6BF4" w:rsidRPr="00A144E0" w:rsidRDefault="00910C2B" w:rsidP="00A144E0">
      <w:pPr>
        <w:pStyle w:val="ListParagraph"/>
        <w:numPr>
          <w:ilvl w:val="0"/>
          <w:numId w:val="30"/>
        </w:numPr>
        <w:spacing w:after="0" w:line="240" w:lineRule="auto"/>
        <w:rPr>
          <w:sz w:val="21"/>
          <w:szCs w:val="21"/>
        </w:rPr>
      </w:pPr>
      <w:r w:rsidRPr="00A144E0">
        <w:rPr>
          <w:b/>
          <w:bCs/>
          <w:sz w:val="21"/>
          <w:szCs w:val="21"/>
        </w:rPr>
        <w:t>adopt</w:t>
      </w:r>
      <w:r w:rsidR="00EA6BF4" w:rsidRPr="00A144E0">
        <w:rPr>
          <w:b/>
          <w:bCs/>
          <w:sz w:val="21"/>
          <w:szCs w:val="21"/>
        </w:rPr>
        <w:t xml:space="preserve"> a </w:t>
      </w:r>
      <w:r w:rsidRPr="00A144E0">
        <w:rPr>
          <w:b/>
          <w:bCs/>
          <w:sz w:val="21"/>
          <w:szCs w:val="21"/>
        </w:rPr>
        <w:t xml:space="preserve">meaningful </w:t>
      </w:r>
      <w:r w:rsidR="00EA6BF4" w:rsidRPr="00A144E0">
        <w:rPr>
          <w:b/>
          <w:bCs/>
          <w:sz w:val="21"/>
          <w:szCs w:val="21"/>
        </w:rPr>
        <w:t>carbon price</w:t>
      </w:r>
      <w:r w:rsidR="00EA6BF4" w:rsidRPr="00A144E0">
        <w:rPr>
          <w:sz w:val="21"/>
          <w:szCs w:val="21"/>
        </w:rPr>
        <w:t xml:space="preserve"> within the country or region to create behaviour </w:t>
      </w:r>
      <w:r w:rsidR="00E756B4" w:rsidRPr="00A144E0">
        <w:rPr>
          <w:sz w:val="21"/>
          <w:szCs w:val="21"/>
        </w:rPr>
        <w:t>change;</w:t>
      </w:r>
      <w:r w:rsidR="00EA6BF4" w:rsidRPr="00A144E0">
        <w:rPr>
          <w:sz w:val="21"/>
          <w:szCs w:val="21"/>
        </w:rPr>
        <w:t xml:space="preserve"> </w:t>
      </w:r>
    </w:p>
    <w:p w14:paraId="408CCD8D" w14:textId="529AAB18" w:rsidR="00EA6BF4" w:rsidRPr="00A144E0" w:rsidRDefault="00910C2B" w:rsidP="00A144E0">
      <w:pPr>
        <w:pStyle w:val="ListParagraph"/>
        <w:numPr>
          <w:ilvl w:val="0"/>
          <w:numId w:val="30"/>
        </w:numPr>
        <w:spacing w:after="0" w:line="240" w:lineRule="auto"/>
        <w:rPr>
          <w:sz w:val="21"/>
          <w:szCs w:val="21"/>
        </w:rPr>
      </w:pPr>
      <w:r w:rsidRPr="00A144E0">
        <w:rPr>
          <w:b/>
          <w:bCs/>
          <w:sz w:val="21"/>
          <w:szCs w:val="21"/>
        </w:rPr>
        <w:t xml:space="preserve">retain sufficient incrementality and flexibility </w:t>
      </w:r>
      <w:r w:rsidR="00EA6BF4" w:rsidRPr="00A144E0">
        <w:rPr>
          <w:sz w:val="21"/>
          <w:szCs w:val="21"/>
        </w:rPr>
        <w:t xml:space="preserve">to avoid economic shocks and </w:t>
      </w:r>
      <w:r w:rsidRPr="00A144E0">
        <w:rPr>
          <w:sz w:val="21"/>
          <w:szCs w:val="21"/>
        </w:rPr>
        <w:t>adapt over time</w:t>
      </w:r>
      <w:r w:rsidR="002E3C9C" w:rsidRPr="00A144E0">
        <w:rPr>
          <w:sz w:val="21"/>
          <w:szCs w:val="21"/>
        </w:rPr>
        <w:t>;</w:t>
      </w:r>
    </w:p>
    <w:p w14:paraId="74B67016" w14:textId="12B54CED" w:rsidR="00EA6BF4" w:rsidRPr="00A144E0" w:rsidRDefault="00EA6BF4" w:rsidP="00A144E0">
      <w:pPr>
        <w:pStyle w:val="ListParagraph"/>
        <w:numPr>
          <w:ilvl w:val="0"/>
          <w:numId w:val="30"/>
        </w:numPr>
        <w:spacing w:after="0" w:line="240" w:lineRule="auto"/>
        <w:rPr>
          <w:sz w:val="21"/>
          <w:szCs w:val="21"/>
        </w:rPr>
      </w:pPr>
      <w:r w:rsidRPr="00A144E0">
        <w:rPr>
          <w:b/>
          <w:bCs/>
          <w:sz w:val="21"/>
          <w:szCs w:val="21"/>
        </w:rPr>
        <w:t>ensure just transition</w:t>
      </w:r>
      <w:r w:rsidRPr="00A144E0">
        <w:rPr>
          <w:sz w:val="21"/>
          <w:szCs w:val="21"/>
        </w:rPr>
        <w:t xml:space="preserve"> with access to affordable, sustainable</w:t>
      </w:r>
      <w:r w:rsidR="00577DCE" w:rsidRPr="00A144E0">
        <w:rPr>
          <w:sz w:val="21"/>
          <w:szCs w:val="21"/>
        </w:rPr>
        <w:t>,</w:t>
      </w:r>
      <w:r w:rsidRPr="00A144E0">
        <w:rPr>
          <w:sz w:val="21"/>
          <w:szCs w:val="21"/>
        </w:rPr>
        <w:t xml:space="preserve"> and low-carbon energy sources for all, as well as associated opportunities for jobs and skills development</w:t>
      </w:r>
      <w:r w:rsidR="002E3C9C" w:rsidRPr="00A144E0">
        <w:rPr>
          <w:sz w:val="21"/>
          <w:szCs w:val="21"/>
        </w:rPr>
        <w:t>; and</w:t>
      </w:r>
      <w:r w:rsidRPr="00A144E0">
        <w:rPr>
          <w:sz w:val="21"/>
          <w:szCs w:val="21"/>
        </w:rPr>
        <w:t xml:space="preserve">   </w:t>
      </w:r>
    </w:p>
    <w:p w14:paraId="15F70257" w14:textId="6138BD11" w:rsidR="00EA6BF4" w:rsidRPr="00A144E0" w:rsidRDefault="00EA6BF4" w:rsidP="00A144E0">
      <w:pPr>
        <w:pStyle w:val="ListParagraph"/>
        <w:numPr>
          <w:ilvl w:val="0"/>
          <w:numId w:val="30"/>
        </w:numPr>
        <w:spacing w:after="0" w:line="240" w:lineRule="auto"/>
        <w:rPr>
          <w:sz w:val="21"/>
          <w:szCs w:val="21"/>
        </w:rPr>
      </w:pPr>
      <w:r w:rsidRPr="00A144E0">
        <w:rPr>
          <w:b/>
          <w:bCs/>
          <w:sz w:val="21"/>
          <w:szCs w:val="21"/>
        </w:rPr>
        <w:t xml:space="preserve">support </w:t>
      </w:r>
      <w:r w:rsidR="00172535" w:rsidRPr="00A144E0">
        <w:rPr>
          <w:b/>
          <w:bCs/>
          <w:sz w:val="21"/>
          <w:szCs w:val="21"/>
        </w:rPr>
        <w:t xml:space="preserve">sustainable development </w:t>
      </w:r>
      <w:r w:rsidR="00C14D7B" w:rsidRPr="00A144E0">
        <w:rPr>
          <w:b/>
          <w:bCs/>
          <w:sz w:val="21"/>
          <w:szCs w:val="21"/>
        </w:rPr>
        <w:t xml:space="preserve">objectives </w:t>
      </w:r>
      <w:r w:rsidR="00854BCE" w:rsidRPr="00A144E0">
        <w:rPr>
          <w:b/>
          <w:bCs/>
          <w:sz w:val="21"/>
          <w:szCs w:val="21"/>
        </w:rPr>
        <w:t>and climate policy action</w:t>
      </w:r>
      <w:r w:rsidR="008D5C88" w:rsidRPr="00A144E0">
        <w:rPr>
          <w:b/>
          <w:bCs/>
          <w:sz w:val="21"/>
          <w:szCs w:val="21"/>
        </w:rPr>
        <w:t>s</w:t>
      </w:r>
      <w:r w:rsidR="00910C2B" w:rsidRPr="00A144E0">
        <w:rPr>
          <w:sz w:val="21"/>
          <w:szCs w:val="21"/>
        </w:rPr>
        <w:t xml:space="preserve"> </w:t>
      </w:r>
      <w:r w:rsidR="00C95B3B" w:rsidRPr="00A144E0">
        <w:rPr>
          <w:sz w:val="21"/>
          <w:szCs w:val="21"/>
        </w:rPr>
        <w:t>being</w:t>
      </w:r>
      <w:r w:rsidR="00910C2B" w:rsidRPr="00A144E0">
        <w:rPr>
          <w:sz w:val="21"/>
          <w:szCs w:val="21"/>
        </w:rPr>
        <w:t xml:space="preserve"> </w:t>
      </w:r>
      <w:r w:rsidRPr="00A144E0">
        <w:rPr>
          <w:sz w:val="21"/>
          <w:szCs w:val="21"/>
        </w:rPr>
        <w:t xml:space="preserve">complementary </w:t>
      </w:r>
      <w:r w:rsidR="000E7A39" w:rsidRPr="00A144E0">
        <w:rPr>
          <w:sz w:val="21"/>
          <w:szCs w:val="21"/>
        </w:rPr>
        <w:t xml:space="preserve">to, </w:t>
      </w:r>
      <w:r w:rsidRPr="00A144E0">
        <w:rPr>
          <w:sz w:val="21"/>
          <w:szCs w:val="21"/>
        </w:rPr>
        <w:t>or at least compatible with</w:t>
      </w:r>
      <w:r w:rsidR="000E7A39" w:rsidRPr="00A144E0">
        <w:rPr>
          <w:sz w:val="21"/>
          <w:szCs w:val="21"/>
        </w:rPr>
        <w:t>,</w:t>
      </w:r>
      <w:r w:rsidRPr="00A144E0">
        <w:rPr>
          <w:sz w:val="21"/>
          <w:szCs w:val="21"/>
        </w:rPr>
        <w:t xml:space="preserve"> other </w:t>
      </w:r>
      <w:r w:rsidR="00910C2B" w:rsidRPr="00A144E0">
        <w:rPr>
          <w:sz w:val="21"/>
          <w:szCs w:val="21"/>
        </w:rPr>
        <w:t xml:space="preserve">national </w:t>
      </w:r>
      <w:r w:rsidRPr="00A144E0">
        <w:rPr>
          <w:sz w:val="21"/>
          <w:szCs w:val="21"/>
        </w:rPr>
        <w:t>decarbonisation policy design efforts.</w:t>
      </w:r>
    </w:p>
    <w:p w14:paraId="60C70197" w14:textId="77777777" w:rsidR="00685E51" w:rsidRPr="00A144E0" w:rsidRDefault="00685E51" w:rsidP="00A144E0">
      <w:pPr>
        <w:spacing w:after="0" w:line="240" w:lineRule="auto"/>
        <w:rPr>
          <w:sz w:val="21"/>
          <w:szCs w:val="21"/>
        </w:rPr>
      </w:pPr>
    </w:p>
    <w:p w14:paraId="7ABD9571" w14:textId="20A41089" w:rsidR="006C0565" w:rsidRPr="00A144E0" w:rsidRDefault="00685E51" w:rsidP="00A144E0">
      <w:pPr>
        <w:spacing w:after="0" w:line="240" w:lineRule="auto"/>
        <w:rPr>
          <w:sz w:val="21"/>
          <w:szCs w:val="21"/>
        </w:rPr>
      </w:pPr>
      <w:r w:rsidRPr="00A144E0">
        <w:rPr>
          <w:sz w:val="21"/>
          <w:szCs w:val="21"/>
        </w:rPr>
        <w:t xml:space="preserve">ICC provides the following proposals and key considerations for effective carbon pricing </w:t>
      </w:r>
      <w:r w:rsidR="00910C2B" w:rsidRPr="00A144E0">
        <w:rPr>
          <w:sz w:val="21"/>
          <w:szCs w:val="21"/>
        </w:rPr>
        <w:t xml:space="preserve">considerations for </w:t>
      </w:r>
      <w:r w:rsidRPr="00A144E0">
        <w:rPr>
          <w:sz w:val="21"/>
          <w:szCs w:val="21"/>
        </w:rPr>
        <w:t>leakage</w:t>
      </w:r>
      <w:r w:rsidR="00910C2B" w:rsidRPr="00A144E0">
        <w:rPr>
          <w:sz w:val="21"/>
          <w:szCs w:val="21"/>
        </w:rPr>
        <w:t xml:space="preserve"> and linkage </w:t>
      </w:r>
      <w:proofErr w:type="gramStart"/>
      <w:r w:rsidR="00910C2B" w:rsidRPr="00A144E0">
        <w:rPr>
          <w:sz w:val="21"/>
          <w:szCs w:val="21"/>
        </w:rPr>
        <w:t>in order to</w:t>
      </w:r>
      <w:proofErr w:type="gramEnd"/>
      <w:r w:rsidR="00910C2B" w:rsidRPr="00A144E0">
        <w:rPr>
          <w:sz w:val="21"/>
          <w:szCs w:val="21"/>
        </w:rPr>
        <w:t xml:space="preserve"> achieve the overriding objective of reducing global </w:t>
      </w:r>
      <w:r w:rsidR="0083398A" w:rsidRPr="00A144E0">
        <w:rPr>
          <w:sz w:val="21"/>
          <w:szCs w:val="21"/>
        </w:rPr>
        <w:t xml:space="preserve">GHG emissions. </w:t>
      </w:r>
    </w:p>
    <w:p w14:paraId="47D8983A" w14:textId="77777777" w:rsidR="00E100A2" w:rsidRPr="00A144E0" w:rsidRDefault="00E100A2" w:rsidP="00A144E0">
      <w:pPr>
        <w:spacing w:after="0" w:line="240" w:lineRule="auto"/>
        <w:rPr>
          <w:sz w:val="21"/>
          <w:szCs w:val="21"/>
        </w:rPr>
      </w:pPr>
    </w:p>
    <w:p w14:paraId="5EC42FF8" w14:textId="00A15222" w:rsidR="00E100A2" w:rsidRPr="00A144E0" w:rsidRDefault="00E100A2" w:rsidP="00A144E0">
      <w:pPr>
        <w:pStyle w:val="BodyText"/>
        <w:rPr>
          <w:b/>
          <w:bCs/>
          <w:sz w:val="21"/>
        </w:rPr>
      </w:pPr>
      <w:r w:rsidRPr="00A144E0">
        <w:rPr>
          <w:b/>
          <w:bCs/>
          <w:sz w:val="21"/>
        </w:rPr>
        <w:t>ICC proposals and key considerations for policymakers</w:t>
      </w:r>
    </w:p>
    <w:p w14:paraId="66832EAD" w14:textId="1E5004BE" w:rsidR="007B070A" w:rsidRPr="00A144E0" w:rsidRDefault="007B070A" w:rsidP="00A144E0">
      <w:pPr>
        <w:pStyle w:val="BodyText"/>
        <w:rPr>
          <w:sz w:val="21"/>
        </w:rPr>
      </w:pPr>
      <w:r w:rsidRPr="00A144E0">
        <w:rPr>
          <w:sz w:val="21"/>
        </w:rPr>
        <w:t>Based on the overview and analysis outlined in Section</w:t>
      </w:r>
      <w:r w:rsidR="002D68FC" w:rsidRPr="00A144E0">
        <w:rPr>
          <w:sz w:val="21"/>
        </w:rPr>
        <w:t>s</w:t>
      </w:r>
      <w:r w:rsidRPr="00A144E0">
        <w:rPr>
          <w:sz w:val="21"/>
        </w:rPr>
        <w:t xml:space="preserve"> II</w:t>
      </w:r>
      <w:r w:rsidR="00AF01F0" w:rsidRPr="00A144E0">
        <w:rPr>
          <w:sz w:val="21"/>
        </w:rPr>
        <w:t>I and IV</w:t>
      </w:r>
      <w:r w:rsidRPr="00A144E0">
        <w:rPr>
          <w:sz w:val="21"/>
        </w:rPr>
        <w:t xml:space="preserve"> below, which further build on previous </w:t>
      </w:r>
      <w:r w:rsidR="00047C07" w:rsidRPr="00A144E0">
        <w:rPr>
          <w:sz w:val="21"/>
        </w:rPr>
        <w:t xml:space="preserve">ICC </w:t>
      </w:r>
      <w:r w:rsidRPr="00A144E0">
        <w:rPr>
          <w:sz w:val="21"/>
        </w:rPr>
        <w:t xml:space="preserve">work as well as insights gleaned from exchanges with governments and academia, ICC believes that countries should consider </w:t>
      </w:r>
      <w:r w:rsidR="00910C2B" w:rsidRPr="00A144E0">
        <w:rPr>
          <w:i/>
          <w:iCs/>
          <w:sz w:val="21"/>
        </w:rPr>
        <w:t>carbon leakage and carbon linkage</w:t>
      </w:r>
      <w:r w:rsidR="00910C2B" w:rsidRPr="00A144E0">
        <w:rPr>
          <w:sz w:val="21"/>
        </w:rPr>
        <w:t xml:space="preserve"> in </w:t>
      </w:r>
      <w:r w:rsidRPr="00A144E0">
        <w:rPr>
          <w:sz w:val="21"/>
        </w:rPr>
        <w:t>the development of effective carbon pricing systems</w:t>
      </w:r>
      <w:r w:rsidR="00910C2B" w:rsidRPr="00A144E0">
        <w:rPr>
          <w:sz w:val="21"/>
        </w:rPr>
        <w:t xml:space="preserve"> to enhance a </w:t>
      </w:r>
      <w:r w:rsidRPr="00A144E0">
        <w:rPr>
          <w:sz w:val="21"/>
        </w:rPr>
        <w:t>medium and long term sustained and robust global carbon market</w:t>
      </w:r>
      <w:r w:rsidR="00910C2B" w:rsidRPr="00A144E0">
        <w:rPr>
          <w:sz w:val="21"/>
        </w:rPr>
        <w:t>.</w:t>
      </w:r>
      <w:r w:rsidRPr="00A144E0">
        <w:rPr>
          <w:sz w:val="21"/>
        </w:rPr>
        <w:t xml:space="preserve"> </w:t>
      </w:r>
      <w:r w:rsidR="005E3E61" w:rsidRPr="00A144E0">
        <w:rPr>
          <w:sz w:val="21"/>
        </w:rPr>
        <w:t xml:space="preserve">International cooperation </w:t>
      </w:r>
      <w:r w:rsidR="0072340E" w:rsidRPr="00A144E0">
        <w:rPr>
          <w:sz w:val="21"/>
        </w:rPr>
        <w:t>will be</w:t>
      </w:r>
      <w:r w:rsidR="005E3E61" w:rsidRPr="00A144E0">
        <w:rPr>
          <w:sz w:val="21"/>
        </w:rPr>
        <w:t xml:space="preserve"> essential </w:t>
      </w:r>
      <w:proofErr w:type="gramStart"/>
      <w:r w:rsidR="005E3E61" w:rsidRPr="00A144E0">
        <w:rPr>
          <w:sz w:val="21"/>
        </w:rPr>
        <w:t>in order to</w:t>
      </w:r>
      <w:proofErr w:type="gramEnd"/>
      <w:r w:rsidR="005E3E61" w:rsidRPr="00A144E0">
        <w:rPr>
          <w:sz w:val="21"/>
        </w:rPr>
        <w:t xml:space="preserve"> develop consistent</w:t>
      </w:r>
      <w:r w:rsidR="0072340E" w:rsidRPr="00A144E0">
        <w:rPr>
          <w:sz w:val="21"/>
        </w:rPr>
        <w:t xml:space="preserve"> </w:t>
      </w:r>
      <w:r w:rsidR="005E3E61" w:rsidRPr="00A144E0">
        <w:rPr>
          <w:sz w:val="21"/>
        </w:rPr>
        <w:t xml:space="preserve">and </w:t>
      </w:r>
      <w:r w:rsidR="006956CF" w:rsidRPr="00A144E0">
        <w:rPr>
          <w:sz w:val="21"/>
        </w:rPr>
        <w:t xml:space="preserve">coherent </w:t>
      </w:r>
      <w:r w:rsidR="005E3E61" w:rsidRPr="00A144E0">
        <w:rPr>
          <w:sz w:val="21"/>
        </w:rPr>
        <w:t>approaches that are key to providing a global framework that better</w:t>
      </w:r>
      <w:r w:rsidR="0072340E" w:rsidRPr="00A144E0">
        <w:rPr>
          <w:sz w:val="21"/>
        </w:rPr>
        <w:t xml:space="preserve"> </w:t>
      </w:r>
      <w:r w:rsidR="005E3E61" w:rsidRPr="00A144E0">
        <w:rPr>
          <w:sz w:val="21"/>
        </w:rPr>
        <w:t>facilitates cross-border trade and investment and economic growth</w:t>
      </w:r>
      <w:r w:rsidR="0072340E" w:rsidRPr="00A144E0">
        <w:rPr>
          <w:sz w:val="21"/>
        </w:rPr>
        <w:t>.</w:t>
      </w:r>
    </w:p>
    <w:p w14:paraId="3DE3D04F" w14:textId="77777777" w:rsidR="007B070A" w:rsidRPr="00A144E0" w:rsidRDefault="007B070A" w:rsidP="00A144E0">
      <w:pPr>
        <w:pStyle w:val="BodyText"/>
        <w:rPr>
          <w:b/>
          <w:bCs/>
          <w:sz w:val="21"/>
        </w:rPr>
      </w:pPr>
    </w:p>
    <w:p w14:paraId="0322FB3F" w14:textId="4E0AA0EC" w:rsidR="00E100A2" w:rsidRPr="00A144E0" w:rsidRDefault="006C05A0" w:rsidP="00A144E0">
      <w:pPr>
        <w:pStyle w:val="Heading2"/>
        <w:rPr>
          <w:sz w:val="21"/>
          <w:szCs w:val="21"/>
        </w:rPr>
      </w:pPr>
      <w:bookmarkStart w:id="1" w:name="_Toc143701978"/>
      <w:r w:rsidRPr="00A144E0">
        <w:rPr>
          <w:sz w:val="21"/>
          <w:szCs w:val="21"/>
        </w:rPr>
        <w:t>C</w:t>
      </w:r>
      <w:r w:rsidR="000349C0" w:rsidRPr="00A144E0">
        <w:rPr>
          <w:sz w:val="21"/>
          <w:szCs w:val="21"/>
        </w:rPr>
        <w:t>arbon leakage</w:t>
      </w:r>
      <w:bookmarkEnd w:id="1"/>
    </w:p>
    <w:p w14:paraId="287A47EA" w14:textId="4A9E72FE" w:rsidR="00466D56" w:rsidRPr="00A144E0" w:rsidRDefault="0081623C" w:rsidP="00A144E0">
      <w:pPr>
        <w:spacing w:after="0" w:line="240" w:lineRule="auto"/>
        <w:rPr>
          <w:sz w:val="21"/>
          <w:szCs w:val="21"/>
        </w:rPr>
      </w:pPr>
      <w:r w:rsidRPr="00A144E0">
        <w:rPr>
          <w:sz w:val="21"/>
          <w:szCs w:val="21"/>
          <w:lang w:val="en-US"/>
        </w:rPr>
        <w:br/>
      </w:r>
      <w:r w:rsidR="0043767A" w:rsidRPr="00A144E0">
        <w:rPr>
          <w:sz w:val="21"/>
          <w:szCs w:val="21"/>
          <w:lang w:val="en-US"/>
        </w:rPr>
        <w:t>The Paris Agreement recognises the importance of international cooperation and coordinated solutions at all levels</w:t>
      </w:r>
      <w:r w:rsidR="005E0F8A" w:rsidRPr="00A144E0">
        <w:rPr>
          <w:sz w:val="21"/>
          <w:szCs w:val="21"/>
          <w:lang w:val="en-US"/>
        </w:rPr>
        <w:t xml:space="preserve"> </w:t>
      </w:r>
      <w:proofErr w:type="gramStart"/>
      <w:r w:rsidR="005E0F8A" w:rsidRPr="00A144E0">
        <w:rPr>
          <w:sz w:val="21"/>
          <w:szCs w:val="21"/>
          <w:lang w:val="en-US"/>
        </w:rPr>
        <w:t>in order</w:t>
      </w:r>
      <w:r w:rsidR="004A3EFC" w:rsidRPr="00A144E0">
        <w:rPr>
          <w:sz w:val="21"/>
          <w:szCs w:val="21"/>
          <w:lang w:val="en-US"/>
        </w:rPr>
        <w:t xml:space="preserve"> to</w:t>
      </w:r>
      <w:proofErr w:type="gramEnd"/>
      <w:r w:rsidR="004A3EFC" w:rsidRPr="00A144E0">
        <w:rPr>
          <w:sz w:val="21"/>
          <w:szCs w:val="21"/>
          <w:lang w:val="en-US"/>
        </w:rPr>
        <w:t xml:space="preserve"> </w:t>
      </w:r>
      <w:r w:rsidR="00363E3B" w:rsidRPr="00A144E0">
        <w:rPr>
          <w:sz w:val="21"/>
          <w:szCs w:val="21"/>
        </w:rPr>
        <w:t>allow for higher climate ambition and action</w:t>
      </w:r>
      <w:r w:rsidR="00F423C1" w:rsidRPr="00A144E0">
        <w:rPr>
          <w:sz w:val="21"/>
          <w:szCs w:val="21"/>
        </w:rPr>
        <w:t>. M</w:t>
      </w:r>
      <w:r w:rsidR="00B40968" w:rsidRPr="00A144E0">
        <w:rPr>
          <w:sz w:val="21"/>
          <w:szCs w:val="21"/>
        </w:rPr>
        <w:t xml:space="preserve">ost importantly, </w:t>
      </w:r>
      <w:r w:rsidR="00E511B1" w:rsidRPr="00A144E0">
        <w:rPr>
          <w:sz w:val="21"/>
          <w:szCs w:val="21"/>
        </w:rPr>
        <w:t xml:space="preserve">Article </w:t>
      </w:r>
      <w:r w:rsidR="00E756B4" w:rsidRPr="00A144E0">
        <w:rPr>
          <w:sz w:val="21"/>
          <w:szCs w:val="21"/>
        </w:rPr>
        <w:t>6 aims</w:t>
      </w:r>
      <w:r w:rsidR="00843383" w:rsidRPr="00A144E0">
        <w:rPr>
          <w:sz w:val="21"/>
          <w:szCs w:val="21"/>
        </w:rPr>
        <w:t xml:space="preserve"> to enable </w:t>
      </w:r>
      <w:r w:rsidR="003A1311" w:rsidRPr="00A144E0">
        <w:rPr>
          <w:sz w:val="21"/>
          <w:szCs w:val="21"/>
        </w:rPr>
        <w:t>countries and businesses to cost-effectively manage their emissions reductions through co-operation with other countries and businesses globally</w:t>
      </w:r>
      <w:r w:rsidR="004443AF" w:rsidRPr="00A144E0">
        <w:rPr>
          <w:sz w:val="21"/>
          <w:szCs w:val="21"/>
        </w:rPr>
        <w:t>.</w:t>
      </w:r>
      <w:r w:rsidR="003A1311" w:rsidRPr="00A144E0">
        <w:rPr>
          <w:sz w:val="21"/>
          <w:szCs w:val="21"/>
        </w:rPr>
        <w:t xml:space="preserve"> </w:t>
      </w:r>
    </w:p>
    <w:p w14:paraId="39D3C7C1" w14:textId="77777777" w:rsidR="00466D56" w:rsidRPr="00A144E0" w:rsidRDefault="00466D56" w:rsidP="00A144E0">
      <w:pPr>
        <w:spacing w:after="0" w:line="240" w:lineRule="auto"/>
        <w:rPr>
          <w:sz w:val="21"/>
          <w:szCs w:val="21"/>
        </w:rPr>
      </w:pPr>
    </w:p>
    <w:p w14:paraId="365C9A31" w14:textId="443C164E" w:rsidR="00285583" w:rsidRPr="00A144E0" w:rsidRDefault="00284121" w:rsidP="00A144E0">
      <w:pPr>
        <w:spacing w:after="0" w:line="240" w:lineRule="auto"/>
        <w:rPr>
          <w:b/>
          <w:bCs/>
          <w:sz w:val="21"/>
          <w:szCs w:val="21"/>
          <w:lang w:val="en-US"/>
        </w:rPr>
      </w:pPr>
      <w:r w:rsidRPr="00A144E0">
        <w:rPr>
          <w:sz w:val="21"/>
          <w:szCs w:val="21"/>
        </w:rPr>
        <w:t xml:space="preserve">While an agreement on the effective implementation for Article 6 is still outstanding, </w:t>
      </w:r>
      <w:proofErr w:type="gramStart"/>
      <w:r w:rsidRPr="00A144E0">
        <w:rPr>
          <w:sz w:val="21"/>
          <w:szCs w:val="21"/>
        </w:rPr>
        <w:t>many</w:t>
      </w:r>
      <w:proofErr w:type="gramEnd"/>
      <w:r w:rsidRPr="00A144E0">
        <w:rPr>
          <w:sz w:val="21"/>
          <w:szCs w:val="21"/>
        </w:rPr>
        <w:t xml:space="preserve"> countries have </w:t>
      </w:r>
      <w:r w:rsidR="00481496" w:rsidRPr="00A144E0">
        <w:rPr>
          <w:sz w:val="21"/>
          <w:szCs w:val="21"/>
        </w:rPr>
        <w:t>move</w:t>
      </w:r>
      <w:r w:rsidR="00F44865" w:rsidRPr="00A144E0">
        <w:rPr>
          <w:sz w:val="21"/>
          <w:szCs w:val="21"/>
        </w:rPr>
        <w:t>d</w:t>
      </w:r>
      <w:r w:rsidR="00481496" w:rsidRPr="00A144E0">
        <w:rPr>
          <w:sz w:val="21"/>
          <w:szCs w:val="21"/>
        </w:rPr>
        <w:t xml:space="preserve"> ahead and </w:t>
      </w:r>
      <w:r w:rsidRPr="00A144E0">
        <w:rPr>
          <w:sz w:val="21"/>
          <w:szCs w:val="21"/>
        </w:rPr>
        <w:t xml:space="preserve">adopted </w:t>
      </w:r>
      <w:r w:rsidR="00497768" w:rsidRPr="00A144E0">
        <w:rPr>
          <w:sz w:val="21"/>
          <w:szCs w:val="21"/>
        </w:rPr>
        <w:t xml:space="preserve">national and regional </w:t>
      </w:r>
      <w:r w:rsidRPr="00A144E0">
        <w:rPr>
          <w:sz w:val="21"/>
          <w:szCs w:val="21"/>
        </w:rPr>
        <w:t>carbon pricing instruments</w:t>
      </w:r>
      <w:r w:rsidR="00933606" w:rsidRPr="00A144E0">
        <w:rPr>
          <w:sz w:val="21"/>
          <w:szCs w:val="21"/>
        </w:rPr>
        <w:t>.</w:t>
      </w:r>
      <w:r w:rsidR="00F423C1" w:rsidRPr="00A144E0">
        <w:rPr>
          <w:sz w:val="21"/>
          <w:szCs w:val="21"/>
          <w:lang w:val="en-US"/>
        </w:rPr>
        <w:t xml:space="preserve"> </w:t>
      </w:r>
      <w:r w:rsidR="008E47BD" w:rsidRPr="00A144E0">
        <w:rPr>
          <w:sz w:val="21"/>
          <w:szCs w:val="21"/>
          <w:lang w:val="en-US"/>
        </w:rPr>
        <w:t xml:space="preserve">In </w:t>
      </w:r>
      <w:r w:rsidR="0094563E" w:rsidRPr="00A144E0">
        <w:rPr>
          <w:sz w:val="21"/>
          <w:szCs w:val="21"/>
          <w:lang w:val="en-US"/>
        </w:rPr>
        <w:t xml:space="preserve">the </w:t>
      </w:r>
      <w:r w:rsidR="008E47BD" w:rsidRPr="00A144E0">
        <w:rPr>
          <w:sz w:val="21"/>
          <w:szCs w:val="21"/>
          <w:lang w:val="en-US"/>
        </w:rPr>
        <w:t xml:space="preserve">absence of a more coherent and coordinated approach, </w:t>
      </w:r>
      <w:r w:rsidR="00F423C1" w:rsidRPr="00A144E0">
        <w:rPr>
          <w:sz w:val="21"/>
          <w:szCs w:val="21"/>
          <w:lang w:val="en-US"/>
        </w:rPr>
        <w:t>t</w:t>
      </w:r>
      <w:r w:rsidR="00F25870" w:rsidRPr="00A144E0">
        <w:rPr>
          <w:sz w:val="21"/>
          <w:szCs w:val="21"/>
          <w:lang w:val="en-US"/>
        </w:rPr>
        <w:t xml:space="preserve">here is </w:t>
      </w:r>
      <w:r w:rsidR="0083382B" w:rsidRPr="00A144E0">
        <w:rPr>
          <w:sz w:val="21"/>
          <w:szCs w:val="21"/>
          <w:lang w:val="en-US"/>
        </w:rPr>
        <w:t xml:space="preserve">an increased </w:t>
      </w:r>
      <w:r w:rsidR="00F25870" w:rsidRPr="00A144E0">
        <w:rPr>
          <w:sz w:val="21"/>
          <w:szCs w:val="21"/>
          <w:lang w:val="en-US"/>
        </w:rPr>
        <w:t xml:space="preserve">risk </w:t>
      </w:r>
      <w:r w:rsidR="008E47BD" w:rsidRPr="00A144E0">
        <w:rPr>
          <w:sz w:val="21"/>
          <w:szCs w:val="21"/>
          <w:lang w:val="en-US"/>
        </w:rPr>
        <w:t xml:space="preserve">that this </w:t>
      </w:r>
      <w:r w:rsidR="00F25870" w:rsidRPr="00A144E0">
        <w:rPr>
          <w:sz w:val="21"/>
          <w:szCs w:val="21"/>
          <w:lang w:val="en-US"/>
        </w:rPr>
        <w:t xml:space="preserve">asymmetrical </w:t>
      </w:r>
      <w:r w:rsidR="0083382B" w:rsidRPr="00A144E0">
        <w:rPr>
          <w:sz w:val="21"/>
          <w:szCs w:val="21"/>
          <w:lang w:val="en-US"/>
        </w:rPr>
        <w:t xml:space="preserve">approach </w:t>
      </w:r>
      <w:r w:rsidR="003032C3" w:rsidRPr="00A144E0">
        <w:rPr>
          <w:sz w:val="21"/>
          <w:szCs w:val="21"/>
          <w:lang w:val="en-US"/>
        </w:rPr>
        <w:t>lead</w:t>
      </w:r>
      <w:r w:rsidR="0083382B" w:rsidRPr="00A144E0">
        <w:rPr>
          <w:sz w:val="21"/>
          <w:szCs w:val="21"/>
          <w:lang w:val="en-US"/>
        </w:rPr>
        <w:t>s</w:t>
      </w:r>
      <w:r w:rsidR="00F25870" w:rsidRPr="00A144E0">
        <w:rPr>
          <w:sz w:val="21"/>
          <w:szCs w:val="21"/>
          <w:lang w:val="en-US"/>
        </w:rPr>
        <w:t xml:space="preserve"> to shifting of </w:t>
      </w:r>
      <w:r w:rsidR="00C517C4" w:rsidRPr="00A144E0">
        <w:rPr>
          <w:sz w:val="21"/>
          <w:szCs w:val="21"/>
          <w:lang w:val="en-US"/>
        </w:rPr>
        <w:t xml:space="preserve">investment, </w:t>
      </w:r>
      <w:proofErr w:type="gramStart"/>
      <w:r w:rsidR="00C517C4" w:rsidRPr="00A144E0">
        <w:rPr>
          <w:sz w:val="21"/>
          <w:szCs w:val="21"/>
          <w:lang w:val="en-US"/>
        </w:rPr>
        <w:t>production</w:t>
      </w:r>
      <w:proofErr w:type="gramEnd"/>
      <w:r w:rsidR="00C517C4" w:rsidRPr="00A144E0">
        <w:rPr>
          <w:sz w:val="21"/>
          <w:szCs w:val="21"/>
          <w:lang w:val="en-US"/>
        </w:rPr>
        <w:t xml:space="preserve"> and emissions to other regions</w:t>
      </w:r>
      <w:r w:rsidR="00F25870" w:rsidRPr="00A144E0">
        <w:rPr>
          <w:sz w:val="21"/>
          <w:szCs w:val="21"/>
          <w:lang w:val="en-US"/>
        </w:rPr>
        <w:t>, which could limit CO2 emissions reductions</w:t>
      </w:r>
      <w:r w:rsidR="00C3625C" w:rsidRPr="00A144E0">
        <w:rPr>
          <w:sz w:val="21"/>
          <w:szCs w:val="21"/>
          <w:lang w:val="en-US"/>
        </w:rPr>
        <w:t xml:space="preserve"> efforts</w:t>
      </w:r>
      <w:r w:rsidR="00F25870" w:rsidRPr="00A144E0">
        <w:rPr>
          <w:sz w:val="21"/>
          <w:szCs w:val="21"/>
          <w:lang w:val="en-US"/>
        </w:rPr>
        <w:t>.</w:t>
      </w:r>
    </w:p>
    <w:p w14:paraId="62BCEEB6" w14:textId="77777777" w:rsidR="00D036F5" w:rsidRPr="00A144E0" w:rsidRDefault="00D036F5" w:rsidP="00A144E0">
      <w:pPr>
        <w:spacing w:after="0" w:line="240" w:lineRule="auto"/>
        <w:rPr>
          <w:sz w:val="21"/>
          <w:szCs w:val="21"/>
          <w:lang w:val="en-US"/>
        </w:rPr>
      </w:pPr>
    </w:p>
    <w:p w14:paraId="5BF9A8A0" w14:textId="0BA11B0D" w:rsidR="00C1675F" w:rsidRPr="00A144E0" w:rsidRDefault="00D244A6" w:rsidP="00A144E0">
      <w:pPr>
        <w:spacing w:after="0" w:line="240" w:lineRule="auto"/>
        <w:rPr>
          <w:sz w:val="21"/>
          <w:szCs w:val="21"/>
          <w:lang w:val="en-US"/>
        </w:rPr>
      </w:pPr>
      <w:r w:rsidRPr="00A144E0">
        <w:rPr>
          <w:sz w:val="21"/>
          <w:szCs w:val="21"/>
          <w:lang w:val="en-US"/>
        </w:rPr>
        <w:t>As g</w:t>
      </w:r>
      <w:r w:rsidR="00032743" w:rsidRPr="00A144E0">
        <w:rPr>
          <w:sz w:val="21"/>
          <w:szCs w:val="21"/>
          <w:lang w:val="en-US"/>
        </w:rPr>
        <w:t xml:space="preserve">overnments </w:t>
      </w:r>
      <w:r w:rsidRPr="00A144E0">
        <w:rPr>
          <w:sz w:val="21"/>
          <w:szCs w:val="21"/>
          <w:lang w:val="en-US"/>
        </w:rPr>
        <w:t>and polic</w:t>
      </w:r>
      <w:r w:rsidR="007C7B21" w:rsidRPr="00A144E0">
        <w:rPr>
          <w:sz w:val="21"/>
          <w:szCs w:val="21"/>
          <w:lang w:val="en-US"/>
        </w:rPr>
        <w:t>y</w:t>
      </w:r>
      <w:r w:rsidRPr="00A144E0">
        <w:rPr>
          <w:sz w:val="21"/>
          <w:szCs w:val="21"/>
          <w:lang w:val="en-US"/>
        </w:rPr>
        <w:t xml:space="preserve">makers seek to address </w:t>
      </w:r>
      <w:r w:rsidR="00C3625C" w:rsidRPr="00A144E0">
        <w:rPr>
          <w:sz w:val="21"/>
          <w:szCs w:val="21"/>
          <w:lang w:val="en-US"/>
        </w:rPr>
        <w:t xml:space="preserve">risks related to </w:t>
      </w:r>
      <w:r w:rsidRPr="00A144E0">
        <w:rPr>
          <w:sz w:val="21"/>
          <w:szCs w:val="21"/>
          <w:lang w:val="en-US"/>
        </w:rPr>
        <w:t xml:space="preserve">carbon leakage, they </w:t>
      </w:r>
      <w:r w:rsidR="006D5189" w:rsidRPr="00A144E0">
        <w:rPr>
          <w:sz w:val="21"/>
          <w:szCs w:val="21"/>
          <w:lang w:val="en-US"/>
        </w:rPr>
        <w:t>are encouraged to c</w:t>
      </w:r>
      <w:r w:rsidR="00032743" w:rsidRPr="00A144E0">
        <w:rPr>
          <w:sz w:val="21"/>
          <w:szCs w:val="21"/>
          <w:lang w:val="en-US"/>
        </w:rPr>
        <w:t>onsider the</w:t>
      </w:r>
      <w:r w:rsidR="00F66F21" w:rsidRPr="00A144E0">
        <w:rPr>
          <w:sz w:val="21"/>
          <w:szCs w:val="21"/>
          <w:lang w:val="en-US"/>
        </w:rPr>
        <w:t xml:space="preserve"> following </w:t>
      </w:r>
      <w:r w:rsidR="000D047A" w:rsidRPr="00A144E0">
        <w:rPr>
          <w:sz w:val="21"/>
          <w:szCs w:val="21"/>
          <w:lang w:val="en-US"/>
        </w:rPr>
        <w:t xml:space="preserve">broader principles and </w:t>
      </w:r>
      <w:r w:rsidR="004B0FFB" w:rsidRPr="00A144E0">
        <w:rPr>
          <w:sz w:val="21"/>
          <w:szCs w:val="21"/>
          <w:lang w:val="en-US"/>
        </w:rPr>
        <w:t>best practice</w:t>
      </w:r>
      <w:r w:rsidR="00685E51" w:rsidRPr="00A144E0">
        <w:rPr>
          <w:sz w:val="21"/>
          <w:szCs w:val="21"/>
          <w:lang w:val="en-US"/>
        </w:rPr>
        <w:t>s</w:t>
      </w:r>
      <w:r w:rsidR="004A2057" w:rsidRPr="00A144E0">
        <w:rPr>
          <w:sz w:val="21"/>
          <w:szCs w:val="21"/>
          <w:lang w:val="en-US"/>
        </w:rPr>
        <w:t xml:space="preserve">, </w:t>
      </w:r>
      <w:r w:rsidR="00685E51" w:rsidRPr="00A144E0">
        <w:rPr>
          <w:sz w:val="21"/>
          <w:szCs w:val="21"/>
          <w:lang w:val="en-US"/>
        </w:rPr>
        <w:t xml:space="preserve">with </w:t>
      </w:r>
      <w:r w:rsidR="00073F47" w:rsidRPr="00A144E0">
        <w:rPr>
          <w:sz w:val="21"/>
          <w:szCs w:val="21"/>
          <w:lang w:val="en-US"/>
        </w:rPr>
        <w:t xml:space="preserve">a view </w:t>
      </w:r>
      <w:r w:rsidR="00685E51" w:rsidRPr="00A144E0">
        <w:rPr>
          <w:sz w:val="21"/>
          <w:szCs w:val="21"/>
          <w:lang w:val="en-US"/>
        </w:rPr>
        <w:t>to</w:t>
      </w:r>
      <w:r w:rsidR="00073F47" w:rsidRPr="00A144E0">
        <w:rPr>
          <w:sz w:val="21"/>
          <w:szCs w:val="21"/>
          <w:lang w:val="en-US"/>
        </w:rPr>
        <w:t xml:space="preserve"> minimising any potential negative impact</w:t>
      </w:r>
      <w:r w:rsidR="004B0FFB" w:rsidRPr="00A144E0">
        <w:rPr>
          <w:sz w:val="21"/>
          <w:szCs w:val="21"/>
          <w:lang w:val="en-US"/>
        </w:rPr>
        <w:t>s</w:t>
      </w:r>
      <w:r w:rsidR="00073F47" w:rsidRPr="00A144E0">
        <w:rPr>
          <w:sz w:val="21"/>
          <w:szCs w:val="21"/>
          <w:lang w:val="en-US"/>
        </w:rPr>
        <w:t xml:space="preserve"> </w:t>
      </w:r>
      <w:r w:rsidR="00C175C4" w:rsidRPr="00A144E0">
        <w:rPr>
          <w:sz w:val="21"/>
          <w:szCs w:val="21"/>
          <w:lang w:val="en-US"/>
        </w:rPr>
        <w:t>and consequences on international commerce</w:t>
      </w:r>
      <w:r w:rsidR="00C1675F" w:rsidRPr="00A144E0">
        <w:rPr>
          <w:sz w:val="21"/>
          <w:szCs w:val="21"/>
          <w:lang w:val="en-US"/>
        </w:rPr>
        <w:t xml:space="preserve">: </w:t>
      </w:r>
    </w:p>
    <w:p w14:paraId="13C6F3CB" w14:textId="095CA1BB" w:rsidR="00C1675F" w:rsidRPr="00A144E0" w:rsidRDefault="00C1675F" w:rsidP="00A144E0">
      <w:pPr>
        <w:pStyle w:val="ListParagraph"/>
        <w:spacing w:after="0" w:line="240" w:lineRule="auto"/>
        <w:rPr>
          <w:sz w:val="21"/>
          <w:szCs w:val="21"/>
          <w:lang w:val="en-US"/>
        </w:rPr>
      </w:pPr>
    </w:p>
    <w:p w14:paraId="76F2C8EE" w14:textId="77777777" w:rsidR="00DA28AB" w:rsidRPr="00A144E0" w:rsidRDefault="00DA28AB" w:rsidP="00A144E0">
      <w:pPr>
        <w:pStyle w:val="ListParagraph"/>
        <w:numPr>
          <w:ilvl w:val="0"/>
          <w:numId w:val="16"/>
        </w:numPr>
        <w:spacing w:after="0" w:line="240" w:lineRule="auto"/>
        <w:rPr>
          <w:rFonts w:eastAsia="DengXian" w:cs="Arial"/>
          <w:color w:val="000000"/>
          <w:sz w:val="21"/>
          <w:szCs w:val="21"/>
        </w:rPr>
      </w:pPr>
      <w:r w:rsidRPr="00A144E0">
        <w:rPr>
          <w:rFonts w:cs="Arial"/>
          <w:b/>
          <w:bCs/>
          <w:color w:val="000000"/>
          <w:sz w:val="21"/>
          <w:szCs w:val="21"/>
        </w:rPr>
        <w:t>Be Non-discriminatory and compatible with WTO rules</w:t>
      </w:r>
      <w:r w:rsidRPr="00A144E0">
        <w:rPr>
          <w:rFonts w:cs="Arial"/>
          <w:color w:val="000000"/>
          <w:sz w:val="21"/>
          <w:szCs w:val="21"/>
        </w:rPr>
        <w:t xml:space="preserve"> </w:t>
      </w:r>
    </w:p>
    <w:p w14:paraId="5B134A0C" w14:textId="394EA1F2" w:rsidR="00DA28AB" w:rsidRPr="00A144E0" w:rsidRDefault="00DA28AB" w:rsidP="00A144E0">
      <w:pPr>
        <w:pStyle w:val="ListParagraph"/>
        <w:spacing w:after="0" w:line="240" w:lineRule="auto"/>
        <w:rPr>
          <w:rFonts w:eastAsia="DengXian" w:cs="Arial"/>
          <w:color w:val="000000"/>
          <w:sz w:val="21"/>
          <w:szCs w:val="21"/>
        </w:rPr>
      </w:pPr>
      <w:r w:rsidRPr="00A144E0">
        <w:rPr>
          <w:sz w:val="21"/>
          <w:szCs w:val="21"/>
          <w:lang w:val="en-US"/>
        </w:rPr>
        <w:t xml:space="preserve">Any measures to address carbon </w:t>
      </w:r>
      <w:r w:rsidR="003032C3" w:rsidRPr="00A144E0">
        <w:rPr>
          <w:sz w:val="21"/>
          <w:szCs w:val="21"/>
          <w:lang w:val="en-US"/>
        </w:rPr>
        <w:t>leakage should</w:t>
      </w:r>
      <w:r w:rsidRPr="00A144E0">
        <w:rPr>
          <w:sz w:val="21"/>
          <w:szCs w:val="21"/>
          <w:lang w:val="en-US"/>
        </w:rPr>
        <w:t xml:space="preserve"> be compatible with international treaties and agreements, most notably with World Trade Organization (WTO) rules and non-discrimination principles, </w:t>
      </w:r>
      <w:r w:rsidRPr="00A144E0">
        <w:rPr>
          <w:rFonts w:cs="Arial"/>
          <w:color w:val="000000"/>
          <w:sz w:val="21"/>
          <w:szCs w:val="21"/>
        </w:rPr>
        <w:t>considering</w:t>
      </w:r>
      <w:proofErr w:type="gramStart"/>
      <w:r w:rsidRPr="00A144E0">
        <w:rPr>
          <w:rFonts w:cs="Arial"/>
          <w:color w:val="000000"/>
          <w:sz w:val="21"/>
          <w:szCs w:val="21"/>
        </w:rPr>
        <w:t>, in particular, GATT</w:t>
      </w:r>
      <w:proofErr w:type="gramEnd"/>
      <w:r w:rsidRPr="00A144E0">
        <w:rPr>
          <w:rStyle w:val="FootnoteReference"/>
          <w:rFonts w:cs="Arial"/>
          <w:color w:val="000000"/>
          <w:sz w:val="21"/>
          <w:szCs w:val="21"/>
        </w:rPr>
        <w:footnoteReference w:id="5"/>
      </w:r>
      <w:r w:rsidRPr="00A144E0">
        <w:rPr>
          <w:rFonts w:cs="Arial"/>
          <w:color w:val="000000"/>
          <w:sz w:val="21"/>
          <w:szCs w:val="21"/>
        </w:rPr>
        <w:t xml:space="preserve"> provisions. This concludes that measures should respect both the Most-Favoured-Nation principle on equal treatment between imported products of different trading countries as well as the National-Treatment principle, ensuring equal treatment between domestic and imported goods</w:t>
      </w:r>
      <w:proofErr w:type="gramStart"/>
      <w:r w:rsidRPr="00A144E0">
        <w:rPr>
          <w:rFonts w:cs="Arial"/>
          <w:color w:val="000000"/>
          <w:sz w:val="21"/>
          <w:szCs w:val="21"/>
        </w:rPr>
        <w:t xml:space="preserve">.  </w:t>
      </w:r>
      <w:proofErr w:type="gramEnd"/>
    </w:p>
    <w:p w14:paraId="54F8A19A" w14:textId="77777777" w:rsidR="00DA28AB" w:rsidRPr="00A144E0" w:rsidRDefault="00DA28AB" w:rsidP="00A144E0">
      <w:pPr>
        <w:pStyle w:val="ListParagraph"/>
        <w:spacing w:after="0" w:line="240" w:lineRule="auto"/>
        <w:rPr>
          <w:rFonts w:eastAsia="DengXian" w:cs="Arial"/>
          <w:sz w:val="21"/>
          <w:szCs w:val="21"/>
        </w:rPr>
      </w:pPr>
    </w:p>
    <w:p w14:paraId="73218B6E" w14:textId="113C64ED" w:rsidR="00723340" w:rsidRPr="00A144E0" w:rsidRDefault="002B10B7" w:rsidP="00A144E0">
      <w:pPr>
        <w:pStyle w:val="ListParagraph"/>
        <w:numPr>
          <w:ilvl w:val="0"/>
          <w:numId w:val="16"/>
        </w:numPr>
        <w:spacing w:after="0" w:line="240" w:lineRule="auto"/>
        <w:rPr>
          <w:rFonts w:eastAsia="DengXian" w:cs="Arial"/>
          <w:sz w:val="21"/>
          <w:szCs w:val="21"/>
        </w:rPr>
      </w:pPr>
      <w:r w:rsidRPr="00A144E0">
        <w:rPr>
          <w:rFonts w:eastAsia="DengXian" w:cs="Arial"/>
          <w:b/>
          <w:bCs/>
          <w:sz w:val="21"/>
          <w:szCs w:val="21"/>
        </w:rPr>
        <w:t>Ensure c</w:t>
      </w:r>
      <w:r w:rsidR="00723340" w:rsidRPr="00A144E0">
        <w:rPr>
          <w:rFonts w:eastAsia="DengXian" w:cs="Arial"/>
          <w:b/>
          <w:bCs/>
          <w:sz w:val="21"/>
          <w:szCs w:val="21"/>
        </w:rPr>
        <w:t>areful design to prevent distortions</w:t>
      </w:r>
    </w:p>
    <w:p w14:paraId="61F831E0" w14:textId="06D653EE" w:rsidR="00DA1A8E" w:rsidRPr="00A144E0" w:rsidRDefault="00CA0120" w:rsidP="00A144E0">
      <w:pPr>
        <w:pStyle w:val="ListParagraph"/>
        <w:spacing w:after="0" w:line="240" w:lineRule="auto"/>
        <w:rPr>
          <w:bCs/>
          <w:sz w:val="21"/>
          <w:szCs w:val="21"/>
          <w:lang w:val="en-US"/>
        </w:rPr>
      </w:pPr>
      <w:r w:rsidRPr="00A144E0">
        <w:rPr>
          <w:sz w:val="21"/>
          <w:szCs w:val="21"/>
          <w:lang w:val="en-US"/>
        </w:rPr>
        <w:t>Any approaches to prevent carbon leakage should be</w:t>
      </w:r>
      <w:r w:rsidRPr="00A144E0">
        <w:rPr>
          <w:b/>
          <w:sz w:val="21"/>
          <w:szCs w:val="21"/>
          <w:lang w:val="en-US"/>
        </w:rPr>
        <w:t xml:space="preserve"> considered and designed carefully and proportionately</w:t>
      </w:r>
      <w:r w:rsidRPr="00A144E0">
        <w:rPr>
          <w:b/>
          <w:bCs/>
          <w:sz w:val="21"/>
          <w:szCs w:val="21"/>
          <w:lang w:val="en-US"/>
        </w:rPr>
        <w:t xml:space="preserve"> </w:t>
      </w:r>
      <w:r w:rsidRPr="00A144E0">
        <w:rPr>
          <w:sz w:val="21"/>
          <w:szCs w:val="21"/>
          <w:lang w:val="en-US"/>
        </w:rPr>
        <w:t xml:space="preserve">and should genuinely </w:t>
      </w:r>
      <w:r w:rsidRPr="00A144E0">
        <w:rPr>
          <w:b/>
          <w:bCs/>
          <w:sz w:val="21"/>
          <w:szCs w:val="21"/>
          <w:lang w:val="en-US"/>
        </w:rPr>
        <w:t>prevent economic and competitive distortions</w:t>
      </w:r>
      <w:r w:rsidRPr="00A144E0">
        <w:rPr>
          <w:sz w:val="21"/>
          <w:szCs w:val="21"/>
          <w:lang w:val="en-US"/>
        </w:rPr>
        <w:t xml:space="preserve"> between regions and sectors</w:t>
      </w:r>
      <w:r w:rsidR="007D78BB" w:rsidRPr="00A144E0">
        <w:rPr>
          <w:bCs/>
          <w:sz w:val="21"/>
          <w:szCs w:val="21"/>
          <w:lang w:val="en-US"/>
        </w:rPr>
        <w:t>.</w:t>
      </w:r>
      <w:r w:rsidR="0062316D" w:rsidRPr="00A144E0">
        <w:rPr>
          <w:bCs/>
          <w:sz w:val="21"/>
          <w:szCs w:val="21"/>
          <w:lang w:val="en-US"/>
        </w:rPr>
        <w:t xml:space="preserve"> </w:t>
      </w:r>
      <w:r w:rsidR="0059684A" w:rsidRPr="00A144E0">
        <w:rPr>
          <w:bCs/>
          <w:sz w:val="21"/>
          <w:szCs w:val="21"/>
          <w:lang w:val="en-US"/>
        </w:rPr>
        <w:t xml:space="preserve">The design of any measures should also </w:t>
      </w:r>
      <w:r w:rsidR="00FA051D" w:rsidRPr="00A144E0">
        <w:rPr>
          <w:bCs/>
          <w:sz w:val="21"/>
          <w:szCs w:val="21"/>
          <w:lang w:val="en-US"/>
        </w:rPr>
        <w:t>seek to close any potential loopholes</w:t>
      </w:r>
      <w:r w:rsidR="00C322B0" w:rsidRPr="00A144E0">
        <w:rPr>
          <w:bCs/>
          <w:sz w:val="21"/>
          <w:szCs w:val="21"/>
          <w:lang w:val="en-US"/>
        </w:rPr>
        <w:t xml:space="preserve"> to circumvent compliance with regulation.</w:t>
      </w:r>
    </w:p>
    <w:p w14:paraId="3AE31A98" w14:textId="77777777" w:rsidR="00DA1A8E" w:rsidRPr="00A144E0" w:rsidRDefault="00DA1A8E" w:rsidP="00A144E0">
      <w:pPr>
        <w:pStyle w:val="ListParagraph"/>
        <w:spacing w:after="0" w:line="240" w:lineRule="auto"/>
        <w:rPr>
          <w:bCs/>
          <w:sz w:val="21"/>
          <w:szCs w:val="21"/>
          <w:lang w:val="en-US"/>
        </w:rPr>
      </w:pPr>
    </w:p>
    <w:p w14:paraId="4D18F6CD" w14:textId="161E75F4" w:rsidR="00723340" w:rsidRPr="00A144E0" w:rsidRDefault="002E248A" w:rsidP="00A144E0">
      <w:pPr>
        <w:pStyle w:val="ListParagraph"/>
        <w:spacing w:after="0" w:line="240" w:lineRule="auto"/>
        <w:rPr>
          <w:rFonts w:eastAsia="DengXian" w:cs="Arial"/>
          <w:sz w:val="21"/>
          <w:szCs w:val="21"/>
        </w:rPr>
      </w:pPr>
      <w:r w:rsidRPr="00A144E0">
        <w:rPr>
          <w:bCs/>
          <w:sz w:val="21"/>
          <w:szCs w:val="21"/>
          <w:lang w:val="en-US"/>
        </w:rPr>
        <w:t xml:space="preserve">Countries should undertake a risk assessment on the effect of a </w:t>
      </w:r>
      <w:r w:rsidR="00DA1A8E" w:rsidRPr="00A144E0">
        <w:rPr>
          <w:bCs/>
          <w:sz w:val="21"/>
          <w:szCs w:val="21"/>
          <w:lang w:val="en-US"/>
        </w:rPr>
        <w:t>Border Carbon Adjustment (</w:t>
      </w:r>
      <w:r w:rsidRPr="00A144E0">
        <w:rPr>
          <w:bCs/>
          <w:sz w:val="21"/>
          <w:szCs w:val="21"/>
          <w:lang w:val="en-US"/>
        </w:rPr>
        <w:t>BCA</w:t>
      </w:r>
      <w:r w:rsidR="00DA1A8E" w:rsidRPr="00A144E0">
        <w:rPr>
          <w:bCs/>
          <w:sz w:val="21"/>
          <w:szCs w:val="21"/>
          <w:lang w:val="en-US"/>
        </w:rPr>
        <w:t>)</w:t>
      </w:r>
      <w:r w:rsidRPr="00A144E0">
        <w:rPr>
          <w:bCs/>
          <w:sz w:val="21"/>
          <w:szCs w:val="21"/>
          <w:lang w:val="en-US"/>
        </w:rPr>
        <w:t xml:space="preserve"> on developing economies’ exports and competitiveness</w:t>
      </w:r>
      <w:r w:rsidR="008031B5" w:rsidRPr="00A144E0">
        <w:rPr>
          <w:bCs/>
          <w:sz w:val="21"/>
          <w:szCs w:val="21"/>
          <w:lang w:val="en-US"/>
        </w:rPr>
        <w:t xml:space="preserve"> </w:t>
      </w:r>
      <w:r w:rsidR="001C1C63" w:rsidRPr="00A144E0">
        <w:rPr>
          <w:bCs/>
          <w:sz w:val="21"/>
          <w:szCs w:val="21"/>
          <w:lang w:val="en-US"/>
        </w:rPr>
        <w:t>vis-à-vis</w:t>
      </w:r>
      <w:r w:rsidR="008031B5" w:rsidRPr="00A144E0">
        <w:rPr>
          <w:bCs/>
          <w:sz w:val="21"/>
          <w:szCs w:val="21"/>
          <w:lang w:val="en-US"/>
        </w:rPr>
        <w:t xml:space="preserve"> the </w:t>
      </w:r>
      <w:r w:rsidR="00941EAD" w:rsidRPr="00A144E0">
        <w:rPr>
          <w:bCs/>
          <w:sz w:val="21"/>
          <w:szCs w:val="21"/>
          <w:lang w:val="en-US"/>
        </w:rPr>
        <w:t>objective to reduce GHG emissions</w:t>
      </w:r>
      <w:r w:rsidRPr="00A144E0">
        <w:rPr>
          <w:bCs/>
          <w:sz w:val="21"/>
          <w:szCs w:val="21"/>
          <w:lang w:val="en-US"/>
        </w:rPr>
        <w:t>.</w:t>
      </w:r>
      <w:r w:rsidRPr="00A144E0">
        <w:rPr>
          <w:b/>
          <w:sz w:val="21"/>
          <w:szCs w:val="21"/>
          <w:lang w:val="en-US"/>
        </w:rPr>
        <w:t xml:space="preserve"> </w:t>
      </w:r>
      <w:r w:rsidR="009947E4" w:rsidRPr="00A144E0">
        <w:rPr>
          <w:bCs/>
          <w:sz w:val="21"/>
          <w:szCs w:val="21"/>
          <w:lang w:val="en-US"/>
        </w:rPr>
        <w:t xml:space="preserve">Risks of </w:t>
      </w:r>
      <w:r w:rsidR="00C1127C" w:rsidRPr="00A144E0">
        <w:rPr>
          <w:bCs/>
          <w:sz w:val="21"/>
          <w:szCs w:val="21"/>
          <w:lang w:val="en-US"/>
        </w:rPr>
        <w:t>carbon</w:t>
      </w:r>
      <w:r w:rsidR="00352993" w:rsidRPr="00A144E0">
        <w:rPr>
          <w:bCs/>
          <w:sz w:val="21"/>
          <w:szCs w:val="21"/>
          <w:lang w:val="en-US"/>
        </w:rPr>
        <w:t xml:space="preserve"> leakage will differ by industry and p</w:t>
      </w:r>
      <w:r w:rsidR="00D62F00" w:rsidRPr="00A144E0">
        <w:rPr>
          <w:bCs/>
          <w:sz w:val="21"/>
          <w:szCs w:val="21"/>
          <w:lang w:val="en-US"/>
        </w:rPr>
        <w:t>olic</w:t>
      </w:r>
      <w:r w:rsidR="00322542" w:rsidRPr="00A144E0">
        <w:rPr>
          <w:bCs/>
          <w:sz w:val="21"/>
          <w:szCs w:val="21"/>
          <w:lang w:val="en-US"/>
        </w:rPr>
        <w:t>y</w:t>
      </w:r>
      <w:r w:rsidR="00D62F00" w:rsidRPr="00A144E0">
        <w:rPr>
          <w:bCs/>
          <w:sz w:val="21"/>
          <w:szCs w:val="21"/>
          <w:lang w:val="en-US"/>
        </w:rPr>
        <w:t xml:space="preserve">makers will need to reflect </w:t>
      </w:r>
      <w:r w:rsidR="00352993" w:rsidRPr="00A144E0">
        <w:rPr>
          <w:bCs/>
          <w:sz w:val="21"/>
          <w:szCs w:val="21"/>
          <w:lang w:val="en-US"/>
        </w:rPr>
        <w:t>o</w:t>
      </w:r>
      <w:r w:rsidR="00D62F00" w:rsidRPr="00A144E0">
        <w:rPr>
          <w:bCs/>
          <w:sz w:val="21"/>
          <w:szCs w:val="21"/>
          <w:lang w:val="en-US"/>
        </w:rPr>
        <w:t xml:space="preserve">n the industry mix of their territory in selecting and designing policy tools in this </w:t>
      </w:r>
      <w:r w:rsidR="00940308" w:rsidRPr="00A144E0">
        <w:rPr>
          <w:bCs/>
          <w:sz w:val="21"/>
          <w:szCs w:val="21"/>
          <w:lang w:val="en-US"/>
        </w:rPr>
        <w:t>area</w:t>
      </w:r>
      <w:r w:rsidR="00D62F00" w:rsidRPr="00A144E0">
        <w:rPr>
          <w:bCs/>
          <w:sz w:val="21"/>
          <w:szCs w:val="21"/>
          <w:lang w:val="en-US"/>
        </w:rPr>
        <w:t>.</w:t>
      </w:r>
      <w:r w:rsidR="00D62F00" w:rsidRPr="00A144E0">
        <w:rPr>
          <w:b/>
          <w:sz w:val="21"/>
          <w:szCs w:val="21"/>
          <w:lang w:val="en-US"/>
        </w:rPr>
        <w:t xml:space="preserve"> </w:t>
      </w:r>
      <w:r w:rsidR="00B44F56" w:rsidRPr="00A144E0">
        <w:rPr>
          <w:bCs/>
          <w:sz w:val="21"/>
          <w:szCs w:val="21"/>
          <w:lang w:val="en-US"/>
        </w:rPr>
        <w:t>A</w:t>
      </w:r>
      <w:r w:rsidR="003728FE" w:rsidRPr="00A144E0">
        <w:rPr>
          <w:bCs/>
          <w:sz w:val="21"/>
          <w:szCs w:val="21"/>
          <w:lang w:val="en-US"/>
        </w:rPr>
        <w:t>ny carbon leakage actions should be</w:t>
      </w:r>
      <w:r w:rsidR="00B44F56" w:rsidRPr="00A144E0">
        <w:rPr>
          <w:bCs/>
          <w:sz w:val="21"/>
          <w:szCs w:val="21"/>
          <w:lang w:val="en-US"/>
        </w:rPr>
        <w:t xml:space="preserve"> considered </w:t>
      </w:r>
      <w:r w:rsidR="003728FE" w:rsidRPr="00A144E0">
        <w:rPr>
          <w:bCs/>
          <w:sz w:val="21"/>
          <w:szCs w:val="21"/>
          <w:lang w:val="en-US"/>
        </w:rPr>
        <w:t>in the</w:t>
      </w:r>
      <w:r w:rsidR="00B44F56" w:rsidRPr="00A144E0">
        <w:rPr>
          <w:bCs/>
          <w:sz w:val="21"/>
          <w:szCs w:val="21"/>
          <w:lang w:val="en-US"/>
        </w:rPr>
        <w:t xml:space="preserve"> context of the broad</w:t>
      </w:r>
      <w:r w:rsidR="00CE07F1" w:rsidRPr="00A144E0">
        <w:rPr>
          <w:bCs/>
          <w:sz w:val="21"/>
          <w:szCs w:val="21"/>
          <w:lang w:val="en-US"/>
        </w:rPr>
        <w:t xml:space="preserve">er carbon pricing policy </w:t>
      </w:r>
      <w:proofErr w:type="gramStart"/>
      <w:r w:rsidR="00CE07F1" w:rsidRPr="00A144E0">
        <w:rPr>
          <w:bCs/>
          <w:sz w:val="21"/>
          <w:szCs w:val="21"/>
          <w:lang w:val="en-US"/>
        </w:rPr>
        <w:t>in order to</w:t>
      </w:r>
      <w:proofErr w:type="gramEnd"/>
      <w:r w:rsidR="00CE07F1" w:rsidRPr="00A144E0">
        <w:rPr>
          <w:bCs/>
          <w:sz w:val="21"/>
          <w:szCs w:val="21"/>
          <w:lang w:val="en-US"/>
        </w:rPr>
        <w:t xml:space="preserve"> effectively achieve net reduction of GHG </w:t>
      </w:r>
      <w:r w:rsidR="00F32F84" w:rsidRPr="00A144E0">
        <w:rPr>
          <w:bCs/>
          <w:sz w:val="21"/>
          <w:szCs w:val="21"/>
          <w:lang w:val="en-US"/>
        </w:rPr>
        <w:t>emissions and</w:t>
      </w:r>
      <w:r w:rsidR="00284034" w:rsidRPr="00A144E0">
        <w:rPr>
          <w:bCs/>
          <w:sz w:val="21"/>
          <w:szCs w:val="21"/>
          <w:lang w:val="en-US"/>
        </w:rPr>
        <w:t xml:space="preserve"> </w:t>
      </w:r>
      <w:r w:rsidR="00E617CF" w:rsidRPr="00A144E0">
        <w:rPr>
          <w:bCs/>
          <w:sz w:val="21"/>
          <w:szCs w:val="21"/>
          <w:lang w:val="en-US"/>
        </w:rPr>
        <w:t xml:space="preserve">should </w:t>
      </w:r>
      <w:r w:rsidR="00284034" w:rsidRPr="00A144E0">
        <w:rPr>
          <w:bCs/>
          <w:sz w:val="21"/>
          <w:szCs w:val="21"/>
          <w:lang w:val="en-US"/>
        </w:rPr>
        <w:t xml:space="preserve">include </w:t>
      </w:r>
      <w:r w:rsidR="00DA39BC" w:rsidRPr="00A144E0">
        <w:rPr>
          <w:bCs/>
          <w:sz w:val="21"/>
          <w:szCs w:val="21"/>
          <w:lang w:val="en-US"/>
        </w:rPr>
        <w:t>approaches to incentivi</w:t>
      </w:r>
      <w:r w:rsidR="004D5981" w:rsidRPr="00A144E0">
        <w:rPr>
          <w:bCs/>
          <w:sz w:val="21"/>
          <w:szCs w:val="21"/>
          <w:lang w:val="en-US"/>
        </w:rPr>
        <w:t>s</w:t>
      </w:r>
      <w:r w:rsidR="00DA39BC" w:rsidRPr="00A144E0">
        <w:rPr>
          <w:bCs/>
          <w:sz w:val="21"/>
          <w:szCs w:val="21"/>
          <w:lang w:val="en-US"/>
        </w:rPr>
        <w:t>e decarbonisation</w:t>
      </w:r>
      <w:r w:rsidR="00CE07F1" w:rsidRPr="00A144E0">
        <w:rPr>
          <w:bCs/>
          <w:sz w:val="21"/>
          <w:szCs w:val="21"/>
          <w:lang w:val="en-US"/>
        </w:rPr>
        <w:t>.</w:t>
      </w:r>
      <w:r w:rsidR="00CA0120" w:rsidRPr="00A144E0">
        <w:rPr>
          <w:b/>
          <w:sz w:val="21"/>
          <w:szCs w:val="21"/>
          <w:lang w:val="en-US"/>
        </w:rPr>
        <w:br/>
      </w:r>
    </w:p>
    <w:p w14:paraId="69665485" w14:textId="3C2C5AE1" w:rsidR="00540650" w:rsidRPr="00A144E0" w:rsidRDefault="002B10B7" w:rsidP="00A144E0">
      <w:pPr>
        <w:pStyle w:val="ListParagraph"/>
        <w:numPr>
          <w:ilvl w:val="0"/>
          <w:numId w:val="16"/>
        </w:numPr>
        <w:spacing w:after="0" w:line="240" w:lineRule="auto"/>
        <w:rPr>
          <w:rFonts w:eastAsia="DengXian" w:cs="Arial"/>
          <w:sz w:val="21"/>
          <w:szCs w:val="21"/>
        </w:rPr>
      </w:pPr>
      <w:r w:rsidRPr="00A144E0">
        <w:rPr>
          <w:b/>
          <w:bCs/>
          <w:sz w:val="21"/>
          <w:szCs w:val="21"/>
        </w:rPr>
        <w:t>Support e</w:t>
      </w:r>
      <w:r w:rsidR="004B08CD" w:rsidRPr="00A144E0">
        <w:rPr>
          <w:b/>
          <w:bCs/>
          <w:sz w:val="21"/>
          <w:szCs w:val="21"/>
        </w:rPr>
        <w:t>nvironmental and climate objective</w:t>
      </w:r>
      <w:r w:rsidRPr="00A144E0">
        <w:rPr>
          <w:b/>
          <w:bCs/>
          <w:sz w:val="21"/>
          <w:szCs w:val="21"/>
        </w:rPr>
        <w:t>s</w:t>
      </w:r>
    </w:p>
    <w:p w14:paraId="397A4747" w14:textId="6B7B18B4" w:rsidR="00531C90" w:rsidRPr="00A144E0" w:rsidRDefault="00C72187" w:rsidP="00A144E0">
      <w:pPr>
        <w:pStyle w:val="ListParagraph"/>
        <w:spacing w:after="0" w:line="240" w:lineRule="auto"/>
        <w:rPr>
          <w:rFonts w:eastAsia="DengXian" w:cs="Arial"/>
          <w:sz w:val="21"/>
          <w:szCs w:val="21"/>
        </w:rPr>
      </w:pPr>
      <w:r w:rsidRPr="00A144E0">
        <w:rPr>
          <w:sz w:val="21"/>
          <w:szCs w:val="21"/>
        </w:rPr>
        <w:t>Measures, such as</w:t>
      </w:r>
      <w:r w:rsidRPr="00A144E0">
        <w:rPr>
          <w:b/>
          <w:bCs/>
          <w:sz w:val="21"/>
          <w:szCs w:val="21"/>
        </w:rPr>
        <w:t xml:space="preserve"> </w:t>
      </w:r>
      <w:r w:rsidR="00DA1075" w:rsidRPr="00A144E0">
        <w:rPr>
          <w:sz w:val="21"/>
          <w:szCs w:val="21"/>
        </w:rPr>
        <w:t>BCA</w:t>
      </w:r>
      <w:r w:rsidR="00291AE7" w:rsidRPr="00A144E0">
        <w:rPr>
          <w:sz w:val="21"/>
          <w:szCs w:val="21"/>
        </w:rPr>
        <w:t>s</w:t>
      </w:r>
      <w:r w:rsidR="00DA1075" w:rsidRPr="00A144E0">
        <w:rPr>
          <w:sz w:val="21"/>
          <w:szCs w:val="21"/>
        </w:rPr>
        <w:t xml:space="preserve"> should seek to prevent leakage</w:t>
      </w:r>
      <w:r w:rsidR="00B42901" w:rsidRPr="00A144E0">
        <w:rPr>
          <w:sz w:val="21"/>
          <w:szCs w:val="21"/>
        </w:rPr>
        <w:t xml:space="preserve"> – </w:t>
      </w:r>
      <w:r w:rsidR="00DA1075" w:rsidRPr="00A144E0">
        <w:rPr>
          <w:sz w:val="21"/>
          <w:szCs w:val="21"/>
        </w:rPr>
        <w:t>an environmental objective that involves enabling</w:t>
      </w:r>
      <w:r w:rsidR="00DD225F" w:rsidRPr="00A144E0">
        <w:rPr>
          <w:sz w:val="21"/>
          <w:szCs w:val="21"/>
        </w:rPr>
        <w:t xml:space="preserve"> </w:t>
      </w:r>
      <w:r w:rsidR="00DD225F" w:rsidRPr="00A144E0">
        <w:rPr>
          <w:rFonts w:cs="Arial"/>
          <w:color w:val="000000"/>
          <w:sz w:val="21"/>
          <w:szCs w:val="21"/>
        </w:rPr>
        <w:t>and enhancing</w:t>
      </w:r>
      <w:r w:rsidR="00DA1075" w:rsidRPr="00A144E0">
        <w:rPr>
          <w:sz w:val="21"/>
          <w:szCs w:val="21"/>
        </w:rPr>
        <w:t xml:space="preserve"> domestic climate ambition. It</w:t>
      </w:r>
      <w:r w:rsidR="00F4326C" w:rsidRPr="00A144E0">
        <w:rPr>
          <w:sz w:val="21"/>
          <w:szCs w:val="21"/>
        </w:rPr>
        <w:t xml:space="preserve"> needs to </w:t>
      </w:r>
      <w:r w:rsidR="0072476C" w:rsidRPr="00A144E0">
        <w:rPr>
          <w:sz w:val="21"/>
          <w:szCs w:val="21"/>
        </w:rPr>
        <w:t>support increased ambition on climate mitigation</w:t>
      </w:r>
      <w:r w:rsidR="00B47645" w:rsidRPr="00A144E0">
        <w:rPr>
          <w:sz w:val="21"/>
          <w:szCs w:val="21"/>
        </w:rPr>
        <w:t xml:space="preserve"> and the achievement of a country’s </w:t>
      </w:r>
      <w:r w:rsidR="00E473C8" w:rsidRPr="00A144E0">
        <w:rPr>
          <w:rFonts w:cs="Arial"/>
          <w:color w:val="000000"/>
          <w:sz w:val="21"/>
          <w:szCs w:val="21"/>
        </w:rPr>
        <w:t>NDC</w:t>
      </w:r>
      <w:r w:rsidR="00A63E2E" w:rsidRPr="00A144E0">
        <w:rPr>
          <w:rFonts w:cs="Arial"/>
          <w:color w:val="000000"/>
          <w:sz w:val="21"/>
          <w:szCs w:val="21"/>
        </w:rPr>
        <w:t>s</w:t>
      </w:r>
      <w:r w:rsidR="00E473C8" w:rsidRPr="00A144E0">
        <w:rPr>
          <w:rFonts w:cs="Arial"/>
          <w:color w:val="000000"/>
          <w:sz w:val="21"/>
          <w:szCs w:val="21"/>
        </w:rPr>
        <w:t xml:space="preserve"> </w:t>
      </w:r>
      <w:r w:rsidR="00F4326C" w:rsidRPr="00A144E0">
        <w:rPr>
          <w:sz w:val="21"/>
          <w:szCs w:val="21"/>
        </w:rPr>
        <w:t>under the Paris Agreement.</w:t>
      </w:r>
      <w:r w:rsidR="00685E51" w:rsidRPr="00A144E0">
        <w:rPr>
          <w:sz w:val="21"/>
          <w:szCs w:val="21"/>
        </w:rPr>
        <w:t xml:space="preserve"> It is important that BCAs do not hinder global efforts on climate action but should promote increased collaboration and coordination. BCAs should therefore </w:t>
      </w:r>
      <w:proofErr w:type="gramStart"/>
      <w:r w:rsidR="00685E51" w:rsidRPr="00A144E0">
        <w:rPr>
          <w:sz w:val="21"/>
          <w:szCs w:val="21"/>
        </w:rPr>
        <w:t>take into account</w:t>
      </w:r>
      <w:proofErr w:type="gramEnd"/>
      <w:r w:rsidR="00685E51" w:rsidRPr="00A144E0">
        <w:rPr>
          <w:sz w:val="21"/>
          <w:szCs w:val="21"/>
        </w:rPr>
        <w:t xml:space="preserve"> and be compatible with national climate policies and pricing mechanisms, avoiding overlapping measures (e.g., double taxation) and advancing international cooperation on carbon pricing.</w:t>
      </w:r>
    </w:p>
    <w:p w14:paraId="4FAB2065" w14:textId="77777777" w:rsidR="00531C90" w:rsidRPr="00A144E0" w:rsidRDefault="00531C90" w:rsidP="00A144E0">
      <w:pPr>
        <w:pStyle w:val="ListParagraph"/>
        <w:spacing w:after="0" w:line="240" w:lineRule="auto"/>
        <w:rPr>
          <w:sz w:val="21"/>
          <w:szCs w:val="21"/>
        </w:rPr>
      </w:pPr>
    </w:p>
    <w:p w14:paraId="79E32A78" w14:textId="77777777" w:rsidR="00E66B6F" w:rsidRPr="00A144E0" w:rsidRDefault="00E66B6F" w:rsidP="00A144E0">
      <w:pPr>
        <w:pStyle w:val="ListParagraph"/>
        <w:spacing w:after="0" w:line="240" w:lineRule="auto"/>
        <w:rPr>
          <w:sz w:val="21"/>
          <w:szCs w:val="21"/>
        </w:rPr>
      </w:pPr>
    </w:p>
    <w:p w14:paraId="281C62EE" w14:textId="77777777" w:rsidR="00E66B6F" w:rsidRPr="00A144E0" w:rsidRDefault="00E66B6F" w:rsidP="00A144E0">
      <w:pPr>
        <w:pStyle w:val="ListParagraph"/>
        <w:spacing w:after="0" w:line="240" w:lineRule="auto"/>
        <w:rPr>
          <w:sz w:val="21"/>
          <w:szCs w:val="21"/>
        </w:rPr>
      </w:pPr>
    </w:p>
    <w:p w14:paraId="582BEF4B" w14:textId="3060D9E3" w:rsidR="00487ECA" w:rsidRPr="00A144E0" w:rsidRDefault="00AD7CDF" w:rsidP="00A144E0">
      <w:pPr>
        <w:pStyle w:val="ListParagraph"/>
        <w:numPr>
          <w:ilvl w:val="0"/>
          <w:numId w:val="16"/>
        </w:numPr>
        <w:spacing w:after="0" w:line="240" w:lineRule="auto"/>
        <w:rPr>
          <w:rFonts w:eastAsia="DengXian" w:cs="Arial"/>
          <w:sz w:val="21"/>
          <w:szCs w:val="21"/>
        </w:rPr>
      </w:pPr>
      <w:r w:rsidRPr="00A144E0">
        <w:rPr>
          <w:b/>
          <w:bCs/>
          <w:sz w:val="21"/>
          <w:szCs w:val="21"/>
        </w:rPr>
        <w:t>Require t</w:t>
      </w:r>
      <w:r w:rsidR="00531C90" w:rsidRPr="00A144E0">
        <w:rPr>
          <w:b/>
          <w:bCs/>
          <w:sz w:val="21"/>
          <w:szCs w:val="21"/>
        </w:rPr>
        <w:t>ransparent and robust accounting</w:t>
      </w:r>
    </w:p>
    <w:p w14:paraId="40DA3D5C" w14:textId="0E93A0CD" w:rsidR="00250549" w:rsidRPr="00A144E0" w:rsidRDefault="00531C90" w:rsidP="00A144E0">
      <w:pPr>
        <w:pStyle w:val="ListParagraph"/>
        <w:spacing w:after="0" w:line="240" w:lineRule="auto"/>
        <w:rPr>
          <w:rFonts w:eastAsia="DengXian" w:cs="Arial"/>
          <w:sz w:val="21"/>
          <w:szCs w:val="21"/>
        </w:rPr>
      </w:pPr>
      <w:r w:rsidRPr="00A144E0">
        <w:rPr>
          <w:sz w:val="21"/>
          <w:szCs w:val="21"/>
        </w:rPr>
        <w:lastRenderedPageBreak/>
        <w:t xml:space="preserve">BCAs require a robust monitoring, </w:t>
      </w:r>
      <w:proofErr w:type="gramStart"/>
      <w:r w:rsidRPr="00A144E0">
        <w:rPr>
          <w:sz w:val="21"/>
          <w:szCs w:val="21"/>
        </w:rPr>
        <w:t>reporting</w:t>
      </w:r>
      <w:proofErr w:type="gramEnd"/>
      <w:r w:rsidRPr="00A144E0">
        <w:rPr>
          <w:sz w:val="21"/>
          <w:szCs w:val="21"/>
        </w:rPr>
        <w:t xml:space="preserve"> and verification system (MRV)</w:t>
      </w:r>
      <w:r w:rsidR="00B536CA" w:rsidRPr="00A144E0">
        <w:rPr>
          <w:rFonts w:cs="Arial"/>
          <w:color w:val="000000"/>
          <w:sz w:val="21"/>
          <w:szCs w:val="21"/>
        </w:rPr>
        <w:t xml:space="preserve"> </w:t>
      </w:r>
      <w:r w:rsidRPr="00A144E0">
        <w:rPr>
          <w:sz w:val="21"/>
          <w:szCs w:val="21"/>
        </w:rPr>
        <w:t>that should be transparent but at the same time pose minimal administrative and legal burdens for business</w:t>
      </w:r>
      <w:r w:rsidR="00256C7E" w:rsidRPr="00A144E0">
        <w:rPr>
          <w:sz w:val="21"/>
          <w:szCs w:val="21"/>
        </w:rPr>
        <w:t>es</w:t>
      </w:r>
      <w:r w:rsidRPr="00A144E0">
        <w:rPr>
          <w:sz w:val="21"/>
          <w:szCs w:val="21"/>
        </w:rPr>
        <w:t xml:space="preserve"> providing clear guidelines on accounting and measurement standards. Using an internationally </w:t>
      </w:r>
      <w:r w:rsidR="009C186F" w:rsidRPr="00A144E0">
        <w:rPr>
          <w:sz w:val="21"/>
          <w:szCs w:val="21"/>
        </w:rPr>
        <w:t xml:space="preserve">recognised </w:t>
      </w:r>
      <w:r w:rsidRPr="00A144E0">
        <w:rPr>
          <w:sz w:val="21"/>
          <w:szCs w:val="21"/>
        </w:rPr>
        <w:t>MRV system optimises chances for international alignment</w:t>
      </w:r>
      <w:r w:rsidR="003D3F52" w:rsidRPr="00A144E0">
        <w:rPr>
          <w:sz w:val="21"/>
          <w:szCs w:val="21"/>
        </w:rPr>
        <w:t xml:space="preserve"> and streamlines reporting for</w:t>
      </w:r>
      <w:r w:rsidR="00786E0E" w:rsidRPr="00A144E0">
        <w:rPr>
          <w:sz w:val="21"/>
          <w:szCs w:val="21"/>
        </w:rPr>
        <w:t xml:space="preserve"> businesses</w:t>
      </w:r>
      <w:r w:rsidRPr="00A144E0">
        <w:rPr>
          <w:sz w:val="21"/>
          <w:szCs w:val="21"/>
        </w:rPr>
        <w:t>.</w:t>
      </w:r>
      <w:r w:rsidR="00942E64" w:rsidRPr="00A144E0">
        <w:rPr>
          <w:sz w:val="21"/>
          <w:szCs w:val="21"/>
        </w:rPr>
        <w:t xml:space="preserve"> </w:t>
      </w:r>
      <w:r w:rsidR="009966F6" w:rsidRPr="00A144E0">
        <w:rPr>
          <w:sz w:val="21"/>
          <w:szCs w:val="21"/>
        </w:rPr>
        <w:t>Relevant accommodations should</w:t>
      </w:r>
      <w:r w:rsidR="006D453B" w:rsidRPr="00A144E0">
        <w:rPr>
          <w:sz w:val="21"/>
          <w:szCs w:val="21"/>
        </w:rPr>
        <w:t xml:space="preserve"> also</w:t>
      </w:r>
      <w:r w:rsidR="009966F6" w:rsidRPr="00A144E0">
        <w:rPr>
          <w:sz w:val="21"/>
          <w:szCs w:val="21"/>
        </w:rPr>
        <w:t xml:space="preserve"> be provided </w:t>
      </w:r>
      <w:r w:rsidR="005D0AC1" w:rsidRPr="00A144E0">
        <w:rPr>
          <w:sz w:val="21"/>
          <w:szCs w:val="21"/>
        </w:rPr>
        <w:t xml:space="preserve">for the effective implementation of the </w:t>
      </w:r>
      <w:r w:rsidR="00335333" w:rsidRPr="00A144E0">
        <w:rPr>
          <w:sz w:val="21"/>
          <w:szCs w:val="21"/>
        </w:rPr>
        <w:t>reporting requirements</w:t>
      </w:r>
      <w:r w:rsidR="005D0AC1" w:rsidRPr="00A144E0">
        <w:rPr>
          <w:sz w:val="21"/>
          <w:szCs w:val="21"/>
        </w:rPr>
        <w:t xml:space="preserve"> by all stakeholders</w:t>
      </w:r>
      <w:proofErr w:type="gramStart"/>
      <w:r w:rsidR="00335333" w:rsidRPr="00A144E0">
        <w:rPr>
          <w:sz w:val="21"/>
          <w:szCs w:val="21"/>
        </w:rPr>
        <w:t xml:space="preserve">. </w:t>
      </w:r>
      <w:r w:rsidR="001109CD" w:rsidRPr="00A144E0">
        <w:rPr>
          <w:sz w:val="21"/>
          <w:szCs w:val="21"/>
        </w:rPr>
        <w:t xml:space="preserve"> </w:t>
      </w:r>
      <w:proofErr w:type="gramEnd"/>
    </w:p>
    <w:p w14:paraId="47F461E0" w14:textId="77777777" w:rsidR="005059FE" w:rsidRPr="00A144E0" w:rsidRDefault="005059FE" w:rsidP="00A144E0">
      <w:pPr>
        <w:pStyle w:val="ListParagraph"/>
        <w:spacing w:after="0" w:line="240" w:lineRule="auto"/>
        <w:rPr>
          <w:sz w:val="21"/>
          <w:szCs w:val="21"/>
        </w:rPr>
      </w:pPr>
    </w:p>
    <w:p w14:paraId="1C1F2696" w14:textId="508C88F3" w:rsidR="004359CB" w:rsidRPr="00A144E0" w:rsidRDefault="00E44349" w:rsidP="00A144E0">
      <w:pPr>
        <w:pStyle w:val="ListParagraph"/>
        <w:numPr>
          <w:ilvl w:val="0"/>
          <w:numId w:val="16"/>
        </w:numPr>
        <w:spacing w:after="0" w:line="240" w:lineRule="auto"/>
        <w:rPr>
          <w:rFonts w:eastAsia="DengXian" w:cs="Arial"/>
          <w:sz w:val="21"/>
          <w:szCs w:val="21"/>
        </w:rPr>
      </w:pPr>
      <w:r w:rsidRPr="00A144E0">
        <w:rPr>
          <w:b/>
          <w:bCs/>
          <w:sz w:val="21"/>
          <w:szCs w:val="21"/>
        </w:rPr>
        <w:t xml:space="preserve">Encourage </w:t>
      </w:r>
      <w:r w:rsidR="00D73AE5" w:rsidRPr="00A144E0">
        <w:rPr>
          <w:b/>
          <w:bCs/>
          <w:sz w:val="21"/>
          <w:szCs w:val="21"/>
        </w:rPr>
        <w:t>interaction</w:t>
      </w:r>
      <w:r w:rsidR="0041664A" w:rsidRPr="00A144E0">
        <w:rPr>
          <w:b/>
          <w:bCs/>
          <w:sz w:val="21"/>
          <w:szCs w:val="21"/>
        </w:rPr>
        <w:t>s</w:t>
      </w:r>
      <w:r w:rsidR="00D73AE5" w:rsidRPr="00A144E0">
        <w:rPr>
          <w:b/>
          <w:bCs/>
          <w:sz w:val="21"/>
          <w:szCs w:val="21"/>
        </w:rPr>
        <w:t xml:space="preserve"> between carbon mitigation approaches</w:t>
      </w:r>
      <w:r w:rsidR="00250549" w:rsidRPr="00A144E0">
        <w:rPr>
          <w:sz w:val="21"/>
          <w:szCs w:val="21"/>
        </w:rPr>
        <w:t xml:space="preserve"> </w:t>
      </w:r>
    </w:p>
    <w:p w14:paraId="7452DE31" w14:textId="45CD4A0A" w:rsidR="0028065F" w:rsidRPr="00A144E0" w:rsidRDefault="00250549" w:rsidP="00A144E0">
      <w:pPr>
        <w:spacing w:after="0" w:line="240" w:lineRule="auto"/>
        <w:ind w:left="708"/>
        <w:rPr>
          <w:rFonts w:eastAsia="DengXian" w:cs="Arial"/>
          <w:sz w:val="21"/>
          <w:szCs w:val="21"/>
        </w:rPr>
      </w:pPr>
      <w:r w:rsidRPr="00A144E0">
        <w:rPr>
          <w:sz w:val="21"/>
          <w:szCs w:val="21"/>
        </w:rPr>
        <w:t>A</w:t>
      </w:r>
      <w:r w:rsidR="00D13AB6" w:rsidRPr="00A144E0">
        <w:rPr>
          <w:sz w:val="21"/>
          <w:szCs w:val="21"/>
        </w:rPr>
        <w:t>ny</w:t>
      </w:r>
      <w:r w:rsidRPr="00A144E0">
        <w:rPr>
          <w:sz w:val="21"/>
          <w:szCs w:val="21"/>
        </w:rPr>
        <w:t xml:space="preserve"> BCA </w:t>
      </w:r>
      <w:r w:rsidR="006C50BB" w:rsidRPr="00A144E0">
        <w:rPr>
          <w:sz w:val="21"/>
          <w:szCs w:val="21"/>
        </w:rPr>
        <w:t xml:space="preserve">should </w:t>
      </w:r>
      <w:r w:rsidRPr="00A144E0">
        <w:rPr>
          <w:sz w:val="21"/>
          <w:szCs w:val="21"/>
        </w:rPr>
        <w:t xml:space="preserve">be designed </w:t>
      </w:r>
      <w:r w:rsidR="004C303A" w:rsidRPr="00A144E0">
        <w:rPr>
          <w:sz w:val="21"/>
          <w:szCs w:val="21"/>
        </w:rPr>
        <w:t xml:space="preserve">in </w:t>
      </w:r>
      <w:r w:rsidR="001D06A1" w:rsidRPr="00A144E0">
        <w:rPr>
          <w:sz w:val="21"/>
          <w:szCs w:val="21"/>
        </w:rPr>
        <w:t xml:space="preserve">such </w:t>
      </w:r>
      <w:r w:rsidR="004C303A" w:rsidRPr="00A144E0">
        <w:rPr>
          <w:sz w:val="21"/>
          <w:szCs w:val="21"/>
        </w:rPr>
        <w:t xml:space="preserve">a way </w:t>
      </w:r>
      <w:r w:rsidRPr="00A144E0">
        <w:rPr>
          <w:sz w:val="21"/>
          <w:szCs w:val="21"/>
        </w:rPr>
        <w:t>so that</w:t>
      </w:r>
      <w:r w:rsidR="003E0621" w:rsidRPr="00A144E0">
        <w:rPr>
          <w:sz w:val="21"/>
          <w:szCs w:val="21"/>
        </w:rPr>
        <w:t xml:space="preserve"> </w:t>
      </w:r>
      <w:r w:rsidR="00750732" w:rsidRPr="00A144E0">
        <w:rPr>
          <w:sz w:val="21"/>
          <w:szCs w:val="21"/>
        </w:rPr>
        <w:t>it provides</w:t>
      </w:r>
      <w:r w:rsidRPr="00A144E0">
        <w:rPr>
          <w:sz w:val="21"/>
          <w:szCs w:val="21"/>
        </w:rPr>
        <w:t xml:space="preserve"> the possibility for corresponding transfers of allowances or can be linked with third country BCAs</w:t>
      </w:r>
      <w:r w:rsidR="000448BB" w:rsidRPr="00A144E0">
        <w:rPr>
          <w:sz w:val="21"/>
          <w:szCs w:val="21"/>
        </w:rPr>
        <w:t xml:space="preserve">, </w:t>
      </w:r>
      <w:proofErr w:type="gramStart"/>
      <w:r w:rsidRPr="00A144E0">
        <w:rPr>
          <w:sz w:val="21"/>
          <w:szCs w:val="21"/>
        </w:rPr>
        <w:t>in an attempt to</w:t>
      </w:r>
      <w:proofErr w:type="gramEnd"/>
      <w:r w:rsidRPr="00A144E0">
        <w:rPr>
          <w:sz w:val="21"/>
          <w:szCs w:val="21"/>
        </w:rPr>
        <w:t xml:space="preserve"> create </w:t>
      </w:r>
      <w:r w:rsidR="00881946" w:rsidRPr="00A144E0">
        <w:rPr>
          <w:sz w:val="21"/>
          <w:szCs w:val="21"/>
        </w:rPr>
        <w:t>cooperation with like-minded countries</w:t>
      </w:r>
      <w:r w:rsidR="00C131F2" w:rsidRPr="00A144E0">
        <w:rPr>
          <w:sz w:val="21"/>
          <w:szCs w:val="21"/>
        </w:rPr>
        <w:t xml:space="preserve"> (for example “carbon clubs”)</w:t>
      </w:r>
      <w:r w:rsidR="00881946" w:rsidRPr="00A144E0">
        <w:rPr>
          <w:sz w:val="21"/>
          <w:szCs w:val="21"/>
        </w:rPr>
        <w:t xml:space="preserve">.  </w:t>
      </w:r>
      <w:r w:rsidR="00C91CA4" w:rsidRPr="00A144E0">
        <w:rPr>
          <w:sz w:val="21"/>
          <w:szCs w:val="21"/>
        </w:rPr>
        <w:t xml:space="preserve">Another way to encourage linking is </w:t>
      </w:r>
      <w:r w:rsidR="007F7069" w:rsidRPr="00A144E0">
        <w:rPr>
          <w:sz w:val="21"/>
          <w:szCs w:val="21"/>
        </w:rPr>
        <w:t>by</w:t>
      </w:r>
      <w:r w:rsidR="007F7069" w:rsidRPr="00A144E0">
        <w:rPr>
          <w:b/>
          <w:bCs/>
          <w:sz w:val="21"/>
          <w:szCs w:val="21"/>
        </w:rPr>
        <w:t xml:space="preserve"> recognising</w:t>
      </w:r>
      <w:r w:rsidR="0028065F" w:rsidRPr="00A144E0">
        <w:rPr>
          <w:b/>
          <w:bCs/>
          <w:sz w:val="21"/>
          <w:szCs w:val="21"/>
        </w:rPr>
        <w:t xml:space="preserve"> equivalences</w:t>
      </w:r>
      <w:r w:rsidR="0028065F" w:rsidRPr="00A144E0">
        <w:rPr>
          <w:sz w:val="21"/>
          <w:szCs w:val="21"/>
        </w:rPr>
        <w:t>.</w:t>
      </w:r>
      <w:r w:rsidR="000A7600" w:rsidRPr="00A144E0">
        <w:rPr>
          <w:sz w:val="21"/>
          <w:szCs w:val="21"/>
        </w:rPr>
        <w:t xml:space="preserve"> Equivalent measures </w:t>
      </w:r>
      <w:r w:rsidR="00460681" w:rsidRPr="00A144E0">
        <w:rPr>
          <w:sz w:val="21"/>
          <w:szCs w:val="21"/>
        </w:rPr>
        <w:t>taken by countries</w:t>
      </w:r>
      <w:r w:rsidR="00046D7B" w:rsidRPr="00A144E0">
        <w:rPr>
          <w:sz w:val="21"/>
          <w:szCs w:val="21"/>
        </w:rPr>
        <w:t xml:space="preserve">, </w:t>
      </w:r>
      <w:proofErr w:type="gramStart"/>
      <w:r w:rsidR="00046D7B" w:rsidRPr="00A144E0">
        <w:rPr>
          <w:sz w:val="21"/>
          <w:szCs w:val="21"/>
        </w:rPr>
        <w:t>in particular by</w:t>
      </w:r>
      <w:proofErr w:type="gramEnd"/>
      <w:r w:rsidR="00046D7B" w:rsidRPr="00A144E0">
        <w:rPr>
          <w:sz w:val="21"/>
          <w:szCs w:val="21"/>
        </w:rPr>
        <w:t xml:space="preserve"> developing </w:t>
      </w:r>
      <w:r w:rsidR="00685E51" w:rsidRPr="00A144E0">
        <w:rPr>
          <w:sz w:val="21"/>
          <w:szCs w:val="21"/>
        </w:rPr>
        <w:t xml:space="preserve">countries </w:t>
      </w:r>
      <w:r w:rsidR="008B3868" w:rsidRPr="00A144E0">
        <w:rPr>
          <w:sz w:val="21"/>
          <w:szCs w:val="21"/>
        </w:rPr>
        <w:t xml:space="preserve">to </w:t>
      </w:r>
      <w:r w:rsidR="00750732" w:rsidRPr="00A144E0">
        <w:rPr>
          <w:sz w:val="21"/>
          <w:szCs w:val="21"/>
        </w:rPr>
        <w:t>incentivise GHG</w:t>
      </w:r>
      <w:r w:rsidR="00062E99" w:rsidRPr="00A144E0">
        <w:rPr>
          <w:sz w:val="21"/>
          <w:szCs w:val="21"/>
        </w:rPr>
        <w:t xml:space="preserve"> </w:t>
      </w:r>
      <w:r w:rsidR="008B3868" w:rsidRPr="00A144E0">
        <w:rPr>
          <w:sz w:val="21"/>
          <w:szCs w:val="21"/>
        </w:rPr>
        <w:t xml:space="preserve">emissions reductions, </w:t>
      </w:r>
      <w:r w:rsidR="000A7600" w:rsidRPr="00A144E0">
        <w:rPr>
          <w:sz w:val="21"/>
          <w:szCs w:val="21"/>
        </w:rPr>
        <w:t>should be</w:t>
      </w:r>
      <w:r w:rsidR="0074595E" w:rsidRPr="00A144E0">
        <w:rPr>
          <w:sz w:val="21"/>
          <w:szCs w:val="21"/>
        </w:rPr>
        <w:t xml:space="preserve"> taken in account and</w:t>
      </w:r>
      <w:r w:rsidR="000A7600" w:rsidRPr="00A144E0">
        <w:rPr>
          <w:sz w:val="21"/>
          <w:szCs w:val="21"/>
        </w:rPr>
        <w:t xml:space="preserve"> recognised to the extent that they reduce the risk of leakage</w:t>
      </w:r>
      <w:r w:rsidR="00685E51" w:rsidRPr="00A144E0">
        <w:rPr>
          <w:sz w:val="21"/>
          <w:szCs w:val="21"/>
        </w:rPr>
        <w:t>.</w:t>
      </w:r>
      <w:r w:rsidR="00C1630E" w:rsidRPr="00A144E0">
        <w:rPr>
          <w:sz w:val="21"/>
          <w:szCs w:val="21"/>
        </w:rPr>
        <w:t xml:space="preserve"> </w:t>
      </w:r>
      <w:r w:rsidR="00515D01" w:rsidRPr="00A144E0">
        <w:rPr>
          <w:sz w:val="21"/>
          <w:szCs w:val="21"/>
        </w:rPr>
        <w:t>Furthermore,</w:t>
      </w:r>
      <w:r w:rsidR="000A7600" w:rsidRPr="00A144E0">
        <w:rPr>
          <w:sz w:val="21"/>
          <w:szCs w:val="21"/>
        </w:rPr>
        <w:t xml:space="preserve"> credit</w:t>
      </w:r>
      <w:r w:rsidR="00685E51" w:rsidRPr="00A144E0">
        <w:rPr>
          <w:sz w:val="21"/>
          <w:szCs w:val="21"/>
        </w:rPr>
        <w:t>s</w:t>
      </w:r>
      <w:r w:rsidR="000A7600" w:rsidRPr="00A144E0">
        <w:rPr>
          <w:sz w:val="21"/>
          <w:szCs w:val="21"/>
        </w:rPr>
        <w:t xml:space="preserve"> for carbon-equivalent (CO2-e) costs already incurred by exporters should </w:t>
      </w:r>
      <w:proofErr w:type="gramStart"/>
      <w:r w:rsidR="000A7600" w:rsidRPr="00A144E0">
        <w:rPr>
          <w:sz w:val="21"/>
          <w:szCs w:val="21"/>
        </w:rPr>
        <w:t xml:space="preserve">be </w:t>
      </w:r>
      <w:r w:rsidR="00685E51" w:rsidRPr="00A144E0">
        <w:rPr>
          <w:sz w:val="21"/>
          <w:szCs w:val="21"/>
        </w:rPr>
        <w:t>considered</w:t>
      </w:r>
      <w:proofErr w:type="gramEnd"/>
      <w:r w:rsidR="00EA2B83" w:rsidRPr="00A144E0">
        <w:rPr>
          <w:sz w:val="21"/>
          <w:szCs w:val="21"/>
        </w:rPr>
        <w:t xml:space="preserve"> and </w:t>
      </w:r>
      <w:r w:rsidR="00D356D9" w:rsidRPr="00A144E0">
        <w:rPr>
          <w:sz w:val="21"/>
          <w:szCs w:val="21"/>
        </w:rPr>
        <w:t xml:space="preserve">should </w:t>
      </w:r>
      <w:r w:rsidR="00EA2B83" w:rsidRPr="00A144E0">
        <w:rPr>
          <w:sz w:val="21"/>
          <w:szCs w:val="21"/>
        </w:rPr>
        <w:t xml:space="preserve">not </w:t>
      </w:r>
      <w:r w:rsidR="00BA4581" w:rsidRPr="00A144E0">
        <w:rPr>
          <w:sz w:val="21"/>
          <w:szCs w:val="21"/>
        </w:rPr>
        <w:t xml:space="preserve">be </w:t>
      </w:r>
      <w:r w:rsidR="00EA2B83" w:rsidRPr="00A144E0">
        <w:rPr>
          <w:sz w:val="21"/>
          <w:szCs w:val="21"/>
        </w:rPr>
        <w:t>based on the carbon price difference.</w:t>
      </w:r>
    </w:p>
    <w:p w14:paraId="787E7D7D" w14:textId="77777777" w:rsidR="00531C90" w:rsidRPr="00A144E0" w:rsidRDefault="00531C90" w:rsidP="00A144E0">
      <w:pPr>
        <w:pStyle w:val="ListParagraph"/>
        <w:spacing w:after="0" w:line="240" w:lineRule="auto"/>
        <w:rPr>
          <w:sz w:val="21"/>
          <w:szCs w:val="21"/>
        </w:rPr>
      </w:pPr>
    </w:p>
    <w:p w14:paraId="0EC00338" w14:textId="6F9E473C" w:rsidR="00F91D08" w:rsidRPr="00A144E0" w:rsidRDefault="004F3578" w:rsidP="00A144E0">
      <w:pPr>
        <w:pStyle w:val="ListParagraph"/>
        <w:numPr>
          <w:ilvl w:val="0"/>
          <w:numId w:val="16"/>
        </w:numPr>
        <w:spacing w:after="0" w:line="240" w:lineRule="auto"/>
        <w:rPr>
          <w:rFonts w:eastAsia="DengXian" w:cs="Arial"/>
          <w:sz w:val="21"/>
          <w:szCs w:val="21"/>
        </w:rPr>
      </w:pPr>
      <w:r w:rsidRPr="00A144E0">
        <w:rPr>
          <w:b/>
          <w:bCs/>
          <w:sz w:val="21"/>
          <w:szCs w:val="21"/>
        </w:rPr>
        <w:t>Reflect p</w:t>
      </w:r>
      <w:r w:rsidR="00531C90" w:rsidRPr="00A144E0">
        <w:rPr>
          <w:b/>
          <w:bCs/>
          <w:sz w:val="21"/>
          <w:szCs w:val="21"/>
        </w:rPr>
        <w:t xml:space="preserve">urpose-directed </w:t>
      </w:r>
      <w:r w:rsidR="00F91D08" w:rsidRPr="00A144E0">
        <w:rPr>
          <w:b/>
          <w:bCs/>
          <w:sz w:val="21"/>
          <w:szCs w:val="21"/>
        </w:rPr>
        <w:t>use of proceeds</w:t>
      </w:r>
    </w:p>
    <w:p w14:paraId="4ED5BB47" w14:textId="5B23FD79" w:rsidR="00531C90" w:rsidRPr="00A144E0" w:rsidRDefault="00531C90" w:rsidP="00A144E0">
      <w:pPr>
        <w:pStyle w:val="ListParagraph"/>
        <w:spacing w:after="0" w:line="240" w:lineRule="auto"/>
        <w:rPr>
          <w:sz w:val="21"/>
          <w:szCs w:val="21"/>
        </w:rPr>
      </w:pPr>
      <w:r w:rsidRPr="00A144E0">
        <w:rPr>
          <w:sz w:val="21"/>
          <w:szCs w:val="21"/>
        </w:rPr>
        <w:t xml:space="preserve">A BCA proposal should include provisions on the use of proceeds. </w:t>
      </w:r>
      <w:proofErr w:type="gramStart"/>
      <w:r w:rsidRPr="00A144E0">
        <w:rPr>
          <w:sz w:val="21"/>
          <w:szCs w:val="21"/>
        </w:rPr>
        <w:t>A significant portion</w:t>
      </w:r>
      <w:proofErr w:type="gramEnd"/>
      <w:r w:rsidRPr="00A144E0">
        <w:rPr>
          <w:sz w:val="21"/>
          <w:szCs w:val="21"/>
        </w:rPr>
        <w:t xml:space="preserve"> of the revenue should be used for the purpose of climate mitigation and adaptation purposes, especially in developing countries. Share of proceeds </w:t>
      </w:r>
      <w:r w:rsidR="00685E51" w:rsidRPr="00A144E0">
        <w:rPr>
          <w:sz w:val="21"/>
          <w:szCs w:val="21"/>
        </w:rPr>
        <w:t>could</w:t>
      </w:r>
      <w:r w:rsidRPr="00A144E0">
        <w:rPr>
          <w:sz w:val="21"/>
          <w:szCs w:val="21"/>
        </w:rPr>
        <w:t xml:space="preserve"> also be allocated to support developing countries and their exporting industries to comply with the BCA regime.</w:t>
      </w:r>
      <w:r w:rsidR="00611039" w:rsidRPr="00A144E0">
        <w:rPr>
          <w:sz w:val="21"/>
          <w:szCs w:val="21"/>
        </w:rPr>
        <w:t xml:space="preserve"> </w:t>
      </w:r>
    </w:p>
    <w:p w14:paraId="51246E9E" w14:textId="77777777" w:rsidR="00A963A4" w:rsidRPr="00A144E0" w:rsidRDefault="00A963A4" w:rsidP="00A144E0">
      <w:pPr>
        <w:pStyle w:val="ListParagraph"/>
        <w:spacing w:after="0" w:line="240" w:lineRule="auto"/>
        <w:rPr>
          <w:sz w:val="21"/>
          <w:szCs w:val="21"/>
        </w:rPr>
      </w:pPr>
    </w:p>
    <w:p w14:paraId="033BA1E8" w14:textId="261FAE54" w:rsidR="002D375A" w:rsidRPr="00A144E0" w:rsidRDefault="00222F90" w:rsidP="00A144E0">
      <w:pPr>
        <w:pStyle w:val="ListParagraph"/>
        <w:numPr>
          <w:ilvl w:val="0"/>
          <w:numId w:val="16"/>
        </w:numPr>
        <w:spacing w:after="0" w:line="240" w:lineRule="auto"/>
        <w:rPr>
          <w:b/>
          <w:sz w:val="21"/>
          <w:szCs w:val="21"/>
          <w:lang w:val="en-US"/>
        </w:rPr>
      </w:pPr>
      <w:r w:rsidRPr="00A144E0">
        <w:rPr>
          <w:b/>
          <w:sz w:val="21"/>
          <w:szCs w:val="21"/>
          <w:lang w:val="en-US"/>
        </w:rPr>
        <w:t>Engage stakeholders and provide</w:t>
      </w:r>
      <w:r w:rsidR="009349D0" w:rsidRPr="00A144E0">
        <w:rPr>
          <w:b/>
          <w:sz w:val="21"/>
          <w:szCs w:val="21"/>
          <w:lang w:val="en-US"/>
        </w:rPr>
        <w:t xml:space="preserve"> workable transition</w:t>
      </w:r>
      <w:r w:rsidR="002D375A" w:rsidRPr="00A144E0">
        <w:rPr>
          <w:b/>
          <w:sz w:val="21"/>
          <w:szCs w:val="21"/>
          <w:lang w:val="en-US"/>
        </w:rPr>
        <w:t xml:space="preserve"> periods</w:t>
      </w:r>
    </w:p>
    <w:p w14:paraId="37A116A0" w14:textId="18A3FED6" w:rsidR="00374563" w:rsidRPr="00A144E0" w:rsidRDefault="00374563" w:rsidP="00A144E0">
      <w:pPr>
        <w:pStyle w:val="ListParagraph"/>
        <w:spacing w:after="0" w:line="240" w:lineRule="auto"/>
        <w:rPr>
          <w:b/>
          <w:sz w:val="21"/>
          <w:szCs w:val="21"/>
          <w:lang w:val="en-US"/>
        </w:rPr>
      </w:pPr>
      <w:r w:rsidRPr="00A144E0">
        <w:rPr>
          <w:bCs/>
          <w:sz w:val="21"/>
          <w:szCs w:val="21"/>
          <w:lang w:val="en-US"/>
        </w:rPr>
        <w:t>Meaningful and timely engagement</w:t>
      </w:r>
      <w:r w:rsidR="00D0392C" w:rsidRPr="00A144E0">
        <w:rPr>
          <w:bCs/>
          <w:sz w:val="21"/>
          <w:szCs w:val="21"/>
          <w:lang w:val="en-US"/>
        </w:rPr>
        <w:t>,</w:t>
      </w:r>
      <w:r w:rsidRPr="00A144E0">
        <w:rPr>
          <w:bCs/>
          <w:sz w:val="21"/>
          <w:szCs w:val="21"/>
          <w:lang w:val="en-US"/>
        </w:rPr>
        <w:t xml:space="preserve"> consultation and full transparency</w:t>
      </w:r>
      <w:r w:rsidRPr="00A144E0">
        <w:rPr>
          <w:sz w:val="21"/>
          <w:szCs w:val="21"/>
          <w:lang w:val="en-US"/>
        </w:rPr>
        <w:t xml:space="preserve"> of the regime’s implementation and operation with foreign governments, trading partners and businesses is imperative to avoid any administrative complexity that would place additional burden on businesses.</w:t>
      </w:r>
      <w:r w:rsidR="009273D4" w:rsidRPr="00A144E0">
        <w:rPr>
          <w:sz w:val="21"/>
          <w:szCs w:val="21"/>
          <w:lang w:val="en-US"/>
        </w:rPr>
        <w:t xml:space="preserve"> </w:t>
      </w:r>
      <w:r w:rsidR="00CF652A" w:rsidRPr="00A144E0">
        <w:rPr>
          <w:sz w:val="21"/>
          <w:szCs w:val="21"/>
          <w:lang w:val="en-US"/>
        </w:rPr>
        <w:t>Effective stakeholder engagement will also be key to enable and structure workable transitional p</w:t>
      </w:r>
      <w:r w:rsidR="00266E8E" w:rsidRPr="00A144E0">
        <w:rPr>
          <w:sz w:val="21"/>
          <w:szCs w:val="21"/>
          <w:lang w:val="en-US"/>
        </w:rPr>
        <w:t xml:space="preserve">eriods </w:t>
      </w:r>
      <w:r w:rsidR="001F7CB5" w:rsidRPr="00A144E0">
        <w:rPr>
          <w:sz w:val="21"/>
          <w:szCs w:val="21"/>
          <w:lang w:val="en-US"/>
        </w:rPr>
        <w:t>for all stakeholders</w:t>
      </w:r>
      <w:r w:rsidR="0089528C" w:rsidRPr="00A144E0">
        <w:rPr>
          <w:sz w:val="21"/>
          <w:szCs w:val="21"/>
          <w:lang w:val="en-US"/>
        </w:rPr>
        <w:t>.</w:t>
      </w:r>
    </w:p>
    <w:p w14:paraId="39EDCCB8" w14:textId="77777777" w:rsidR="00374563" w:rsidRPr="00A144E0" w:rsidRDefault="00374563" w:rsidP="00A144E0">
      <w:pPr>
        <w:pStyle w:val="ListParagraph"/>
        <w:spacing w:after="0" w:line="240" w:lineRule="auto"/>
        <w:rPr>
          <w:sz w:val="21"/>
          <w:szCs w:val="21"/>
          <w:lang w:val="en-US"/>
        </w:rPr>
      </w:pPr>
    </w:p>
    <w:p w14:paraId="77E7089A" w14:textId="286F84CA" w:rsidR="003944B2" w:rsidRPr="00A144E0" w:rsidRDefault="0073414B" w:rsidP="00A144E0">
      <w:pPr>
        <w:pStyle w:val="ListParagraph"/>
        <w:numPr>
          <w:ilvl w:val="0"/>
          <w:numId w:val="16"/>
        </w:numPr>
        <w:spacing w:after="0" w:line="240" w:lineRule="auto"/>
        <w:rPr>
          <w:rFonts w:eastAsia="DengXian" w:cs="Arial"/>
          <w:sz w:val="21"/>
          <w:szCs w:val="21"/>
        </w:rPr>
      </w:pPr>
      <w:r w:rsidRPr="00A144E0">
        <w:rPr>
          <w:b/>
          <w:bCs/>
          <w:sz w:val="21"/>
          <w:szCs w:val="21"/>
        </w:rPr>
        <w:t xml:space="preserve">Support </w:t>
      </w:r>
      <w:r w:rsidR="00137625" w:rsidRPr="00A144E0">
        <w:rPr>
          <w:b/>
          <w:bCs/>
          <w:sz w:val="21"/>
          <w:szCs w:val="21"/>
        </w:rPr>
        <w:t>for</w:t>
      </w:r>
      <w:r w:rsidR="00E60FB8" w:rsidRPr="00A144E0">
        <w:rPr>
          <w:b/>
          <w:bCs/>
          <w:sz w:val="21"/>
          <w:szCs w:val="21"/>
        </w:rPr>
        <w:t xml:space="preserve"> vulnerable businesses</w:t>
      </w:r>
      <w:r w:rsidR="00137625" w:rsidRPr="00A144E0">
        <w:rPr>
          <w:b/>
          <w:bCs/>
          <w:sz w:val="21"/>
          <w:szCs w:val="21"/>
        </w:rPr>
        <w:t xml:space="preserve"> </w:t>
      </w:r>
      <w:r w:rsidR="00DF19BF" w:rsidRPr="00A144E0">
        <w:rPr>
          <w:b/>
          <w:bCs/>
          <w:sz w:val="21"/>
          <w:szCs w:val="21"/>
        </w:rPr>
        <w:t>M</w:t>
      </w:r>
      <w:r w:rsidR="00137625" w:rsidRPr="00A144E0">
        <w:rPr>
          <w:b/>
          <w:bCs/>
          <w:sz w:val="21"/>
          <w:szCs w:val="21"/>
        </w:rPr>
        <w:t xml:space="preserve">SMEs, </w:t>
      </w:r>
      <w:proofErr w:type="gramStart"/>
      <w:r w:rsidR="00137625" w:rsidRPr="00A144E0">
        <w:rPr>
          <w:b/>
          <w:bCs/>
          <w:sz w:val="21"/>
          <w:szCs w:val="21"/>
        </w:rPr>
        <w:t xml:space="preserve">in particular </w:t>
      </w:r>
      <w:r w:rsidR="00FA1E4A" w:rsidRPr="00A144E0">
        <w:rPr>
          <w:b/>
          <w:bCs/>
          <w:sz w:val="21"/>
          <w:szCs w:val="21"/>
        </w:rPr>
        <w:t>for</w:t>
      </w:r>
      <w:proofErr w:type="gramEnd"/>
      <w:r w:rsidR="00FA1E4A" w:rsidRPr="00A144E0">
        <w:rPr>
          <w:b/>
          <w:bCs/>
          <w:sz w:val="21"/>
          <w:szCs w:val="21"/>
        </w:rPr>
        <w:t xml:space="preserve"> </w:t>
      </w:r>
      <w:r w:rsidR="00685E51" w:rsidRPr="00A144E0">
        <w:rPr>
          <w:b/>
          <w:bCs/>
          <w:sz w:val="21"/>
          <w:szCs w:val="21"/>
        </w:rPr>
        <w:t xml:space="preserve">emerging and </w:t>
      </w:r>
      <w:r w:rsidR="00137625" w:rsidRPr="00A144E0">
        <w:rPr>
          <w:b/>
          <w:bCs/>
          <w:sz w:val="21"/>
          <w:szCs w:val="21"/>
        </w:rPr>
        <w:t xml:space="preserve">developing </w:t>
      </w:r>
      <w:r w:rsidR="00685E51" w:rsidRPr="00A144E0">
        <w:rPr>
          <w:b/>
          <w:bCs/>
          <w:sz w:val="21"/>
          <w:szCs w:val="21"/>
        </w:rPr>
        <w:t>markets</w:t>
      </w:r>
      <w:r w:rsidR="00137625" w:rsidRPr="00A144E0">
        <w:rPr>
          <w:b/>
          <w:bCs/>
          <w:sz w:val="21"/>
          <w:szCs w:val="21"/>
        </w:rPr>
        <w:t>.</w:t>
      </w:r>
      <w:r w:rsidR="00173EE2" w:rsidRPr="00A144E0">
        <w:rPr>
          <w:b/>
          <w:bCs/>
          <w:sz w:val="21"/>
          <w:szCs w:val="21"/>
        </w:rPr>
        <w:t xml:space="preserve"> </w:t>
      </w:r>
      <w:r w:rsidR="00173EE2" w:rsidRPr="00A144E0">
        <w:rPr>
          <w:sz w:val="21"/>
          <w:szCs w:val="21"/>
        </w:rPr>
        <w:t>To the extent</w:t>
      </w:r>
      <w:r w:rsidR="00002789" w:rsidRPr="00A144E0">
        <w:rPr>
          <w:sz w:val="21"/>
          <w:szCs w:val="21"/>
        </w:rPr>
        <w:t xml:space="preserve"> possible</w:t>
      </w:r>
      <w:r w:rsidR="00DE669F" w:rsidRPr="00A144E0">
        <w:rPr>
          <w:sz w:val="21"/>
          <w:szCs w:val="21"/>
        </w:rPr>
        <w:t>,</w:t>
      </w:r>
      <w:r w:rsidR="00002789" w:rsidRPr="00A144E0">
        <w:rPr>
          <w:sz w:val="21"/>
          <w:szCs w:val="21"/>
        </w:rPr>
        <w:t xml:space="preserve"> </w:t>
      </w:r>
      <w:r w:rsidR="00453120" w:rsidRPr="00A144E0">
        <w:rPr>
          <w:sz w:val="21"/>
          <w:szCs w:val="21"/>
        </w:rPr>
        <w:t xml:space="preserve">special considerations should be </w:t>
      </w:r>
      <w:r w:rsidR="00DE669F" w:rsidRPr="00A144E0">
        <w:rPr>
          <w:sz w:val="21"/>
          <w:szCs w:val="21"/>
        </w:rPr>
        <w:t>provided</w:t>
      </w:r>
      <w:r w:rsidR="00453120" w:rsidRPr="00A144E0">
        <w:rPr>
          <w:sz w:val="21"/>
          <w:szCs w:val="21"/>
        </w:rPr>
        <w:t xml:space="preserve"> </w:t>
      </w:r>
      <w:r w:rsidR="00DA6324" w:rsidRPr="00A144E0">
        <w:rPr>
          <w:sz w:val="21"/>
          <w:szCs w:val="21"/>
        </w:rPr>
        <w:t>for</w:t>
      </w:r>
      <w:r w:rsidR="00C02854" w:rsidRPr="00A144E0">
        <w:rPr>
          <w:rFonts w:cs="Arial"/>
          <w:color w:val="000000"/>
          <w:sz w:val="21"/>
          <w:szCs w:val="21"/>
        </w:rPr>
        <w:t xml:space="preserve"> Micro-, Small and Medium-sized Enterprises </w:t>
      </w:r>
      <w:r w:rsidR="00750732" w:rsidRPr="00A144E0">
        <w:rPr>
          <w:sz w:val="21"/>
          <w:szCs w:val="21"/>
        </w:rPr>
        <w:t>(MSMEs</w:t>
      </w:r>
      <w:r w:rsidR="009E6DB9" w:rsidRPr="00A144E0">
        <w:rPr>
          <w:sz w:val="21"/>
          <w:szCs w:val="21"/>
        </w:rPr>
        <w:t xml:space="preserve">), </w:t>
      </w:r>
      <w:proofErr w:type="gramStart"/>
      <w:r w:rsidR="009E6DB9" w:rsidRPr="00A144E0">
        <w:rPr>
          <w:sz w:val="21"/>
          <w:szCs w:val="21"/>
        </w:rPr>
        <w:t>in</w:t>
      </w:r>
      <w:r w:rsidR="00DA6324" w:rsidRPr="00A144E0">
        <w:rPr>
          <w:sz w:val="21"/>
          <w:szCs w:val="21"/>
        </w:rPr>
        <w:t xml:space="preserve"> particular in</w:t>
      </w:r>
      <w:proofErr w:type="gramEnd"/>
      <w:r w:rsidR="00DA6324" w:rsidRPr="00A144E0">
        <w:rPr>
          <w:sz w:val="21"/>
          <w:szCs w:val="21"/>
        </w:rPr>
        <w:t xml:space="preserve"> </w:t>
      </w:r>
      <w:r w:rsidR="00685E51" w:rsidRPr="00A144E0">
        <w:rPr>
          <w:sz w:val="21"/>
          <w:szCs w:val="21"/>
        </w:rPr>
        <w:t>emerging and developing markets</w:t>
      </w:r>
      <w:r w:rsidR="00652EAB" w:rsidRPr="00A144E0">
        <w:rPr>
          <w:sz w:val="21"/>
          <w:szCs w:val="21"/>
        </w:rPr>
        <w:t xml:space="preserve">. </w:t>
      </w:r>
      <w:r w:rsidR="00C7387E" w:rsidRPr="00A144E0">
        <w:rPr>
          <w:sz w:val="21"/>
          <w:szCs w:val="21"/>
        </w:rPr>
        <w:t xml:space="preserve">For example, </w:t>
      </w:r>
      <w:r w:rsidR="00E55393" w:rsidRPr="00A144E0">
        <w:rPr>
          <w:sz w:val="21"/>
          <w:szCs w:val="21"/>
        </w:rPr>
        <w:t xml:space="preserve">a staged approach for small </w:t>
      </w:r>
      <w:r w:rsidR="00402916" w:rsidRPr="00A144E0">
        <w:rPr>
          <w:sz w:val="21"/>
          <w:szCs w:val="21"/>
        </w:rPr>
        <w:t>enterprises</w:t>
      </w:r>
      <w:r w:rsidR="00E55393" w:rsidRPr="00A144E0">
        <w:rPr>
          <w:sz w:val="21"/>
          <w:szCs w:val="21"/>
        </w:rPr>
        <w:t xml:space="preserve">, below a </w:t>
      </w:r>
      <w:r w:rsidR="000B08C4" w:rsidRPr="00A144E0">
        <w:rPr>
          <w:sz w:val="21"/>
          <w:szCs w:val="21"/>
        </w:rPr>
        <w:t xml:space="preserve">certain </w:t>
      </w:r>
      <w:r w:rsidR="00875417" w:rsidRPr="00A144E0">
        <w:rPr>
          <w:sz w:val="21"/>
          <w:szCs w:val="21"/>
        </w:rPr>
        <w:t xml:space="preserve">export volume should be applied </w:t>
      </w:r>
      <w:proofErr w:type="gramStart"/>
      <w:r w:rsidR="00875417" w:rsidRPr="00A144E0">
        <w:rPr>
          <w:sz w:val="21"/>
          <w:szCs w:val="21"/>
        </w:rPr>
        <w:t>in order to</w:t>
      </w:r>
      <w:proofErr w:type="gramEnd"/>
      <w:r w:rsidR="00875417" w:rsidRPr="00A144E0">
        <w:rPr>
          <w:sz w:val="21"/>
          <w:szCs w:val="21"/>
        </w:rPr>
        <w:t xml:space="preserve"> help build </w:t>
      </w:r>
      <w:r w:rsidR="00755D85" w:rsidRPr="00A144E0">
        <w:rPr>
          <w:sz w:val="21"/>
          <w:szCs w:val="21"/>
        </w:rPr>
        <w:t>needed capacities and capabilities</w:t>
      </w:r>
      <w:r w:rsidR="00887EA1" w:rsidRPr="00A144E0">
        <w:rPr>
          <w:sz w:val="21"/>
          <w:szCs w:val="21"/>
        </w:rPr>
        <w:t xml:space="preserve"> for reporting and compliance</w:t>
      </w:r>
      <w:r w:rsidR="00755D85" w:rsidRPr="00A144E0">
        <w:rPr>
          <w:sz w:val="21"/>
          <w:szCs w:val="21"/>
        </w:rPr>
        <w:t xml:space="preserve">. This should </w:t>
      </w:r>
      <w:proofErr w:type="gramStart"/>
      <w:r w:rsidR="00755D85" w:rsidRPr="00A144E0">
        <w:rPr>
          <w:sz w:val="21"/>
          <w:szCs w:val="21"/>
        </w:rPr>
        <w:t>be couple</w:t>
      </w:r>
      <w:r w:rsidR="00887EA1" w:rsidRPr="00A144E0">
        <w:rPr>
          <w:sz w:val="21"/>
          <w:szCs w:val="21"/>
        </w:rPr>
        <w:t>d</w:t>
      </w:r>
      <w:proofErr w:type="gramEnd"/>
      <w:r w:rsidR="00755D85" w:rsidRPr="00A144E0">
        <w:rPr>
          <w:sz w:val="21"/>
          <w:szCs w:val="21"/>
        </w:rPr>
        <w:t xml:space="preserve"> </w:t>
      </w:r>
      <w:r w:rsidR="00EB116E" w:rsidRPr="00A144E0">
        <w:rPr>
          <w:sz w:val="21"/>
          <w:szCs w:val="21"/>
        </w:rPr>
        <w:t>with</w:t>
      </w:r>
      <w:r w:rsidR="00E44430" w:rsidRPr="00A144E0">
        <w:rPr>
          <w:sz w:val="21"/>
          <w:szCs w:val="21"/>
        </w:rPr>
        <w:t xml:space="preserve"> sufficient</w:t>
      </w:r>
      <w:r w:rsidR="00887EA1" w:rsidRPr="00A144E0">
        <w:rPr>
          <w:sz w:val="21"/>
          <w:szCs w:val="21"/>
        </w:rPr>
        <w:t xml:space="preserve"> </w:t>
      </w:r>
      <w:r w:rsidR="00BF4C20" w:rsidRPr="00A144E0">
        <w:rPr>
          <w:sz w:val="21"/>
          <w:szCs w:val="21"/>
        </w:rPr>
        <w:t xml:space="preserve">capacity building </w:t>
      </w:r>
      <w:r w:rsidR="00EA6A5C" w:rsidRPr="00A144E0">
        <w:rPr>
          <w:sz w:val="21"/>
          <w:szCs w:val="21"/>
        </w:rPr>
        <w:t xml:space="preserve">and financial </w:t>
      </w:r>
      <w:r w:rsidR="00A77A90" w:rsidRPr="00A144E0">
        <w:rPr>
          <w:sz w:val="21"/>
          <w:szCs w:val="21"/>
        </w:rPr>
        <w:t xml:space="preserve">support </w:t>
      </w:r>
      <w:r w:rsidR="00EB116E" w:rsidRPr="00A144E0">
        <w:rPr>
          <w:sz w:val="21"/>
          <w:szCs w:val="21"/>
        </w:rPr>
        <w:t xml:space="preserve">to </w:t>
      </w:r>
      <w:r w:rsidR="00A77A90" w:rsidRPr="00A144E0">
        <w:rPr>
          <w:sz w:val="21"/>
          <w:szCs w:val="21"/>
        </w:rPr>
        <w:t>alleviate compliance and administrative costs.</w:t>
      </w:r>
      <w:r w:rsidR="00BF4C20" w:rsidRPr="00A144E0">
        <w:rPr>
          <w:sz w:val="21"/>
          <w:szCs w:val="21"/>
        </w:rPr>
        <w:t xml:space="preserve"> </w:t>
      </w:r>
    </w:p>
    <w:p w14:paraId="605ED14A" w14:textId="77777777" w:rsidR="000950CF" w:rsidRPr="00A144E0" w:rsidRDefault="000950CF" w:rsidP="00A144E0">
      <w:pPr>
        <w:pStyle w:val="ListParagraph"/>
        <w:spacing w:after="0" w:line="240" w:lineRule="auto"/>
        <w:ind w:left="1440"/>
        <w:rPr>
          <w:rFonts w:eastAsia="DengXian" w:cs="Arial"/>
          <w:sz w:val="21"/>
          <w:szCs w:val="21"/>
          <w:lang w:val="en-US"/>
        </w:rPr>
      </w:pPr>
    </w:p>
    <w:p w14:paraId="0F33C99F" w14:textId="29D2114F" w:rsidR="00910C2B" w:rsidRPr="00A144E0" w:rsidRDefault="00910C2B" w:rsidP="00A144E0">
      <w:pPr>
        <w:pStyle w:val="Heading2"/>
        <w:rPr>
          <w:sz w:val="21"/>
          <w:szCs w:val="21"/>
        </w:rPr>
      </w:pPr>
      <w:bookmarkStart w:id="2" w:name="_Toc143701979"/>
      <w:r w:rsidRPr="00A144E0">
        <w:rPr>
          <w:sz w:val="21"/>
          <w:szCs w:val="21"/>
        </w:rPr>
        <w:t>Carbon linkage</w:t>
      </w:r>
      <w:bookmarkEnd w:id="2"/>
    </w:p>
    <w:p w14:paraId="12F65C1F" w14:textId="46F1F0CB" w:rsidR="00F54B6E" w:rsidRPr="00A144E0" w:rsidRDefault="00910C2B" w:rsidP="00A144E0">
      <w:pPr>
        <w:spacing w:after="0" w:line="240" w:lineRule="auto"/>
        <w:ind w:left="426"/>
        <w:rPr>
          <w:sz w:val="21"/>
          <w:szCs w:val="21"/>
        </w:rPr>
      </w:pPr>
      <w:r w:rsidRPr="00A144E0">
        <w:rPr>
          <w:sz w:val="21"/>
          <w:szCs w:val="21"/>
          <w:lang w:val="en-US"/>
        </w:rPr>
        <w:br/>
      </w:r>
      <w:r w:rsidR="0044088A" w:rsidRPr="00A144E0">
        <w:rPr>
          <w:sz w:val="21"/>
          <w:szCs w:val="21"/>
          <w:lang w:val="en-US"/>
        </w:rPr>
        <w:t xml:space="preserve">The Paris Agreement recognizes the importance of international cooperation and coordinated solutions at all levels </w:t>
      </w:r>
      <w:proofErr w:type="gramStart"/>
      <w:r w:rsidR="0044088A" w:rsidRPr="00A144E0">
        <w:rPr>
          <w:sz w:val="21"/>
          <w:szCs w:val="21"/>
          <w:lang w:val="en-US"/>
        </w:rPr>
        <w:t>in order to</w:t>
      </w:r>
      <w:proofErr w:type="gramEnd"/>
      <w:r w:rsidR="0044088A" w:rsidRPr="00A144E0">
        <w:rPr>
          <w:sz w:val="21"/>
          <w:szCs w:val="21"/>
          <w:lang w:val="en-US"/>
        </w:rPr>
        <w:t xml:space="preserve"> </w:t>
      </w:r>
      <w:r w:rsidR="0044088A" w:rsidRPr="00A144E0">
        <w:rPr>
          <w:sz w:val="21"/>
          <w:szCs w:val="21"/>
        </w:rPr>
        <w:t xml:space="preserve">allow for higher climate ambition and action.  Article 6 specifically seeks to assist </w:t>
      </w:r>
      <w:r w:rsidR="00C16340" w:rsidRPr="00A144E0">
        <w:rPr>
          <w:sz w:val="21"/>
          <w:szCs w:val="21"/>
        </w:rPr>
        <w:t>countries and</w:t>
      </w:r>
      <w:r w:rsidR="0044088A" w:rsidRPr="00A144E0">
        <w:rPr>
          <w:sz w:val="21"/>
          <w:szCs w:val="21"/>
        </w:rPr>
        <w:t xml:space="preserve"> non-</w:t>
      </w:r>
      <w:r w:rsidR="00D14DF7" w:rsidRPr="00A144E0">
        <w:rPr>
          <w:sz w:val="21"/>
          <w:szCs w:val="21"/>
        </w:rPr>
        <w:t>State</w:t>
      </w:r>
      <w:r w:rsidR="0044088A" w:rsidRPr="00A144E0">
        <w:rPr>
          <w:sz w:val="21"/>
          <w:szCs w:val="21"/>
        </w:rPr>
        <w:t xml:space="preserve"> </w:t>
      </w:r>
      <w:r w:rsidR="0028024D" w:rsidRPr="00A144E0">
        <w:rPr>
          <w:sz w:val="21"/>
          <w:szCs w:val="21"/>
        </w:rPr>
        <w:t>-actors</w:t>
      </w:r>
      <w:r w:rsidR="0044088A" w:rsidRPr="00A144E0">
        <w:rPr>
          <w:sz w:val="21"/>
          <w:szCs w:val="21"/>
        </w:rPr>
        <w:t xml:space="preserve"> </w:t>
      </w:r>
      <w:r w:rsidR="00971B19" w:rsidRPr="00A144E0">
        <w:rPr>
          <w:sz w:val="21"/>
          <w:szCs w:val="21"/>
        </w:rPr>
        <w:t xml:space="preserve">to </w:t>
      </w:r>
      <w:r w:rsidR="0044088A" w:rsidRPr="00A144E0">
        <w:rPr>
          <w:sz w:val="21"/>
          <w:szCs w:val="21"/>
        </w:rPr>
        <w:t>cost-effectively manage emissions reduction through global co-operation</w:t>
      </w:r>
      <w:proofErr w:type="gramStart"/>
      <w:r w:rsidR="0044088A" w:rsidRPr="00A144E0">
        <w:rPr>
          <w:sz w:val="21"/>
          <w:szCs w:val="21"/>
        </w:rPr>
        <w:t xml:space="preserve">.  </w:t>
      </w:r>
      <w:proofErr w:type="gramEnd"/>
    </w:p>
    <w:p w14:paraId="6FAC1821" w14:textId="77777777" w:rsidR="00F54B6E" w:rsidRPr="00A144E0" w:rsidRDefault="00F54B6E" w:rsidP="00A144E0">
      <w:pPr>
        <w:spacing w:after="0" w:line="240" w:lineRule="auto"/>
        <w:ind w:left="426"/>
        <w:rPr>
          <w:sz w:val="21"/>
          <w:szCs w:val="21"/>
        </w:rPr>
      </w:pPr>
    </w:p>
    <w:p w14:paraId="35456054" w14:textId="77777777" w:rsidR="0044088A" w:rsidRPr="00A144E0" w:rsidRDefault="0044088A" w:rsidP="00A144E0">
      <w:pPr>
        <w:spacing w:after="0" w:line="240" w:lineRule="auto"/>
        <w:rPr>
          <w:sz w:val="21"/>
          <w:szCs w:val="21"/>
          <w:lang w:val="en-US"/>
        </w:rPr>
      </w:pPr>
    </w:p>
    <w:p w14:paraId="37F4CA17" w14:textId="277E42AA" w:rsidR="009B6E90" w:rsidRDefault="005B6BF0" w:rsidP="009B6E90">
      <w:pPr>
        <w:spacing w:after="0" w:line="240" w:lineRule="auto"/>
        <w:ind w:left="426"/>
        <w:rPr>
          <w:sz w:val="21"/>
          <w:szCs w:val="21"/>
          <w:lang w:val="en-US"/>
        </w:rPr>
      </w:pPr>
      <w:r w:rsidRPr="005B6BF0">
        <w:rPr>
          <w:b/>
          <w:bCs/>
          <w:sz w:val="21"/>
          <w:szCs w:val="21"/>
        </w:rPr>
        <w:t xml:space="preserve">ICC Principles 2, 3 and 4 promote consistency between policies and advocate </w:t>
      </w:r>
      <w:proofErr w:type="gramStart"/>
      <w:r w:rsidRPr="005B6BF0">
        <w:rPr>
          <w:b/>
          <w:bCs/>
          <w:sz w:val="21"/>
          <w:szCs w:val="21"/>
        </w:rPr>
        <w:t>reliable</w:t>
      </w:r>
      <w:proofErr w:type="gramEnd"/>
      <w:r w:rsidRPr="005B6BF0">
        <w:rPr>
          <w:b/>
          <w:bCs/>
          <w:sz w:val="21"/>
          <w:szCs w:val="21"/>
        </w:rPr>
        <w:t xml:space="preserve"> and predictable, and clear and robust carbon pricing frameworks.</w:t>
      </w:r>
      <w:r>
        <w:rPr>
          <w:b/>
          <w:sz w:val="21"/>
          <w:szCs w:val="21"/>
          <w:lang w:val="en-US"/>
        </w:rPr>
        <w:t xml:space="preserve">  </w:t>
      </w:r>
      <w:r w:rsidR="0044088A" w:rsidRPr="005B6BF0">
        <w:rPr>
          <w:b/>
          <w:sz w:val="21"/>
          <w:szCs w:val="21"/>
          <w:lang w:val="en-US"/>
        </w:rPr>
        <w:t>ICC Carbon Principle 7</w:t>
      </w:r>
      <w:r w:rsidR="0044088A" w:rsidRPr="00A144E0">
        <w:rPr>
          <w:b/>
          <w:sz w:val="21"/>
          <w:szCs w:val="21"/>
          <w:lang w:val="en-US"/>
        </w:rPr>
        <w:t xml:space="preserve"> recognises that there is no “one-size-fits-all” single carbon pricing instrument</w:t>
      </w:r>
      <w:r w:rsidR="0044088A" w:rsidRPr="00A144E0">
        <w:rPr>
          <w:sz w:val="21"/>
          <w:szCs w:val="21"/>
          <w:lang w:val="en-US"/>
        </w:rPr>
        <w:t>.  This applies equally to c</w:t>
      </w:r>
      <w:r w:rsidR="00910C2B" w:rsidRPr="00A144E0">
        <w:rPr>
          <w:sz w:val="21"/>
          <w:szCs w:val="21"/>
          <w:lang w:val="en-US"/>
        </w:rPr>
        <w:t xml:space="preserve">arbon pricing mechanisms pursuant </w:t>
      </w:r>
      <w:r w:rsidR="00F32F84" w:rsidRPr="00A144E0">
        <w:rPr>
          <w:sz w:val="21"/>
          <w:szCs w:val="21"/>
          <w:lang w:val="en-US"/>
        </w:rPr>
        <w:t xml:space="preserve">to </w:t>
      </w:r>
      <w:r w:rsidR="00F32F84" w:rsidRPr="00A144E0">
        <w:rPr>
          <w:sz w:val="21"/>
          <w:szCs w:val="21"/>
        </w:rPr>
        <w:t>national</w:t>
      </w:r>
      <w:r w:rsidR="0044088A" w:rsidRPr="00A144E0">
        <w:rPr>
          <w:sz w:val="21"/>
          <w:szCs w:val="21"/>
        </w:rPr>
        <w:t xml:space="preserve"> and sub-national </w:t>
      </w:r>
      <w:r w:rsidR="00910C2B" w:rsidRPr="00A144E0">
        <w:rPr>
          <w:sz w:val="21"/>
          <w:szCs w:val="21"/>
          <w:lang w:val="en-US"/>
        </w:rPr>
        <w:t xml:space="preserve">compliance regimes (often but not exclusively tax-based), </w:t>
      </w:r>
      <w:r w:rsidR="0044088A" w:rsidRPr="00A144E0">
        <w:rPr>
          <w:sz w:val="21"/>
          <w:szCs w:val="21"/>
          <w:lang w:val="en-US"/>
        </w:rPr>
        <w:t xml:space="preserve">as well as </w:t>
      </w:r>
      <w:r w:rsidR="00910C2B" w:rsidRPr="00A144E0">
        <w:rPr>
          <w:sz w:val="21"/>
          <w:szCs w:val="21"/>
          <w:lang w:val="en-US"/>
        </w:rPr>
        <w:t xml:space="preserve">international treaty (Paris Agreement, Article 6) and </w:t>
      </w:r>
      <w:r w:rsidR="0044088A" w:rsidRPr="00A144E0">
        <w:rPr>
          <w:sz w:val="21"/>
          <w:szCs w:val="21"/>
          <w:lang w:val="en-US"/>
        </w:rPr>
        <w:t xml:space="preserve">voluntary carbon market </w:t>
      </w:r>
      <w:r w:rsidR="00910C2B" w:rsidRPr="00A144E0">
        <w:rPr>
          <w:sz w:val="21"/>
          <w:szCs w:val="21"/>
          <w:lang w:val="en-US"/>
        </w:rPr>
        <w:t>industry-based initiatives</w:t>
      </w:r>
      <w:r w:rsidR="0044088A" w:rsidRPr="00A144E0">
        <w:rPr>
          <w:sz w:val="21"/>
          <w:szCs w:val="21"/>
          <w:lang w:val="en-US"/>
        </w:rPr>
        <w:t>, which are</w:t>
      </w:r>
      <w:r w:rsidR="00910C2B" w:rsidRPr="00A144E0">
        <w:rPr>
          <w:sz w:val="21"/>
          <w:szCs w:val="21"/>
          <w:lang w:val="en-US"/>
        </w:rPr>
        <w:t xml:space="preserve"> subject to standards and/or private contract</w:t>
      </w:r>
      <w:r w:rsidR="008B2D1C" w:rsidRPr="00A144E0">
        <w:rPr>
          <w:sz w:val="21"/>
          <w:szCs w:val="21"/>
          <w:lang w:val="en-US"/>
        </w:rPr>
        <w:t>s</w:t>
      </w:r>
      <w:r w:rsidR="00910C2B" w:rsidRPr="00A144E0">
        <w:rPr>
          <w:sz w:val="21"/>
          <w:szCs w:val="21"/>
          <w:lang w:val="en-US"/>
        </w:rPr>
        <w:t>.</w:t>
      </w:r>
      <w:r w:rsidR="00FF5904" w:rsidRPr="00A144E0">
        <w:rPr>
          <w:sz w:val="21"/>
          <w:szCs w:val="21"/>
          <w:lang w:val="en-US"/>
        </w:rPr>
        <w:t xml:space="preserve"> </w:t>
      </w:r>
      <w:r w:rsidR="0044088A" w:rsidRPr="00A144E0">
        <w:rPr>
          <w:sz w:val="21"/>
          <w:szCs w:val="21"/>
          <w:lang w:val="en-US"/>
        </w:rPr>
        <w:t>A</w:t>
      </w:r>
      <w:r w:rsidR="00910C2B" w:rsidRPr="00A144E0">
        <w:rPr>
          <w:sz w:val="21"/>
          <w:szCs w:val="21"/>
          <w:lang w:val="en-US"/>
        </w:rPr>
        <w:t xml:space="preserve">ll share a </w:t>
      </w:r>
      <w:r w:rsidR="00910C2B" w:rsidRPr="00A144E0">
        <w:rPr>
          <w:b/>
          <w:sz w:val="21"/>
          <w:szCs w:val="21"/>
          <w:lang w:val="en-US"/>
        </w:rPr>
        <w:t>common objective to reduce global greenhouse gas emissions</w:t>
      </w:r>
      <w:r w:rsidR="0044088A" w:rsidRPr="00A144E0">
        <w:rPr>
          <w:sz w:val="21"/>
          <w:szCs w:val="21"/>
          <w:lang w:val="en-US"/>
        </w:rPr>
        <w:t xml:space="preserve"> through market mechanisms.  Each is governed by a </w:t>
      </w:r>
      <w:r w:rsidR="00910C2B" w:rsidRPr="00A144E0">
        <w:rPr>
          <w:sz w:val="21"/>
          <w:szCs w:val="21"/>
          <w:lang w:val="en-US"/>
        </w:rPr>
        <w:t>different legal system (domestic regulatory law</w:t>
      </w:r>
      <w:r w:rsidR="0044088A" w:rsidRPr="00A144E0">
        <w:rPr>
          <w:sz w:val="21"/>
          <w:szCs w:val="21"/>
          <w:lang w:val="en-US"/>
        </w:rPr>
        <w:t>s</w:t>
      </w:r>
      <w:r w:rsidR="00910C2B" w:rsidRPr="00A144E0">
        <w:rPr>
          <w:sz w:val="21"/>
          <w:szCs w:val="21"/>
          <w:lang w:val="en-US"/>
        </w:rPr>
        <w:t>, public international law</w:t>
      </w:r>
      <w:r w:rsidR="0044088A" w:rsidRPr="00A144E0">
        <w:rPr>
          <w:sz w:val="21"/>
          <w:szCs w:val="21"/>
          <w:lang w:val="en-US"/>
        </w:rPr>
        <w:t>,</w:t>
      </w:r>
      <w:r w:rsidR="00910C2B" w:rsidRPr="00A144E0">
        <w:rPr>
          <w:sz w:val="21"/>
          <w:szCs w:val="21"/>
          <w:lang w:val="en-US"/>
        </w:rPr>
        <w:t xml:space="preserve"> private international law)</w:t>
      </w:r>
      <w:r w:rsidR="0044088A" w:rsidRPr="00A144E0">
        <w:rPr>
          <w:sz w:val="21"/>
          <w:szCs w:val="21"/>
          <w:lang w:val="en-US"/>
        </w:rPr>
        <w:t xml:space="preserve">.  Each may involve </w:t>
      </w:r>
      <w:r w:rsidR="00910C2B" w:rsidRPr="00A144E0">
        <w:rPr>
          <w:sz w:val="21"/>
          <w:szCs w:val="21"/>
          <w:lang w:val="en-US"/>
        </w:rPr>
        <w:t>state and</w:t>
      </w:r>
      <w:r w:rsidR="0044088A" w:rsidRPr="00A144E0">
        <w:rPr>
          <w:sz w:val="21"/>
          <w:szCs w:val="21"/>
          <w:lang w:val="en-US"/>
        </w:rPr>
        <w:t>/or</w:t>
      </w:r>
      <w:r w:rsidR="00910C2B" w:rsidRPr="00A144E0">
        <w:rPr>
          <w:sz w:val="21"/>
          <w:szCs w:val="21"/>
          <w:lang w:val="en-US"/>
        </w:rPr>
        <w:t xml:space="preserve"> non-state actors. </w:t>
      </w:r>
    </w:p>
    <w:p w14:paraId="358914C8" w14:textId="77777777" w:rsidR="009B6E90" w:rsidRDefault="009B6E90" w:rsidP="009B6E90">
      <w:pPr>
        <w:spacing w:after="0" w:line="240" w:lineRule="auto"/>
        <w:ind w:left="426"/>
        <w:rPr>
          <w:sz w:val="21"/>
          <w:szCs w:val="21"/>
          <w:lang w:val="en-US"/>
        </w:rPr>
      </w:pPr>
    </w:p>
    <w:p w14:paraId="722FFD81" w14:textId="44F992FF" w:rsidR="0044088A" w:rsidRPr="00A144E0" w:rsidRDefault="009B6E90" w:rsidP="009B6E90">
      <w:pPr>
        <w:spacing w:after="0" w:line="240" w:lineRule="auto"/>
        <w:ind w:left="426"/>
        <w:rPr>
          <w:sz w:val="21"/>
          <w:szCs w:val="21"/>
          <w:lang w:val="en-US"/>
        </w:rPr>
      </w:pPr>
      <w:r>
        <w:rPr>
          <w:sz w:val="21"/>
          <w:szCs w:val="21"/>
          <w:lang w:val="en-US"/>
        </w:rPr>
        <w:t xml:space="preserve">In </w:t>
      </w:r>
      <w:r w:rsidR="0044088A" w:rsidRPr="00A144E0">
        <w:rPr>
          <w:sz w:val="21"/>
          <w:szCs w:val="21"/>
          <w:lang w:val="en-US"/>
        </w:rPr>
        <w:t>e</w:t>
      </w:r>
      <w:r w:rsidR="00254F11" w:rsidRPr="00A144E0">
        <w:rPr>
          <w:sz w:val="21"/>
          <w:szCs w:val="21"/>
          <w:lang w:val="en-US"/>
        </w:rPr>
        <w:t xml:space="preserve">ach of </w:t>
      </w:r>
      <w:r w:rsidR="0044088A" w:rsidRPr="00A144E0">
        <w:rPr>
          <w:sz w:val="21"/>
          <w:szCs w:val="21"/>
        </w:rPr>
        <w:t xml:space="preserve">national and sub-national </w:t>
      </w:r>
      <w:r w:rsidR="0044088A" w:rsidRPr="00A144E0">
        <w:rPr>
          <w:sz w:val="21"/>
          <w:szCs w:val="21"/>
          <w:lang w:val="en-US"/>
        </w:rPr>
        <w:t>compliance, Article 6 and voluntary carbon credit mechanisms, there are opportunities for mutual learning and developing</w:t>
      </w:r>
      <w:r w:rsidR="00254F11" w:rsidRPr="00A144E0">
        <w:rPr>
          <w:sz w:val="21"/>
          <w:szCs w:val="21"/>
          <w:lang w:val="en-US"/>
        </w:rPr>
        <w:t xml:space="preserve"> </w:t>
      </w:r>
      <w:r w:rsidR="000E745B" w:rsidRPr="00A144E0">
        <w:rPr>
          <w:sz w:val="21"/>
          <w:szCs w:val="21"/>
          <w:lang w:val="en-US"/>
        </w:rPr>
        <w:t>best practice</w:t>
      </w:r>
      <w:r w:rsidR="0044088A" w:rsidRPr="00A144E0">
        <w:rPr>
          <w:sz w:val="21"/>
          <w:szCs w:val="21"/>
          <w:lang w:val="en-US"/>
        </w:rPr>
        <w:t xml:space="preserve"> principles,</w:t>
      </w:r>
      <w:r w:rsidR="00F30896" w:rsidRPr="00A144E0">
        <w:rPr>
          <w:sz w:val="21"/>
          <w:szCs w:val="21"/>
          <w:lang w:val="en-US"/>
        </w:rPr>
        <w:t xml:space="preserve"> </w:t>
      </w:r>
      <w:r w:rsidR="000E745B" w:rsidRPr="00A144E0">
        <w:rPr>
          <w:sz w:val="21"/>
          <w:szCs w:val="21"/>
          <w:lang w:val="en-US"/>
        </w:rPr>
        <w:t xml:space="preserve">based on </w:t>
      </w:r>
      <w:r w:rsidR="0044088A" w:rsidRPr="00A144E0">
        <w:rPr>
          <w:sz w:val="21"/>
          <w:szCs w:val="21"/>
          <w:lang w:val="en-US"/>
        </w:rPr>
        <w:t>best available</w:t>
      </w:r>
      <w:r w:rsidR="000E745B" w:rsidRPr="00A144E0">
        <w:rPr>
          <w:sz w:val="21"/>
          <w:szCs w:val="21"/>
          <w:lang w:val="en-US"/>
        </w:rPr>
        <w:t xml:space="preserve"> science</w:t>
      </w:r>
      <w:r w:rsidR="0044088A" w:rsidRPr="00A144E0">
        <w:rPr>
          <w:sz w:val="21"/>
          <w:szCs w:val="21"/>
          <w:lang w:val="en-US"/>
        </w:rPr>
        <w:t xml:space="preserve">.  These should seek </w:t>
      </w:r>
      <w:r w:rsidR="00295F2A" w:rsidRPr="00A144E0">
        <w:rPr>
          <w:sz w:val="21"/>
          <w:szCs w:val="21"/>
          <w:lang w:val="en-US"/>
        </w:rPr>
        <w:t xml:space="preserve">environmental integrity </w:t>
      </w:r>
      <w:r w:rsidR="0044088A" w:rsidRPr="00A144E0">
        <w:rPr>
          <w:sz w:val="21"/>
          <w:szCs w:val="21"/>
          <w:lang w:val="en-US"/>
        </w:rPr>
        <w:t xml:space="preserve">for legitimate carbon credit design and development, </w:t>
      </w:r>
      <w:proofErr w:type="gramStart"/>
      <w:r w:rsidR="0044088A" w:rsidRPr="00A144E0">
        <w:rPr>
          <w:sz w:val="21"/>
          <w:szCs w:val="21"/>
          <w:lang w:val="en-US"/>
        </w:rPr>
        <w:t>verification</w:t>
      </w:r>
      <w:proofErr w:type="gramEnd"/>
      <w:r w:rsidR="0044088A" w:rsidRPr="00A144E0">
        <w:rPr>
          <w:sz w:val="21"/>
          <w:szCs w:val="21"/>
          <w:lang w:val="en-US"/>
        </w:rPr>
        <w:t xml:space="preserve"> and use/claims, with the establishment of</w:t>
      </w:r>
      <w:r w:rsidR="003919CD" w:rsidRPr="00A144E0">
        <w:rPr>
          <w:sz w:val="21"/>
          <w:szCs w:val="21"/>
          <w:lang w:val="en-US"/>
        </w:rPr>
        <w:t xml:space="preserve"> </w:t>
      </w:r>
      <w:r w:rsidR="00E11D90" w:rsidRPr="00A144E0">
        <w:rPr>
          <w:sz w:val="21"/>
          <w:szCs w:val="21"/>
          <w:lang w:val="en-US"/>
        </w:rPr>
        <w:t>well-</w:t>
      </w:r>
      <w:r w:rsidR="00DF4990" w:rsidRPr="00A144E0">
        <w:rPr>
          <w:sz w:val="21"/>
          <w:szCs w:val="21"/>
          <w:lang w:val="en-US"/>
        </w:rPr>
        <w:t xml:space="preserve">functioning, high-integrity </w:t>
      </w:r>
      <w:r w:rsidR="006C43A8" w:rsidRPr="00A144E0">
        <w:rPr>
          <w:sz w:val="21"/>
          <w:szCs w:val="21"/>
          <w:lang w:val="en-US"/>
        </w:rPr>
        <w:t>carbon markets</w:t>
      </w:r>
      <w:r w:rsidR="0044088A" w:rsidRPr="00A144E0">
        <w:rPr>
          <w:sz w:val="21"/>
          <w:szCs w:val="21"/>
          <w:lang w:val="en-US"/>
        </w:rPr>
        <w:t xml:space="preserve"> for</w:t>
      </w:r>
      <w:r w:rsidR="009817DA" w:rsidRPr="00A144E0">
        <w:rPr>
          <w:sz w:val="21"/>
          <w:szCs w:val="21"/>
          <w:lang w:val="en-US"/>
        </w:rPr>
        <w:t xml:space="preserve"> all stakeholders to </w:t>
      </w:r>
      <w:r w:rsidR="0044088A" w:rsidRPr="00A144E0">
        <w:rPr>
          <w:sz w:val="21"/>
          <w:szCs w:val="21"/>
          <w:lang w:val="en-US"/>
        </w:rPr>
        <w:t xml:space="preserve">benefit from potential </w:t>
      </w:r>
      <w:r w:rsidR="009817DA" w:rsidRPr="00A144E0">
        <w:rPr>
          <w:sz w:val="21"/>
          <w:szCs w:val="21"/>
          <w:lang w:val="en-US"/>
        </w:rPr>
        <w:t xml:space="preserve">voluntary and compliance </w:t>
      </w:r>
      <w:r w:rsidR="0044088A" w:rsidRPr="00A144E0">
        <w:rPr>
          <w:sz w:val="21"/>
          <w:szCs w:val="21"/>
          <w:lang w:val="en-US"/>
        </w:rPr>
        <w:t xml:space="preserve">mechanisms, whilst achieving </w:t>
      </w:r>
      <w:r w:rsidR="0044088A" w:rsidRPr="00A144E0">
        <w:rPr>
          <w:b/>
          <w:sz w:val="21"/>
          <w:szCs w:val="21"/>
          <w:lang w:val="en-US"/>
        </w:rPr>
        <w:t>ICC Principle 1 to focus on GHG reduction as the prime target, including the prevention of GHG leakage</w:t>
      </w:r>
      <w:r w:rsidR="0044088A" w:rsidRPr="00A144E0">
        <w:rPr>
          <w:sz w:val="21"/>
          <w:szCs w:val="21"/>
          <w:lang w:val="en-US"/>
        </w:rPr>
        <w:t>.</w:t>
      </w:r>
      <w:r w:rsidR="00216DA1" w:rsidRPr="00A144E0" w:rsidDel="00216DA1">
        <w:rPr>
          <w:sz w:val="21"/>
          <w:szCs w:val="21"/>
          <w:lang w:val="en-US"/>
        </w:rPr>
        <w:t xml:space="preserve"> </w:t>
      </w:r>
    </w:p>
    <w:p w14:paraId="1C8F9404" w14:textId="77777777" w:rsidR="0044088A" w:rsidRPr="00A144E0" w:rsidRDefault="0044088A" w:rsidP="00A144E0">
      <w:pPr>
        <w:spacing w:after="0" w:line="240" w:lineRule="auto"/>
        <w:ind w:left="360"/>
        <w:rPr>
          <w:sz w:val="21"/>
          <w:szCs w:val="21"/>
          <w:lang w:val="en-US"/>
        </w:rPr>
      </w:pPr>
    </w:p>
    <w:p w14:paraId="4C9A7032" w14:textId="4759068B" w:rsidR="00254F11" w:rsidRPr="00A144E0" w:rsidRDefault="0044088A" w:rsidP="00A144E0">
      <w:pPr>
        <w:pStyle w:val="ListParagraph"/>
        <w:spacing w:after="0" w:line="240" w:lineRule="auto"/>
        <w:ind w:left="360"/>
        <w:rPr>
          <w:sz w:val="21"/>
          <w:szCs w:val="21"/>
          <w:lang w:val="en-US"/>
        </w:rPr>
      </w:pPr>
      <w:r w:rsidRPr="00A144E0">
        <w:rPr>
          <w:sz w:val="21"/>
          <w:szCs w:val="21"/>
          <w:lang w:val="en-US"/>
        </w:rPr>
        <w:t xml:space="preserve">The </w:t>
      </w:r>
      <w:r w:rsidRPr="00A144E0">
        <w:rPr>
          <w:b/>
          <w:sz w:val="21"/>
          <w:szCs w:val="21"/>
          <w:lang w:val="en-US"/>
        </w:rPr>
        <w:t>ICC Carbon Pricing Principles were promulgated to assist governments and policy makers</w:t>
      </w:r>
      <w:r w:rsidRPr="00A144E0">
        <w:rPr>
          <w:sz w:val="21"/>
          <w:szCs w:val="21"/>
          <w:lang w:val="en-US"/>
        </w:rPr>
        <w:t xml:space="preserve"> seeking to implement national, subnational, and supranational compliance systems.  </w:t>
      </w:r>
      <w:r w:rsidR="00D73E80" w:rsidRPr="00A144E0">
        <w:rPr>
          <w:sz w:val="21"/>
          <w:szCs w:val="21"/>
          <w:lang w:val="en-US"/>
        </w:rPr>
        <w:t>I</w:t>
      </w:r>
      <w:r w:rsidR="000A1F09" w:rsidRPr="00A144E0">
        <w:rPr>
          <w:sz w:val="21"/>
          <w:szCs w:val="21"/>
          <w:lang w:val="en-US"/>
        </w:rPr>
        <w:t>mportant</w:t>
      </w:r>
      <w:r w:rsidR="00E92363" w:rsidRPr="00A144E0">
        <w:rPr>
          <w:sz w:val="21"/>
          <w:szCs w:val="21"/>
          <w:lang w:val="en-US"/>
        </w:rPr>
        <w:t xml:space="preserve"> existing work and efforts</w:t>
      </w:r>
      <w:r w:rsidRPr="00A144E0">
        <w:rPr>
          <w:sz w:val="21"/>
          <w:szCs w:val="21"/>
          <w:lang w:val="en-US"/>
        </w:rPr>
        <w:t xml:space="preserve"> are</w:t>
      </w:r>
      <w:r w:rsidR="00E92363" w:rsidRPr="00A144E0">
        <w:rPr>
          <w:sz w:val="21"/>
          <w:szCs w:val="21"/>
          <w:lang w:val="en-US"/>
        </w:rPr>
        <w:t xml:space="preserve"> underway</w:t>
      </w:r>
      <w:r w:rsidRPr="00A144E0">
        <w:rPr>
          <w:sz w:val="21"/>
          <w:szCs w:val="21"/>
          <w:lang w:val="en-US"/>
        </w:rPr>
        <w:t xml:space="preserve"> within the UNFCCC process for Article 6 and within the voluntary carbon markets</w:t>
      </w:r>
      <w:r w:rsidR="00185CB7" w:rsidRPr="00A144E0">
        <w:rPr>
          <w:sz w:val="21"/>
          <w:szCs w:val="21"/>
          <w:lang w:val="en-US"/>
        </w:rPr>
        <w:t>.</w:t>
      </w:r>
      <w:r w:rsidRPr="00A144E0">
        <w:rPr>
          <w:sz w:val="21"/>
          <w:szCs w:val="21"/>
          <w:lang w:val="en-US"/>
        </w:rPr>
        <w:t xml:space="preserve">  </w:t>
      </w:r>
      <w:r w:rsidR="00752878" w:rsidRPr="00A144E0">
        <w:rPr>
          <w:sz w:val="21"/>
          <w:szCs w:val="21"/>
          <w:lang w:val="en-US"/>
        </w:rPr>
        <w:t>C</w:t>
      </w:r>
      <w:r w:rsidR="00752878" w:rsidRPr="00A144E0">
        <w:rPr>
          <w:sz w:val="21"/>
          <w:szCs w:val="21"/>
          <w14:ligatures w14:val="none"/>
        </w:rPr>
        <w:t>ountries should assess which tools to use as part of their national strategy and if/how they interact as this will differ based on local context and may evolve over time.</w:t>
      </w:r>
      <w:r w:rsidR="00DA417D" w:rsidRPr="00A144E0">
        <w:rPr>
          <w:sz w:val="21"/>
          <w:szCs w:val="21"/>
          <w14:ligatures w14:val="none"/>
        </w:rPr>
        <w:t xml:space="preserve"> </w:t>
      </w:r>
      <w:r w:rsidRPr="00A144E0">
        <w:rPr>
          <w:sz w:val="21"/>
          <w:szCs w:val="21"/>
        </w:rPr>
        <w:t>Th</w:t>
      </w:r>
      <w:r w:rsidR="00DD01C8" w:rsidRPr="00A144E0">
        <w:rPr>
          <w:sz w:val="21"/>
          <w:szCs w:val="21"/>
        </w:rPr>
        <w:t xml:space="preserve">e Integrity Council for the Voluntary Carbon Markets </w:t>
      </w:r>
      <w:r w:rsidRPr="00A144E0">
        <w:rPr>
          <w:sz w:val="21"/>
          <w:szCs w:val="21"/>
        </w:rPr>
        <w:t xml:space="preserve">is seeking </w:t>
      </w:r>
      <w:r w:rsidR="00DD01C8" w:rsidRPr="00A144E0">
        <w:rPr>
          <w:sz w:val="21"/>
          <w:szCs w:val="21"/>
        </w:rPr>
        <w:t xml:space="preserve">to establish guardrails to increase transparency and integrity </w:t>
      </w:r>
      <w:r w:rsidRPr="00A144E0">
        <w:rPr>
          <w:sz w:val="21"/>
          <w:szCs w:val="21"/>
        </w:rPr>
        <w:t xml:space="preserve">in carbon credit design, </w:t>
      </w:r>
      <w:proofErr w:type="gramStart"/>
      <w:r w:rsidRPr="00A144E0">
        <w:rPr>
          <w:sz w:val="21"/>
          <w:szCs w:val="21"/>
        </w:rPr>
        <w:t>development</w:t>
      </w:r>
      <w:proofErr w:type="gramEnd"/>
      <w:r w:rsidRPr="00A144E0">
        <w:rPr>
          <w:sz w:val="21"/>
          <w:szCs w:val="21"/>
        </w:rPr>
        <w:t xml:space="preserve"> and verification</w:t>
      </w:r>
      <w:r w:rsidR="007D4A87" w:rsidRPr="00A144E0">
        <w:rPr>
          <w:rStyle w:val="FootnoteReference"/>
          <w:sz w:val="21"/>
          <w:szCs w:val="21"/>
        </w:rPr>
        <w:footnoteReference w:id="6"/>
      </w:r>
      <w:r w:rsidRPr="00A144E0">
        <w:rPr>
          <w:sz w:val="21"/>
          <w:szCs w:val="21"/>
        </w:rPr>
        <w:t xml:space="preserve"> </w:t>
      </w:r>
      <w:r w:rsidR="00DD01C8" w:rsidRPr="00A144E0">
        <w:rPr>
          <w:sz w:val="21"/>
          <w:szCs w:val="21"/>
        </w:rPr>
        <w:t>and the Voluntary Carbon Market Integrity initiative</w:t>
      </w:r>
      <w:r w:rsidR="006F19B2" w:rsidRPr="00A144E0">
        <w:rPr>
          <w:rStyle w:val="FootnoteReference"/>
          <w:sz w:val="21"/>
          <w:szCs w:val="21"/>
        </w:rPr>
        <w:footnoteReference w:id="7"/>
      </w:r>
      <w:r w:rsidR="00DD01C8" w:rsidRPr="00A144E0">
        <w:rPr>
          <w:sz w:val="21"/>
          <w:szCs w:val="21"/>
        </w:rPr>
        <w:t xml:space="preserve"> </w:t>
      </w:r>
      <w:r w:rsidRPr="00A144E0">
        <w:rPr>
          <w:sz w:val="21"/>
          <w:szCs w:val="21"/>
        </w:rPr>
        <w:t xml:space="preserve">seeks </w:t>
      </w:r>
      <w:r w:rsidR="00DD01C8" w:rsidRPr="00A144E0">
        <w:rPr>
          <w:sz w:val="21"/>
          <w:szCs w:val="21"/>
        </w:rPr>
        <w:t>to provide guidance to corporates</w:t>
      </w:r>
      <w:r w:rsidRPr="00A144E0">
        <w:rPr>
          <w:sz w:val="21"/>
          <w:szCs w:val="21"/>
        </w:rPr>
        <w:t xml:space="preserve"> for their use in carbon claims (e.g., net zero representations)</w:t>
      </w:r>
      <w:r w:rsidR="00DD01C8" w:rsidRPr="00A144E0">
        <w:rPr>
          <w:sz w:val="21"/>
          <w:szCs w:val="21"/>
        </w:rPr>
        <w:t>.</w:t>
      </w:r>
      <w:r w:rsidR="005F219A" w:rsidRPr="00A144E0">
        <w:rPr>
          <w:sz w:val="21"/>
          <w:szCs w:val="21"/>
        </w:rPr>
        <w:t xml:space="preserve"> </w:t>
      </w:r>
      <w:r w:rsidR="004A3962" w:rsidRPr="00A144E0">
        <w:rPr>
          <w:sz w:val="21"/>
          <w:szCs w:val="21"/>
          <w:lang w:val="en-US"/>
        </w:rPr>
        <w:t>S</w:t>
      </w:r>
      <w:r w:rsidRPr="00A144E0">
        <w:rPr>
          <w:sz w:val="21"/>
          <w:szCs w:val="21"/>
          <w:lang w:val="en-US"/>
        </w:rPr>
        <w:t>imilar</w:t>
      </w:r>
      <w:r w:rsidR="004A3962" w:rsidRPr="00A144E0">
        <w:rPr>
          <w:sz w:val="21"/>
          <w:szCs w:val="21"/>
          <w:lang w:val="en-US"/>
        </w:rPr>
        <w:t xml:space="preserve"> principles</w:t>
      </w:r>
      <w:r w:rsidR="000B3F3C" w:rsidRPr="00A144E0">
        <w:rPr>
          <w:sz w:val="21"/>
          <w:szCs w:val="21"/>
          <w:lang w:val="en-US"/>
        </w:rPr>
        <w:t xml:space="preserve"> </w:t>
      </w:r>
      <w:r w:rsidRPr="00A144E0">
        <w:rPr>
          <w:sz w:val="21"/>
          <w:szCs w:val="21"/>
          <w:lang w:val="en-US"/>
        </w:rPr>
        <w:t xml:space="preserve">of transparency and integrity </w:t>
      </w:r>
      <w:r w:rsidR="000B3F3C" w:rsidRPr="00A144E0">
        <w:rPr>
          <w:sz w:val="21"/>
          <w:szCs w:val="21"/>
          <w:lang w:val="en-US"/>
        </w:rPr>
        <w:t>a</w:t>
      </w:r>
      <w:r w:rsidRPr="00A144E0">
        <w:rPr>
          <w:sz w:val="21"/>
          <w:szCs w:val="21"/>
          <w:lang w:val="en-US"/>
        </w:rPr>
        <w:t xml:space="preserve">pply to any </w:t>
      </w:r>
      <w:r w:rsidR="000B3F3C" w:rsidRPr="00A144E0">
        <w:rPr>
          <w:sz w:val="21"/>
          <w:szCs w:val="21"/>
          <w:lang w:val="en-US"/>
        </w:rPr>
        <w:t xml:space="preserve">rules for international cooperation </w:t>
      </w:r>
      <w:r w:rsidRPr="00A144E0">
        <w:rPr>
          <w:sz w:val="21"/>
          <w:szCs w:val="21"/>
          <w:lang w:val="en-US"/>
        </w:rPr>
        <w:t xml:space="preserve">developed </w:t>
      </w:r>
      <w:r w:rsidR="000B3F3C" w:rsidRPr="00A144E0">
        <w:rPr>
          <w:sz w:val="21"/>
          <w:szCs w:val="21"/>
          <w:lang w:val="en-US"/>
        </w:rPr>
        <w:t>under Article 6 of the Paris Agreement</w:t>
      </w:r>
      <w:r w:rsidRPr="00A144E0">
        <w:rPr>
          <w:sz w:val="21"/>
          <w:szCs w:val="21"/>
          <w:lang w:val="en-US"/>
        </w:rPr>
        <w:t>.</w:t>
      </w:r>
    </w:p>
    <w:p w14:paraId="331A721A" w14:textId="77777777" w:rsidR="00215DAF" w:rsidRPr="00A144E0" w:rsidRDefault="00215DAF" w:rsidP="00A144E0">
      <w:pPr>
        <w:pStyle w:val="ListParagraph"/>
        <w:spacing w:after="0" w:line="240" w:lineRule="auto"/>
        <w:ind w:left="360"/>
        <w:rPr>
          <w:sz w:val="21"/>
          <w:szCs w:val="21"/>
          <w:lang w:val="en-US"/>
        </w:rPr>
      </w:pPr>
    </w:p>
    <w:p w14:paraId="3F820DFB" w14:textId="5BA9AC72" w:rsidR="007101CA" w:rsidRPr="00A144E0" w:rsidRDefault="005F219A" w:rsidP="00A144E0">
      <w:pPr>
        <w:pStyle w:val="ListParagraph"/>
        <w:spacing w:after="0" w:line="240" w:lineRule="auto"/>
        <w:ind w:left="360"/>
        <w:rPr>
          <w:sz w:val="21"/>
          <w:szCs w:val="21"/>
          <w:lang w:val="en-US"/>
        </w:rPr>
      </w:pPr>
      <w:r w:rsidRPr="00A144E0">
        <w:rPr>
          <w:sz w:val="21"/>
          <w:szCs w:val="21"/>
          <w:lang w:val="en-US"/>
        </w:rPr>
        <w:t xml:space="preserve">When </w:t>
      </w:r>
      <w:r w:rsidR="007101CA" w:rsidRPr="00A144E0">
        <w:rPr>
          <w:sz w:val="21"/>
          <w:szCs w:val="21"/>
          <w:lang w:val="en-US"/>
        </w:rPr>
        <w:t>develop</w:t>
      </w:r>
      <w:r w:rsidRPr="00A144E0">
        <w:rPr>
          <w:sz w:val="21"/>
          <w:szCs w:val="21"/>
          <w:lang w:val="en-US"/>
        </w:rPr>
        <w:t>ing</w:t>
      </w:r>
      <w:r w:rsidR="007101CA" w:rsidRPr="00A144E0">
        <w:rPr>
          <w:sz w:val="21"/>
          <w:szCs w:val="21"/>
          <w:lang w:val="en-US"/>
        </w:rPr>
        <w:t xml:space="preserve">, </w:t>
      </w:r>
      <w:proofErr w:type="gramStart"/>
      <w:r w:rsidR="007101CA" w:rsidRPr="00A144E0">
        <w:rPr>
          <w:sz w:val="21"/>
          <w:szCs w:val="21"/>
          <w:lang w:val="en-US"/>
        </w:rPr>
        <w:t>design</w:t>
      </w:r>
      <w:r w:rsidRPr="00A144E0">
        <w:rPr>
          <w:sz w:val="21"/>
          <w:szCs w:val="21"/>
          <w:lang w:val="en-US"/>
        </w:rPr>
        <w:t>ing</w:t>
      </w:r>
      <w:proofErr w:type="gramEnd"/>
      <w:r w:rsidR="00E24448" w:rsidRPr="00A144E0">
        <w:rPr>
          <w:sz w:val="21"/>
          <w:szCs w:val="21"/>
          <w:lang w:val="en-US"/>
        </w:rPr>
        <w:t xml:space="preserve"> a</w:t>
      </w:r>
      <w:r w:rsidR="007101CA" w:rsidRPr="00A144E0">
        <w:rPr>
          <w:sz w:val="21"/>
          <w:szCs w:val="21"/>
          <w:lang w:val="en-US"/>
        </w:rPr>
        <w:t>nd implement</w:t>
      </w:r>
      <w:r w:rsidRPr="00A144E0">
        <w:rPr>
          <w:sz w:val="21"/>
          <w:szCs w:val="21"/>
          <w:lang w:val="en-US"/>
        </w:rPr>
        <w:t>ing</w:t>
      </w:r>
      <w:r w:rsidR="007101CA" w:rsidRPr="00A144E0">
        <w:rPr>
          <w:sz w:val="21"/>
          <w:szCs w:val="21"/>
          <w:lang w:val="en-US"/>
        </w:rPr>
        <w:t xml:space="preserve"> </w:t>
      </w:r>
      <w:r w:rsidR="0016744B" w:rsidRPr="00A144E0">
        <w:rPr>
          <w:sz w:val="21"/>
          <w:szCs w:val="21"/>
          <w:lang w:val="en-US"/>
        </w:rPr>
        <w:t>national carbon pricing</w:t>
      </w:r>
      <w:r w:rsidR="003D2089" w:rsidRPr="00A144E0">
        <w:rPr>
          <w:sz w:val="21"/>
          <w:szCs w:val="21"/>
          <w:lang w:val="en-US"/>
        </w:rPr>
        <w:t xml:space="preserve"> a</w:t>
      </w:r>
      <w:r w:rsidR="007101CA" w:rsidRPr="00A144E0">
        <w:rPr>
          <w:sz w:val="21"/>
          <w:szCs w:val="21"/>
          <w:lang w:val="en-US"/>
        </w:rPr>
        <w:t>pproaches</w:t>
      </w:r>
      <w:r w:rsidR="009510C2" w:rsidRPr="00A144E0">
        <w:rPr>
          <w:sz w:val="21"/>
          <w:szCs w:val="21"/>
          <w:lang w:val="en-US"/>
        </w:rPr>
        <w:t xml:space="preserve">, </w:t>
      </w:r>
      <w:r w:rsidR="0016744B" w:rsidRPr="00A144E0">
        <w:rPr>
          <w:sz w:val="21"/>
          <w:szCs w:val="21"/>
          <w:lang w:val="en-US"/>
        </w:rPr>
        <w:t>building on ICC</w:t>
      </w:r>
      <w:r w:rsidR="007101CA" w:rsidRPr="00A144E0">
        <w:rPr>
          <w:sz w:val="21"/>
          <w:szCs w:val="21"/>
          <w:lang w:val="en-US"/>
        </w:rPr>
        <w:t xml:space="preserve"> principles and other existing principles and guidance, </w:t>
      </w:r>
      <w:r w:rsidR="00075298" w:rsidRPr="00A144E0">
        <w:rPr>
          <w:sz w:val="21"/>
          <w:szCs w:val="21"/>
          <w:lang w:val="en-US"/>
        </w:rPr>
        <w:t xml:space="preserve">ICC encourages </w:t>
      </w:r>
      <w:r w:rsidR="003D2089" w:rsidRPr="00A144E0">
        <w:rPr>
          <w:sz w:val="21"/>
          <w:szCs w:val="21"/>
          <w:lang w:val="en-US"/>
        </w:rPr>
        <w:t>governments</w:t>
      </w:r>
      <w:r w:rsidR="006437EC" w:rsidRPr="00A144E0">
        <w:rPr>
          <w:sz w:val="21"/>
          <w:szCs w:val="21"/>
          <w:lang w:val="en-US"/>
        </w:rPr>
        <w:t xml:space="preserve"> </w:t>
      </w:r>
      <w:r w:rsidR="00075298" w:rsidRPr="00A144E0">
        <w:rPr>
          <w:sz w:val="21"/>
          <w:szCs w:val="21"/>
          <w:lang w:val="en-US"/>
        </w:rPr>
        <w:t>to</w:t>
      </w:r>
      <w:r w:rsidR="007101CA" w:rsidRPr="00A144E0">
        <w:rPr>
          <w:sz w:val="21"/>
          <w:szCs w:val="21"/>
          <w:lang w:val="en-US"/>
        </w:rPr>
        <w:t xml:space="preserve">:  </w:t>
      </w:r>
    </w:p>
    <w:p w14:paraId="7E10E82E" w14:textId="77777777" w:rsidR="00910C2B" w:rsidRPr="00A144E0" w:rsidRDefault="00910C2B" w:rsidP="00A144E0">
      <w:pPr>
        <w:pStyle w:val="ListParagraph"/>
        <w:spacing w:after="0" w:line="240" w:lineRule="auto"/>
        <w:rPr>
          <w:sz w:val="21"/>
          <w:szCs w:val="21"/>
          <w:lang w:val="en-US"/>
        </w:rPr>
      </w:pPr>
    </w:p>
    <w:p w14:paraId="706DA942" w14:textId="3D5CD8AA" w:rsidR="00910C2B" w:rsidRPr="00A144E0" w:rsidRDefault="00910C2B" w:rsidP="00A144E0">
      <w:pPr>
        <w:pStyle w:val="ListParagraph"/>
        <w:numPr>
          <w:ilvl w:val="0"/>
          <w:numId w:val="32"/>
        </w:numPr>
        <w:spacing w:after="0" w:line="240" w:lineRule="auto"/>
        <w:rPr>
          <w:b/>
          <w:bCs/>
          <w:sz w:val="21"/>
          <w:szCs w:val="21"/>
        </w:rPr>
      </w:pPr>
      <w:r w:rsidRPr="00A144E0">
        <w:rPr>
          <w:b/>
          <w:bCs/>
          <w:sz w:val="21"/>
          <w:szCs w:val="21"/>
          <w:u w:val="single"/>
        </w:rPr>
        <w:t>Work towards improving complementarities within domestic compliance mechanism</w:t>
      </w:r>
      <w:r w:rsidR="004742AF" w:rsidRPr="00A144E0">
        <w:rPr>
          <w:b/>
          <w:bCs/>
          <w:sz w:val="21"/>
          <w:szCs w:val="21"/>
          <w:u w:val="single"/>
        </w:rPr>
        <w:t>s</w:t>
      </w:r>
    </w:p>
    <w:p w14:paraId="3A033B3E" w14:textId="16675F59" w:rsidR="00910C2B" w:rsidRPr="00A144E0" w:rsidRDefault="00910C2B" w:rsidP="00A144E0">
      <w:pPr>
        <w:pStyle w:val="ListParagraph"/>
        <w:spacing w:after="0" w:line="240" w:lineRule="auto"/>
        <w:rPr>
          <w:sz w:val="21"/>
          <w:szCs w:val="21"/>
        </w:rPr>
      </w:pPr>
      <w:r w:rsidRPr="00A144E0">
        <w:rPr>
          <w:sz w:val="21"/>
          <w:szCs w:val="21"/>
        </w:rPr>
        <w:t>Linking domestic compliance carbon pricing mechanisms</w:t>
      </w:r>
      <w:r w:rsidR="009750A9" w:rsidRPr="00A144E0">
        <w:rPr>
          <w:sz w:val="21"/>
          <w:szCs w:val="21"/>
        </w:rPr>
        <w:t xml:space="preserve"> </w:t>
      </w:r>
      <w:r w:rsidR="00326518" w:rsidRPr="00A144E0">
        <w:rPr>
          <w:sz w:val="21"/>
          <w:szCs w:val="21"/>
        </w:rPr>
        <w:t xml:space="preserve">(ref </w:t>
      </w:r>
      <w:r w:rsidR="00AC7B16" w:rsidRPr="00A144E0">
        <w:rPr>
          <w:sz w:val="21"/>
          <w:szCs w:val="21"/>
        </w:rPr>
        <w:t>Section IV below)</w:t>
      </w:r>
      <w:r w:rsidR="004D6C7A" w:rsidRPr="00A144E0">
        <w:rPr>
          <w:sz w:val="21"/>
          <w:szCs w:val="21"/>
        </w:rPr>
        <w:t xml:space="preserve"> </w:t>
      </w:r>
      <w:r w:rsidRPr="00A144E0">
        <w:rPr>
          <w:sz w:val="21"/>
          <w:szCs w:val="21"/>
        </w:rPr>
        <w:t xml:space="preserve">is key to increasing greater international and national </w:t>
      </w:r>
      <w:r w:rsidRPr="00A144E0">
        <w:rPr>
          <w:b/>
          <w:bCs/>
          <w:sz w:val="21"/>
          <w:szCs w:val="21"/>
        </w:rPr>
        <w:t>coordination and alignment</w:t>
      </w:r>
      <w:r w:rsidRPr="00A144E0">
        <w:rPr>
          <w:sz w:val="21"/>
          <w:szCs w:val="21"/>
        </w:rPr>
        <w:t xml:space="preserve"> of policy efforts, </w:t>
      </w:r>
      <w:r w:rsidRPr="00A144E0">
        <w:rPr>
          <w:b/>
          <w:bCs/>
          <w:sz w:val="21"/>
          <w:szCs w:val="21"/>
        </w:rPr>
        <w:t>reduce fragmentation</w:t>
      </w:r>
      <w:r w:rsidRPr="00A144E0">
        <w:rPr>
          <w:sz w:val="21"/>
          <w:szCs w:val="21"/>
        </w:rPr>
        <w:t>, overcome existing complexities</w:t>
      </w:r>
      <w:r w:rsidR="008941AD" w:rsidRPr="00A144E0">
        <w:rPr>
          <w:sz w:val="21"/>
          <w:szCs w:val="21"/>
        </w:rPr>
        <w:t>,</w:t>
      </w:r>
      <w:r w:rsidRPr="00A144E0">
        <w:rPr>
          <w:sz w:val="21"/>
          <w:szCs w:val="21"/>
        </w:rPr>
        <w:t xml:space="preserve"> and maintain their relevance in the era of the Paris Accord. Linking can </w:t>
      </w:r>
      <w:r w:rsidRPr="00A144E0">
        <w:rPr>
          <w:b/>
          <w:bCs/>
          <w:sz w:val="21"/>
          <w:szCs w:val="21"/>
        </w:rPr>
        <w:t>improve cost effectiveness</w:t>
      </w:r>
      <w:r w:rsidRPr="00A144E0">
        <w:rPr>
          <w:sz w:val="21"/>
          <w:szCs w:val="21"/>
        </w:rPr>
        <w:t xml:space="preserve"> by </w:t>
      </w:r>
      <w:r w:rsidRPr="00A144E0">
        <w:rPr>
          <w:sz w:val="21"/>
          <w:szCs w:val="21"/>
        </w:rPr>
        <w:lastRenderedPageBreak/>
        <w:t xml:space="preserve">lowering the overall economic costs for certain sectors, </w:t>
      </w:r>
      <w:r w:rsidRPr="00A144E0">
        <w:rPr>
          <w:b/>
          <w:bCs/>
          <w:sz w:val="21"/>
          <w:szCs w:val="21"/>
        </w:rPr>
        <w:t>improve price stability and predictability</w:t>
      </w:r>
      <w:r w:rsidRPr="00A144E0">
        <w:rPr>
          <w:sz w:val="21"/>
          <w:szCs w:val="21"/>
        </w:rPr>
        <w:t xml:space="preserve"> as well as </w:t>
      </w:r>
      <w:r w:rsidRPr="00A144E0">
        <w:rPr>
          <w:b/>
          <w:bCs/>
          <w:sz w:val="21"/>
          <w:szCs w:val="21"/>
        </w:rPr>
        <w:t>reduce carbon leakage risks and competitive disadvantages</w:t>
      </w:r>
      <w:r w:rsidRPr="00A144E0">
        <w:rPr>
          <w:sz w:val="21"/>
          <w:szCs w:val="21"/>
        </w:rPr>
        <w:t xml:space="preserve">. </w:t>
      </w:r>
    </w:p>
    <w:p w14:paraId="29049384" w14:textId="77777777" w:rsidR="00910C2B" w:rsidRPr="00A144E0" w:rsidRDefault="00910C2B" w:rsidP="00A144E0">
      <w:pPr>
        <w:pStyle w:val="ListParagraph"/>
        <w:spacing w:after="0" w:line="240" w:lineRule="auto"/>
        <w:rPr>
          <w:sz w:val="21"/>
          <w:szCs w:val="21"/>
        </w:rPr>
      </w:pPr>
    </w:p>
    <w:p w14:paraId="2F9BE833" w14:textId="5F461B3C" w:rsidR="00910C2B" w:rsidRPr="00A144E0" w:rsidRDefault="00910C2B" w:rsidP="00A144E0">
      <w:pPr>
        <w:pStyle w:val="ListParagraph"/>
        <w:spacing w:after="0" w:line="240" w:lineRule="auto"/>
        <w:rPr>
          <w:sz w:val="21"/>
          <w:szCs w:val="21"/>
        </w:rPr>
      </w:pPr>
      <w:r w:rsidRPr="00A144E0">
        <w:rPr>
          <w:sz w:val="21"/>
          <w:szCs w:val="21"/>
        </w:rPr>
        <w:t xml:space="preserve">At the same time, increased coordination of carbon pricing mechanisms and economically viable options for mitigation actions in different regions, can also help </w:t>
      </w:r>
      <w:r w:rsidRPr="00A144E0">
        <w:rPr>
          <w:b/>
          <w:bCs/>
          <w:sz w:val="21"/>
          <w:szCs w:val="21"/>
        </w:rPr>
        <w:t>reduce complexity</w:t>
      </w:r>
      <w:r w:rsidRPr="00A144E0">
        <w:rPr>
          <w:sz w:val="21"/>
          <w:szCs w:val="21"/>
        </w:rPr>
        <w:t xml:space="preserve"> of carbon pricing measures for cross</w:t>
      </w:r>
      <w:r w:rsidR="00066F2B" w:rsidRPr="00A144E0">
        <w:rPr>
          <w:sz w:val="21"/>
          <w:szCs w:val="21"/>
        </w:rPr>
        <w:t>-</w:t>
      </w:r>
      <w:r w:rsidRPr="00A144E0">
        <w:rPr>
          <w:sz w:val="21"/>
          <w:szCs w:val="21"/>
        </w:rPr>
        <w:t>border production processes and supply lines, by providing clear guidelines/rules on how cross</w:t>
      </w:r>
      <w:r w:rsidR="00BE1578" w:rsidRPr="00A144E0">
        <w:rPr>
          <w:sz w:val="21"/>
          <w:szCs w:val="21"/>
        </w:rPr>
        <w:t>-</w:t>
      </w:r>
      <w:r w:rsidRPr="00A144E0">
        <w:rPr>
          <w:sz w:val="21"/>
          <w:szCs w:val="21"/>
        </w:rPr>
        <w:t>border systems interact with each other.</w:t>
      </w:r>
    </w:p>
    <w:p w14:paraId="5040979D" w14:textId="77777777" w:rsidR="00DF29AB" w:rsidRPr="00A144E0" w:rsidRDefault="00DF29AB" w:rsidP="00A144E0">
      <w:pPr>
        <w:pStyle w:val="ListParagraph"/>
        <w:spacing w:after="0" w:line="240" w:lineRule="auto"/>
        <w:rPr>
          <w:sz w:val="21"/>
          <w:szCs w:val="21"/>
        </w:rPr>
      </w:pPr>
    </w:p>
    <w:p w14:paraId="0B44824C" w14:textId="1B044A35" w:rsidR="00DF29AB" w:rsidRPr="00A144E0" w:rsidRDefault="00DF29AB" w:rsidP="00A144E0">
      <w:pPr>
        <w:pStyle w:val="ListParagraph"/>
        <w:numPr>
          <w:ilvl w:val="0"/>
          <w:numId w:val="41"/>
        </w:numPr>
        <w:spacing w:after="0" w:line="240" w:lineRule="auto"/>
        <w:ind w:left="709" w:hanging="283"/>
        <w:rPr>
          <w:sz w:val="21"/>
          <w:szCs w:val="21"/>
        </w:rPr>
      </w:pPr>
      <w:r w:rsidRPr="00A144E0">
        <w:rPr>
          <w:b/>
          <w:bCs/>
          <w:sz w:val="21"/>
          <w:szCs w:val="21"/>
          <w:u w:val="single"/>
        </w:rPr>
        <w:t>Recognise key design features common across mechanisms and frameworks</w:t>
      </w:r>
      <w:r w:rsidRPr="00A144E0">
        <w:rPr>
          <w:b/>
          <w:bCs/>
          <w:sz w:val="21"/>
          <w:szCs w:val="21"/>
        </w:rPr>
        <w:t xml:space="preserve">           </w:t>
      </w:r>
      <w:r w:rsidRPr="00A144E0">
        <w:rPr>
          <w:sz w:val="21"/>
          <w:szCs w:val="21"/>
        </w:rPr>
        <w:t xml:space="preserve">                There is a strong need to </w:t>
      </w:r>
      <w:r w:rsidRPr="00A144E0">
        <w:rPr>
          <w:b/>
          <w:bCs/>
          <w:sz w:val="21"/>
          <w:szCs w:val="21"/>
        </w:rPr>
        <w:t xml:space="preserve">coordinate </w:t>
      </w:r>
      <w:r w:rsidR="009F0D15" w:rsidRPr="00A144E0">
        <w:rPr>
          <w:b/>
          <w:bCs/>
          <w:sz w:val="21"/>
          <w:szCs w:val="21"/>
        </w:rPr>
        <w:t>compliance mechanisms</w:t>
      </w:r>
      <w:r w:rsidRPr="00A144E0">
        <w:rPr>
          <w:b/>
          <w:bCs/>
          <w:sz w:val="21"/>
          <w:szCs w:val="21"/>
        </w:rPr>
        <w:t xml:space="preserve"> and ensure compatibility of key design features across mechanisms and frameworks</w:t>
      </w:r>
      <w:r w:rsidRPr="00A144E0">
        <w:rPr>
          <w:sz w:val="21"/>
          <w:szCs w:val="21"/>
        </w:rPr>
        <w:t xml:space="preserve">, to preserve, facilitate and accelerate the primary objective of global </w:t>
      </w:r>
      <w:r w:rsidR="00DC6D49" w:rsidRPr="00A144E0">
        <w:rPr>
          <w:sz w:val="21"/>
          <w:szCs w:val="21"/>
        </w:rPr>
        <w:t xml:space="preserve">GHG emissions </w:t>
      </w:r>
      <w:r w:rsidRPr="00A144E0">
        <w:rPr>
          <w:sz w:val="21"/>
          <w:szCs w:val="21"/>
        </w:rPr>
        <w:t xml:space="preserve">reduction. </w:t>
      </w:r>
    </w:p>
    <w:p w14:paraId="5E475162" w14:textId="77777777" w:rsidR="00DF29AB" w:rsidRPr="00A144E0" w:rsidRDefault="00DF29AB" w:rsidP="00A144E0">
      <w:pPr>
        <w:pStyle w:val="ListParagraph"/>
        <w:spacing w:after="0" w:line="240" w:lineRule="auto"/>
        <w:rPr>
          <w:sz w:val="21"/>
          <w:szCs w:val="21"/>
        </w:rPr>
      </w:pPr>
    </w:p>
    <w:p w14:paraId="710A0A25" w14:textId="77777777" w:rsidR="00DF29AB" w:rsidRPr="00A144E0" w:rsidRDefault="00DF29AB" w:rsidP="00A144E0">
      <w:pPr>
        <w:spacing w:after="0" w:line="240" w:lineRule="auto"/>
        <w:ind w:left="708"/>
        <w:rPr>
          <w:sz w:val="21"/>
          <w:szCs w:val="21"/>
        </w:rPr>
      </w:pPr>
      <w:r w:rsidRPr="00A144E0">
        <w:rPr>
          <w:sz w:val="21"/>
          <w:szCs w:val="21"/>
        </w:rPr>
        <w:t xml:space="preserve">Key common design considerations include: </w:t>
      </w:r>
    </w:p>
    <w:p w14:paraId="29341CB6" w14:textId="77777777" w:rsidR="00DF29AB" w:rsidRPr="00A144E0" w:rsidRDefault="00DF29AB" w:rsidP="00A144E0">
      <w:pPr>
        <w:pStyle w:val="ListParagraph"/>
        <w:numPr>
          <w:ilvl w:val="0"/>
          <w:numId w:val="6"/>
        </w:numPr>
        <w:spacing w:after="0" w:line="240" w:lineRule="auto"/>
        <w:ind w:left="1788"/>
        <w:rPr>
          <w:sz w:val="21"/>
          <w:szCs w:val="21"/>
        </w:rPr>
      </w:pPr>
      <w:r w:rsidRPr="00A144E0">
        <w:rPr>
          <w:sz w:val="21"/>
          <w:szCs w:val="21"/>
        </w:rPr>
        <w:t xml:space="preserve">current and future levels of ambition; </w:t>
      </w:r>
    </w:p>
    <w:p w14:paraId="4F3E41EA" w14:textId="77777777" w:rsidR="00DF29AB" w:rsidRPr="00A144E0" w:rsidRDefault="00DF29AB" w:rsidP="00A144E0">
      <w:pPr>
        <w:pStyle w:val="ListParagraph"/>
        <w:numPr>
          <w:ilvl w:val="0"/>
          <w:numId w:val="6"/>
        </w:numPr>
        <w:spacing w:after="0" w:line="240" w:lineRule="auto"/>
        <w:ind w:left="1788"/>
        <w:rPr>
          <w:sz w:val="21"/>
          <w:szCs w:val="21"/>
        </w:rPr>
      </w:pPr>
      <w:r w:rsidRPr="00A144E0">
        <w:rPr>
          <w:sz w:val="21"/>
          <w:szCs w:val="21"/>
        </w:rPr>
        <w:t xml:space="preserve">voluntary or mandatory nature of the system; </w:t>
      </w:r>
    </w:p>
    <w:p w14:paraId="22739902" w14:textId="77777777" w:rsidR="00DF29AB" w:rsidRPr="00A144E0" w:rsidRDefault="00DF29AB" w:rsidP="00A144E0">
      <w:pPr>
        <w:pStyle w:val="ListParagraph"/>
        <w:numPr>
          <w:ilvl w:val="0"/>
          <w:numId w:val="6"/>
        </w:numPr>
        <w:spacing w:after="0" w:line="240" w:lineRule="auto"/>
        <w:ind w:left="1788"/>
        <w:rPr>
          <w:sz w:val="21"/>
          <w:szCs w:val="21"/>
        </w:rPr>
      </w:pPr>
      <w:r w:rsidRPr="00A144E0">
        <w:rPr>
          <w:sz w:val="21"/>
          <w:szCs w:val="21"/>
        </w:rPr>
        <w:t>standards for environmental integrity</w:t>
      </w:r>
      <w:r w:rsidRPr="00A144E0">
        <w:rPr>
          <w:rStyle w:val="FootnoteReference"/>
          <w:sz w:val="21"/>
          <w:szCs w:val="21"/>
        </w:rPr>
        <w:footnoteReference w:id="8"/>
      </w:r>
      <w:r w:rsidRPr="00A144E0">
        <w:rPr>
          <w:sz w:val="21"/>
          <w:szCs w:val="21"/>
        </w:rPr>
        <w:t xml:space="preserve">; </w:t>
      </w:r>
    </w:p>
    <w:p w14:paraId="47C1A3E3" w14:textId="2F4D3E31" w:rsidR="00DF29AB" w:rsidRPr="00A144E0" w:rsidRDefault="0048695B" w:rsidP="00A144E0">
      <w:pPr>
        <w:pStyle w:val="ListParagraph"/>
        <w:numPr>
          <w:ilvl w:val="0"/>
          <w:numId w:val="6"/>
        </w:numPr>
        <w:spacing w:after="0" w:line="240" w:lineRule="auto"/>
        <w:ind w:left="1788"/>
        <w:rPr>
          <w:sz w:val="21"/>
          <w:szCs w:val="21"/>
        </w:rPr>
      </w:pPr>
      <w:r w:rsidRPr="00A144E0">
        <w:rPr>
          <w:sz w:val="21"/>
          <w:szCs w:val="21"/>
        </w:rPr>
        <w:t xml:space="preserve">market stability </w:t>
      </w:r>
      <w:r w:rsidR="00CE36D1" w:rsidRPr="00A144E0">
        <w:rPr>
          <w:sz w:val="21"/>
          <w:szCs w:val="21"/>
        </w:rPr>
        <w:t>features</w:t>
      </w:r>
      <w:r w:rsidRPr="00A144E0">
        <w:rPr>
          <w:sz w:val="21"/>
          <w:szCs w:val="21"/>
        </w:rPr>
        <w:t xml:space="preserve">, e.g. </w:t>
      </w:r>
      <w:r w:rsidR="00B07751" w:rsidRPr="00A144E0">
        <w:rPr>
          <w:sz w:val="21"/>
          <w:szCs w:val="21"/>
        </w:rPr>
        <w:t>price floor/ceiling</w:t>
      </w:r>
      <w:r w:rsidR="00855C9D" w:rsidRPr="00A144E0">
        <w:rPr>
          <w:sz w:val="21"/>
          <w:szCs w:val="21"/>
        </w:rPr>
        <w:t>s</w:t>
      </w:r>
      <w:r w:rsidR="00DE110D" w:rsidRPr="00A144E0">
        <w:rPr>
          <w:sz w:val="21"/>
          <w:szCs w:val="21"/>
        </w:rPr>
        <w:t xml:space="preserve"> or allowance reserves</w:t>
      </w:r>
      <w:r w:rsidR="00C37327" w:rsidRPr="00A144E0">
        <w:rPr>
          <w:sz w:val="21"/>
          <w:szCs w:val="21"/>
        </w:rPr>
        <w:t xml:space="preserve"> </w:t>
      </w:r>
      <w:r w:rsidR="00DF29AB" w:rsidRPr="00A144E0">
        <w:rPr>
          <w:sz w:val="21"/>
          <w:szCs w:val="21"/>
        </w:rPr>
        <w:t>and direction of future ETS policy;</w:t>
      </w:r>
    </w:p>
    <w:p w14:paraId="6AB92436" w14:textId="77777777" w:rsidR="00DF29AB" w:rsidRPr="00A144E0" w:rsidRDefault="00DF29AB" w:rsidP="00A144E0">
      <w:pPr>
        <w:pStyle w:val="ListParagraph"/>
        <w:numPr>
          <w:ilvl w:val="0"/>
          <w:numId w:val="6"/>
        </w:numPr>
        <w:spacing w:after="0" w:line="240" w:lineRule="auto"/>
        <w:ind w:left="1788"/>
        <w:rPr>
          <w:sz w:val="21"/>
          <w:szCs w:val="21"/>
        </w:rPr>
      </w:pPr>
      <w:r w:rsidRPr="00A144E0">
        <w:rPr>
          <w:sz w:val="21"/>
          <w:szCs w:val="21"/>
        </w:rPr>
        <w:t xml:space="preserve">the type and stringency of an emissions cap; </w:t>
      </w:r>
    </w:p>
    <w:p w14:paraId="5BAF2945" w14:textId="77777777" w:rsidR="00DF29AB" w:rsidRPr="00A144E0" w:rsidRDefault="00DF29AB" w:rsidP="00A144E0">
      <w:pPr>
        <w:pStyle w:val="ListParagraph"/>
        <w:numPr>
          <w:ilvl w:val="0"/>
          <w:numId w:val="6"/>
        </w:numPr>
        <w:spacing w:after="0" w:line="240" w:lineRule="auto"/>
        <w:ind w:left="1788"/>
        <w:rPr>
          <w:sz w:val="21"/>
          <w:szCs w:val="21"/>
        </w:rPr>
      </w:pPr>
      <w:r w:rsidRPr="00A144E0">
        <w:rPr>
          <w:sz w:val="21"/>
          <w:szCs w:val="21"/>
        </w:rPr>
        <w:t xml:space="preserve">the Price or Supply Adjustment Mechanisms (PSAMs); </w:t>
      </w:r>
    </w:p>
    <w:p w14:paraId="69CF2D5B" w14:textId="77777777" w:rsidR="00DF29AB" w:rsidRPr="00A144E0" w:rsidRDefault="00DF29AB" w:rsidP="00A144E0">
      <w:pPr>
        <w:pStyle w:val="ListParagraph"/>
        <w:numPr>
          <w:ilvl w:val="0"/>
          <w:numId w:val="6"/>
        </w:numPr>
        <w:spacing w:after="0" w:line="240" w:lineRule="auto"/>
        <w:ind w:left="1788"/>
        <w:rPr>
          <w:sz w:val="21"/>
          <w:szCs w:val="21"/>
        </w:rPr>
      </w:pPr>
      <w:r w:rsidRPr="00A144E0">
        <w:rPr>
          <w:sz w:val="21"/>
          <w:szCs w:val="21"/>
        </w:rPr>
        <w:t xml:space="preserve">the use and environmental integrity of offset credits; </w:t>
      </w:r>
    </w:p>
    <w:p w14:paraId="4C0BEE79" w14:textId="77777777" w:rsidR="00DF29AB" w:rsidRPr="00A144E0" w:rsidRDefault="00DF29AB" w:rsidP="00A144E0">
      <w:pPr>
        <w:pStyle w:val="ListParagraph"/>
        <w:numPr>
          <w:ilvl w:val="0"/>
          <w:numId w:val="6"/>
        </w:numPr>
        <w:spacing w:after="0" w:line="240" w:lineRule="auto"/>
        <w:ind w:left="1788"/>
        <w:rPr>
          <w:sz w:val="21"/>
          <w:szCs w:val="21"/>
        </w:rPr>
      </w:pPr>
      <w:r w:rsidRPr="00A144E0">
        <w:rPr>
          <w:sz w:val="21"/>
          <w:szCs w:val="21"/>
        </w:rPr>
        <w:t xml:space="preserve">the robustness of MRV systems;  </w:t>
      </w:r>
    </w:p>
    <w:p w14:paraId="00C87FD0" w14:textId="77777777" w:rsidR="00DF29AB" w:rsidRPr="00A144E0" w:rsidRDefault="00DF29AB" w:rsidP="00A144E0">
      <w:pPr>
        <w:pStyle w:val="ListParagraph"/>
        <w:numPr>
          <w:ilvl w:val="0"/>
          <w:numId w:val="6"/>
        </w:numPr>
        <w:spacing w:after="0" w:line="240" w:lineRule="auto"/>
        <w:ind w:left="1788"/>
        <w:rPr>
          <w:sz w:val="21"/>
          <w:szCs w:val="21"/>
        </w:rPr>
      </w:pPr>
      <w:r w:rsidRPr="00A144E0">
        <w:rPr>
          <w:sz w:val="21"/>
          <w:szCs w:val="21"/>
        </w:rPr>
        <w:t xml:space="preserve">potential for linking with further systems; and </w:t>
      </w:r>
    </w:p>
    <w:p w14:paraId="37F3BC44" w14:textId="7C4F023F" w:rsidR="00DF29AB" w:rsidRPr="00A144E0" w:rsidRDefault="00DF29AB" w:rsidP="00A144E0">
      <w:pPr>
        <w:pStyle w:val="ListParagraph"/>
        <w:numPr>
          <w:ilvl w:val="0"/>
          <w:numId w:val="6"/>
        </w:numPr>
        <w:spacing w:after="0" w:line="240" w:lineRule="auto"/>
        <w:ind w:left="1788"/>
        <w:rPr>
          <w:sz w:val="21"/>
          <w:szCs w:val="21"/>
        </w:rPr>
      </w:pPr>
      <w:r w:rsidRPr="00A144E0">
        <w:rPr>
          <w:sz w:val="21"/>
          <w:szCs w:val="21"/>
        </w:rPr>
        <w:t xml:space="preserve">capacity of regulators to manage risks of misconduct in the secondary market. </w:t>
      </w:r>
    </w:p>
    <w:p w14:paraId="21F2E507" w14:textId="77777777" w:rsidR="00910C2B" w:rsidRPr="00A144E0" w:rsidRDefault="00910C2B" w:rsidP="00A144E0">
      <w:pPr>
        <w:pStyle w:val="ListParagraph"/>
        <w:spacing w:after="0" w:line="240" w:lineRule="auto"/>
        <w:rPr>
          <w:sz w:val="21"/>
          <w:szCs w:val="21"/>
        </w:rPr>
      </w:pPr>
    </w:p>
    <w:p w14:paraId="49563BF8" w14:textId="4157B278" w:rsidR="00910C2B" w:rsidRPr="00A144E0" w:rsidRDefault="00910C2B" w:rsidP="00A144E0">
      <w:pPr>
        <w:pStyle w:val="ListParagraph"/>
        <w:numPr>
          <w:ilvl w:val="0"/>
          <w:numId w:val="32"/>
        </w:numPr>
        <w:spacing w:after="0" w:line="240" w:lineRule="auto"/>
        <w:rPr>
          <w:b/>
          <w:bCs/>
          <w:sz w:val="21"/>
          <w:szCs w:val="21"/>
          <w:u w:val="single"/>
        </w:rPr>
      </w:pPr>
      <w:r w:rsidRPr="00A144E0">
        <w:rPr>
          <w:b/>
          <w:bCs/>
          <w:sz w:val="21"/>
          <w:szCs w:val="21"/>
          <w:u w:val="single"/>
        </w:rPr>
        <w:t xml:space="preserve">Understand differences and commonalities across </w:t>
      </w:r>
      <w:r w:rsidR="0044088A" w:rsidRPr="00A144E0">
        <w:rPr>
          <w:b/>
          <w:bCs/>
          <w:sz w:val="21"/>
          <w:szCs w:val="21"/>
          <w:u w:val="single"/>
        </w:rPr>
        <w:t xml:space="preserve">different </w:t>
      </w:r>
      <w:r w:rsidRPr="00A144E0">
        <w:rPr>
          <w:b/>
          <w:bCs/>
          <w:sz w:val="21"/>
          <w:szCs w:val="21"/>
          <w:u w:val="single"/>
        </w:rPr>
        <w:t>carbon pricing mechanism framework</w:t>
      </w:r>
      <w:r w:rsidR="001C33B4" w:rsidRPr="00A144E0">
        <w:rPr>
          <w:b/>
          <w:bCs/>
          <w:sz w:val="21"/>
          <w:szCs w:val="21"/>
          <w:u w:val="single"/>
        </w:rPr>
        <w:t>s</w:t>
      </w:r>
    </w:p>
    <w:p w14:paraId="4848FF6F" w14:textId="4CF653D0" w:rsidR="00910C2B" w:rsidRPr="00A144E0" w:rsidRDefault="00910C2B" w:rsidP="00A144E0">
      <w:pPr>
        <w:pStyle w:val="ListParagraph"/>
        <w:spacing w:after="0" w:line="240" w:lineRule="auto"/>
        <w:ind w:left="786"/>
        <w:rPr>
          <w:b/>
          <w:bCs/>
          <w:sz w:val="21"/>
          <w:szCs w:val="21"/>
        </w:rPr>
      </w:pPr>
      <w:r w:rsidRPr="00A144E0">
        <w:rPr>
          <w:sz w:val="21"/>
          <w:szCs w:val="21"/>
        </w:rPr>
        <w:t>The three major carbon pricing mechanisms, (A) Domestic Compliance, (B) Voluntary Carbon Markets and (C) International Mechanisms,</w:t>
      </w:r>
      <w:r w:rsidR="008E52D6" w:rsidRPr="00A144E0">
        <w:rPr>
          <w:sz w:val="21"/>
          <w:szCs w:val="21"/>
        </w:rPr>
        <w:t xml:space="preserve"> all share the same primary common objective to reduce </w:t>
      </w:r>
      <w:r w:rsidR="005F67E0" w:rsidRPr="00A144E0">
        <w:rPr>
          <w:sz w:val="21"/>
          <w:szCs w:val="21"/>
        </w:rPr>
        <w:t xml:space="preserve">GHG </w:t>
      </w:r>
      <w:r w:rsidR="008E52D6" w:rsidRPr="00A144E0">
        <w:rPr>
          <w:sz w:val="21"/>
          <w:szCs w:val="21"/>
        </w:rPr>
        <w:t>emissions.</w:t>
      </w:r>
      <w:r w:rsidRPr="00A144E0">
        <w:rPr>
          <w:sz w:val="21"/>
          <w:szCs w:val="21"/>
        </w:rPr>
        <w:t xml:space="preserve"> </w:t>
      </w:r>
      <w:r w:rsidR="003D5D82" w:rsidRPr="00A144E0">
        <w:rPr>
          <w:sz w:val="21"/>
          <w:szCs w:val="21"/>
        </w:rPr>
        <w:t>ICC highlights the importance of understanding differences and commonalities across carbon pricing mechanism frameworks</w:t>
      </w:r>
      <w:r w:rsidR="006B1440" w:rsidRPr="00A144E0">
        <w:rPr>
          <w:sz w:val="21"/>
          <w:szCs w:val="21"/>
        </w:rPr>
        <w:t>,</w:t>
      </w:r>
      <w:r w:rsidR="003D5D82" w:rsidRPr="00A144E0">
        <w:rPr>
          <w:sz w:val="21"/>
          <w:szCs w:val="21"/>
        </w:rPr>
        <w:t xml:space="preserve"> recogni</w:t>
      </w:r>
      <w:r w:rsidR="00364339" w:rsidRPr="00A144E0">
        <w:rPr>
          <w:sz w:val="21"/>
          <w:szCs w:val="21"/>
        </w:rPr>
        <w:t>s</w:t>
      </w:r>
      <w:r w:rsidR="003D5D82" w:rsidRPr="00A144E0">
        <w:rPr>
          <w:sz w:val="21"/>
          <w:szCs w:val="21"/>
        </w:rPr>
        <w:t xml:space="preserve">ing that </w:t>
      </w:r>
      <w:r w:rsidR="003D5D82" w:rsidRPr="00A144E0">
        <w:rPr>
          <w:b/>
          <w:bCs/>
          <w:sz w:val="21"/>
          <w:szCs w:val="21"/>
        </w:rPr>
        <w:t xml:space="preserve">each are at </w:t>
      </w:r>
      <w:proofErr w:type="gramStart"/>
      <w:r w:rsidR="003D5D82" w:rsidRPr="00A144E0">
        <w:rPr>
          <w:b/>
          <w:bCs/>
          <w:sz w:val="21"/>
          <w:szCs w:val="21"/>
        </w:rPr>
        <w:t>different levels</w:t>
      </w:r>
      <w:proofErr w:type="gramEnd"/>
      <w:r w:rsidR="003D5D82" w:rsidRPr="00A144E0">
        <w:rPr>
          <w:b/>
          <w:bCs/>
          <w:sz w:val="21"/>
          <w:szCs w:val="21"/>
        </w:rPr>
        <w:t xml:space="preserve"> of maturity</w:t>
      </w:r>
      <w:r w:rsidR="005B6DBE" w:rsidRPr="00A144E0">
        <w:rPr>
          <w:b/>
          <w:bCs/>
          <w:sz w:val="21"/>
          <w:szCs w:val="21"/>
        </w:rPr>
        <w:t>,</w:t>
      </w:r>
      <w:r w:rsidR="003D5D82" w:rsidRPr="00A144E0">
        <w:rPr>
          <w:b/>
          <w:bCs/>
          <w:sz w:val="21"/>
          <w:szCs w:val="21"/>
        </w:rPr>
        <w:t xml:space="preserve"> and support</w:t>
      </w:r>
      <w:r w:rsidR="005B6DBE" w:rsidRPr="00A144E0">
        <w:rPr>
          <w:b/>
          <w:bCs/>
          <w:sz w:val="21"/>
          <w:szCs w:val="21"/>
        </w:rPr>
        <w:t>s</w:t>
      </w:r>
      <w:r w:rsidR="003D5D82" w:rsidRPr="00A144E0">
        <w:rPr>
          <w:b/>
          <w:bCs/>
          <w:sz w:val="21"/>
          <w:szCs w:val="21"/>
        </w:rPr>
        <w:t xml:space="preserve"> the development and growth of each market as they take a very different approach to emissions managemen</w:t>
      </w:r>
      <w:r w:rsidR="00627C6A" w:rsidRPr="00A144E0">
        <w:rPr>
          <w:b/>
          <w:bCs/>
          <w:sz w:val="21"/>
          <w:szCs w:val="21"/>
        </w:rPr>
        <w:t>t</w:t>
      </w:r>
      <w:r w:rsidR="00627C6A" w:rsidRPr="00A144E0">
        <w:rPr>
          <w:sz w:val="21"/>
          <w:szCs w:val="21"/>
        </w:rPr>
        <w:t>.</w:t>
      </w:r>
      <w:r w:rsidRPr="00A144E0">
        <w:rPr>
          <w:b/>
          <w:bCs/>
          <w:sz w:val="21"/>
          <w:szCs w:val="21"/>
        </w:rPr>
        <w:t xml:space="preserve">  </w:t>
      </w:r>
    </w:p>
    <w:p w14:paraId="7E296473" w14:textId="77777777" w:rsidR="00910C2B" w:rsidRPr="00A144E0" w:rsidRDefault="00910C2B" w:rsidP="00A144E0">
      <w:pPr>
        <w:pStyle w:val="Heading2"/>
        <w:numPr>
          <w:ilvl w:val="0"/>
          <w:numId w:val="0"/>
        </w:numPr>
        <w:ind w:left="786"/>
        <w:rPr>
          <w:bCs/>
          <w:sz w:val="21"/>
          <w:szCs w:val="21"/>
        </w:rPr>
      </w:pPr>
    </w:p>
    <w:p w14:paraId="51F81A85" w14:textId="20FA2B21" w:rsidR="00910C2B" w:rsidRPr="00A144E0" w:rsidRDefault="00910C2B" w:rsidP="00A144E0">
      <w:pPr>
        <w:pStyle w:val="ListParagraph"/>
        <w:numPr>
          <w:ilvl w:val="0"/>
          <w:numId w:val="16"/>
        </w:numPr>
        <w:spacing w:after="0" w:line="240" w:lineRule="auto"/>
        <w:rPr>
          <w:rFonts w:eastAsia="DengXian" w:cs="Arial"/>
          <w:sz w:val="21"/>
          <w:szCs w:val="21"/>
        </w:rPr>
      </w:pPr>
      <w:r w:rsidRPr="00A144E0">
        <w:rPr>
          <w:rFonts w:eastAsia="DengXian" w:cs="Arial"/>
          <w:b/>
          <w:bCs/>
          <w:sz w:val="21"/>
          <w:szCs w:val="21"/>
          <w:u w:val="single"/>
        </w:rPr>
        <w:t>Leverage operational features within carbon pricing mechanisms and across frameworks</w:t>
      </w:r>
    </w:p>
    <w:p w14:paraId="361E3CC7" w14:textId="2687565C" w:rsidR="00910C2B" w:rsidRPr="00A144E0" w:rsidRDefault="00910C2B" w:rsidP="00A144E0">
      <w:pPr>
        <w:pStyle w:val="ListParagraph"/>
        <w:spacing w:after="0" w:line="240" w:lineRule="auto"/>
        <w:rPr>
          <w:sz w:val="21"/>
          <w:szCs w:val="21"/>
        </w:rPr>
      </w:pPr>
      <w:r w:rsidRPr="00A144E0">
        <w:rPr>
          <w:sz w:val="21"/>
          <w:szCs w:val="21"/>
        </w:rPr>
        <w:t>Where possible, governments should leverage any existing opportunities for increased coordination and co-operation</w:t>
      </w:r>
      <w:r w:rsidR="001126CA" w:rsidRPr="00A144E0">
        <w:rPr>
          <w:sz w:val="21"/>
          <w:szCs w:val="21"/>
        </w:rPr>
        <w:t xml:space="preserve"> to deliver tangible progress towards a functioning cross-border carbon market</w:t>
      </w:r>
      <w:r w:rsidRPr="00A144E0">
        <w:rPr>
          <w:sz w:val="21"/>
          <w:szCs w:val="21"/>
        </w:rPr>
        <w:t>.</w:t>
      </w:r>
      <w:r w:rsidR="00627C6A" w:rsidRPr="00A144E0">
        <w:rPr>
          <w:sz w:val="21"/>
          <w:szCs w:val="21"/>
        </w:rPr>
        <w:t xml:space="preserve"> </w:t>
      </w:r>
      <w:r w:rsidRPr="00A144E0">
        <w:rPr>
          <w:b/>
          <w:bCs/>
          <w:sz w:val="21"/>
          <w:szCs w:val="21"/>
        </w:rPr>
        <w:t>Full operationalisation of Article 6 of the Paris Agreement,</w:t>
      </w:r>
      <w:r w:rsidRPr="00A144E0">
        <w:rPr>
          <w:sz w:val="21"/>
          <w:szCs w:val="21"/>
        </w:rPr>
        <w:t xml:space="preserve"> </w:t>
      </w:r>
      <w:r w:rsidRPr="00A144E0">
        <w:rPr>
          <w:b/>
          <w:bCs/>
          <w:sz w:val="21"/>
          <w:szCs w:val="21"/>
        </w:rPr>
        <w:t xml:space="preserve">and in particular accounting rules and frameworks and robust transparency requirements </w:t>
      </w:r>
      <w:r w:rsidRPr="00A144E0">
        <w:rPr>
          <w:b/>
          <w:bCs/>
          <w:sz w:val="21"/>
          <w:szCs w:val="21"/>
        </w:rPr>
        <w:lastRenderedPageBreak/>
        <w:t>will be key in this regard</w:t>
      </w:r>
      <w:r w:rsidRPr="00A144E0">
        <w:rPr>
          <w:sz w:val="21"/>
          <w:szCs w:val="21"/>
        </w:rPr>
        <w:t>.</w:t>
      </w:r>
      <w:r w:rsidR="00627C6A" w:rsidRPr="00A144E0">
        <w:rPr>
          <w:sz w:val="21"/>
          <w:szCs w:val="21"/>
        </w:rPr>
        <w:t xml:space="preserve"> </w:t>
      </w:r>
      <w:r w:rsidRPr="00A144E0">
        <w:rPr>
          <w:sz w:val="21"/>
          <w:szCs w:val="21"/>
        </w:rPr>
        <w:t xml:space="preserve">Similarly, development of </w:t>
      </w:r>
      <w:r w:rsidR="00C4778E" w:rsidRPr="00A144E0">
        <w:rPr>
          <w:sz w:val="21"/>
          <w:szCs w:val="21"/>
        </w:rPr>
        <w:t xml:space="preserve">the </w:t>
      </w:r>
      <w:r w:rsidRPr="00A144E0">
        <w:rPr>
          <w:sz w:val="21"/>
          <w:szCs w:val="21"/>
        </w:rPr>
        <w:t xml:space="preserve">Core Carbon Principles for voluntary carbon markets and industry and stakeholder governing bodies for buying and selling verified carbon credits also provides learnings for improving integrity and transparency. </w:t>
      </w:r>
    </w:p>
    <w:p w14:paraId="449A957A" w14:textId="77777777" w:rsidR="00910C2B" w:rsidRPr="00A144E0" w:rsidRDefault="00910C2B" w:rsidP="00A144E0">
      <w:pPr>
        <w:pStyle w:val="ListParagraph"/>
        <w:spacing w:after="0" w:line="240" w:lineRule="auto"/>
        <w:rPr>
          <w:b/>
          <w:bCs/>
          <w:sz w:val="21"/>
          <w:szCs w:val="21"/>
        </w:rPr>
      </w:pPr>
    </w:p>
    <w:p w14:paraId="50F07459" w14:textId="7C4F02BF" w:rsidR="00CF716A" w:rsidRPr="00A144E0" w:rsidRDefault="00BF04DF" w:rsidP="00A144E0">
      <w:pPr>
        <w:pStyle w:val="Heading2"/>
        <w:numPr>
          <w:ilvl w:val="0"/>
          <w:numId w:val="32"/>
        </w:numPr>
        <w:rPr>
          <w:bCs/>
          <w:sz w:val="21"/>
          <w:szCs w:val="21"/>
        </w:rPr>
      </w:pPr>
      <w:r w:rsidRPr="00A144E0">
        <w:rPr>
          <w:bCs/>
          <w:color w:val="auto"/>
          <w:sz w:val="21"/>
          <w:szCs w:val="21"/>
        </w:rPr>
        <w:t>Support</w:t>
      </w:r>
      <w:r w:rsidR="00AE4267" w:rsidRPr="00A144E0">
        <w:rPr>
          <w:bCs/>
          <w:color w:val="auto"/>
          <w:sz w:val="21"/>
          <w:szCs w:val="21"/>
        </w:rPr>
        <w:t xml:space="preserve"> i</w:t>
      </w:r>
      <w:r w:rsidR="00CF716A" w:rsidRPr="00A144E0">
        <w:rPr>
          <w:bCs/>
          <w:color w:val="auto"/>
          <w:sz w:val="21"/>
          <w:szCs w:val="21"/>
        </w:rPr>
        <w:t>nternational cooperation under the Paris Agreement</w:t>
      </w:r>
      <w:r w:rsidR="00ED27D6" w:rsidRPr="00A144E0">
        <w:rPr>
          <w:bCs/>
          <w:sz w:val="21"/>
          <w:szCs w:val="21"/>
        </w:rPr>
        <w:tab/>
      </w:r>
    </w:p>
    <w:p w14:paraId="7DD764C8" w14:textId="30637371" w:rsidR="00550DD4" w:rsidRPr="00A144E0" w:rsidRDefault="00167324" w:rsidP="00A144E0">
      <w:pPr>
        <w:pStyle w:val="Heading2"/>
        <w:numPr>
          <w:ilvl w:val="0"/>
          <w:numId w:val="0"/>
        </w:numPr>
        <w:ind w:left="786"/>
        <w:rPr>
          <w:color w:val="auto"/>
          <w:sz w:val="21"/>
          <w:szCs w:val="21"/>
        </w:rPr>
      </w:pPr>
      <w:r w:rsidRPr="00A144E0">
        <w:rPr>
          <w:bCs/>
          <w:color w:val="auto"/>
          <w:sz w:val="21"/>
          <w:szCs w:val="21"/>
        </w:rPr>
        <w:t xml:space="preserve">Linking </w:t>
      </w:r>
      <w:r w:rsidR="00134B16" w:rsidRPr="00A144E0">
        <w:rPr>
          <w:bCs/>
          <w:color w:val="auto"/>
          <w:sz w:val="21"/>
          <w:szCs w:val="21"/>
        </w:rPr>
        <w:t xml:space="preserve">compliance </w:t>
      </w:r>
      <w:r w:rsidRPr="00A144E0">
        <w:rPr>
          <w:bCs/>
          <w:color w:val="auto"/>
          <w:sz w:val="21"/>
          <w:szCs w:val="21"/>
        </w:rPr>
        <w:t>systems and international cooperation</w:t>
      </w:r>
      <w:r w:rsidRPr="00A144E0">
        <w:rPr>
          <w:b w:val="0"/>
          <w:color w:val="auto"/>
          <w:sz w:val="21"/>
          <w:szCs w:val="21"/>
        </w:rPr>
        <w:t xml:space="preserve">, most importantly under Article 6 of the Paris Agreement </w:t>
      </w:r>
      <w:r w:rsidRPr="00A144E0">
        <w:rPr>
          <w:bCs/>
          <w:color w:val="auto"/>
          <w:sz w:val="21"/>
          <w:szCs w:val="21"/>
        </w:rPr>
        <w:t>can increase the benefits of carbon pricing and lead to higher climate ambition</w:t>
      </w:r>
      <w:r w:rsidRPr="00A144E0">
        <w:rPr>
          <w:b w:val="0"/>
          <w:color w:val="auto"/>
          <w:sz w:val="21"/>
          <w:szCs w:val="21"/>
        </w:rPr>
        <w:t xml:space="preserve"> by governments and businesses. The Paris Agreement’s bottom-up climate regime creates specific challenges for governance of international carbon markets, </w:t>
      </w:r>
      <w:r w:rsidR="008F50BE" w:rsidRPr="00A144E0">
        <w:rPr>
          <w:b w:val="0"/>
          <w:color w:val="auto"/>
          <w:sz w:val="21"/>
          <w:szCs w:val="21"/>
        </w:rPr>
        <w:t>which</w:t>
      </w:r>
      <w:r w:rsidRPr="00A144E0">
        <w:rPr>
          <w:b w:val="0"/>
          <w:color w:val="auto"/>
          <w:sz w:val="21"/>
          <w:szCs w:val="21"/>
        </w:rPr>
        <w:t xml:space="preserve"> continue to be part of the “crunch issues” heavily debated in the Article 6 negotiations.</w:t>
      </w:r>
      <w:r w:rsidRPr="00A144E0">
        <w:rPr>
          <w:color w:val="auto"/>
          <w:sz w:val="21"/>
          <w:szCs w:val="21"/>
        </w:rPr>
        <w:t xml:space="preserve"> </w:t>
      </w:r>
      <w:r w:rsidR="001E6CC2" w:rsidRPr="00A144E0">
        <w:rPr>
          <w:color w:val="auto"/>
          <w:sz w:val="21"/>
          <w:szCs w:val="21"/>
        </w:rPr>
        <w:t xml:space="preserve"> </w:t>
      </w:r>
    </w:p>
    <w:p w14:paraId="70189AA5" w14:textId="77777777" w:rsidR="00DD7386" w:rsidRPr="00A144E0" w:rsidRDefault="00DD7386" w:rsidP="00A144E0">
      <w:pPr>
        <w:spacing w:after="0" w:line="240" w:lineRule="auto"/>
        <w:rPr>
          <w:sz w:val="21"/>
          <w:szCs w:val="21"/>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000"/>
      </w:tblGrid>
      <w:tr w:rsidR="00DD7386" w:rsidRPr="00A144E0" w14:paraId="28B5E4DC" w14:textId="77777777">
        <w:tc>
          <w:tcPr>
            <w:tcW w:w="9000" w:type="dxa"/>
            <w:shd w:val="clear" w:color="auto" w:fill="CCDFF1" w:themeFill="accent3" w:themeFillTint="99"/>
          </w:tcPr>
          <w:p w14:paraId="4F990EC7" w14:textId="56656829" w:rsidR="00DD7386" w:rsidRPr="00A144E0" w:rsidRDefault="00130BD8" w:rsidP="00A144E0">
            <w:pPr>
              <w:rPr>
                <w:b/>
                <w:bCs/>
                <w:sz w:val="21"/>
                <w:szCs w:val="21"/>
              </w:rPr>
            </w:pPr>
            <w:r w:rsidRPr="00A144E0">
              <w:rPr>
                <w:b/>
                <w:bCs/>
                <w:sz w:val="21"/>
                <w:szCs w:val="21"/>
              </w:rPr>
              <w:t>Box 1</w:t>
            </w:r>
            <w:r w:rsidR="00E97CDA" w:rsidRPr="00A144E0">
              <w:rPr>
                <w:b/>
                <w:bCs/>
                <w:sz w:val="21"/>
                <w:szCs w:val="21"/>
              </w:rPr>
              <w:t xml:space="preserve">: </w:t>
            </w:r>
            <w:r w:rsidRPr="00A144E0">
              <w:rPr>
                <w:b/>
                <w:bCs/>
                <w:sz w:val="21"/>
                <w:szCs w:val="21"/>
              </w:rPr>
              <w:t xml:space="preserve"> </w:t>
            </w:r>
            <w:r w:rsidR="00DD7386" w:rsidRPr="00A144E0">
              <w:rPr>
                <w:b/>
                <w:bCs/>
                <w:sz w:val="21"/>
                <w:szCs w:val="21"/>
              </w:rPr>
              <w:t xml:space="preserve">Immediate proposed next steps to set the foundation for greater coordination and alignment </w:t>
            </w:r>
            <w:r w:rsidR="00750732" w:rsidRPr="00A144E0">
              <w:rPr>
                <w:b/>
                <w:bCs/>
                <w:sz w:val="21"/>
                <w:szCs w:val="21"/>
              </w:rPr>
              <w:t>under Article</w:t>
            </w:r>
            <w:r w:rsidR="00DD7386" w:rsidRPr="00A144E0">
              <w:rPr>
                <w:b/>
                <w:bCs/>
                <w:sz w:val="21"/>
                <w:szCs w:val="21"/>
              </w:rPr>
              <w:t xml:space="preserve"> 6:</w:t>
            </w:r>
          </w:p>
          <w:p w14:paraId="3DD8D7AD" w14:textId="77777777" w:rsidR="00DD7386" w:rsidRPr="00A144E0" w:rsidRDefault="00DD7386" w:rsidP="00A144E0">
            <w:pPr>
              <w:pStyle w:val="ListParagraph"/>
              <w:rPr>
                <w:b/>
                <w:bCs/>
                <w:sz w:val="21"/>
                <w:szCs w:val="21"/>
              </w:rPr>
            </w:pPr>
          </w:p>
          <w:p w14:paraId="6B75F8A4" w14:textId="6FEE0E0F" w:rsidR="003D651B" w:rsidRPr="00A144E0" w:rsidRDefault="00DD7386" w:rsidP="00A144E0">
            <w:pPr>
              <w:pStyle w:val="ListParagraph"/>
              <w:numPr>
                <w:ilvl w:val="0"/>
                <w:numId w:val="42"/>
              </w:numPr>
              <w:rPr>
                <w:sz w:val="21"/>
                <w:szCs w:val="21"/>
              </w:rPr>
            </w:pPr>
            <w:r w:rsidRPr="00A144E0">
              <w:rPr>
                <w:b/>
                <w:bCs/>
                <w:color w:val="007DFF" w:themeColor="accent2"/>
                <w:sz w:val="21"/>
                <w:szCs w:val="21"/>
              </w:rPr>
              <w:t>At COP28</w:t>
            </w:r>
            <w:r w:rsidRPr="00A144E0">
              <w:rPr>
                <w:sz w:val="21"/>
                <w:szCs w:val="21"/>
              </w:rPr>
              <w:t xml:space="preserve">, </w:t>
            </w:r>
            <w:r w:rsidR="005B58AB" w:rsidRPr="00A144E0">
              <w:rPr>
                <w:b/>
                <w:bCs/>
                <w:sz w:val="21"/>
                <w:szCs w:val="21"/>
              </w:rPr>
              <w:t xml:space="preserve">countries </w:t>
            </w:r>
            <w:proofErr w:type="gramStart"/>
            <w:r w:rsidR="005B58AB" w:rsidRPr="00A144E0">
              <w:rPr>
                <w:b/>
                <w:bCs/>
                <w:sz w:val="21"/>
                <w:szCs w:val="21"/>
              </w:rPr>
              <w:t>are urged</w:t>
            </w:r>
            <w:proofErr w:type="gramEnd"/>
            <w:r w:rsidR="005B58AB" w:rsidRPr="00A144E0">
              <w:rPr>
                <w:b/>
                <w:bCs/>
                <w:sz w:val="21"/>
                <w:szCs w:val="21"/>
              </w:rPr>
              <w:t xml:space="preserve"> to agree on critical outstanding elements to fully operationalise Article 6 of the Paris Agreement</w:t>
            </w:r>
            <w:r w:rsidR="005B58AB" w:rsidRPr="00A144E0">
              <w:rPr>
                <w:sz w:val="21"/>
                <w:szCs w:val="21"/>
              </w:rPr>
              <w:t xml:space="preserve"> without further delay and</w:t>
            </w:r>
            <w:r w:rsidR="005E312D" w:rsidRPr="00A144E0">
              <w:rPr>
                <w:sz w:val="21"/>
                <w:szCs w:val="21"/>
              </w:rPr>
              <w:t xml:space="preserve"> provide a workable platform for Parties and businesses to us</w:t>
            </w:r>
            <w:r w:rsidR="008C2D3D" w:rsidRPr="00A144E0">
              <w:rPr>
                <w:sz w:val="21"/>
                <w:szCs w:val="21"/>
              </w:rPr>
              <w:t>e, while also</w:t>
            </w:r>
            <w:r w:rsidR="004165AA" w:rsidRPr="00A144E0">
              <w:rPr>
                <w:sz w:val="21"/>
                <w:szCs w:val="21"/>
              </w:rPr>
              <w:t xml:space="preserve"> </w:t>
            </w:r>
            <w:r w:rsidR="00750732" w:rsidRPr="00A144E0">
              <w:rPr>
                <w:sz w:val="21"/>
                <w:szCs w:val="21"/>
              </w:rPr>
              <w:t>setting foundations</w:t>
            </w:r>
            <w:r w:rsidR="005B58AB" w:rsidRPr="00A144E0">
              <w:rPr>
                <w:sz w:val="21"/>
                <w:szCs w:val="21"/>
              </w:rPr>
              <w:t xml:space="preserve"> for a functioning, high-integrity cross-border carbon market.</w:t>
            </w:r>
            <w:r w:rsidR="00AF1D79" w:rsidRPr="00A144E0">
              <w:rPr>
                <w:rStyle w:val="FootnoteReference"/>
                <w:sz w:val="21"/>
                <w:szCs w:val="21"/>
              </w:rPr>
              <w:footnoteReference w:id="9"/>
            </w:r>
          </w:p>
          <w:p w14:paraId="45CB6F12" w14:textId="39E3AE80" w:rsidR="00DD7386" w:rsidRPr="00A144E0" w:rsidRDefault="00DD7386" w:rsidP="00A144E0">
            <w:pPr>
              <w:pStyle w:val="ListParagraph"/>
              <w:rPr>
                <w:sz w:val="21"/>
                <w:szCs w:val="21"/>
              </w:rPr>
            </w:pPr>
          </w:p>
          <w:p w14:paraId="2870DD82" w14:textId="77777777" w:rsidR="00DD7386" w:rsidRPr="00A144E0" w:rsidRDefault="00DD7386" w:rsidP="00A144E0">
            <w:pPr>
              <w:pStyle w:val="ListParagraph"/>
              <w:rPr>
                <w:sz w:val="21"/>
                <w:szCs w:val="21"/>
              </w:rPr>
            </w:pPr>
            <w:r w:rsidRPr="00A144E0">
              <w:rPr>
                <w:sz w:val="21"/>
                <w:szCs w:val="21"/>
              </w:rPr>
              <w:t xml:space="preserve">Business calls on governments to particularly build on already existing experiences under Article 6.2, focus on national implementation and find a compromise on the outstanding details of reporting requirements. </w:t>
            </w:r>
          </w:p>
          <w:p w14:paraId="0CEE8126" w14:textId="77777777" w:rsidR="00DD7386" w:rsidRPr="00A144E0" w:rsidRDefault="00DD7386" w:rsidP="00A144E0">
            <w:pPr>
              <w:pStyle w:val="ListParagraph"/>
              <w:rPr>
                <w:sz w:val="21"/>
                <w:szCs w:val="21"/>
              </w:rPr>
            </w:pPr>
          </w:p>
          <w:p w14:paraId="34DD35C5" w14:textId="5C5570DD" w:rsidR="00DD7386" w:rsidRPr="00A144E0" w:rsidRDefault="00DD7386" w:rsidP="00A144E0">
            <w:pPr>
              <w:pStyle w:val="ListParagraph"/>
              <w:rPr>
                <w:sz w:val="21"/>
                <w:szCs w:val="21"/>
              </w:rPr>
            </w:pPr>
            <w:r w:rsidRPr="00A144E0">
              <w:rPr>
                <w:sz w:val="21"/>
                <w:szCs w:val="21"/>
              </w:rPr>
              <w:t xml:space="preserve">The Article 6.4 Supervisory Body must make steady progress in operationalising the 6.4 crediting mechanism so projects can begin to register, and investments can flow. A functioning Article 6.4 mechanism has the potential to provide a plug-and-play solution for countries that want to use market mechanisms but do not have the technical capacity or political conditions to implement complex domestic legislation. </w:t>
            </w:r>
            <w:proofErr w:type="gramStart"/>
            <w:r w:rsidRPr="00A144E0">
              <w:rPr>
                <w:sz w:val="21"/>
                <w:szCs w:val="21"/>
              </w:rPr>
              <w:t>In order to</w:t>
            </w:r>
            <w:proofErr w:type="gramEnd"/>
            <w:r w:rsidRPr="00A144E0">
              <w:rPr>
                <w:sz w:val="21"/>
                <w:szCs w:val="21"/>
              </w:rPr>
              <w:t xml:space="preserve"> achieve broad participation in Article 6, in particular from developing countries, extensive capacity building support will be essential to strengthen institutional capacities to participate in these new markets.</w:t>
            </w:r>
            <w:r w:rsidR="00AF1D79" w:rsidRPr="00A144E0">
              <w:rPr>
                <w:rStyle w:val="FootnoteReference"/>
                <w:sz w:val="21"/>
                <w:szCs w:val="21"/>
              </w:rPr>
              <w:footnoteReference w:id="10"/>
            </w:r>
          </w:p>
          <w:p w14:paraId="25648B6D" w14:textId="77777777" w:rsidR="00DD7386" w:rsidRPr="00A144E0" w:rsidRDefault="00DD7386" w:rsidP="00A144E0">
            <w:pPr>
              <w:pStyle w:val="ListParagraph"/>
              <w:rPr>
                <w:sz w:val="21"/>
                <w:szCs w:val="21"/>
              </w:rPr>
            </w:pPr>
          </w:p>
          <w:p w14:paraId="1D45ABAB" w14:textId="77777777" w:rsidR="00DD7386" w:rsidRPr="00A144E0" w:rsidRDefault="00DD7386" w:rsidP="00A144E0">
            <w:pPr>
              <w:pStyle w:val="ListParagraph"/>
              <w:rPr>
                <w:sz w:val="21"/>
                <w:szCs w:val="21"/>
              </w:rPr>
            </w:pPr>
            <w:r w:rsidRPr="00A144E0">
              <w:rPr>
                <w:sz w:val="21"/>
                <w:szCs w:val="21"/>
              </w:rPr>
              <w:t xml:space="preserve">Equal treatment should also be given to a wide range of activities and technologies that reduce or remove </w:t>
            </w:r>
            <w:proofErr w:type="gramStart"/>
            <w:r w:rsidRPr="00A144E0">
              <w:rPr>
                <w:sz w:val="21"/>
                <w:szCs w:val="21"/>
              </w:rPr>
              <w:t>emissions and practices</w:t>
            </w:r>
            <w:proofErr w:type="gramEnd"/>
            <w:r w:rsidRPr="00A144E0">
              <w:rPr>
                <w:sz w:val="21"/>
                <w:szCs w:val="21"/>
              </w:rPr>
              <w:t xml:space="preserve"> and experiences that are market-tested, including standards and practices from the voluntary carbon markets should be considered. </w:t>
            </w:r>
          </w:p>
          <w:p w14:paraId="14D77526" w14:textId="77777777" w:rsidR="00DD7386" w:rsidRPr="00A144E0" w:rsidRDefault="00DD7386" w:rsidP="00A144E0">
            <w:pPr>
              <w:pStyle w:val="ListParagraph"/>
              <w:ind w:left="0"/>
              <w:rPr>
                <w:sz w:val="21"/>
                <w:szCs w:val="21"/>
              </w:rPr>
            </w:pPr>
          </w:p>
        </w:tc>
      </w:tr>
      <w:tr w:rsidR="00DD7386" w:rsidRPr="00A144E0" w14:paraId="2C510728" w14:textId="77777777" w:rsidTr="00050752">
        <w:trPr>
          <w:trHeight w:val="2243"/>
        </w:trPr>
        <w:tc>
          <w:tcPr>
            <w:tcW w:w="9000" w:type="dxa"/>
            <w:shd w:val="clear" w:color="auto" w:fill="CCDFF1" w:themeFill="accent3" w:themeFillTint="99"/>
          </w:tcPr>
          <w:p w14:paraId="65198C49" w14:textId="3221AEC7" w:rsidR="00DD7386" w:rsidRPr="00A144E0" w:rsidRDefault="00DD7386" w:rsidP="00A144E0">
            <w:pPr>
              <w:pStyle w:val="ListParagraph"/>
              <w:numPr>
                <w:ilvl w:val="0"/>
                <w:numId w:val="42"/>
              </w:numPr>
              <w:rPr>
                <w:sz w:val="21"/>
                <w:szCs w:val="21"/>
              </w:rPr>
            </w:pPr>
            <w:r w:rsidRPr="00A144E0">
              <w:rPr>
                <w:b/>
                <w:bCs/>
                <w:sz w:val="21"/>
                <w:szCs w:val="21"/>
              </w:rPr>
              <w:lastRenderedPageBreak/>
              <w:t>It is essential that the detailed rules for Article 6.2 cooperation and the Article 6.4 mechanism both fulfil the “Rulebook” mandate for environmental integrity</w:t>
            </w:r>
            <w:r w:rsidR="00A1087C" w:rsidRPr="00A144E0">
              <w:rPr>
                <w:b/>
                <w:bCs/>
                <w:sz w:val="21"/>
                <w:szCs w:val="21"/>
              </w:rPr>
              <w:t xml:space="preserve">, </w:t>
            </w:r>
            <w:r w:rsidR="00C26012" w:rsidRPr="00A144E0">
              <w:rPr>
                <w:b/>
                <w:bCs/>
                <w:sz w:val="21"/>
                <w:szCs w:val="21"/>
              </w:rPr>
              <w:t>transpare</w:t>
            </w:r>
            <w:r w:rsidR="00654274" w:rsidRPr="00A144E0">
              <w:rPr>
                <w:b/>
                <w:bCs/>
                <w:sz w:val="21"/>
                <w:szCs w:val="21"/>
              </w:rPr>
              <w:t>nt</w:t>
            </w:r>
            <w:r w:rsidR="00C26012" w:rsidRPr="00A144E0">
              <w:rPr>
                <w:b/>
                <w:bCs/>
                <w:sz w:val="21"/>
                <w:szCs w:val="21"/>
              </w:rPr>
              <w:t xml:space="preserve"> and robust accounting</w:t>
            </w:r>
            <w:r w:rsidR="00A1087C" w:rsidRPr="00A144E0">
              <w:rPr>
                <w:b/>
                <w:bCs/>
                <w:sz w:val="21"/>
                <w:szCs w:val="21"/>
              </w:rPr>
              <w:t xml:space="preserve"> and </w:t>
            </w:r>
            <w:r w:rsidR="004C4BFC" w:rsidRPr="00A144E0">
              <w:rPr>
                <w:b/>
                <w:bCs/>
                <w:sz w:val="21"/>
                <w:szCs w:val="21"/>
              </w:rPr>
              <w:t xml:space="preserve">contribute to </w:t>
            </w:r>
            <w:r w:rsidR="00ED07A5" w:rsidRPr="00A144E0">
              <w:rPr>
                <w:b/>
                <w:bCs/>
                <w:sz w:val="21"/>
                <w:szCs w:val="21"/>
              </w:rPr>
              <w:t xml:space="preserve">emission reduction </w:t>
            </w:r>
            <w:r w:rsidR="004C4BFC" w:rsidRPr="00A144E0">
              <w:rPr>
                <w:b/>
                <w:bCs/>
                <w:sz w:val="21"/>
                <w:szCs w:val="21"/>
              </w:rPr>
              <w:t xml:space="preserve">and </w:t>
            </w:r>
            <w:r w:rsidR="006A2A49" w:rsidRPr="00A144E0">
              <w:rPr>
                <w:b/>
                <w:bCs/>
                <w:sz w:val="21"/>
                <w:szCs w:val="21"/>
              </w:rPr>
              <w:t>implementation of</w:t>
            </w:r>
            <w:r w:rsidR="004C4BFC" w:rsidRPr="00A144E0">
              <w:rPr>
                <w:b/>
                <w:bCs/>
                <w:sz w:val="21"/>
                <w:szCs w:val="21"/>
              </w:rPr>
              <w:t xml:space="preserve"> countries</w:t>
            </w:r>
            <w:r w:rsidR="004C083F" w:rsidRPr="00A144E0">
              <w:rPr>
                <w:b/>
                <w:bCs/>
                <w:sz w:val="21"/>
                <w:szCs w:val="21"/>
              </w:rPr>
              <w:t>’</w:t>
            </w:r>
            <w:r w:rsidR="004C4BFC" w:rsidRPr="00A144E0">
              <w:rPr>
                <w:b/>
                <w:bCs/>
                <w:sz w:val="21"/>
                <w:szCs w:val="21"/>
              </w:rPr>
              <w:t xml:space="preserve"> </w:t>
            </w:r>
            <w:r w:rsidR="006A2A49" w:rsidRPr="00A144E0">
              <w:rPr>
                <w:b/>
                <w:bCs/>
                <w:sz w:val="21"/>
                <w:szCs w:val="21"/>
              </w:rPr>
              <w:t>NDC</w:t>
            </w:r>
            <w:r w:rsidR="000D46E6" w:rsidRPr="00A144E0">
              <w:rPr>
                <w:b/>
                <w:bCs/>
                <w:sz w:val="21"/>
                <w:szCs w:val="21"/>
              </w:rPr>
              <w:t>s</w:t>
            </w:r>
            <w:r w:rsidR="000D46E6" w:rsidRPr="00A144E0">
              <w:rPr>
                <w:sz w:val="21"/>
                <w:szCs w:val="21"/>
              </w:rPr>
              <w:t>.</w:t>
            </w:r>
            <w:r w:rsidRPr="00A144E0">
              <w:rPr>
                <w:sz w:val="21"/>
                <w:szCs w:val="21"/>
              </w:rPr>
              <w:t xml:space="preserve"> Robust and transparent reporting, ambitious baseline-setting, additionality assessment, avoidance of emissions lock in, emissions leakage accounting, permanence, and the avoidance of all forms of double-counting are critical principles to take into consideration in this regard</w:t>
            </w:r>
            <w:r w:rsidR="000D46E6" w:rsidRPr="00A144E0">
              <w:rPr>
                <w:sz w:val="21"/>
                <w:szCs w:val="21"/>
              </w:rPr>
              <w:t>.</w:t>
            </w:r>
            <w:r w:rsidR="00FC3326" w:rsidRPr="00A144E0">
              <w:rPr>
                <w:sz w:val="21"/>
                <w:szCs w:val="21"/>
              </w:rPr>
              <w:t xml:space="preserve"> </w:t>
            </w:r>
          </w:p>
          <w:p w14:paraId="2027A77C" w14:textId="77777777" w:rsidR="00DD7386" w:rsidRPr="00A144E0" w:rsidRDefault="00DD7386" w:rsidP="00A144E0">
            <w:pPr>
              <w:pStyle w:val="ListParagraph"/>
              <w:ind w:left="0"/>
              <w:rPr>
                <w:sz w:val="21"/>
                <w:szCs w:val="21"/>
              </w:rPr>
            </w:pPr>
          </w:p>
        </w:tc>
      </w:tr>
    </w:tbl>
    <w:p w14:paraId="6F93B0E5" w14:textId="77777777" w:rsidR="009F4BE9" w:rsidRPr="00A144E0" w:rsidRDefault="009F4BE9" w:rsidP="00A144E0">
      <w:pPr>
        <w:pStyle w:val="ListParagraph"/>
        <w:spacing w:after="0" w:line="240" w:lineRule="auto"/>
        <w:rPr>
          <w:b/>
          <w:bCs/>
          <w:sz w:val="21"/>
          <w:szCs w:val="21"/>
        </w:rPr>
      </w:pPr>
    </w:p>
    <w:p w14:paraId="52B5C6AE" w14:textId="165804B3" w:rsidR="004645C9" w:rsidRPr="00A144E0" w:rsidRDefault="004645C9" w:rsidP="00A144E0">
      <w:pPr>
        <w:spacing w:after="0" w:line="240" w:lineRule="auto"/>
        <w:rPr>
          <w:sz w:val="21"/>
          <w:szCs w:val="21"/>
        </w:rPr>
      </w:pPr>
      <w:r w:rsidRPr="00A144E0">
        <w:rPr>
          <w:sz w:val="21"/>
          <w:szCs w:val="21"/>
        </w:rPr>
        <w:t xml:space="preserve">[Box to </w:t>
      </w:r>
      <w:proofErr w:type="gramStart"/>
      <w:r w:rsidRPr="00A144E0">
        <w:rPr>
          <w:sz w:val="21"/>
          <w:szCs w:val="21"/>
        </w:rPr>
        <w:t>be replaced/complemented</w:t>
      </w:r>
      <w:proofErr w:type="gramEnd"/>
      <w:r w:rsidRPr="00A144E0">
        <w:rPr>
          <w:sz w:val="21"/>
          <w:szCs w:val="21"/>
        </w:rPr>
        <w:t xml:space="preserve"> by an infographic]</w:t>
      </w:r>
    </w:p>
    <w:p w14:paraId="1AC53833" w14:textId="77777777" w:rsidR="00E4702E" w:rsidRPr="00A144E0" w:rsidRDefault="00E4702E" w:rsidP="00A144E0">
      <w:pPr>
        <w:pStyle w:val="ListParagraph"/>
        <w:spacing w:after="0" w:line="240" w:lineRule="auto"/>
        <w:rPr>
          <w:sz w:val="21"/>
          <w:szCs w:val="21"/>
        </w:rPr>
      </w:pPr>
    </w:p>
    <w:p w14:paraId="1BC55D98" w14:textId="3D16F930" w:rsidR="00BD7324" w:rsidRPr="00A144E0" w:rsidRDefault="000124BA" w:rsidP="00A144E0">
      <w:pPr>
        <w:spacing w:after="0" w:line="240" w:lineRule="auto"/>
        <w:rPr>
          <w:color w:val="007DFF" w:themeColor="accent2"/>
          <w:sz w:val="21"/>
          <w:szCs w:val="21"/>
          <w:lang w:val="en-US"/>
        </w:rPr>
      </w:pPr>
      <w:r w:rsidRPr="00A144E0">
        <w:rPr>
          <w:sz w:val="21"/>
          <w:szCs w:val="21"/>
        </w:rPr>
        <w:br w:type="page"/>
      </w:r>
    </w:p>
    <w:p w14:paraId="1D07818D" w14:textId="73B23F90" w:rsidR="009535A3" w:rsidRPr="00476926" w:rsidRDefault="00A2295B" w:rsidP="009C545C">
      <w:pPr>
        <w:pStyle w:val="Heading1"/>
        <w:numPr>
          <w:ilvl w:val="0"/>
          <w:numId w:val="33"/>
        </w:numPr>
        <w:spacing w:before="0" w:line="240" w:lineRule="auto"/>
      </w:pPr>
      <w:r w:rsidRPr="00476926">
        <w:lastRenderedPageBreak/>
        <w:t>Carbon leakage</w:t>
      </w:r>
      <w:r w:rsidR="00BB1675" w:rsidRPr="00476926">
        <w:t xml:space="preserve"> </w:t>
      </w:r>
    </w:p>
    <w:p w14:paraId="14EEA772" w14:textId="77777777" w:rsidR="00F03884" w:rsidRPr="00123805" w:rsidRDefault="00F03884" w:rsidP="00123805">
      <w:pPr>
        <w:pStyle w:val="ListParagraph"/>
        <w:spacing w:after="0" w:line="240" w:lineRule="auto"/>
        <w:rPr>
          <w:sz w:val="21"/>
          <w:szCs w:val="21"/>
          <w:lang w:val="en-US"/>
        </w:rPr>
      </w:pPr>
    </w:p>
    <w:p w14:paraId="05699A60" w14:textId="38555F4A" w:rsidR="00CA3F4A" w:rsidRPr="009B6E90" w:rsidRDefault="00BD458E" w:rsidP="009B6E90">
      <w:pPr>
        <w:spacing w:after="0" w:line="240" w:lineRule="auto"/>
        <w:contextualSpacing/>
        <w:rPr>
          <w:rStyle w:val="normaltextrun"/>
          <w:b/>
          <w:bCs/>
          <w:color w:val="000000"/>
          <w:sz w:val="21"/>
          <w:szCs w:val="21"/>
          <w:shd w:val="clear" w:color="auto" w:fill="FFFFFF"/>
        </w:rPr>
      </w:pPr>
      <w:r w:rsidRPr="009B6E90">
        <w:rPr>
          <w:rFonts w:cs="Arial"/>
          <w:b/>
          <w:bCs/>
          <w:sz w:val="21"/>
          <w:szCs w:val="21"/>
        </w:rPr>
        <w:t>C</w:t>
      </w:r>
      <w:r w:rsidR="0055190A" w:rsidRPr="009B6E90">
        <w:rPr>
          <w:rFonts w:cs="Arial"/>
          <w:b/>
          <w:bCs/>
          <w:sz w:val="21"/>
          <w:szCs w:val="21"/>
        </w:rPr>
        <w:t xml:space="preserve">arbon leakage </w:t>
      </w:r>
      <w:r w:rsidR="000208EA" w:rsidRPr="009B6E90">
        <w:rPr>
          <w:rFonts w:cs="Arial"/>
          <w:b/>
          <w:bCs/>
          <w:sz w:val="21"/>
          <w:szCs w:val="21"/>
        </w:rPr>
        <w:t xml:space="preserve">is </w:t>
      </w:r>
      <w:r w:rsidR="00F37F43" w:rsidRPr="009B6E90">
        <w:rPr>
          <w:rFonts w:cs="Arial"/>
          <w:b/>
          <w:bCs/>
          <w:sz w:val="21"/>
          <w:szCs w:val="21"/>
        </w:rPr>
        <w:t xml:space="preserve">considered </w:t>
      </w:r>
      <w:proofErr w:type="gramStart"/>
      <w:r w:rsidR="00F37F43" w:rsidRPr="009B6E90">
        <w:rPr>
          <w:rFonts w:cs="Arial"/>
          <w:b/>
          <w:bCs/>
          <w:sz w:val="21"/>
          <w:szCs w:val="21"/>
        </w:rPr>
        <w:t xml:space="preserve">as </w:t>
      </w:r>
      <w:r w:rsidR="00B945AD" w:rsidRPr="009B6E90">
        <w:rPr>
          <w:rFonts w:cs="Arial"/>
          <w:b/>
          <w:bCs/>
          <w:sz w:val="21"/>
          <w:szCs w:val="21"/>
        </w:rPr>
        <w:t>a</w:t>
      </w:r>
      <w:r w:rsidR="000208EA" w:rsidRPr="009B6E90">
        <w:rPr>
          <w:rFonts w:cs="Arial"/>
          <w:b/>
          <w:bCs/>
          <w:sz w:val="21"/>
          <w:szCs w:val="21"/>
        </w:rPr>
        <w:t xml:space="preserve"> result of</w:t>
      </w:r>
      <w:proofErr w:type="gramEnd"/>
      <w:r w:rsidR="000208EA" w:rsidRPr="009B6E90">
        <w:rPr>
          <w:rFonts w:cs="Arial"/>
          <w:b/>
          <w:bCs/>
          <w:sz w:val="21"/>
          <w:szCs w:val="21"/>
        </w:rPr>
        <w:t xml:space="preserve"> </w:t>
      </w:r>
      <w:r w:rsidR="00DE12A6" w:rsidRPr="009B6E90">
        <w:rPr>
          <w:rStyle w:val="normaltextrun"/>
          <w:b/>
          <w:bCs/>
          <w:sz w:val="21"/>
          <w:szCs w:val="21"/>
          <w:shd w:val="clear" w:color="auto" w:fill="FFFFFF"/>
        </w:rPr>
        <w:t>asymmetrical</w:t>
      </w:r>
      <w:r w:rsidR="009745FE" w:rsidRPr="009B6E90">
        <w:rPr>
          <w:rStyle w:val="normaltextrun"/>
          <w:b/>
          <w:bCs/>
          <w:sz w:val="21"/>
          <w:szCs w:val="21"/>
          <w:shd w:val="clear" w:color="auto" w:fill="FFFFFF"/>
        </w:rPr>
        <w:t>/</w:t>
      </w:r>
      <w:r w:rsidR="00DE12A6" w:rsidRPr="009B6E90">
        <w:rPr>
          <w:rStyle w:val="normaltextrun"/>
          <w:b/>
          <w:bCs/>
          <w:sz w:val="21"/>
          <w:szCs w:val="21"/>
          <w:shd w:val="clear" w:color="auto" w:fill="FFFFFF"/>
        </w:rPr>
        <w:t>fragmented carbon policies, price differences and sector coverage and the resulting carbon cost</w:t>
      </w:r>
      <w:r w:rsidR="0075041F" w:rsidRPr="009B6E90">
        <w:rPr>
          <w:rStyle w:val="normaltextrun"/>
          <w:sz w:val="21"/>
          <w:szCs w:val="21"/>
          <w:shd w:val="clear" w:color="auto" w:fill="FFFFFF"/>
        </w:rPr>
        <w:t>.</w:t>
      </w:r>
      <w:r w:rsidR="0075041F" w:rsidRPr="009B6E90">
        <w:rPr>
          <w:rStyle w:val="normaltextrun"/>
          <w:b/>
          <w:bCs/>
          <w:sz w:val="21"/>
          <w:szCs w:val="21"/>
          <w:shd w:val="clear" w:color="auto" w:fill="FFFFFF"/>
        </w:rPr>
        <w:t xml:space="preserve"> </w:t>
      </w:r>
      <w:r w:rsidR="00726689" w:rsidRPr="009B6E90">
        <w:rPr>
          <w:rStyle w:val="normaltextrun"/>
          <w:color w:val="000000"/>
          <w:sz w:val="21"/>
          <w:szCs w:val="21"/>
          <w:shd w:val="clear" w:color="auto" w:fill="FFFFFF"/>
        </w:rPr>
        <w:t>The theory of carbon leakage refers to “the situation that may occur if, for reasons of costs related to climate policies, businesses were to transfer production to other countries with laxer emission constraints</w:t>
      </w:r>
      <w:proofErr w:type="gramStart"/>
      <w:r w:rsidR="00726689" w:rsidRPr="009B6E90">
        <w:rPr>
          <w:sz w:val="21"/>
          <w:szCs w:val="21"/>
        </w:rPr>
        <w:t>”</w:t>
      </w:r>
      <w:r w:rsidR="00726689" w:rsidRPr="009B6E90">
        <w:rPr>
          <w:rFonts w:cs="Arial"/>
          <w:color w:val="404040"/>
          <w:sz w:val="21"/>
          <w:szCs w:val="21"/>
        </w:rPr>
        <w:t>.</w:t>
      </w:r>
      <w:proofErr w:type="gramEnd"/>
      <w:r w:rsidR="00726689" w:rsidRPr="009B6E90">
        <w:rPr>
          <w:rStyle w:val="FootnoteReference"/>
          <w:rFonts w:cs="Arial"/>
          <w:color w:val="404040"/>
          <w:sz w:val="21"/>
          <w:szCs w:val="21"/>
        </w:rPr>
        <w:footnoteReference w:id="11"/>
      </w:r>
      <w:r w:rsidR="00EF4D60" w:rsidRPr="009B6E90">
        <w:rPr>
          <w:rStyle w:val="normaltextrun"/>
          <w:b/>
          <w:bCs/>
          <w:color w:val="000000"/>
          <w:sz w:val="21"/>
          <w:szCs w:val="21"/>
          <w:shd w:val="clear" w:color="auto" w:fill="FFFFFF"/>
        </w:rPr>
        <w:t xml:space="preserve"> </w:t>
      </w:r>
    </w:p>
    <w:p w14:paraId="1652908D" w14:textId="77777777" w:rsidR="00CA3F4A" w:rsidRPr="009B6E90" w:rsidRDefault="00CA3F4A" w:rsidP="009B6E90">
      <w:pPr>
        <w:spacing w:after="0" w:line="240" w:lineRule="auto"/>
        <w:contextualSpacing/>
        <w:rPr>
          <w:rStyle w:val="normaltextrun"/>
          <w:b/>
          <w:bCs/>
          <w:color w:val="000000"/>
          <w:sz w:val="21"/>
          <w:szCs w:val="21"/>
          <w:shd w:val="clear" w:color="auto" w:fill="FFFFFF"/>
        </w:rPr>
      </w:pPr>
    </w:p>
    <w:p w14:paraId="00D5C55C" w14:textId="789F1F29" w:rsidR="002F7697" w:rsidRPr="009B6E90" w:rsidRDefault="00D3355F" w:rsidP="009B6E90">
      <w:pPr>
        <w:spacing w:after="0" w:line="240" w:lineRule="auto"/>
        <w:contextualSpacing/>
        <w:rPr>
          <w:rStyle w:val="normaltextrun"/>
          <w:sz w:val="21"/>
          <w:szCs w:val="21"/>
          <w:shd w:val="clear" w:color="auto" w:fill="FFFFFF"/>
        </w:rPr>
      </w:pPr>
      <w:r w:rsidRPr="009B6E90">
        <w:rPr>
          <w:rStyle w:val="normaltextrun"/>
          <w:b/>
          <w:bCs/>
          <w:sz w:val="21"/>
          <w:szCs w:val="21"/>
          <w:shd w:val="clear" w:color="auto" w:fill="FFFFFF"/>
        </w:rPr>
        <w:t>Carbon leakage reduce</w:t>
      </w:r>
      <w:r w:rsidR="00413F70" w:rsidRPr="009B6E90">
        <w:rPr>
          <w:rStyle w:val="normaltextrun"/>
          <w:b/>
          <w:bCs/>
          <w:sz w:val="21"/>
          <w:szCs w:val="21"/>
          <w:shd w:val="clear" w:color="auto" w:fill="FFFFFF"/>
        </w:rPr>
        <w:t>s</w:t>
      </w:r>
      <w:r w:rsidRPr="009B6E90">
        <w:rPr>
          <w:rStyle w:val="normaltextrun"/>
          <w:b/>
          <w:bCs/>
          <w:sz w:val="21"/>
          <w:szCs w:val="21"/>
          <w:shd w:val="clear" w:color="auto" w:fill="FFFFFF"/>
        </w:rPr>
        <w:t xml:space="preserve"> the </w:t>
      </w:r>
      <w:r w:rsidR="00D63EF7" w:rsidRPr="009B6E90">
        <w:rPr>
          <w:rStyle w:val="normaltextrun"/>
          <w:b/>
          <w:bCs/>
          <w:sz w:val="21"/>
          <w:szCs w:val="21"/>
          <w:shd w:val="clear" w:color="auto" w:fill="FFFFFF"/>
        </w:rPr>
        <w:t>efficiency of carbon pricing</w:t>
      </w:r>
      <w:r w:rsidR="006E6D2C" w:rsidRPr="009B6E90">
        <w:rPr>
          <w:rStyle w:val="normaltextrun"/>
          <w:b/>
          <w:bCs/>
          <w:sz w:val="21"/>
          <w:szCs w:val="21"/>
          <w:shd w:val="clear" w:color="auto" w:fill="FFFFFF"/>
        </w:rPr>
        <w:t xml:space="preserve">, </w:t>
      </w:r>
      <w:r w:rsidR="007E0095" w:rsidRPr="009B6E90">
        <w:rPr>
          <w:rStyle w:val="normaltextrun"/>
          <w:b/>
          <w:bCs/>
          <w:sz w:val="21"/>
          <w:szCs w:val="21"/>
          <w:shd w:val="clear" w:color="auto" w:fill="FFFFFF"/>
        </w:rPr>
        <w:t xml:space="preserve">as it limits </w:t>
      </w:r>
      <w:r w:rsidR="00FE6ADF" w:rsidRPr="009B6E90">
        <w:rPr>
          <w:rStyle w:val="normaltextrun"/>
          <w:b/>
          <w:bCs/>
          <w:sz w:val="21"/>
          <w:szCs w:val="21"/>
          <w:shd w:val="clear" w:color="auto" w:fill="FFFFFF"/>
        </w:rPr>
        <w:t>CO2 emission reductions</w:t>
      </w:r>
      <w:r w:rsidR="00D63EF7" w:rsidRPr="009B6E90">
        <w:rPr>
          <w:rStyle w:val="normaltextrun"/>
          <w:b/>
          <w:bCs/>
          <w:sz w:val="21"/>
          <w:szCs w:val="21"/>
          <w:shd w:val="clear" w:color="auto" w:fill="FFFFFF"/>
        </w:rPr>
        <w:t>.</w:t>
      </w:r>
      <w:r w:rsidR="00D63EF7" w:rsidRPr="009B6E90">
        <w:rPr>
          <w:rStyle w:val="normaltextrun"/>
          <w:sz w:val="21"/>
          <w:szCs w:val="21"/>
          <w:shd w:val="clear" w:color="auto" w:fill="FFFFFF"/>
        </w:rPr>
        <w:t xml:space="preserve"> </w:t>
      </w:r>
      <w:r w:rsidR="00726689" w:rsidRPr="009B6E90">
        <w:rPr>
          <w:rStyle w:val="normaltextrun"/>
          <w:sz w:val="21"/>
          <w:szCs w:val="21"/>
          <w:shd w:val="clear" w:color="auto" w:fill="FFFFFF"/>
        </w:rPr>
        <w:t>It</w:t>
      </w:r>
      <w:r w:rsidR="00726689" w:rsidRPr="009B6E90">
        <w:rPr>
          <w:rStyle w:val="normaltextrun"/>
          <w:b/>
          <w:bCs/>
          <w:sz w:val="21"/>
          <w:szCs w:val="21"/>
          <w:shd w:val="clear" w:color="auto" w:fill="FFFFFF"/>
        </w:rPr>
        <w:t xml:space="preserve"> </w:t>
      </w:r>
      <w:r w:rsidR="00DE12A6" w:rsidRPr="009B6E90">
        <w:rPr>
          <w:rStyle w:val="normaltextrun"/>
          <w:sz w:val="21"/>
          <w:szCs w:val="21"/>
          <w:shd w:val="clear" w:color="auto" w:fill="FFFFFF"/>
        </w:rPr>
        <w:t>could displace production and/or investment with consequent displacement of activities</w:t>
      </w:r>
      <w:r w:rsidR="00AB35ED" w:rsidRPr="009B6E90">
        <w:rPr>
          <w:rStyle w:val="normaltextrun"/>
          <w:sz w:val="21"/>
          <w:szCs w:val="21"/>
          <w:shd w:val="clear" w:color="auto" w:fill="FFFFFF"/>
        </w:rPr>
        <w:t xml:space="preserve"> potentially </w:t>
      </w:r>
      <w:r w:rsidR="00DE12A6" w:rsidRPr="009B6E90">
        <w:rPr>
          <w:rStyle w:val="normaltextrun"/>
          <w:sz w:val="21"/>
          <w:szCs w:val="21"/>
          <w:shd w:val="clear" w:color="auto" w:fill="FFFFFF"/>
        </w:rPr>
        <w:t xml:space="preserve">producing </w:t>
      </w:r>
      <w:r w:rsidR="00AB35ED" w:rsidRPr="009B6E90">
        <w:rPr>
          <w:rStyle w:val="normaltextrun"/>
          <w:sz w:val="21"/>
          <w:szCs w:val="21"/>
          <w:shd w:val="clear" w:color="auto" w:fill="FFFFFF"/>
        </w:rPr>
        <w:t>higher</w:t>
      </w:r>
      <w:r w:rsidR="00DE12A6" w:rsidRPr="009B6E90">
        <w:rPr>
          <w:rStyle w:val="normaltextrun"/>
          <w:sz w:val="21"/>
          <w:szCs w:val="21"/>
          <w:shd w:val="clear" w:color="auto" w:fill="FFFFFF"/>
        </w:rPr>
        <w:t xml:space="preserve"> emissions.</w:t>
      </w:r>
      <w:r w:rsidR="00A820DB" w:rsidRPr="009B6E90">
        <w:rPr>
          <w:rStyle w:val="normaltextrun"/>
          <w:sz w:val="21"/>
          <w:szCs w:val="21"/>
          <w:shd w:val="clear" w:color="auto" w:fill="FFFFFF"/>
        </w:rPr>
        <w:t xml:space="preserve"> </w:t>
      </w:r>
      <w:r w:rsidR="4AAEE02D" w:rsidRPr="009B6E90">
        <w:rPr>
          <w:rStyle w:val="normaltextrun"/>
          <w:sz w:val="21"/>
          <w:szCs w:val="21"/>
          <w:shd w:val="clear" w:color="auto" w:fill="FFFFFF"/>
        </w:rPr>
        <w:t>I</w:t>
      </w:r>
      <w:r w:rsidR="4AAEE02D" w:rsidRPr="009B6E90">
        <w:rPr>
          <w:rStyle w:val="normaltextrun"/>
          <w:sz w:val="21"/>
          <w:szCs w:val="21"/>
        </w:rPr>
        <w:t xml:space="preserve">f emissions are shifted to another </w:t>
      </w:r>
      <w:proofErr w:type="gramStart"/>
      <w:r w:rsidR="4AAEE02D" w:rsidRPr="009B6E90">
        <w:rPr>
          <w:rStyle w:val="normaltextrun"/>
          <w:sz w:val="21"/>
          <w:szCs w:val="21"/>
        </w:rPr>
        <w:t>jurisdiction</w:t>
      </w:r>
      <w:proofErr w:type="gramEnd"/>
      <w:r w:rsidR="4AAEE02D" w:rsidRPr="009B6E90">
        <w:rPr>
          <w:rStyle w:val="normaltextrun"/>
          <w:sz w:val="21"/>
          <w:szCs w:val="21"/>
        </w:rPr>
        <w:t xml:space="preserve"> with less stringent decarbonisation policies, </w:t>
      </w:r>
      <w:r w:rsidR="10BE8EEA" w:rsidRPr="009B6E90">
        <w:rPr>
          <w:rStyle w:val="normaltextrun"/>
          <w:sz w:val="21"/>
          <w:szCs w:val="21"/>
          <w:shd w:val="clear" w:color="auto" w:fill="FFFFFF"/>
        </w:rPr>
        <w:t>c</w:t>
      </w:r>
      <w:r w:rsidR="00B24694" w:rsidRPr="009B6E90">
        <w:rPr>
          <w:rStyle w:val="normaltextrun"/>
          <w:sz w:val="21"/>
          <w:szCs w:val="21"/>
          <w:shd w:val="clear" w:color="auto" w:fill="FFFFFF"/>
        </w:rPr>
        <w:t xml:space="preserve">arbon leakage can undermine </w:t>
      </w:r>
      <w:r w:rsidR="00AB35ED" w:rsidRPr="009B6E90">
        <w:rPr>
          <w:rStyle w:val="normaltextrun"/>
          <w:sz w:val="21"/>
          <w:szCs w:val="21"/>
          <w:shd w:val="clear" w:color="auto" w:fill="FFFFFF"/>
        </w:rPr>
        <w:t>a country’s</w:t>
      </w:r>
      <w:r w:rsidR="5F1372EE" w:rsidRPr="009B6E90">
        <w:rPr>
          <w:rStyle w:val="normaltextrun"/>
          <w:sz w:val="21"/>
          <w:szCs w:val="21"/>
          <w:shd w:val="clear" w:color="auto" w:fill="FFFFFF"/>
        </w:rPr>
        <w:t xml:space="preserve"> unilater</w:t>
      </w:r>
      <w:r w:rsidR="000B32AF" w:rsidRPr="009B6E90">
        <w:rPr>
          <w:rStyle w:val="normaltextrun"/>
          <w:sz w:val="21"/>
          <w:szCs w:val="21"/>
          <w:shd w:val="clear" w:color="auto" w:fill="FFFFFF"/>
        </w:rPr>
        <w:t>al</w:t>
      </w:r>
      <w:r w:rsidR="00AB35ED" w:rsidRPr="009B6E90">
        <w:rPr>
          <w:rStyle w:val="normaltextrun"/>
          <w:sz w:val="21"/>
          <w:szCs w:val="21"/>
          <w:shd w:val="clear" w:color="auto" w:fill="FFFFFF"/>
        </w:rPr>
        <w:t xml:space="preserve"> </w:t>
      </w:r>
      <w:r w:rsidR="00B24694" w:rsidRPr="009B6E90">
        <w:rPr>
          <w:rStyle w:val="normaltextrun"/>
          <w:sz w:val="21"/>
          <w:szCs w:val="21"/>
          <w:shd w:val="clear" w:color="auto" w:fill="FFFFFF"/>
        </w:rPr>
        <w:t xml:space="preserve">efforts to reduce </w:t>
      </w:r>
      <w:r w:rsidR="00F62309" w:rsidRPr="009B6E90">
        <w:rPr>
          <w:rStyle w:val="normaltextrun"/>
          <w:sz w:val="21"/>
          <w:szCs w:val="21"/>
          <w:shd w:val="clear" w:color="auto" w:fill="FFFFFF"/>
        </w:rPr>
        <w:t xml:space="preserve">its </w:t>
      </w:r>
      <w:r w:rsidR="00B24694" w:rsidRPr="009B6E90">
        <w:rPr>
          <w:rStyle w:val="normaltextrun"/>
          <w:sz w:val="21"/>
          <w:szCs w:val="21"/>
          <w:shd w:val="clear" w:color="auto" w:fill="FFFFFF"/>
        </w:rPr>
        <w:t>emissions</w:t>
      </w:r>
      <w:r w:rsidR="009568C0" w:rsidRPr="009B6E90">
        <w:rPr>
          <w:rStyle w:val="normaltextrun"/>
          <w:sz w:val="21"/>
          <w:szCs w:val="21"/>
          <w:shd w:val="clear" w:color="auto" w:fill="FFFFFF"/>
        </w:rPr>
        <w:t xml:space="preserve"> and the effectiveness of carbon pricing</w:t>
      </w:r>
      <w:r w:rsidR="007E1A81" w:rsidRPr="009B6E90">
        <w:rPr>
          <w:rStyle w:val="normaltextrun"/>
          <w:sz w:val="21"/>
          <w:szCs w:val="21"/>
          <w:shd w:val="clear" w:color="auto" w:fill="FFFFFF"/>
        </w:rPr>
        <w:t>.</w:t>
      </w:r>
      <w:r w:rsidR="000275C8" w:rsidRPr="009B6E90">
        <w:rPr>
          <w:rStyle w:val="FootnoteReference"/>
          <w:sz w:val="21"/>
          <w:szCs w:val="21"/>
          <w:shd w:val="clear" w:color="auto" w:fill="FFFFFF"/>
        </w:rPr>
        <w:footnoteReference w:id="12"/>
      </w:r>
      <w:r w:rsidR="000275C8" w:rsidRPr="009B6E90">
        <w:rPr>
          <w:rStyle w:val="normaltextrun"/>
          <w:sz w:val="21"/>
          <w:szCs w:val="21"/>
          <w:shd w:val="clear" w:color="auto" w:fill="FFFFFF"/>
        </w:rPr>
        <w:t xml:space="preserve"> </w:t>
      </w:r>
    </w:p>
    <w:p w14:paraId="32E0EE50" w14:textId="77777777" w:rsidR="007E0095" w:rsidRPr="009B6E90" w:rsidRDefault="007E0095" w:rsidP="009B6E90">
      <w:pPr>
        <w:spacing w:after="0" w:line="240" w:lineRule="auto"/>
        <w:contextualSpacing/>
        <w:rPr>
          <w:rStyle w:val="normaltextrun"/>
          <w:sz w:val="21"/>
          <w:szCs w:val="21"/>
          <w:shd w:val="clear" w:color="auto" w:fill="FFFFFF"/>
        </w:rPr>
      </w:pPr>
    </w:p>
    <w:p w14:paraId="3BFB6C8D" w14:textId="33DFD177" w:rsidR="00C300D1" w:rsidRPr="009B6E90" w:rsidRDefault="0041248B" w:rsidP="009B6E90">
      <w:pPr>
        <w:spacing w:after="0" w:line="240" w:lineRule="auto"/>
        <w:contextualSpacing/>
        <w:rPr>
          <w:color w:val="000000"/>
          <w:sz w:val="21"/>
          <w:szCs w:val="21"/>
          <w:shd w:val="clear" w:color="auto" w:fill="FFFFFF"/>
        </w:rPr>
      </w:pPr>
      <w:r w:rsidRPr="009B6E90">
        <w:rPr>
          <w:rStyle w:val="normaltextrun"/>
          <w:sz w:val="21"/>
          <w:szCs w:val="21"/>
          <w:shd w:val="clear" w:color="auto" w:fill="FFFFFF"/>
        </w:rPr>
        <w:t>As</w:t>
      </w:r>
      <w:r w:rsidR="0044088A" w:rsidRPr="009B6E90">
        <w:rPr>
          <w:rStyle w:val="normaltextrun"/>
          <w:sz w:val="21"/>
          <w:szCs w:val="21"/>
          <w:shd w:val="clear" w:color="auto" w:fill="FFFFFF"/>
        </w:rPr>
        <w:t xml:space="preserve"> </w:t>
      </w:r>
      <w:r w:rsidR="00EF732F" w:rsidRPr="009B6E90">
        <w:rPr>
          <w:rStyle w:val="normaltextrun"/>
          <w:sz w:val="21"/>
          <w:szCs w:val="21"/>
          <w:shd w:val="clear" w:color="auto" w:fill="FFFFFF"/>
        </w:rPr>
        <w:t xml:space="preserve">local or regional carbon pricing instruments are </w:t>
      </w:r>
      <w:r w:rsidR="00771328" w:rsidRPr="009B6E90">
        <w:rPr>
          <w:rStyle w:val="normaltextrun"/>
          <w:sz w:val="21"/>
          <w:szCs w:val="21"/>
          <w:shd w:val="clear" w:color="auto" w:fill="FFFFFF"/>
        </w:rPr>
        <w:t xml:space="preserve">being </w:t>
      </w:r>
      <w:r w:rsidR="00EF732F" w:rsidRPr="009B6E90">
        <w:rPr>
          <w:rStyle w:val="normaltextrun"/>
          <w:sz w:val="21"/>
          <w:szCs w:val="21"/>
          <w:shd w:val="clear" w:color="auto" w:fill="FFFFFF"/>
        </w:rPr>
        <w:t xml:space="preserve">put in </w:t>
      </w:r>
      <w:r w:rsidR="00C16340" w:rsidRPr="009B6E90">
        <w:rPr>
          <w:rStyle w:val="normaltextrun"/>
          <w:sz w:val="21"/>
          <w:szCs w:val="21"/>
          <w:shd w:val="clear" w:color="auto" w:fill="FFFFFF"/>
        </w:rPr>
        <w:t>place</w:t>
      </w:r>
      <w:r w:rsidR="00C16340" w:rsidRPr="009B6E90" w:rsidDel="00A13E74">
        <w:rPr>
          <w:rStyle w:val="normaltextrun"/>
          <w:sz w:val="21"/>
          <w:szCs w:val="21"/>
          <w:shd w:val="clear" w:color="auto" w:fill="FFFFFF"/>
        </w:rPr>
        <w:t>,</w:t>
      </w:r>
      <w:r w:rsidR="00455DD6" w:rsidRPr="009B6E90">
        <w:rPr>
          <w:rStyle w:val="normaltextrun"/>
          <w:sz w:val="21"/>
          <w:szCs w:val="21"/>
          <w:shd w:val="clear" w:color="auto" w:fill="FFFFFF"/>
        </w:rPr>
        <w:t xml:space="preserve"> </w:t>
      </w:r>
      <w:r w:rsidR="00557ACA" w:rsidRPr="009B6E90">
        <w:rPr>
          <w:rStyle w:val="normaltextrun"/>
          <w:sz w:val="21"/>
          <w:szCs w:val="21"/>
          <w:shd w:val="clear" w:color="auto" w:fill="FFFFFF"/>
        </w:rPr>
        <w:t xml:space="preserve">there is </w:t>
      </w:r>
      <w:r w:rsidR="00A273BA" w:rsidRPr="009B6E90">
        <w:rPr>
          <w:rStyle w:val="normaltextrun"/>
          <w:sz w:val="21"/>
          <w:szCs w:val="21"/>
          <w:shd w:val="clear" w:color="auto" w:fill="FFFFFF"/>
        </w:rPr>
        <w:t xml:space="preserve">a </w:t>
      </w:r>
      <w:r w:rsidR="00557ACA" w:rsidRPr="009B6E90">
        <w:rPr>
          <w:rStyle w:val="normaltextrun"/>
          <w:sz w:val="21"/>
          <w:szCs w:val="21"/>
          <w:shd w:val="clear" w:color="auto" w:fill="FFFFFF"/>
        </w:rPr>
        <w:t xml:space="preserve">growing </w:t>
      </w:r>
      <w:r w:rsidR="00FA6B02" w:rsidRPr="009B6E90">
        <w:rPr>
          <w:rStyle w:val="normaltextrun"/>
          <w:sz w:val="21"/>
          <w:szCs w:val="21"/>
          <w:shd w:val="clear" w:color="auto" w:fill="FFFFFF"/>
        </w:rPr>
        <w:t xml:space="preserve">risk </w:t>
      </w:r>
      <w:r w:rsidR="00A273BA" w:rsidRPr="009B6E90">
        <w:rPr>
          <w:rStyle w:val="normaltextrun"/>
          <w:sz w:val="21"/>
          <w:szCs w:val="21"/>
          <w:shd w:val="clear" w:color="auto" w:fill="FFFFFF"/>
        </w:rPr>
        <w:t xml:space="preserve">of </w:t>
      </w:r>
      <w:r w:rsidR="00820D62" w:rsidRPr="009B6E90">
        <w:rPr>
          <w:rStyle w:val="normaltextrun"/>
          <w:sz w:val="21"/>
          <w:szCs w:val="21"/>
          <w:shd w:val="clear" w:color="auto" w:fill="FFFFFF"/>
        </w:rPr>
        <w:t>shif</w:t>
      </w:r>
      <w:r w:rsidR="00317631" w:rsidRPr="009B6E90">
        <w:rPr>
          <w:rStyle w:val="normaltextrun"/>
          <w:sz w:val="21"/>
          <w:szCs w:val="21"/>
          <w:shd w:val="clear" w:color="auto" w:fill="FFFFFF"/>
        </w:rPr>
        <w:t>ting emissions</w:t>
      </w:r>
      <w:r w:rsidR="00940125" w:rsidRPr="009B6E90">
        <w:rPr>
          <w:rStyle w:val="normaltextrun"/>
          <w:sz w:val="21"/>
          <w:szCs w:val="21"/>
          <w:shd w:val="clear" w:color="auto" w:fill="FFFFFF"/>
        </w:rPr>
        <w:t xml:space="preserve"> </w:t>
      </w:r>
      <w:r w:rsidR="00820D62" w:rsidRPr="009B6E90">
        <w:rPr>
          <w:rStyle w:val="normaltextrun"/>
          <w:sz w:val="21"/>
          <w:szCs w:val="21"/>
          <w:shd w:val="clear" w:color="auto" w:fill="FFFFFF"/>
        </w:rPr>
        <w:t>outside the countries taking domestic mitigation action</w:t>
      </w:r>
      <w:proofErr w:type="gramStart"/>
      <w:r w:rsidR="00A16A92" w:rsidRPr="009B6E90">
        <w:rPr>
          <w:rStyle w:val="normaltextrun"/>
          <w:sz w:val="21"/>
          <w:szCs w:val="21"/>
          <w:shd w:val="clear" w:color="auto" w:fill="FFFFFF"/>
        </w:rPr>
        <w:t xml:space="preserve">.  </w:t>
      </w:r>
      <w:r w:rsidR="007162C2" w:rsidRPr="009B6E90">
        <w:rPr>
          <w:color w:val="000000"/>
          <w:sz w:val="21"/>
          <w:szCs w:val="21"/>
          <w:shd w:val="clear" w:color="auto" w:fill="FFFFFF"/>
        </w:rPr>
        <w:t>Several</w:t>
      </w:r>
      <w:proofErr w:type="gramEnd"/>
      <w:r w:rsidR="007162C2" w:rsidRPr="009B6E90">
        <w:rPr>
          <w:color w:val="000000"/>
          <w:sz w:val="21"/>
          <w:szCs w:val="21"/>
          <w:shd w:val="clear" w:color="auto" w:fill="FFFFFF"/>
        </w:rPr>
        <w:t xml:space="preserve"> countries or regions</w:t>
      </w:r>
      <w:r w:rsidR="00F275DE" w:rsidRPr="009B6E90">
        <w:rPr>
          <w:color w:val="000000"/>
          <w:sz w:val="21"/>
          <w:szCs w:val="21"/>
          <w:shd w:val="clear" w:color="auto" w:fill="FFFFFF"/>
        </w:rPr>
        <w:t xml:space="preserve">, </w:t>
      </w:r>
      <w:r w:rsidR="00D96E0D" w:rsidRPr="009B6E90">
        <w:rPr>
          <w:color w:val="000000"/>
          <w:sz w:val="21"/>
          <w:szCs w:val="21"/>
          <w:shd w:val="clear" w:color="auto" w:fill="FFFFFF"/>
        </w:rPr>
        <w:t>which</w:t>
      </w:r>
      <w:r w:rsidR="007162C2" w:rsidRPr="009B6E90">
        <w:rPr>
          <w:color w:val="000000"/>
          <w:sz w:val="21"/>
          <w:szCs w:val="21"/>
          <w:shd w:val="clear" w:color="auto" w:fill="FFFFFF"/>
        </w:rPr>
        <w:t xml:space="preserve"> have led change on carbon pricing</w:t>
      </w:r>
      <w:r w:rsidR="00AF0273" w:rsidRPr="009B6E90">
        <w:rPr>
          <w:color w:val="000000"/>
          <w:sz w:val="21"/>
          <w:szCs w:val="21"/>
          <w:shd w:val="clear" w:color="auto" w:fill="FFFFFF"/>
        </w:rPr>
        <w:t xml:space="preserve"> </w:t>
      </w:r>
      <w:r w:rsidR="007162C2" w:rsidRPr="009B6E90">
        <w:rPr>
          <w:color w:val="000000"/>
          <w:sz w:val="21"/>
          <w:szCs w:val="21"/>
          <w:shd w:val="clear" w:color="auto" w:fill="FFFFFF"/>
        </w:rPr>
        <w:t>have introduced or are planning to implement measures to mitigate th</w:t>
      </w:r>
      <w:r w:rsidR="00AF0273" w:rsidRPr="009B6E90">
        <w:rPr>
          <w:color w:val="000000"/>
          <w:sz w:val="21"/>
          <w:szCs w:val="21"/>
          <w:shd w:val="clear" w:color="auto" w:fill="FFFFFF"/>
        </w:rPr>
        <w:t>e</w:t>
      </w:r>
      <w:r w:rsidR="007162C2" w:rsidRPr="009B6E90">
        <w:rPr>
          <w:color w:val="000000"/>
          <w:sz w:val="21"/>
          <w:szCs w:val="21"/>
          <w:shd w:val="clear" w:color="auto" w:fill="FFFFFF"/>
        </w:rPr>
        <w:t xml:space="preserve"> risk. </w:t>
      </w:r>
    </w:p>
    <w:p w14:paraId="4943BB39" w14:textId="77777777" w:rsidR="00C300D1" w:rsidRPr="009B6E90" w:rsidRDefault="00C300D1" w:rsidP="009B6E90">
      <w:pPr>
        <w:spacing w:after="0" w:line="240" w:lineRule="auto"/>
        <w:contextualSpacing/>
        <w:rPr>
          <w:color w:val="000000"/>
          <w:sz w:val="21"/>
          <w:szCs w:val="21"/>
          <w:shd w:val="clear" w:color="auto" w:fill="FFFFFF"/>
        </w:rPr>
      </w:pPr>
    </w:p>
    <w:p w14:paraId="6243144C" w14:textId="386B31B2" w:rsidR="00851D28" w:rsidRPr="009B6E90" w:rsidRDefault="005C49A6" w:rsidP="009B6E90">
      <w:pPr>
        <w:spacing w:after="0" w:line="240" w:lineRule="auto"/>
        <w:contextualSpacing/>
        <w:rPr>
          <w:rStyle w:val="normaltextrun"/>
          <w:sz w:val="21"/>
          <w:szCs w:val="21"/>
          <w:shd w:val="clear" w:color="auto" w:fill="FFFFFF"/>
        </w:rPr>
      </w:pPr>
      <w:r w:rsidRPr="009B6E90">
        <w:rPr>
          <w:color w:val="000000"/>
          <w:sz w:val="21"/>
          <w:szCs w:val="21"/>
          <w:shd w:val="clear" w:color="auto" w:fill="FFFFFF"/>
        </w:rPr>
        <w:t xml:space="preserve">ICC recognises </w:t>
      </w:r>
      <w:r w:rsidR="009B6C6F" w:rsidRPr="009B6E90">
        <w:rPr>
          <w:color w:val="000000"/>
          <w:sz w:val="21"/>
          <w:szCs w:val="21"/>
          <w:shd w:val="clear" w:color="auto" w:fill="FFFFFF"/>
        </w:rPr>
        <w:t xml:space="preserve">that the </w:t>
      </w:r>
      <w:r w:rsidR="005B164A" w:rsidRPr="009B6E90">
        <w:rPr>
          <w:color w:val="000000"/>
          <w:sz w:val="21"/>
          <w:szCs w:val="21"/>
          <w:shd w:val="clear" w:color="auto" w:fill="FFFFFF"/>
        </w:rPr>
        <w:t>concern</w:t>
      </w:r>
      <w:r w:rsidR="009B6C6F" w:rsidRPr="009B6E90">
        <w:rPr>
          <w:color w:val="000000"/>
          <w:sz w:val="21"/>
          <w:szCs w:val="21"/>
          <w:shd w:val="clear" w:color="auto" w:fill="FFFFFF"/>
        </w:rPr>
        <w:t xml:space="preserve"> of carbon leakage is real and</w:t>
      </w:r>
      <w:r w:rsidR="00616CB6" w:rsidRPr="009B6E90">
        <w:rPr>
          <w:color w:val="000000"/>
          <w:sz w:val="21"/>
          <w:szCs w:val="21"/>
          <w:shd w:val="clear" w:color="auto" w:fill="FFFFFF"/>
        </w:rPr>
        <w:t xml:space="preserve"> therefore considers it important to examine the issue in further detail</w:t>
      </w:r>
      <w:r w:rsidR="00AA69BA" w:rsidRPr="009B6E90">
        <w:rPr>
          <w:color w:val="000000"/>
          <w:sz w:val="21"/>
          <w:szCs w:val="21"/>
          <w:shd w:val="clear" w:color="auto" w:fill="FFFFFF"/>
        </w:rPr>
        <w:t>;</w:t>
      </w:r>
      <w:r w:rsidR="003E01B1" w:rsidRPr="009B6E90">
        <w:rPr>
          <w:color w:val="000000"/>
          <w:sz w:val="21"/>
          <w:szCs w:val="21"/>
          <w:shd w:val="clear" w:color="auto" w:fill="FFFFFF"/>
        </w:rPr>
        <w:t xml:space="preserve"> although</w:t>
      </w:r>
      <w:r w:rsidR="003E01B1" w:rsidRPr="009B6E90">
        <w:rPr>
          <w:rStyle w:val="normaltextrun"/>
          <w:sz w:val="21"/>
          <w:szCs w:val="21"/>
          <w:shd w:val="clear" w:color="auto" w:fill="FFFFFF"/>
        </w:rPr>
        <w:t xml:space="preserve"> the</w:t>
      </w:r>
      <w:r w:rsidR="00FC0CBF" w:rsidRPr="009B6E90">
        <w:rPr>
          <w:rStyle w:val="normaltextrun"/>
          <w:sz w:val="21"/>
          <w:szCs w:val="21"/>
          <w:shd w:val="clear" w:color="auto" w:fill="FFFFFF"/>
        </w:rPr>
        <w:t xml:space="preserve">re are </w:t>
      </w:r>
      <w:r w:rsidR="00F96F3A" w:rsidRPr="009B6E90">
        <w:rPr>
          <w:rStyle w:val="normaltextrun"/>
          <w:sz w:val="21"/>
          <w:szCs w:val="21"/>
          <w:shd w:val="clear" w:color="auto" w:fill="FFFFFF"/>
        </w:rPr>
        <w:t xml:space="preserve">some </w:t>
      </w:r>
      <w:r w:rsidR="004E3B5F" w:rsidRPr="009B6E90">
        <w:rPr>
          <w:rStyle w:val="normaltextrun"/>
          <w:sz w:val="21"/>
          <w:szCs w:val="21"/>
          <w:shd w:val="clear" w:color="auto" w:fill="FFFFFF"/>
        </w:rPr>
        <w:t>countries</w:t>
      </w:r>
      <w:r w:rsidR="00F96F3A" w:rsidRPr="009B6E90">
        <w:rPr>
          <w:rStyle w:val="normaltextrun"/>
          <w:sz w:val="21"/>
          <w:szCs w:val="21"/>
          <w:shd w:val="clear" w:color="auto" w:fill="FFFFFF"/>
        </w:rPr>
        <w:t xml:space="preserve"> and stakeholders</w:t>
      </w:r>
      <w:r w:rsidR="004E3B5F" w:rsidRPr="009B6E90">
        <w:rPr>
          <w:rStyle w:val="normaltextrun"/>
          <w:sz w:val="21"/>
          <w:szCs w:val="21"/>
          <w:shd w:val="clear" w:color="auto" w:fill="FFFFFF"/>
        </w:rPr>
        <w:t xml:space="preserve"> </w:t>
      </w:r>
      <w:r w:rsidR="00307EBD" w:rsidRPr="009B6E90">
        <w:rPr>
          <w:rStyle w:val="normaltextrun"/>
          <w:sz w:val="21"/>
          <w:szCs w:val="21"/>
          <w:shd w:val="clear" w:color="auto" w:fill="FFFFFF"/>
        </w:rPr>
        <w:t xml:space="preserve">that </w:t>
      </w:r>
      <w:r w:rsidR="004E3B5F" w:rsidRPr="009B6E90">
        <w:rPr>
          <w:rStyle w:val="normaltextrun"/>
          <w:sz w:val="21"/>
          <w:szCs w:val="21"/>
          <w:shd w:val="clear" w:color="auto" w:fill="FFFFFF"/>
        </w:rPr>
        <w:t xml:space="preserve">question </w:t>
      </w:r>
      <w:r w:rsidR="00C77369" w:rsidRPr="009B6E90">
        <w:rPr>
          <w:rStyle w:val="normaltextrun"/>
          <w:sz w:val="21"/>
          <w:szCs w:val="21"/>
          <w:shd w:val="clear" w:color="auto" w:fill="FFFFFF"/>
        </w:rPr>
        <w:t xml:space="preserve">its </w:t>
      </w:r>
      <w:r w:rsidR="00BA156D" w:rsidRPr="009B6E90">
        <w:rPr>
          <w:rStyle w:val="normaltextrun"/>
          <w:sz w:val="21"/>
          <w:szCs w:val="21"/>
          <w:shd w:val="clear" w:color="auto" w:fill="FFFFFF"/>
        </w:rPr>
        <w:t>existence</w:t>
      </w:r>
      <w:r w:rsidR="003E01B1" w:rsidRPr="009B6E90">
        <w:rPr>
          <w:rStyle w:val="FootnoteReference"/>
          <w:color w:val="000000"/>
          <w:sz w:val="21"/>
          <w:szCs w:val="21"/>
          <w:shd w:val="clear" w:color="auto" w:fill="FFFFFF"/>
        </w:rPr>
        <w:footnoteReference w:id="13"/>
      </w:r>
      <w:r w:rsidR="003E01B1" w:rsidRPr="009B6E90">
        <w:rPr>
          <w:rStyle w:val="normaltextrun"/>
          <w:color w:val="000000"/>
          <w:sz w:val="21"/>
          <w:szCs w:val="21"/>
          <w:shd w:val="clear" w:color="auto" w:fill="FFFFFF"/>
        </w:rPr>
        <w:t xml:space="preserve"> </w:t>
      </w:r>
      <w:r w:rsidR="003E01B1" w:rsidRPr="009B6E90">
        <w:rPr>
          <w:rStyle w:val="FootnoteReference"/>
          <w:color w:val="000000"/>
          <w:sz w:val="21"/>
          <w:szCs w:val="21"/>
          <w:shd w:val="clear" w:color="auto" w:fill="FFFFFF"/>
        </w:rPr>
        <w:footnoteReference w:id="14"/>
      </w:r>
      <w:r w:rsidR="003E01B1" w:rsidRPr="009B6E90">
        <w:rPr>
          <w:rStyle w:val="normaltextrun"/>
          <w:color w:val="000000"/>
          <w:sz w:val="21"/>
          <w:szCs w:val="21"/>
          <w:shd w:val="clear" w:color="auto" w:fill="FFFFFF"/>
        </w:rPr>
        <w:t xml:space="preserve"> </w:t>
      </w:r>
      <w:r w:rsidR="003E01B1" w:rsidRPr="009B6E90">
        <w:rPr>
          <w:rStyle w:val="FootnoteReference"/>
          <w:color w:val="000000"/>
          <w:sz w:val="21"/>
          <w:szCs w:val="21"/>
          <w:shd w:val="clear" w:color="auto" w:fill="FFFFFF"/>
        </w:rPr>
        <w:footnoteReference w:id="15"/>
      </w:r>
      <w:r w:rsidR="003E01B1" w:rsidRPr="009B6E90">
        <w:rPr>
          <w:rStyle w:val="normaltextrun"/>
          <w:color w:val="000000"/>
          <w:sz w:val="21"/>
          <w:szCs w:val="21"/>
          <w:shd w:val="clear" w:color="auto" w:fill="FFFFFF"/>
        </w:rPr>
        <w:t xml:space="preserve"> </w:t>
      </w:r>
      <w:r w:rsidR="003E01B1" w:rsidRPr="009B6E90">
        <w:rPr>
          <w:rStyle w:val="FootnoteReference"/>
          <w:color w:val="000000"/>
          <w:sz w:val="21"/>
          <w:szCs w:val="21"/>
          <w:shd w:val="clear" w:color="auto" w:fill="FFFFFF"/>
        </w:rPr>
        <w:footnoteReference w:id="16"/>
      </w:r>
      <w:r w:rsidR="003E01B1" w:rsidRPr="009B6E90">
        <w:rPr>
          <w:rStyle w:val="normaltextrun"/>
          <w:sz w:val="21"/>
          <w:szCs w:val="21"/>
          <w:shd w:val="clear" w:color="auto" w:fill="FFFFFF"/>
        </w:rPr>
        <w:t xml:space="preserve"> (see </w:t>
      </w:r>
      <w:r w:rsidR="004645C9" w:rsidRPr="009B6E90">
        <w:rPr>
          <w:rStyle w:val="normaltextrun"/>
          <w:sz w:val="21"/>
          <w:szCs w:val="21"/>
          <w:shd w:val="clear" w:color="auto" w:fill="FFFFFF"/>
        </w:rPr>
        <w:t>Box 2</w:t>
      </w:r>
      <w:r w:rsidR="003E01B1" w:rsidRPr="009B6E90">
        <w:rPr>
          <w:rStyle w:val="normaltextrun"/>
          <w:sz w:val="21"/>
          <w:szCs w:val="21"/>
          <w:shd w:val="clear" w:color="auto" w:fill="FFFFFF"/>
        </w:rPr>
        <w:t>)</w:t>
      </w:r>
      <w:proofErr w:type="gramStart"/>
      <w:r w:rsidRPr="009B6E90">
        <w:rPr>
          <w:color w:val="000000"/>
          <w:sz w:val="21"/>
          <w:szCs w:val="21"/>
          <w:shd w:val="clear" w:color="auto" w:fill="FFFFFF"/>
        </w:rPr>
        <w:t xml:space="preserve">. </w:t>
      </w:r>
      <w:r w:rsidR="006E7C87" w:rsidRPr="009B6E90">
        <w:rPr>
          <w:color w:val="000000"/>
          <w:sz w:val="21"/>
          <w:szCs w:val="21"/>
          <w:shd w:val="clear" w:color="auto" w:fill="FFFFFF"/>
        </w:rPr>
        <w:t xml:space="preserve"> </w:t>
      </w:r>
      <w:proofErr w:type="gramEnd"/>
      <w:r w:rsidR="00504B65" w:rsidRPr="009B6E90">
        <w:rPr>
          <w:rStyle w:val="normaltextrun"/>
          <w:color w:val="000000"/>
          <w:sz w:val="21"/>
          <w:szCs w:val="21"/>
          <w:shd w:val="clear" w:color="auto" w:fill="FFFFFF"/>
        </w:rPr>
        <w:t xml:space="preserve">  </w:t>
      </w:r>
    </w:p>
    <w:p w14:paraId="574ACBF9" w14:textId="77777777" w:rsidR="00851D28" w:rsidRPr="009B6E90" w:rsidRDefault="00851D28" w:rsidP="009B6E90">
      <w:pPr>
        <w:spacing w:after="0" w:line="240" w:lineRule="auto"/>
        <w:contextualSpacing/>
        <w:rPr>
          <w:rStyle w:val="normaltextrun"/>
          <w:color w:val="000000"/>
          <w:sz w:val="21"/>
          <w:szCs w:val="21"/>
          <w:shd w:val="clear" w:color="auto" w:fill="FFFFFF"/>
        </w:rPr>
      </w:pPr>
    </w:p>
    <w:tbl>
      <w:tblPr>
        <w:tblStyle w:val="TableGrid"/>
        <w:tblW w:w="0" w:type="auto"/>
        <w:tblLook w:val="04A0" w:firstRow="1" w:lastRow="0" w:firstColumn="1" w:lastColumn="0" w:noHBand="0" w:noVBand="1"/>
      </w:tblPr>
      <w:tblGrid>
        <w:gridCol w:w="9054"/>
      </w:tblGrid>
      <w:tr w:rsidR="00727707" w:rsidRPr="009B6E90" w14:paraId="2F9662FA" w14:textId="77777777" w:rsidTr="00727707">
        <w:tc>
          <w:tcPr>
            <w:tcW w:w="9054" w:type="dxa"/>
          </w:tcPr>
          <w:p w14:paraId="7A313DCD" w14:textId="64B84790" w:rsidR="00130BD8" w:rsidRPr="009B6E90" w:rsidRDefault="00130BD8" w:rsidP="009B6E90">
            <w:pPr>
              <w:contextualSpacing/>
              <w:rPr>
                <w:rStyle w:val="normaltextrun"/>
                <w:b/>
                <w:bCs/>
                <w:color w:val="000000"/>
                <w:sz w:val="21"/>
                <w:szCs w:val="21"/>
                <w:shd w:val="clear" w:color="auto" w:fill="FFFFFF"/>
              </w:rPr>
            </w:pPr>
            <w:r w:rsidRPr="009B6E90">
              <w:rPr>
                <w:rStyle w:val="normaltextrun"/>
                <w:b/>
                <w:bCs/>
                <w:color w:val="000000"/>
                <w:sz w:val="21"/>
                <w:szCs w:val="21"/>
                <w:shd w:val="clear" w:color="auto" w:fill="FFFFFF"/>
              </w:rPr>
              <w:t>Box 2</w:t>
            </w:r>
            <w:r w:rsidR="004645C9" w:rsidRPr="009B6E90">
              <w:rPr>
                <w:rStyle w:val="normaltextrun"/>
                <w:b/>
                <w:bCs/>
                <w:color w:val="000000"/>
                <w:sz w:val="21"/>
                <w:szCs w:val="21"/>
                <w:shd w:val="clear" w:color="auto" w:fill="FFFFFF"/>
              </w:rPr>
              <w:t>:</w:t>
            </w:r>
            <w:r w:rsidRPr="009B6E90">
              <w:rPr>
                <w:rStyle w:val="normaltextrun"/>
                <w:b/>
                <w:bCs/>
                <w:color w:val="000000"/>
                <w:sz w:val="21"/>
                <w:szCs w:val="21"/>
                <w:shd w:val="clear" w:color="auto" w:fill="FFFFFF"/>
              </w:rPr>
              <w:t xml:space="preserve"> Existing studies on carbon leakage</w:t>
            </w:r>
          </w:p>
          <w:p w14:paraId="1C2FC364" w14:textId="77777777" w:rsidR="00130BD8" w:rsidRPr="009B6E90" w:rsidRDefault="00130BD8" w:rsidP="009B6E90">
            <w:pPr>
              <w:contextualSpacing/>
              <w:rPr>
                <w:rStyle w:val="normaltextrun"/>
                <w:color w:val="000000"/>
                <w:sz w:val="21"/>
                <w:szCs w:val="21"/>
                <w:shd w:val="clear" w:color="auto" w:fill="FFFFFF"/>
              </w:rPr>
            </w:pPr>
          </w:p>
          <w:p w14:paraId="0DEFA518" w14:textId="146405F2" w:rsidR="00A6366E" w:rsidRPr="009B6E90" w:rsidRDefault="00A6366E" w:rsidP="009B6E90">
            <w:pPr>
              <w:contextualSpacing/>
              <w:rPr>
                <w:color w:val="000000"/>
                <w:sz w:val="21"/>
                <w:szCs w:val="21"/>
                <w:shd w:val="clear" w:color="auto" w:fill="FFFFFF"/>
              </w:rPr>
            </w:pPr>
            <w:proofErr w:type="gramStart"/>
            <w:r w:rsidRPr="009B6E90">
              <w:rPr>
                <w:rStyle w:val="normaltextrun"/>
                <w:color w:val="000000"/>
                <w:sz w:val="21"/>
                <w:szCs w:val="21"/>
                <w:shd w:val="clear" w:color="auto" w:fill="FFFFFF"/>
              </w:rPr>
              <w:t>Some</w:t>
            </w:r>
            <w:proofErr w:type="gramEnd"/>
            <w:r w:rsidRPr="009B6E90">
              <w:rPr>
                <w:rStyle w:val="normaltextrun"/>
                <w:color w:val="000000"/>
                <w:sz w:val="21"/>
                <w:szCs w:val="21"/>
                <w:shd w:val="clear" w:color="auto" w:fill="FFFFFF"/>
              </w:rPr>
              <w:t xml:space="preserve"> reports have claimed that there is little or no evidence of displacement of production or that carbon leakage represents a risk in a small, but important subset of sectors (Carbon Market Watch, 2015, OECD Climate Policy Leadership in an Interconnected World: What Role for Border Carbon Adjustments (2020), pt 29)</w:t>
            </w:r>
            <w:r w:rsidRPr="009B6E90">
              <w:rPr>
                <w:color w:val="000000"/>
                <w:sz w:val="21"/>
                <w:szCs w:val="21"/>
                <w:shd w:val="clear" w:color="auto" w:fill="FFFFFF"/>
              </w:rPr>
              <w:t xml:space="preserve">. </w:t>
            </w:r>
          </w:p>
          <w:p w14:paraId="4EDE20EB" w14:textId="77777777" w:rsidR="00A6366E" w:rsidRPr="009B6E90" w:rsidRDefault="00A6366E" w:rsidP="009B6E90">
            <w:pPr>
              <w:contextualSpacing/>
              <w:rPr>
                <w:color w:val="000000"/>
                <w:sz w:val="21"/>
                <w:szCs w:val="21"/>
              </w:rPr>
            </w:pPr>
          </w:p>
          <w:p w14:paraId="1E401851" w14:textId="58FBB124" w:rsidR="00A6366E" w:rsidRPr="009B6E90" w:rsidRDefault="00A6366E" w:rsidP="009B6E90">
            <w:pPr>
              <w:contextualSpacing/>
              <w:rPr>
                <w:rStyle w:val="normaltextrun"/>
                <w:color w:val="000000" w:themeColor="text1"/>
                <w:sz w:val="21"/>
                <w:szCs w:val="21"/>
              </w:rPr>
            </w:pPr>
            <w:r w:rsidRPr="009B6E90">
              <w:rPr>
                <w:rStyle w:val="normaltextrun"/>
                <w:color w:val="000000" w:themeColor="text1"/>
                <w:sz w:val="21"/>
                <w:szCs w:val="21"/>
              </w:rPr>
              <w:t>A recent OECD study</w:t>
            </w:r>
            <w:r w:rsidR="00E7122C" w:rsidRPr="009B6E90">
              <w:rPr>
                <w:rStyle w:val="FootnoteReference"/>
                <w:color w:val="000000" w:themeColor="text1"/>
                <w:sz w:val="21"/>
                <w:szCs w:val="21"/>
              </w:rPr>
              <w:footnoteReference w:id="17"/>
            </w:r>
            <w:r w:rsidRPr="009B6E90">
              <w:rPr>
                <w:rStyle w:val="normaltextrun"/>
                <w:color w:val="000000" w:themeColor="text1"/>
                <w:sz w:val="21"/>
                <w:szCs w:val="21"/>
              </w:rPr>
              <w:t xml:space="preserve"> has found that carbon pricing developments continue to diverge across countries [in 2021] with prices rising further in countries that already had the highest </w:t>
            </w:r>
            <w:r w:rsidRPr="009B6E90">
              <w:rPr>
                <w:rStyle w:val="normaltextrun"/>
                <w:color w:val="000000" w:themeColor="text1"/>
                <w:sz w:val="21"/>
                <w:szCs w:val="21"/>
              </w:rPr>
              <w:lastRenderedPageBreak/>
              <w:t xml:space="preserve">net carbon prices in 2018 and </w:t>
            </w:r>
            <w:r w:rsidR="00285264" w:rsidRPr="009B6E90">
              <w:rPr>
                <w:rStyle w:val="normaltextrun"/>
                <w:color w:val="000000" w:themeColor="text1"/>
                <w:sz w:val="21"/>
                <w:szCs w:val="21"/>
              </w:rPr>
              <w:t>another</w:t>
            </w:r>
            <w:r w:rsidRPr="009B6E90">
              <w:rPr>
                <w:rStyle w:val="normaltextrun"/>
                <w:color w:val="000000" w:themeColor="text1"/>
                <w:sz w:val="21"/>
                <w:szCs w:val="21"/>
              </w:rPr>
              <w:t xml:space="preserve"> states that “the vast majority of [ex ante] studies predict that unilateral climate policy will result in some form of carbon leakage”.  </w:t>
            </w:r>
          </w:p>
          <w:p w14:paraId="1BF1931A" w14:textId="77777777" w:rsidR="00A6366E" w:rsidRPr="009B6E90" w:rsidRDefault="00A6366E" w:rsidP="009B6E90">
            <w:pPr>
              <w:contextualSpacing/>
              <w:rPr>
                <w:rStyle w:val="normaltextrun"/>
                <w:color w:val="000000" w:themeColor="text1"/>
                <w:sz w:val="21"/>
                <w:szCs w:val="21"/>
              </w:rPr>
            </w:pPr>
          </w:p>
          <w:p w14:paraId="1DA4FE5A" w14:textId="70984A67" w:rsidR="00A6366E" w:rsidRPr="009B6E90" w:rsidRDefault="00A6366E" w:rsidP="009B6E90">
            <w:pPr>
              <w:contextualSpacing/>
              <w:rPr>
                <w:rFonts w:eastAsia="Segoe UI" w:cs="Segoe UI"/>
                <w:color w:val="000000" w:themeColor="text1"/>
                <w:sz w:val="21"/>
                <w:szCs w:val="21"/>
              </w:rPr>
            </w:pPr>
            <w:r w:rsidRPr="009B6E90">
              <w:rPr>
                <w:rStyle w:val="normaltextrun"/>
                <w:color w:val="000000" w:themeColor="text1"/>
                <w:sz w:val="21"/>
                <w:szCs w:val="21"/>
              </w:rPr>
              <w:t>The WTR Report recently estimated carbon leakage. As shown by</w:t>
            </w:r>
            <w:r w:rsidRPr="009B6E90">
              <w:rPr>
                <w:rStyle w:val="normaltextrun"/>
                <w:b/>
                <w:bCs/>
                <w:color w:val="000000" w:themeColor="text1"/>
                <w:sz w:val="21"/>
                <w:szCs w:val="21"/>
              </w:rPr>
              <w:t xml:space="preserve"> </w:t>
            </w:r>
            <w:proofErr w:type="gramStart"/>
            <w:r w:rsidRPr="009B6E90">
              <w:rPr>
                <w:rFonts w:eastAsia="Segoe UI" w:cs="Segoe UI"/>
                <w:color w:val="000000" w:themeColor="text1"/>
                <w:sz w:val="21"/>
                <w:szCs w:val="21"/>
              </w:rPr>
              <w:t>some</w:t>
            </w:r>
            <w:proofErr w:type="gramEnd"/>
            <w:r w:rsidRPr="009B6E90">
              <w:rPr>
                <w:rFonts w:eastAsia="Segoe UI" w:cs="Segoe UI"/>
                <w:color w:val="000000" w:themeColor="text1"/>
                <w:sz w:val="21"/>
                <w:szCs w:val="21"/>
              </w:rPr>
              <w:t xml:space="preserve"> empirical evidence</w:t>
            </w:r>
            <w:r w:rsidRPr="009B6E90">
              <w:rPr>
                <w:rFonts w:eastAsia="Segoe UI" w:cs="Segoe UI"/>
                <w:i/>
                <w:iCs/>
                <w:color w:val="000000" w:themeColor="text1"/>
                <w:sz w:val="21"/>
                <w:szCs w:val="21"/>
              </w:rPr>
              <w:t>,</w:t>
            </w:r>
            <w:r w:rsidRPr="009B6E90">
              <w:rPr>
                <w:rFonts w:eastAsia="Segoe UI" w:cs="Segoe UI"/>
                <w:color w:val="000000" w:themeColor="text1"/>
                <w:sz w:val="21"/>
                <w:szCs w:val="21"/>
              </w:rPr>
              <w:t xml:space="preserve"> carbon leakage also differs across countries</w:t>
            </w:r>
            <w:r w:rsidRPr="009B6E90" w:rsidDel="00207B01">
              <w:rPr>
                <w:rFonts w:eastAsia="Segoe UI" w:cs="Segoe UI"/>
                <w:color w:val="000000" w:themeColor="text1"/>
                <w:sz w:val="21"/>
                <w:szCs w:val="21"/>
              </w:rPr>
              <w:t xml:space="preserve"> and </w:t>
            </w:r>
            <w:r w:rsidRPr="009B6E90">
              <w:rPr>
                <w:rFonts w:eastAsia="Segoe UI" w:cs="Segoe UI"/>
                <w:color w:val="000000" w:themeColor="text1"/>
                <w:sz w:val="21"/>
                <w:szCs w:val="21"/>
              </w:rPr>
              <w:t>can be substantial in some cases, mostly for small open economies (Misch and Wingender, 2021)</w:t>
            </w:r>
            <w:r w:rsidR="005F027B" w:rsidRPr="009B6E90">
              <w:rPr>
                <w:rStyle w:val="FootnoteReference"/>
                <w:rFonts w:eastAsia="Segoe UI" w:cs="Segoe UI"/>
                <w:color w:val="000000" w:themeColor="text1"/>
                <w:sz w:val="21"/>
                <w:szCs w:val="21"/>
              </w:rPr>
              <w:footnoteReference w:id="18"/>
            </w:r>
            <w:r w:rsidRPr="009B6E90">
              <w:rPr>
                <w:rFonts w:eastAsia="Segoe UI" w:cs="Segoe UI"/>
                <w:color w:val="000000" w:themeColor="text1"/>
                <w:sz w:val="21"/>
                <w:szCs w:val="21"/>
              </w:rPr>
              <w:t xml:space="preserve">. The average leakage rate is found to be 25 per cent, implying </w:t>
            </w:r>
            <w:r w:rsidRPr="009B6E90" w:rsidDel="00207B01">
              <w:rPr>
                <w:rFonts w:eastAsia="Segoe UI" w:cs="Segoe UI"/>
                <w:color w:val="000000" w:themeColor="text1"/>
                <w:sz w:val="21"/>
                <w:szCs w:val="21"/>
              </w:rPr>
              <w:t>that</w:t>
            </w:r>
            <w:r w:rsidRPr="009B6E90" w:rsidDel="00F65D8F">
              <w:rPr>
                <w:rFonts w:eastAsia="Segoe UI" w:cs="Segoe UI"/>
                <w:color w:val="000000" w:themeColor="text1"/>
                <w:sz w:val="21"/>
                <w:szCs w:val="21"/>
              </w:rPr>
              <w:t xml:space="preserve"> </w:t>
            </w:r>
            <w:r w:rsidRPr="009B6E90">
              <w:rPr>
                <w:rFonts w:eastAsia="Segoe UI" w:cs="Segoe UI"/>
                <w:color w:val="000000" w:themeColor="text1"/>
                <w:sz w:val="21"/>
                <w:szCs w:val="21"/>
              </w:rPr>
              <w:t xml:space="preserve">a reduction of </w:t>
            </w:r>
            <w:proofErr w:type="gramStart"/>
            <w:r w:rsidRPr="009B6E90">
              <w:rPr>
                <w:rFonts w:eastAsia="Segoe UI" w:cs="Segoe UI"/>
                <w:color w:val="000000" w:themeColor="text1"/>
                <w:sz w:val="21"/>
                <w:szCs w:val="21"/>
              </w:rPr>
              <w:t>100</w:t>
            </w:r>
            <w:proofErr w:type="gramEnd"/>
            <w:r w:rsidRPr="009B6E90">
              <w:rPr>
                <w:rFonts w:eastAsia="Segoe UI" w:cs="Segoe UI"/>
                <w:color w:val="000000" w:themeColor="text1"/>
                <w:sz w:val="21"/>
                <w:szCs w:val="21"/>
              </w:rPr>
              <w:t xml:space="preserve"> tonnes of GHG emissions domestically would be accompanied by an increase of 25 tonnes of emissions abroad. </w:t>
            </w:r>
          </w:p>
          <w:p w14:paraId="5DBE751F" w14:textId="6E765492" w:rsidR="00A6366E" w:rsidRPr="009B6E90" w:rsidRDefault="00A6366E" w:rsidP="009B6E90">
            <w:pPr>
              <w:contextualSpacing/>
              <w:rPr>
                <w:rFonts w:eastAsia="Segoe UI" w:cs="Segoe UI"/>
                <w:color w:val="000000" w:themeColor="text1"/>
                <w:sz w:val="21"/>
                <w:szCs w:val="21"/>
              </w:rPr>
            </w:pPr>
            <w:r w:rsidRPr="009B6E90">
              <w:rPr>
                <w:sz w:val="21"/>
                <w:szCs w:val="21"/>
              </w:rPr>
              <w:br/>
            </w:r>
            <w:r w:rsidRPr="009B6E90">
              <w:rPr>
                <w:rFonts w:eastAsia="Segoe UI" w:cs="Segoe UI"/>
                <w:color w:val="000000" w:themeColor="text1"/>
                <w:sz w:val="21"/>
                <w:szCs w:val="21"/>
              </w:rPr>
              <w:t xml:space="preserve">In addition to empirical studies, simulation studies have also assessed the risk of carbon leakage associated with carbon pricing. An analytical literature review of studies consisting </w:t>
            </w:r>
            <w:proofErr w:type="gramStart"/>
            <w:r w:rsidRPr="009B6E90">
              <w:rPr>
                <w:rFonts w:eastAsia="Segoe UI" w:cs="Segoe UI"/>
                <w:color w:val="000000" w:themeColor="text1"/>
                <w:sz w:val="21"/>
                <w:szCs w:val="21"/>
              </w:rPr>
              <w:t>mainly of</w:t>
            </w:r>
            <w:proofErr w:type="gramEnd"/>
            <w:r w:rsidRPr="009B6E90">
              <w:rPr>
                <w:rFonts w:eastAsia="Segoe UI" w:cs="Segoe UI"/>
                <w:color w:val="000000" w:themeColor="text1"/>
                <w:sz w:val="21"/>
                <w:szCs w:val="21"/>
              </w:rPr>
              <w:t xml:space="preserve"> computable general equilibrium analysis reports an average carbon leakage ratio estimated at around 14 per cent (Branger and Quirion, 2014)</w:t>
            </w:r>
            <w:r w:rsidR="00240090" w:rsidRPr="009B6E90">
              <w:rPr>
                <w:rStyle w:val="FootnoteReference"/>
                <w:rFonts w:eastAsia="Segoe UI" w:cs="Segoe UI"/>
                <w:color w:val="000000" w:themeColor="text1"/>
                <w:sz w:val="21"/>
                <w:szCs w:val="21"/>
              </w:rPr>
              <w:footnoteReference w:id="19"/>
            </w:r>
            <w:r w:rsidRPr="009B6E90">
              <w:rPr>
                <w:rFonts w:eastAsia="Segoe UI" w:cs="Segoe UI"/>
                <w:color w:val="000000" w:themeColor="text1"/>
                <w:sz w:val="21"/>
                <w:szCs w:val="21"/>
              </w:rPr>
              <w:t xml:space="preserve">. More recently, carbon leakage rates for industrialised countries have </w:t>
            </w:r>
            <w:proofErr w:type="gramStart"/>
            <w:r w:rsidRPr="009B6E90">
              <w:rPr>
                <w:rFonts w:eastAsia="Segoe UI" w:cs="Segoe UI"/>
                <w:color w:val="000000" w:themeColor="text1"/>
                <w:sz w:val="21"/>
                <w:szCs w:val="21"/>
              </w:rPr>
              <w:t>been estimated</w:t>
            </w:r>
            <w:proofErr w:type="gramEnd"/>
            <w:r w:rsidRPr="009B6E90">
              <w:rPr>
                <w:rFonts w:eastAsia="Segoe UI" w:cs="Segoe UI"/>
                <w:color w:val="000000" w:themeColor="text1"/>
                <w:sz w:val="21"/>
                <w:szCs w:val="21"/>
              </w:rPr>
              <w:t xml:space="preserve"> to range between 5 per cent and 30 per cent (Böhringer et al., 2022)</w:t>
            </w:r>
            <w:r w:rsidR="003333F5" w:rsidRPr="009B6E90">
              <w:rPr>
                <w:rStyle w:val="FootnoteReference"/>
                <w:rFonts w:eastAsia="Segoe UI" w:cs="Segoe UI"/>
                <w:color w:val="000000" w:themeColor="text1"/>
                <w:sz w:val="21"/>
                <w:szCs w:val="21"/>
              </w:rPr>
              <w:footnoteReference w:id="20"/>
            </w:r>
            <w:r w:rsidRPr="009B6E90">
              <w:rPr>
                <w:rFonts w:eastAsia="Segoe UI" w:cs="Segoe UI"/>
                <w:color w:val="000000" w:themeColor="text1"/>
                <w:sz w:val="21"/>
                <w:szCs w:val="21"/>
              </w:rPr>
              <w:t>.</w:t>
            </w:r>
          </w:p>
          <w:p w14:paraId="45AAF1B8" w14:textId="4E81E6D4" w:rsidR="00A6366E" w:rsidRPr="009B6E90" w:rsidRDefault="00A6366E" w:rsidP="009B6E90">
            <w:pPr>
              <w:contextualSpacing/>
              <w:rPr>
                <w:rFonts w:eastAsia="Segoe UI" w:cs="Segoe UI"/>
                <w:color w:val="000000" w:themeColor="text1"/>
                <w:sz w:val="21"/>
                <w:szCs w:val="21"/>
              </w:rPr>
            </w:pPr>
            <w:r w:rsidRPr="009B6E90">
              <w:rPr>
                <w:sz w:val="21"/>
                <w:szCs w:val="21"/>
              </w:rPr>
              <w:br/>
            </w:r>
            <w:r w:rsidRPr="009B6E90">
              <w:rPr>
                <w:rFonts w:eastAsia="Segoe UI" w:cs="Segoe UI"/>
                <w:color w:val="000000" w:themeColor="text1"/>
                <w:sz w:val="21"/>
                <w:szCs w:val="21"/>
              </w:rPr>
              <w:t>According to the WTO GTM simulation analysis, the estimated aggregate carbon leakage rates seem to be relatively limited and do not exceed 13 per cent (Bekkers and Cariola, 2022).</w:t>
            </w:r>
            <w:r w:rsidR="004D1928" w:rsidRPr="009B6E90">
              <w:rPr>
                <w:rStyle w:val="FootnoteReference"/>
                <w:rFonts w:eastAsia="Segoe UI" w:cs="Segoe UI"/>
                <w:color w:val="000000" w:themeColor="text1"/>
                <w:sz w:val="21"/>
                <w:szCs w:val="21"/>
              </w:rPr>
              <w:footnoteReference w:id="21"/>
            </w:r>
            <w:r w:rsidRPr="009B6E90">
              <w:rPr>
                <w:rFonts w:eastAsia="Segoe UI" w:cs="Segoe UI"/>
                <w:color w:val="000000" w:themeColor="text1"/>
                <w:sz w:val="21"/>
                <w:szCs w:val="21"/>
              </w:rPr>
              <w:t xml:space="preserve"> However, the magnitude of the estimated carbon leakage rates differs significantly by sector, with the chemical and EITE sectors particularly exposed to carbon leakage (see Figure D.4).</w:t>
            </w:r>
          </w:p>
          <w:p w14:paraId="60F75BF2" w14:textId="77777777" w:rsidR="007F4CE2" w:rsidRPr="009B6E90" w:rsidRDefault="007F4CE2" w:rsidP="009B6E90">
            <w:pPr>
              <w:contextualSpacing/>
              <w:rPr>
                <w:rFonts w:eastAsia="Segoe UI" w:cs="Segoe UI"/>
                <w:color w:val="000000" w:themeColor="text1"/>
                <w:sz w:val="21"/>
                <w:szCs w:val="21"/>
              </w:rPr>
            </w:pPr>
          </w:p>
          <w:p w14:paraId="35B7868E" w14:textId="6496BF6F" w:rsidR="007F4CE2" w:rsidRPr="009B6E90" w:rsidRDefault="007F4CE2" w:rsidP="009B6E90">
            <w:pPr>
              <w:contextualSpacing/>
              <w:rPr>
                <w:rFonts w:eastAsia="Segoe UI" w:cs="Segoe UI"/>
                <w:color w:val="000000" w:themeColor="text1"/>
                <w:sz w:val="21"/>
                <w:szCs w:val="21"/>
              </w:rPr>
            </w:pPr>
            <w:r w:rsidRPr="009B6E90">
              <w:rPr>
                <w:rFonts w:eastAsia="Segoe UI" w:cs="Segoe UI"/>
                <w:color w:val="000000" w:themeColor="text1"/>
                <w:sz w:val="21"/>
                <w:szCs w:val="21"/>
              </w:rPr>
              <w:t xml:space="preserve">An AFEP study </w:t>
            </w:r>
            <w:r w:rsidR="00657CBC" w:rsidRPr="009B6E90">
              <w:rPr>
                <w:rFonts w:eastAsia="Segoe UI" w:cs="Segoe UI"/>
                <w:color w:val="000000" w:themeColor="text1"/>
                <w:sz w:val="21"/>
                <w:szCs w:val="21"/>
              </w:rPr>
              <w:t>(</w:t>
            </w:r>
            <w:r w:rsidRPr="009B6E90">
              <w:rPr>
                <w:rFonts w:eastAsia="Segoe UI" w:cs="Segoe UI"/>
                <w:color w:val="000000" w:themeColor="text1"/>
                <w:sz w:val="21"/>
                <w:szCs w:val="21"/>
              </w:rPr>
              <w:t>2022</w:t>
            </w:r>
            <w:r w:rsidR="00414CAF" w:rsidRPr="009B6E90">
              <w:rPr>
                <w:rFonts w:eastAsia="Segoe UI" w:cs="Segoe UI"/>
                <w:color w:val="000000" w:themeColor="text1"/>
                <w:sz w:val="21"/>
                <w:szCs w:val="21"/>
              </w:rPr>
              <w:t>)</w:t>
            </w:r>
            <w:r w:rsidR="00717D12" w:rsidRPr="009B6E90">
              <w:rPr>
                <w:rStyle w:val="FootnoteReference"/>
                <w:rFonts w:eastAsia="Segoe UI" w:cs="Segoe UI"/>
                <w:color w:val="000000" w:themeColor="text1"/>
                <w:sz w:val="21"/>
                <w:szCs w:val="21"/>
              </w:rPr>
              <w:footnoteReference w:id="22"/>
            </w:r>
            <w:r w:rsidRPr="009B6E90">
              <w:rPr>
                <w:rFonts w:eastAsia="Segoe UI" w:cs="Segoe UI"/>
                <w:color w:val="000000" w:themeColor="text1"/>
                <w:sz w:val="21"/>
                <w:szCs w:val="21"/>
              </w:rPr>
              <w:t>, highlights  that more ambitious reductions included in the EU Carbon Neutrality Scenario are estimated to result in additional 14% carbon leakage compared with carbon leakage resulting from the baseline scenario over the 2025-2050 period, and that leakage is expected to be geographically dispersed, with the greatest concentration occurring in Russia (22% of production relocation), United States (11%), China (9%), and India (9%).  The greatest exposure to leakage will occur in chemicals (35% of all leakage), metals (33%), cement (14%) and air transport (12%).</w:t>
            </w:r>
          </w:p>
          <w:p w14:paraId="233B23DC" w14:textId="77777777" w:rsidR="00710262" w:rsidRPr="009B6E90" w:rsidRDefault="00710262" w:rsidP="009B6E90">
            <w:pPr>
              <w:contextualSpacing/>
              <w:rPr>
                <w:rFonts w:eastAsia="Segoe UI" w:cs="Segoe UI"/>
                <w:color w:val="000000" w:themeColor="text1"/>
                <w:sz w:val="21"/>
                <w:szCs w:val="21"/>
              </w:rPr>
            </w:pPr>
          </w:p>
          <w:p w14:paraId="6881F1F6" w14:textId="2D601725" w:rsidR="00710262" w:rsidRPr="009B6E90" w:rsidRDefault="00710262" w:rsidP="009B6E90">
            <w:pPr>
              <w:contextualSpacing/>
              <w:rPr>
                <w:rStyle w:val="normaltextrun"/>
                <w:color w:val="000000"/>
                <w:sz w:val="21"/>
                <w:szCs w:val="21"/>
                <w:shd w:val="clear" w:color="auto" w:fill="FFFFFF"/>
              </w:rPr>
            </w:pPr>
            <w:r w:rsidRPr="009B6E90">
              <w:rPr>
                <w:rStyle w:val="normaltextrun"/>
                <w:color w:val="000000" w:themeColor="text1"/>
                <w:sz w:val="21"/>
                <w:szCs w:val="21"/>
              </w:rPr>
              <w:t xml:space="preserve">The conclusion can </w:t>
            </w:r>
            <w:proofErr w:type="gramStart"/>
            <w:r w:rsidRPr="009B6E90">
              <w:rPr>
                <w:rStyle w:val="normaltextrun"/>
                <w:color w:val="000000" w:themeColor="text1"/>
                <w:sz w:val="21"/>
                <w:szCs w:val="21"/>
              </w:rPr>
              <w:t>be drawn</w:t>
            </w:r>
            <w:proofErr w:type="gramEnd"/>
            <w:r w:rsidRPr="009B6E90">
              <w:rPr>
                <w:rStyle w:val="normaltextrun"/>
                <w:color w:val="000000" w:themeColor="text1"/>
                <w:sz w:val="21"/>
                <w:szCs w:val="21"/>
              </w:rPr>
              <w:t xml:space="preserve"> that concerns regarding the risk of carbon leakage are real, and </w:t>
            </w:r>
            <w:r w:rsidRPr="009B6E90">
              <w:rPr>
                <w:rStyle w:val="normaltextrun"/>
                <w:color w:val="000000"/>
                <w:sz w:val="21"/>
                <w:szCs w:val="21"/>
                <w:shd w:val="clear" w:color="auto" w:fill="FFFFFF"/>
              </w:rPr>
              <w:t>governments continue to consider measures</w:t>
            </w:r>
            <w:r w:rsidRPr="009B6E90">
              <w:rPr>
                <w:rStyle w:val="FootnoteReference"/>
                <w:color w:val="000000"/>
                <w:sz w:val="21"/>
                <w:szCs w:val="21"/>
                <w:shd w:val="clear" w:color="auto" w:fill="FFFFFF"/>
              </w:rPr>
              <w:footnoteReference w:id="23"/>
            </w:r>
            <w:r w:rsidRPr="009B6E90">
              <w:rPr>
                <w:rStyle w:val="normaltextrun"/>
                <w:color w:val="000000"/>
                <w:sz w:val="21"/>
                <w:szCs w:val="21"/>
                <w:shd w:val="clear" w:color="auto" w:fill="FFFFFF"/>
              </w:rPr>
              <w:t xml:space="preserve"> or a mix of policies to address the risk – the recent introduction of the European Carbon Border Adjustment Mechanism (EU CBAM), being a clear case in point. </w:t>
            </w:r>
          </w:p>
          <w:p w14:paraId="2C00A3BD" w14:textId="77777777" w:rsidR="00727707" w:rsidRPr="009B6E90" w:rsidRDefault="00727707" w:rsidP="009B6E90">
            <w:pPr>
              <w:contextualSpacing/>
              <w:rPr>
                <w:color w:val="000000"/>
                <w:sz w:val="21"/>
                <w:szCs w:val="21"/>
                <w:shd w:val="clear" w:color="auto" w:fill="FFFFFF"/>
              </w:rPr>
            </w:pPr>
          </w:p>
        </w:tc>
      </w:tr>
    </w:tbl>
    <w:p w14:paraId="7AFBB288" w14:textId="77777777" w:rsidR="009832B7" w:rsidRPr="009B6E90" w:rsidRDefault="009832B7" w:rsidP="009B6E90">
      <w:pPr>
        <w:spacing w:after="0" w:line="240" w:lineRule="auto"/>
        <w:contextualSpacing/>
        <w:rPr>
          <w:color w:val="000000"/>
          <w:sz w:val="21"/>
          <w:szCs w:val="21"/>
          <w:shd w:val="clear" w:color="auto" w:fill="FFFFFF"/>
        </w:rPr>
      </w:pPr>
    </w:p>
    <w:p w14:paraId="311531E7" w14:textId="095A2548" w:rsidR="000F0EC3" w:rsidRPr="009B6E90" w:rsidRDefault="000F0EC3" w:rsidP="009B6E90">
      <w:pPr>
        <w:spacing w:after="0" w:line="240" w:lineRule="auto"/>
        <w:contextualSpacing/>
        <w:rPr>
          <w:rStyle w:val="normaltextrun"/>
          <w:color w:val="000000"/>
          <w:sz w:val="21"/>
          <w:szCs w:val="21"/>
          <w:shd w:val="clear" w:color="auto" w:fill="FFFFFF"/>
        </w:rPr>
      </w:pPr>
      <w:r w:rsidRPr="009B6E90">
        <w:rPr>
          <w:rStyle w:val="normaltextrun"/>
          <w:color w:val="000000"/>
          <w:sz w:val="21"/>
          <w:szCs w:val="21"/>
          <w:shd w:val="clear" w:color="auto" w:fill="FFFFFF"/>
        </w:rPr>
        <w:t xml:space="preserve">This ICC report recognises the growing concern around the risk of leakage and seeks to discuss considerations to assess approaches that address these risks, with a view to providing guidance for governments and policymakers to support the development of </w:t>
      </w:r>
      <w:r w:rsidR="007361F8" w:rsidRPr="009B6E90">
        <w:rPr>
          <w:rStyle w:val="normaltextrun"/>
          <w:color w:val="000000"/>
          <w:sz w:val="21"/>
          <w:szCs w:val="21"/>
          <w:shd w:val="clear" w:color="auto" w:fill="FFFFFF"/>
        </w:rPr>
        <w:t xml:space="preserve">effective </w:t>
      </w:r>
      <w:r w:rsidRPr="009B6E90">
        <w:rPr>
          <w:rStyle w:val="normaltextrun"/>
          <w:color w:val="000000"/>
          <w:sz w:val="21"/>
          <w:szCs w:val="21"/>
          <w:shd w:val="clear" w:color="auto" w:fill="FFFFFF"/>
        </w:rPr>
        <w:t xml:space="preserve">carbon pricing policies that allow countries </w:t>
      </w:r>
      <w:r w:rsidR="00CB4ABB" w:rsidRPr="009B6E90">
        <w:rPr>
          <w:rStyle w:val="normaltextrun"/>
          <w:color w:val="000000"/>
          <w:sz w:val="21"/>
          <w:szCs w:val="21"/>
          <w:shd w:val="clear" w:color="auto" w:fill="FFFFFF"/>
        </w:rPr>
        <w:t xml:space="preserve">to increase cooperation, that </w:t>
      </w:r>
      <w:r w:rsidRPr="009B6E90">
        <w:rPr>
          <w:rStyle w:val="normaltextrun"/>
          <w:color w:val="000000"/>
          <w:sz w:val="21"/>
          <w:szCs w:val="21"/>
          <w:shd w:val="clear" w:color="auto" w:fill="FFFFFF"/>
        </w:rPr>
        <w:t xml:space="preserve">can </w:t>
      </w:r>
      <w:r w:rsidR="00CB4ABB" w:rsidRPr="009B6E90">
        <w:rPr>
          <w:rStyle w:val="normaltextrun"/>
          <w:color w:val="000000"/>
          <w:sz w:val="21"/>
          <w:szCs w:val="21"/>
          <w:shd w:val="clear" w:color="auto" w:fill="FFFFFF"/>
        </w:rPr>
        <w:t xml:space="preserve">ultimately </w:t>
      </w:r>
      <w:r w:rsidRPr="009B6E90">
        <w:rPr>
          <w:rStyle w:val="normaltextrun"/>
          <w:color w:val="000000"/>
          <w:sz w:val="21"/>
          <w:szCs w:val="21"/>
          <w:shd w:val="clear" w:color="auto" w:fill="FFFFFF"/>
        </w:rPr>
        <w:t>lead to increased climate ambition.</w:t>
      </w:r>
    </w:p>
    <w:p w14:paraId="6F00208E" w14:textId="0750ACF4" w:rsidR="00DA084C" w:rsidRPr="009B6E90" w:rsidRDefault="00DA084C" w:rsidP="009B6E90">
      <w:pPr>
        <w:spacing w:after="0" w:line="240" w:lineRule="auto"/>
        <w:contextualSpacing/>
        <w:rPr>
          <w:rStyle w:val="normaltextrun"/>
          <w:color w:val="000000"/>
          <w:sz w:val="21"/>
          <w:szCs w:val="21"/>
          <w:shd w:val="clear" w:color="auto" w:fill="FFFFFF"/>
        </w:rPr>
      </w:pPr>
    </w:p>
    <w:p w14:paraId="1B43E425" w14:textId="7732C547" w:rsidR="0015614D" w:rsidRPr="009B6E90" w:rsidRDefault="002F24AC" w:rsidP="009B6E90">
      <w:pPr>
        <w:pStyle w:val="Heading3"/>
        <w:spacing w:after="0" w:line="240" w:lineRule="auto"/>
        <w:contextualSpacing/>
        <w:rPr>
          <w:rStyle w:val="normaltextrun"/>
          <w:color w:val="000000"/>
          <w:sz w:val="21"/>
          <w:szCs w:val="21"/>
          <w:shd w:val="clear" w:color="auto" w:fill="FFFFFF"/>
        </w:rPr>
      </w:pPr>
      <w:r w:rsidRPr="009B6E90">
        <w:rPr>
          <w:rStyle w:val="normaltextrun"/>
          <w:color w:val="000000"/>
          <w:sz w:val="21"/>
          <w:szCs w:val="21"/>
          <w:shd w:val="clear" w:color="auto" w:fill="FFFFFF"/>
        </w:rPr>
        <w:t xml:space="preserve">Considerations </w:t>
      </w:r>
      <w:r w:rsidR="009157F6" w:rsidRPr="009B6E90">
        <w:rPr>
          <w:rStyle w:val="normaltextrun"/>
          <w:color w:val="000000"/>
          <w:sz w:val="21"/>
          <w:szCs w:val="21"/>
          <w:shd w:val="clear" w:color="auto" w:fill="FFFFFF"/>
        </w:rPr>
        <w:t>addressing carbon leakag</w:t>
      </w:r>
      <w:r w:rsidR="00D820CF" w:rsidRPr="009B6E90">
        <w:rPr>
          <w:rStyle w:val="normaltextrun"/>
          <w:color w:val="000000"/>
          <w:sz w:val="21"/>
          <w:szCs w:val="21"/>
          <w:shd w:val="clear" w:color="auto" w:fill="FFFFFF"/>
        </w:rPr>
        <w:t>e</w:t>
      </w:r>
    </w:p>
    <w:p w14:paraId="62F9B1BC" w14:textId="77777777" w:rsidR="00366AE6" w:rsidRPr="009B6E90" w:rsidRDefault="23B0BCA6" w:rsidP="009B6E90">
      <w:pPr>
        <w:spacing w:after="0" w:line="240" w:lineRule="auto"/>
        <w:contextualSpacing/>
        <w:rPr>
          <w:sz w:val="21"/>
          <w:szCs w:val="21"/>
        </w:rPr>
      </w:pPr>
      <w:r w:rsidRPr="009B6E90">
        <w:rPr>
          <w:sz w:val="21"/>
          <w:szCs w:val="21"/>
        </w:rPr>
        <w:t xml:space="preserve">Significant work has been </w:t>
      </w:r>
      <w:proofErr w:type="gramStart"/>
      <w:r w:rsidRPr="009B6E90">
        <w:rPr>
          <w:sz w:val="21"/>
          <w:szCs w:val="21"/>
        </w:rPr>
        <w:t>carried out</w:t>
      </w:r>
      <w:proofErr w:type="gramEnd"/>
      <w:r w:rsidRPr="009B6E90">
        <w:rPr>
          <w:sz w:val="21"/>
          <w:szCs w:val="21"/>
        </w:rPr>
        <w:t xml:space="preserve"> by various organisations examining existing instruments and policy measures to address carbon leakage, with the intention to reflect more generally on </w:t>
      </w:r>
      <w:r w:rsidR="00366AE6" w:rsidRPr="009B6E90">
        <w:rPr>
          <w:sz w:val="21"/>
          <w:szCs w:val="21"/>
        </w:rPr>
        <w:t>effective</w:t>
      </w:r>
      <w:r w:rsidRPr="009B6E90">
        <w:rPr>
          <w:sz w:val="21"/>
          <w:szCs w:val="21"/>
        </w:rPr>
        <w:t xml:space="preserve"> mechanisms to address carbon leakage, and any resulting challenges these may pose. </w:t>
      </w:r>
    </w:p>
    <w:p w14:paraId="2FFD3034" w14:textId="77777777" w:rsidR="00366AE6" w:rsidRPr="009B6E90" w:rsidRDefault="00366AE6" w:rsidP="009B6E90">
      <w:pPr>
        <w:spacing w:after="0" w:line="240" w:lineRule="auto"/>
        <w:contextualSpacing/>
        <w:rPr>
          <w:sz w:val="21"/>
          <w:szCs w:val="21"/>
        </w:rPr>
      </w:pPr>
    </w:p>
    <w:p w14:paraId="0817904A" w14:textId="77777777" w:rsidR="008E04DF" w:rsidRPr="009B6E90" w:rsidRDefault="23B0BCA6" w:rsidP="009B6E90">
      <w:pPr>
        <w:spacing w:after="0" w:line="240" w:lineRule="auto"/>
        <w:contextualSpacing/>
        <w:rPr>
          <w:sz w:val="21"/>
          <w:szCs w:val="21"/>
        </w:rPr>
      </w:pPr>
      <w:r w:rsidRPr="009B6E90">
        <w:rPr>
          <w:sz w:val="21"/>
          <w:szCs w:val="21"/>
        </w:rPr>
        <w:t>Among these instruments and measures</w:t>
      </w:r>
      <w:r w:rsidR="008E04DF" w:rsidRPr="009B6E90">
        <w:rPr>
          <w:sz w:val="21"/>
          <w:szCs w:val="21"/>
        </w:rPr>
        <w:t xml:space="preserve"> are:</w:t>
      </w:r>
    </w:p>
    <w:p w14:paraId="50CB429B" w14:textId="77777777" w:rsidR="00C21207" w:rsidRPr="009B6E90" w:rsidRDefault="4F9EA10E" w:rsidP="009B6E90">
      <w:pPr>
        <w:pStyle w:val="ListParagraph"/>
        <w:numPr>
          <w:ilvl w:val="2"/>
          <w:numId w:val="16"/>
        </w:numPr>
        <w:spacing w:after="0" w:line="240" w:lineRule="auto"/>
        <w:ind w:left="270" w:hanging="270"/>
        <w:rPr>
          <w:sz w:val="21"/>
          <w:szCs w:val="21"/>
        </w:rPr>
      </w:pPr>
      <w:r w:rsidRPr="009B6E90">
        <w:rPr>
          <w:sz w:val="21"/>
          <w:szCs w:val="21"/>
        </w:rPr>
        <w:t>Free allowances u</w:t>
      </w:r>
      <w:r w:rsidR="14B18C63" w:rsidRPr="009B6E90">
        <w:rPr>
          <w:sz w:val="21"/>
          <w:szCs w:val="21"/>
        </w:rPr>
        <w:t>nd</w:t>
      </w:r>
      <w:r w:rsidRPr="009B6E90">
        <w:rPr>
          <w:sz w:val="21"/>
          <w:szCs w:val="21"/>
        </w:rPr>
        <w:t xml:space="preserve">er an ETS; </w:t>
      </w:r>
    </w:p>
    <w:p w14:paraId="6D0C4AFE" w14:textId="71C732E5" w:rsidR="00224BD0" w:rsidRPr="009B6E90" w:rsidRDefault="4F9EA10E" w:rsidP="009B6E90">
      <w:pPr>
        <w:pStyle w:val="ListParagraph"/>
        <w:numPr>
          <w:ilvl w:val="2"/>
          <w:numId w:val="16"/>
        </w:numPr>
        <w:spacing w:after="0" w:line="240" w:lineRule="auto"/>
        <w:ind w:left="270" w:hanging="270"/>
        <w:rPr>
          <w:sz w:val="21"/>
          <w:szCs w:val="21"/>
        </w:rPr>
      </w:pPr>
      <w:r w:rsidRPr="009B6E90">
        <w:rPr>
          <w:sz w:val="21"/>
          <w:szCs w:val="21"/>
        </w:rPr>
        <w:t>Carbon tax reliefs</w:t>
      </w:r>
      <w:r w:rsidR="00606501" w:rsidRPr="009B6E90">
        <w:rPr>
          <w:sz w:val="21"/>
          <w:szCs w:val="21"/>
        </w:rPr>
        <w:t>;</w:t>
      </w:r>
      <w:r w:rsidR="007E4CB0" w:rsidRPr="009B6E90">
        <w:rPr>
          <w:sz w:val="21"/>
          <w:szCs w:val="21"/>
        </w:rPr>
        <w:t xml:space="preserve"> </w:t>
      </w:r>
      <w:r w:rsidRPr="009B6E90">
        <w:rPr>
          <w:sz w:val="21"/>
          <w:szCs w:val="21"/>
        </w:rPr>
        <w:t xml:space="preserve"> </w:t>
      </w:r>
    </w:p>
    <w:p w14:paraId="15E06109" w14:textId="77777777" w:rsidR="009A35F3" w:rsidRPr="009B6E90" w:rsidRDefault="00224BD0" w:rsidP="009B6E90">
      <w:pPr>
        <w:pStyle w:val="ListParagraph"/>
        <w:numPr>
          <w:ilvl w:val="2"/>
          <w:numId w:val="16"/>
        </w:numPr>
        <w:spacing w:after="0" w:line="240" w:lineRule="auto"/>
        <w:ind w:left="270" w:hanging="270"/>
        <w:rPr>
          <w:sz w:val="21"/>
          <w:szCs w:val="21"/>
        </w:rPr>
      </w:pPr>
      <w:r w:rsidRPr="009B6E90">
        <w:rPr>
          <w:sz w:val="21"/>
          <w:szCs w:val="21"/>
        </w:rPr>
        <w:t>Border carbon adjustments (BCAs)</w:t>
      </w:r>
      <w:r w:rsidR="00A21DFD" w:rsidRPr="009B6E90">
        <w:rPr>
          <w:sz w:val="21"/>
          <w:szCs w:val="21"/>
        </w:rPr>
        <w:t xml:space="preserve"> through a carbon trading or tax instrument</w:t>
      </w:r>
      <w:r w:rsidRPr="009B6E90">
        <w:rPr>
          <w:sz w:val="21"/>
          <w:szCs w:val="21"/>
        </w:rPr>
        <w:t xml:space="preserve">; </w:t>
      </w:r>
    </w:p>
    <w:p w14:paraId="3B9DD5FD" w14:textId="7A1C5AC3" w:rsidR="009A35F3" w:rsidRPr="009B6E90" w:rsidRDefault="4F9EA10E" w:rsidP="009B6E90">
      <w:pPr>
        <w:pStyle w:val="ListParagraph"/>
        <w:numPr>
          <w:ilvl w:val="2"/>
          <w:numId w:val="16"/>
        </w:numPr>
        <w:spacing w:after="0" w:line="240" w:lineRule="auto"/>
        <w:ind w:left="270" w:hanging="270"/>
        <w:rPr>
          <w:sz w:val="21"/>
          <w:szCs w:val="21"/>
        </w:rPr>
      </w:pPr>
      <w:r w:rsidRPr="009B6E90">
        <w:rPr>
          <w:sz w:val="21"/>
          <w:szCs w:val="21"/>
        </w:rPr>
        <w:t xml:space="preserve">Output-Based Pricing System (OBPS). </w:t>
      </w:r>
    </w:p>
    <w:p w14:paraId="1C3710B4" w14:textId="77777777" w:rsidR="009A35F3" w:rsidRPr="009B6E90" w:rsidRDefault="009A35F3" w:rsidP="009B6E90">
      <w:pPr>
        <w:spacing w:after="0" w:line="240" w:lineRule="auto"/>
        <w:contextualSpacing/>
        <w:rPr>
          <w:sz w:val="21"/>
          <w:szCs w:val="21"/>
        </w:rPr>
      </w:pPr>
    </w:p>
    <w:p w14:paraId="5AEE0818" w14:textId="27B1E91F" w:rsidR="00075881" w:rsidRPr="009B6E90" w:rsidRDefault="00075881" w:rsidP="009B6E90">
      <w:pPr>
        <w:spacing w:after="0" w:line="240" w:lineRule="auto"/>
        <w:contextualSpacing/>
        <w:rPr>
          <w:sz w:val="21"/>
          <w:szCs w:val="21"/>
        </w:rPr>
      </w:pPr>
      <w:proofErr w:type="gramStart"/>
      <w:r w:rsidRPr="009B6E90">
        <w:rPr>
          <w:sz w:val="21"/>
          <w:szCs w:val="21"/>
        </w:rPr>
        <w:t>Some of</w:t>
      </w:r>
      <w:proofErr w:type="gramEnd"/>
      <w:r w:rsidRPr="009B6E90">
        <w:rPr>
          <w:sz w:val="21"/>
          <w:szCs w:val="21"/>
        </w:rPr>
        <w:t xml:space="preserve"> these measures are more unilateral in nature – in the sense that they address the risk of carbon leakage by adjusting the position of the local contributor to carbon pricing – whilst others are more multilateral – in that they adjust the position of parties that are not contributing to carbon pricing. </w:t>
      </w:r>
    </w:p>
    <w:p w14:paraId="78B9626C" w14:textId="77777777" w:rsidR="00075881" w:rsidRPr="009B6E90" w:rsidRDefault="00075881" w:rsidP="009B6E90">
      <w:pPr>
        <w:spacing w:after="0" w:line="240" w:lineRule="auto"/>
        <w:contextualSpacing/>
        <w:rPr>
          <w:sz w:val="21"/>
          <w:szCs w:val="21"/>
        </w:rPr>
      </w:pPr>
    </w:p>
    <w:p w14:paraId="7B01C40A" w14:textId="5F72795A" w:rsidR="00075881" w:rsidRPr="009B6E90" w:rsidRDefault="00075881" w:rsidP="009B6E90">
      <w:pPr>
        <w:spacing w:after="0" w:line="240" w:lineRule="auto"/>
        <w:contextualSpacing/>
        <w:rPr>
          <w:sz w:val="21"/>
          <w:szCs w:val="21"/>
        </w:rPr>
      </w:pPr>
      <w:proofErr w:type="gramStart"/>
      <w:r w:rsidRPr="009B6E90">
        <w:rPr>
          <w:sz w:val="21"/>
          <w:szCs w:val="21"/>
        </w:rPr>
        <w:t>In order to</w:t>
      </w:r>
      <w:proofErr w:type="gramEnd"/>
      <w:r w:rsidRPr="009B6E90">
        <w:rPr>
          <w:sz w:val="21"/>
          <w:szCs w:val="21"/>
        </w:rPr>
        <w:t xml:space="preserve"> design and implement these measures in alignment with the ICC principles, certain aspects and design features </w:t>
      </w:r>
      <w:r w:rsidR="004346CE" w:rsidRPr="009B6E90">
        <w:rPr>
          <w:sz w:val="21"/>
          <w:szCs w:val="21"/>
        </w:rPr>
        <w:t>should</w:t>
      </w:r>
      <w:r w:rsidRPr="009B6E90">
        <w:rPr>
          <w:sz w:val="21"/>
          <w:szCs w:val="21"/>
        </w:rPr>
        <w:t xml:space="preserve"> be considered.  </w:t>
      </w:r>
    </w:p>
    <w:p w14:paraId="2559928B" w14:textId="4B27CB1C" w:rsidR="0BB49925" w:rsidRPr="009B6E90" w:rsidRDefault="0BB49925" w:rsidP="009B6E90">
      <w:pPr>
        <w:spacing w:after="0" w:line="240" w:lineRule="auto"/>
        <w:contextualSpacing/>
        <w:rPr>
          <w:sz w:val="21"/>
          <w:szCs w:val="21"/>
        </w:rPr>
      </w:pPr>
    </w:p>
    <w:p w14:paraId="5E848892" w14:textId="6C385EFD" w:rsidR="00F25CBA" w:rsidRPr="009B6E90" w:rsidRDefault="00953EBA" w:rsidP="009B6E90">
      <w:pPr>
        <w:pStyle w:val="ListParagraph"/>
        <w:numPr>
          <w:ilvl w:val="0"/>
          <w:numId w:val="35"/>
        </w:numPr>
        <w:spacing w:after="0" w:line="240" w:lineRule="auto"/>
        <w:rPr>
          <w:rStyle w:val="normaltextrun"/>
          <w:color w:val="000000"/>
          <w:sz w:val="21"/>
          <w:szCs w:val="21"/>
          <w:shd w:val="clear" w:color="auto" w:fill="FFFFFF"/>
        </w:rPr>
      </w:pPr>
      <w:proofErr w:type="gramStart"/>
      <w:r w:rsidRPr="009B6E90">
        <w:rPr>
          <w:rStyle w:val="normaltextrun"/>
          <w:b/>
          <w:bCs/>
          <w:color w:val="000000"/>
          <w:sz w:val="21"/>
          <w:szCs w:val="21"/>
          <w:shd w:val="clear" w:color="auto" w:fill="FFFFFF"/>
        </w:rPr>
        <w:t>Several</w:t>
      </w:r>
      <w:proofErr w:type="gramEnd"/>
      <w:r w:rsidRPr="009B6E90">
        <w:rPr>
          <w:rStyle w:val="normaltextrun"/>
          <w:b/>
          <w:bCs/>
          <w:color w:val="000000"/>
          <w:sz w:val="21"/>
          <w:szCs w:val="21"/>
          <w:shd w:val="clear" w:color="auto" w:fill="FFFFFF"/>
        </w:rPr>
        <w:t xml:space="preserve"> emerging and developing economies have challenged the validity or basis of carbon leakage, especially with respect to less unilateral measures such as the EU CBAM. Concerns have been raised regarding compliance with WTO trade rules</w:t>
      </w:r>
      <w:r w:rsidRPr="009B6E90">
        <w:rPr>
          <w:rStyle w:val="normaltextrun"/>
          <w:color w:val="000000"/>
          <w:sz w:val="21"/>
          <w:szCs w:val="21"/>
          <w:shd w:val="clear" w:color="auto" w:fill="FFFFFF"/>
        </w:rPr>
        <w:t>, trade implications and barriers (including higher import costs, compliance burden) and restricted market access for countries (both equal trading partners and developing countries) exporting to the countries considering BCA, which would be comparatively disadvantaged as a result of the imposed BCA and the need to recalibrate their systems and pricing</w:t>
      </w:r>
      <w:r w:rsidRPr="009B6E90">
        <w:rPr>
          <w:rStyle w:val="FootnoteReference"/>
          <w:color w:val="000000"/>
          <w:sz w:val="21"/>
          <w:szCs w:val="21"/>
          <w:shd w:val="clear" w:color="auto" w:fill="FFFFFF"/>
        </w:rPr>
        <w:footnoteReference w:id="24"/>
      </w:r>
      <w:r w:rsidRPr="009B6E90">
        <w:rPr>
          <w:rStyle w:val="normaltextrun"/>
          <w:color w:val="000000"/>
          <w:sz w:val="21"/>
          <w:szCs w:val="21"/>
          <w:shd w:val="clear" w:color="auto" w:fill="FFFFFF"/>
        </w:rPr>
        <w:t xml:space="preserve"> </w:t>
      </w:r>
      <w:r w:rsidRPr="009B6E90">
        <w:rPr>
          <w:rStyle w:val="FootnoteReference"/>
          <w:color w:val="000000"/>
          <w:sz w:val="21"/>
          <w:szCs w:val="21"/>
          <w:shd w:val="clear" w:color="auto" w:fill="FFFFFF"/>
        </w:rPr>
        <w:footnoteReference w:id="25"/>
      </w:r>
      <w:r w:rsidRPr="009B6E90">
        <w:rPr>
          <w:rStyle w:val="normaltextrun"/>
          <w:color w:val="000000"/>
          <w:sz w:val="21"/>
          <w:szCs w:val="21"/>
          <w:shd w:val="clear" w:color="auto" w:fill="FFFFFF"/>
        </w:rPr>
        <w:t xml:space="preserve">.  </w:t>
      </w:r>
      <w:r w:rsidR="0096132A" w:rsidRPr="009B6E90">
        <w:rPr>
          <w:rStyle w:val="normaltextrun"/>
          <w:color w:val="000000"/>
          <w:sz w:val="21"/>
          <w:szCs w:val="21"/>
          <w:shd w:val="clear" w:color="auto" w:fill="FFFFFF"/>
        </w:rPr>
        <w:t xml:space="preserve"> </w:t>
      </w:r>
      <w:r w:rsidR="0049600D" w:rsidRPr="009B6E90">
        <w:rPr>
          <w:rStyle w:val="normaltextrun"/>
          <w:color w:val="000000"/>
          <w:sz w:val="21"/>
          <w:szCs w:val="21"/>
          <w:shd w:val="clear" w:color="auto" w:fill="FFFFFF"/>
        </w:rPr>
        <w:t xml:space="preserve"> </w:t>
      </w:r>
    </w:p>
    <w:p w14:paraId="740600D2" w14:textId="77777777" w:rsidR="00A91971" w:rsidRPr="009B6E90" w:rsidRDefault="00A91971" w:rsidP="009B6E90">
      <w:pPr>
        <w:spacing w:after="0" w:line="240" w:lineRule="auto"/>
        <w:contextualSpacing/>
        <w:rPr>
          <w:rStyle w:val="normaltextrun"/>
          <w:color w:val="000000"/>
          <w:sz w:val="21"/>
          <w:szCs w:val="21"/>
          <w:shd w:val="clear" w:color="auto" w:fill="FFFFFF"/>
        </w:rPr>
      </w:pPr>
    </w:p>
    <w:p w14:paraId="29741395" w14:textId="327C7779" w:rsidR="00826F9E" w:rsidRPr="009B6E90" w:rsidRDefault="005E3CC7" w:rsidP="009B6E90">
      <w:pPr>
        <w:pStyle w:val="ListParagraph"/>
        <w:numPr>
          <w:ilvl w:val="0"/>
          <w:numId w:val="35"/>
        </w:numPr>
        <w:spacing w:after="0" w:line="240" w:lineRule="auto"/>
        <w:rPr>
          <w:sz w:val="21"/>
          <w:szCs w:val="21"/>
        </w:rPr>
      </w:pPr>
      <w:r w:rsidRPr="009B6E90">
        <w:rPr>
          <w:sz w:val="21"/>
          <w:szCs w:val="21"/>
        </w:rPr>
        <w:t xml:space="preserve">The UNCTAD report: </w:t>
      </w:r>
      <w:r w:rsidRPr="009B6E90">
        <w:rPr>
          <w:i/>
          <w:iCs/>
          <w:sz w:val="21"/>
          <w:szCs w:val="21"/>
        </w:rPr>
        <w:t>A European Union Carbon Border Adjustment Mechanism: Implications for Developing Countries</w:t>
      </w:r>
      <w:r w:rsidR="00C440A5" w:rsidRPr="009B6E90">
        <w:rPr>
          <w:i/>
          <w:iCs/>
          <w:sz w:val="21"/>
          <w:szCs w:val="21"/>
        </w:rPr>
        <w:t xml:space="preserve">, </w:t>
      </w:r>
      <w:r w:rsidR="00733A37" w:rsidRPr="009B6E90">
        <w:rPr>
          <w:b/>
          <w:sz w:val="21"/>
          <w:szCs w:val="21"/>
        </w:rPr>
        <w:t>UN</w:t>
      </w:r>
      <w:r w:rsidR="004A4775" w:rsidRPr="009B6E90">
        <w:rPr>
          <w:b/>
          <w:sz w:val="21"/>
          <w:szCs w:val="21"/>
        </w:rPr>
        <w:t xml:space="preserve">CTAD </w:t>
      </w:r>
      <w:r w:rsidR="009459D5" w:rsidRPr="009B6E90">
        <w:rPr>
          <w:b/>
          <w:sz w:val="21"/>
          <w:szCs w:val="21"/>
        </w:rPr>
        <w:t>(</w:t>
      </w:r>
      <w:r w:rsidR="00733A37" w:rsidRPr="009B6E90">
        <w:rPr>
          <w:b/>
          <w:bCs/>
          <w:sz w:val="21"/>
          <w:szCs w:val="21"/>
        </w:rPr>
        <w:t>2021</w:t>
      </w:r>
      <w:r w:rsidR="009459D5" w:rsidRPr="009B6E90">
        <w:rPr>
          <w:b/>
          <w:sz w:val="21"/>
          <w:szCs w:val="21"/>
        </w:rPr>
        <w:t>)</w:t>
      </w:r>
      <w:r w:rsidR="004A4775" w:rsidRPr="009B6E90">
        <w:rPr>
          <w:b/>
          <w:bCs/>
          <w:sz w:val="21"/>
          <w:szCs w:val="21"/>
        </w:rPr>
        <w:t xml:space="preserve"> </w:t>
      </w:r>
      <w:r w:rsidRPr="009B6E90">
        <w:rPr>
          <w:b/>
          <w:bCs/>
          <w:sz w:val="21"/>
          <w:szCs w:val="21"/>
        </w:rPr>
        <w:t>notes</w:t>
      </w:r>
      <w:r w:rsidRPr="009B6E90">
        <w:rPr>
          <w:sz w:val="21"/>
          <w:szCs w:val="21"/>
        </w:rPr>
        <w:t xml:space="preserve"> </w:t>
      </w:r>
      <w:r w:rsidRPr="009B6E90">
        <w:rPr>
          <w:b/>
          <w:bCs/>
          <w:sz w:val="21"/>
          <w:szCs w:val="21"/>
        </w:rPr>
        <w:t xml:space="preserve">that the introduction of a </w:t>
      </w:r>
      <w:r w:rsidR="005D56A7" w:rsidRPr="009B6E90">
        <w:rPr>
          <w:b/>
          <w:bCs/>
          <w:sz w:val="21"/>
          <w:szCs w:val="21"/>
        </w:rPr>
        <w:t xml:space="preserve">BCA </w:t>
      </w:r>
      <w:r w:rsidRPr="009B6E90">
        <w:rPr>
          <w:b/>
          <w:bCs/>
          <w:sz w:val="21"/>
          <w:szCs w:val="21"/>
        </w:rPr>
        <w:t xml:space="preserve">results in declines in exports in developing countries in favour of developed </w:t>
      </w:r>
      <w:r w:rsidRPr="009B6E90">
        <w:rPr>
          <w:b/>
          <w:bCs/>
          <w:sz w:val="21"/>
          <w:szCs w:val="21"/>
        </w:rPr>
        <w:lastRenderedPageBreak/>
        <w:t>countries, which tend to have less carbon intensive production processes.</w:t>
      </w:r>
      <w:r w:rsidR="00E56773" w:rsidRPr="009B6E90">
        <w:rPr>
          <w:sz w:val="21"/>
          <w:szCs w:val="21"/>
        </w:rPr>
        <w:t xml:space="preserve"> </w:t>
      </w:r>
      <w:r w:rsidRPr="009B6E90">
        <w:rPr>
          <w:sz w:val="21"/>
          <w:szCs w:val="21"/>
        </w:rPr>
        <w:t>The report suggests that the European Union could consider CBAM flanking policies, including the use of revenue generated by the CBAM, to accelerate the diffusion and uptake of cleaner production technologies to developing country producers, which could be beneficial both in terms of greening the economy and fostering a</w:t>
      </w:r>
      <w:r w:rsidR="005D56A7" w:rsidRPr="009B6E90">
        <w:rPr>
          <w:sz w:val="21"/>
          <w:szCs w:val="21"/>
        </w:rPr>
        <w:t xml:space="preserve"> </w:t>
      </w:r>
      <w:r w:rsidRPr="009B6E90">
        <w:rPr>
          <w:sz w:val="21"/>
          <w:szCs w:val="21"/>
        </w:rPr>
        <w:t>more inclusive trading system</w:t>
      </w:r>
      <w:r w:rsidR="00F147B5" w:rsidRPr="009B6E90">
        <w:rPr>
          <w:sz w:val="21"/>
          <w:szCs w:val="21"/>
        </w:rPr>
        <w:t>.</w:t>
      </w:r>
    </w:p>
    <w:p w14:paraId="65200169" w14:textId="77777777" w:rsidR="00826F9E" w:rsidRPr="009B6E90" w:rsidRDefault="00826F9E" w:rsidP="009B6E90">
      <w:pPr>
        <w:pStyle w:val="ListParagraph"/>
        <w:spacing w:after="0" w:line="240" w:lineRule="auto"/>
        <w:rPr>
          <w:b/>
          <w:bCs/>
          <w:sz w:val="21"/>
          <w:szCs w:val="21"/>
          <w:highlight w:val="yellow"/>
        </w:rPr>
      </w:pPr>
    </w:p>
    <w:p w14:paraId="5CBB37DA" w14:textId="77777777" w:rsidR="00215607" w:rsidRPr="009B6E90" w:rsidRDefault="00CD6D93" w:rsidP="009B6E90">
      <w:pPr>
        <w:pStyle w:val="ListParagraph"/>
        <w:numPr>
          <w:ilvl w:val="0"/>
          <w:numId w:val="35"/>
        </w:numPr>
        <w:spacing w:after="0" w:line="240" w:lineRule="auto"/>
        <w:rPr>
          <w:sz w:val="21"/>
          <w:szCs w:val="21"/>
        </w:rPr>
      </w:pPr>
      <w:r w:rsidRPr="009B6E90">
        <w:rPr>
          <w:sz w:val="21"/>
          <w:szCs w:val="21"/>
        </w:rPr>
        <w:t xml:space="preserve">An effective carbon leakage mitigating instrument should preferably consider the impact of asymmetrical carbon pricing </w:t>
      </w:r>
      <w:r w:rsidRPr="009B6E90">
        <w:rPr>
          <w:b/>
          <w:bCs/>
          <w:sz w:val="21"/>
          <w:szCs w:val="21"/>
        </w:rPr>
        <w:t>on imports as well as export</w:t>
      </w:r>
      <w:r w:rsidR="009170D4" w:rsidRPr="009B6E90">
        <w:rPr>
          <w:b/>
          <w:bCs/>
          <w:sz w:val="21"/>
          <w:szCs w:val="21"/>
        </w:rPr>
        <w:t>s</w:t>
      </w:r>
      <w:r w:rsidRPr="009B6E90">
        <w:rPr>
          <w:sz w:val="21"/>
          <w:szCs w:val="21"/>
        </w:rPr>
        <w:t xml:space="preserve">. </w:t>
      </w:r>
      <w:r w:rsidR="00917D82" w:rsidRPr="009B6E90">
        <w:rPr>
          <w:sz w:val="21"/>
          <w:szCs w:val="21"/>
        </w:rPr>
        <w:t>For example,</w:t>
      </w:r>
      <w:r w:rsidRPr="009B6E90">
        <w:rPr>
          <w:sz w:val="21"/>
          <w:szCs w:val="21"/>
        </w:rPr>
        <w:t xml:space="preserve"> </w:t>
      </w:r>
      <w:r w:rsidR="00B74548" w:rsidRPr="009B6E90">
        <w:rPr>
          <w:sz w:val="21"/>
          <w:szCs w:val="21"/>
        </w:rPr>
        <w:t>the</w:t>
      </w:r>
      <w:r w:rsidRPr="009B6E90">
        <w:rPr>
          <w:sz w:val="21"/>
          <w:szCs w:val="21"/>
        </w:rPr>
        <w:t xml:space="preserve"> current EU CBAM proposals do not provide relief for exports. When domestic products </w:t>
      </w:r>
      <w:proofErr w:type="gramStart"/>
      <w:r w:rsidRPr="009B6E90">
        <w:rPr>
          <w:sz w:val="21"/>
          <w:szCs w:val="21"/>
        </w:rPr>
        <w:t>are exported</w:t>
      </w:r>
      <w:proofErr w:type="gramEnd"/>
      <w:r w:rsidRPr="009B6E90">
        <w:rPr>
          <w:sz w:val="21"/>
          <w:szCs w:val="21"/>
        </w:rPr>
        <w:t xml:space="preserve">, there is no relief or rebate given for the carbon price which has been incurred which means exports may be at a competitive disadvantage in comparison with competitor products in or from lower action countries. </w:t>
      </w:r>
    </w:p>
    <w:p w14:paraId="155A9218" w14:textId="77777777" w:rsidR="00215607" w:rsidRPr="009B6E90" w:rsidRDefault="00215607" w:rsidP="009B6E90">
      <w:pPr>
        <w:pStyle w:val="ListParagraph"/>
        <w:spacing w:after="0" w:line="240" w:lineRule="auto"/>
        <w:rPr>
          <w:sz w:val="21"/>
          <w:szCs w:val="21"/>
        </w:rPr>
      </w:pPr>
    </w:p>
    <w:p w14:paraId="09BAEDBC" w14:textId="77777777" w:rsidR="00215607" w:rsidRPr="009B6E90" w:rsidRDefault="0069761F" w:rsidP="009B6E90">
      <w:pPr>
        <w:pStyle w:val="ListParagraph"/>
        <w:spacing w:after="0" w:line="240" w:lineRule="auto"/>
        <w:rPr>
          <w:sz w:val="21"/>
          <w:szCs w:val="21"/>
        </w:rPr>
      </w:pPr>
      <w:r w:rsidRPr="009B6E90">
        <w:rPr>
          <w:sz w:val="21"/>
          <w:szCs w:val="21"/>
        </w:rPr>
        <w:t xml:space="preserve">As a </w:t>
      </w:r>
      <w:r w:rsidR="00AC1226" w:rsidRPr="009B6E90">
        <w:rPr>
          <w:sz w:val="21"/>
          <w:szCs w:val="21"/>
        </w:rPr>
        <w:t>result,</w:t>
      </w:r>
      <w:r w:rsidRPr="009B6E90">
        <w:rPr>
          <w:sz w:val="21"/>
          <w:szCs w:val="21"/>
        </w:rPr>
        <w:t xml:space="preserve"> t</w:t>
      </w:r>
      <w:r w:rsidR="00315EFA" w:rsidRPr="009B6E90">
        <w:rPr>
          <w:sz w:val="21"/>
          <w:szCs w:val="21"/>
        </w:rPr>
        <w:t>his could deter exports</w:t>
      </w:r>
      <w:r w:rsidRPr="009B6E90">
        <w:rPr>
          <w:sz w:val="21"/>
          <w:szCs w:val="21"/>
        </w:rPr>
        <w:t>.</w:t>
      </w:r>
      <w:r w:rsidR="0035091A" w:rsidRPr="009B6E90">
        <w:rPr>
          <w:sz w:val="21"/>
          <w:szCs w:val="21"/>
        </w:rPr>
        <w:t xml:space="preserve"> Relief from exports is particularly relevant in instances where trading partners have carbon prices and where the product will face a carbon price at the country of import. This ensures that the fair carbon price </w:t>
      </w:r>
      <w:proofErr w:type="gramStart"/>
      <w:r w:rsidR="0035091A" w:rsidRPr="009B6E90">
        <w:rPr>
          <w:sz w:val="21"/>
          <w:szCs w:val="21"/>
        </w:rPr>
        <w:t>is not paid</w:t>
      </w:r>
      <w:proofErr w:type="gramEnd"/>
      <w:r w:rsidR="0035091A" w:rsidRPr="009B6E90">
        <w:rPr>
          <w:sz w:val="21"/>
          <w:szCs w:val="21"/>
        </w:rPr>
        <w:t xml:space="preserve"> more than once for the same product. </w:t>
      </w:r>
      <w:r w:rsidR="00934EAB" w:rsidRPr="009B6E90">
        <w:rPr>
          <w:sz w:val="21"/>
          <w:szCs w:val="21"/>
        </w:rPr>
        <w:t>A c</w:t>
      </w:r>
      <w:r w:rsidR="004F71B5" w:rsidRPr="009B6E90">
        <w:rPr>
          <w:sz w:val="21"/>
          <w:szCs w:val="21"/>
        </w:rPr>
        <w:t xml:space="preserve">arbon price for exports may still be relevant if/where the products are </w:t>
      </w:r>
      <w:proofErr w:type="gramStart"/>
      <w:r w:rsidR="004F71B5" w:rsidRPr="009B6E90">
        <w:rPr>
          <w:sz w:val="21"/>
          <w:szCs w:val="21"/>
        </w:rPr>
        <w:t>being exported</w:t>
      </w:r>
      <w:proofErr w:type="gramEnd"/>
      <w:r w:rsidR="004F71B5" w:rsidRPr="009B6E90">
        <w:rPr>
          <w:sz w:val="21"/>
          <w:szCs w:val="21"/>
        </w:rPr>
        <w:t xml:space="preserve"> to countries that do not have a carbon price – if the policy objective is to price carbon. The trade</w:t>
      </w:r>
      <w:r w:rsidR="00DC6F75" w:rsidRPr="009B6E90">
        <w:rPr>
          <w:sz w:val="21"/>
          <w:szCs w:val="21"/>
        </w:rPr>
        <w:t>-</w:t>
      </w:r>
      <w:r w:rsidR="004F71B5" w:rsidRPr="009B6E90">
        <w:rPr>
          <w:sz w:val="21"/>
          <w:szCs w:val="21"/>
        </w:rPr>
        <w:t xml:space="preserve">off however will </w:t>
      </w:r>
      <w:proofErr w:type="gramStart"/>
      <w:r w:rsidR="004F71B5" w:rsidRPr="009B6E90">
        <w:rPr>
          <w:sz w:val="21"/>
          <w:szCs w:val="21"/>
        </w:rPr>
        <w:t>be eroded</w:t>
      </w:r>
      <w:proofErr w:type="gramEnd"/>
      <w:r w:rsidR="004F71B5" w:rsidRPr="009B6E90">
        <w:rPr>
          <w:sz w:val="21"/>
          <w:szCs w:val="21"/>
        </w:rPr>
        <w:t xml:space="preserve"> competitiveness as the EU products will cost more</w:t>
      </w:r>
      <w:r w:rsidR="001F5AE9" w:rsidRPr="009B6E90">
        <w:rPr>
          <w:sz w:val="21"/>
          <w:szCs w:val="21"/>
        </w:rPr>
        <w:t xml:space="preserve">, underscoring the potential </w:t>
      </w:r>
      <w:r w:rsidR="00B74548" w:rsidRPr="009B6E90">
        <w:rPr>
          <w:sz w:val="21"/>
          <w:szCs w:val="21"/>
        </w:rPr>
        <w:t>for carbon</w:t>
      </w:r>
      <w:r w:rsidR="004F71B5" w:rsidRPr="009B6E90">
        <w:rPr>
          <w:sz w:val="21"/>
          <w:szCs w:val="21"/>
        </w:rPr>
        <w:t xml:space="preserve"> leakage</w:t>
      </w:r>
      <w:r w:rsidR="001F5AE9" w:rsidRPr="009B6E90">
        <w:rPr>
          <w:sz w:val="21"/>
          <w:szCs w:val="21"/>
        </w:rPr>
        <w:t>.</w:t>
      </w:r>
    </w:p>
    <w:p w14:paraId="0119FE45" w14:textId="77777777" w:rsidR="00215607" w:rsidRPr="009B6E90" w:rsidRDefault="00215607" w:rsidP="009B6E90">
      <w:pPr>
        <w:pStyle w:val="ListParagraph"/>
        <w:spacing w:after="0" w:line="240" w:lineRule="auto"/>
        <w:rPr>
          <w:sz w:val="21"/>
          <w:szCs w:val="21"/>
        </w:rPr>
      </w:pPr>
    </w:p>
    <w:p w14:paraId="4D5EFE92" w14:textId="7FE2CB6A" w:rsidR="008742A8" w:rsidRPr="009B6E90" w:rsidRDefault="00215607" w:rsidP="009B6E90">
      <w:pPr>
        <w:pStyle w:val="ListParagraph"/>
        <w:numPr>
          <w:ilvl w:val="0"/>
          <w:numId w:val="35"/>
        </w:numPr>
        <w:spacing w:after="0" w:line="240" w:lineRule="auto"/>
        <w:rPr>
          <w:sz w:val="21"/>
          <w:szCs w:val="21"/>
        </w:rPr>
      </w:pPr>
      <w:r w:rsidRPr="009B6E90">
        <w:rPr>
          <w:b/>
          <w:bCs/>
          <w:sz w:val="21"/>
          <w:szCs w:val="21"/>
        </w:rPr>
        <w:t>Ins</w:t>
      </w:r>
      <w:r w:rsidR="00C750B4" w:rsidRPr="009B6E90">
        <w:rPr>
          <w:b/>
          <w:bCs/>
          <w:sz w:val="21"/>
          <w:szCs w:val="21"/>
        </w:rPr>
        <w:t>truments addressing leakage need to consider</w:t>
      </w:r>
      <w:r w:rsidR="003A7EB0" w:rsidRPr="009B6E90">
        <w:rPr>
          <w:b/>
          <w:bCs/>
          <w:sz w:val="21"/>
          <w:szCs w:val="21"/>
        </w:rPr>
        <w:t xml:space="preserve"> the level of complexity and related compliance costs.</w:t>
      </w:r>
      <w:r w:rsidR="006948C6" w:rsidRPr="009B6E90">
        <w:rPr>
          <w:sz w:val="21"/>
          <w:szCs w:val="21"/>
        </w:rPr>
        <w:t xml:space="preserve"> I</w:t>
      </w:r>
      <w:r w:rsidR="00D0217F" w:rsidRPr="009B6E90">
        <w:rPr>
          <w:sz w:val="21"/>
          <w:szCs w:val="21"/>
        </w:rPr>
        <w:t xml:space="preserve">nstruments addressing </w:t>
      </w:r>
      <w:r w:rsidR="004C6C16" w:rsidRPr="009B6E90">
        <w:rPr>
          <w:sz w:val="21"/>
          <w:szCs w:val="21"/>
        </w:rPr>
        <w:t xml:space="preserve">leakage </w:t>
      </w:r>
      <w:r w:rsidR="00A94B76" w:rsidRPr="009B6E90">
        <w:rPr>
          <w:sz w:val="21"/>
          <w:szCs w:val="21"/>
        </w:rPr>
        <w:t xml:space="preserve">may </w:t>
      </w:r>
      <w:r w:rsidR="00CE3656" w:rsidRPr="009B6E90">
        <w:rPr>
          <w:sz w:val="21"/>
          <w:szCs w:val="21"/>
        </w:rPr>
        <w:t xml:space="preserve">seek to encourage </w:t>
      </w:r>
      <w:r w:rsidR="00354BE9" w:rsidRPr="009B6E90">
        <w:rPr>
          <w:sz w:val="21"/>
          <w:szCs w:val="21"/>
        </w:rPr>
        <w:t xml:space="preserve">trading partners to place a fair price </w:t>
      </w:r>
      <w:r w:rsidR="00BB0F11" w:rsidRPr="009B6E90">
        <w:rPr>
          <w:sz w:val="21"/>
          <w:szCs w:val="21"/>
        </w:rPr>
        <w:t xml:space="preserve">on carbon emissions </w:t>
      </w:r>
      <w:r w:rsidR="00B2487D" w:rsidRPr="009B6E90">
        <w:rPr>
          <w:sz w:val="21"/>
          <w:szCs w:val="21"/>
        </w:rPr>
        <w:t>to support</w:t>
      </w:r>
      <w:r w:rsidR="00BB0F11" w:rsidRPr="009B6E90">
        <w:rPr>
          <w:sz w:val="21"/>
          <w:szCs w:val="21"/>
        </w:rPr>
        <w:t xml:space="preserve"> </w:t>
      </w:r>
      <w:r w:rsidR="005C3DE7" w:rsidRPr="009B6E90">
        <w:rPr>
          <w:sz w:val="21"/>
          <w:szCs w:val="21"/>
        </w:rPr>
        <w:t xml:space="preserve">a global shift to </w:t>
      </w:r>
      <w:r w:rsidR="00D12283" w:rsidRPr="009B6E90">
        <w:rPr>
          <w:sz w:val="21"/>
          <w:szCs w:val="21"/>
        </w:rPr>
        <w:t xml:space="preserve">more sustainable </w:t>
      </w:r>
      <w:r w:rsidR="002B5A30" w:rsidRPr="009B6E90">
        <w:rPr>
          <w:sz w:val="21"/>
          <w:szCs w:val="21"/>
        </w:rPr>
        <w:t>industry</w:t>
      </w:r>
      <w:proofErr w:type="gramStart"/>
      <w:r w:rsidR="00B2487D" w:rsidRPr="009B6E90">
        <w:rPr>
          <w:sz w:val="21"/>
          <w:szCs w:val="21"/>
        </w:rPr>
        <w:t xml:space="preserve">.  </w:t>
      </w:r>
      <w:proofErr w:type="gramEnd"/>
      <w:r w:rsidR="00B2487D" w:rsidRPr="009B6E90">
        <w:rPr>
          <w:sz w:val="21"/>
          <w:szCs w:val="21"/>
        </w:rPr>
        <w:t xml:space="preserve">However, in </w:t>
      </w:r>
      <w:r w:rsidR="00F1190D" w:rsidRPr="009B6E90">
        <w:rPr>
          <w:sz w:val="21"/>
          <w:szCs w:val="21"/>
        </w:rPr>
        <w:t xml:space="preserve">developing these </w:t>
      </w:r>
      <w:r w:rsidR="00D96E0D" w:rsidRPr="009B6E90">
        <w:rPr>
          <w:sz w:val="21"/>
          <w:szCs w:val="21"/>
        </w:rPr>
        <w:t>instruments,</w:t>
      </w:r>
      <w:r w:rsidR="001D6CC8" w:rsidRPr="009B6E90">
        <w:rPr>
          <w:sz w:val="21"/>
          <w:szCs w:val="21"/>
        </w:rPr>
        <w:t xml:space="preserve"> governments should carefully consider the level of complexity and related compliance costs. </w:t>
      </w:r>
      <w:r w:rsidR="00917D82" w:rsidRPr="009B6E90">
        <w:rPr>
          <w:sz w:val="21"/>
          <w:szCs w:val="21"/>
        </w:rPr>
        <w:t>For example, t</w:t>
      </w:r>
      <w:r w:rsidR="00781378" w:rsidRPr="009B6E90">
        <w:rPr>
          <w:sz w:val="21"/>
          <w:szCs w:val="21"/>
        </w:rPr>
        <w:t xml:space="preserve">he </w:t>
      </w:r>
      <w:r w:rsidR="00952742" w:rsidRPr="009B6E90">
        <w:rPr>
          <w:sz w:val="21"/>
          <w:szCs w:val="21"/>
        </w:rPr>
        <w:t xml:space="preserve">EU </w:t>
      </w:r>
      <w:r w:rsidR="00781378" w:rsidRPr="009B6E90">
        <w:rPr>
          <w:sz w:val="21"/>
          <w:szCs w:val="21"/>
        </w:rPr>
        <w:t xml:space="preserve">CBAM will create a heavy administrative burden for </w:t>
      </w:r>
      <w:r w:rsidR="007E02E8" w:rsidRPr="009B6E90">
        <w:rPr>
          <w:sz w:val="21"/>
          <w:szCs w:val="21"/>
        </w:rPr>
        <w:t>traded</w:t>
      </w:r>
      <w:r w:rsidR="00781378" w:rsidRPr="009B6E90">
        <w:rPr>
          <w:sz w:val="21"/>
          <w:szCs w:val="21"/>
        </w:rPr>
        <w:t xml:space="preserve"> products covered in the mechanism</w:t>
      </w:r>
      <w:r w:rsidR="00934683" w:rsidRPr="009B6E90">
        <w:rPr>
          <w:sz w:val="21"/>
          <w:szCs w:val="21"/>
        </w:rPr>
        <w:t>.</w:t>
      </w:r>
      <w:r w:rsidR="008F2487" w:rsidRPr="009B6E90">
        <w:rPr>
          <w:sz w:val="21"/>
          <w:szCs w:val="21"/>
        </w:rPr>
        <w:t xml:space="preserve"> </w:t>
      </w:r>
      <w:r w:rsidR="00B37525" w:rsidRPr="009B6E90">
        <w:rPr>
          <w:sz w:val="21"/>
          <w:szCs w:val="21"/>
        </w:rPr>
        <w:t>I</w:t>
      </w:r>
      <w:r w:rsidR="008C4CA9" w:rsidRPr="009B6E90">
        <w:rPr>
          <w:sz w:val="21"/>
          <w:szCs w:val="21"/>
        </w:rPr>
        <w:t xml:space="preserve">ts implementation will </w:t>
      </w:r>
      <w:r w:rsidR="00D07A3B" w:rsidRPr="009B6E90">
        <w:rPr>
          <w:sz w:val="21"/>
          <w:szCs w:val="21"/>
        </w:rPr>
        <w:t>re</w:t>
      </w:r>
      <w:r w:rsidR="00BD303F" w:rsidRPr="009B6E90">
        <w:rPr>
          <w:sz w:val="21"/>
          <w:szCs w:val="21"/>
        </w:rPr>
        <w:t xml:space="preserve">quire the burden of proof on importers, to i) prove the </w:t>
      </w:r>
      <w:r w:rsidR="00B14034" w:rsidRPr="009B6E90">
        <w:rPr>
          <w:sz w:val="21"/>
          <w:szCs w:val="21"/>
        </w:rPr>
        <w:t xml:space="preserve">level of emissions from production and ii) if applicable, prove that a carbon price </w:t>
      </w:r>
      <w:proofErr w:type="gramStart"/>
      <w:r w:rsidR="00B14034" w:rsidRPr="009B6E90">
        <w:rPr>
          <w:sz w:val="21"/>
          <w:szCs w:val="21"/>
        </w:rPr>
        <w:t>was paid</w:t>
      </w:r>
      <w:proofErr w:type="gramEnd"/>
      <w:r w:rsidR="00B14034" w:rsidRPr="009B6E90">
        <w:rPr>
          <w:sz w:val="21"/>
          <w:szCs w:val="21"/>
        </w:rPr>
        <w:t xml:space="preserve"> in the country of origin.</w:t>
      </w:r>
      <w:r w:rsidR="00405512" w:rsidRPr="009B6E90">
        <w:rPr>
          <w:sz w:val="21"/>
          <w:szCs w:val="21"/>
        </w:rPr>
        <w:t xml:space="preserve"> If the declaration of emissions and carbon pricing systems proves to be too complex or cumbersome for importers, the EU CBAM could in turn hinder trade flows between the EU and non-EU countries</w:t>
      </w:r>
      <w:r w:rsidR="006A09E9" w:rsidRPr="009B6E90">
        <w:rPr>
          <w:sz w:val="21"/>
          <w:szCs w:val="21"/>
        </w:rPr>
        <w:t xml:space="preserve"> and restrict market access to the EU.</w:t>
      </w:r>
      <w:r w:rsidR="00BB5DBF" w:rsidRPr="009B6E90">
        <w:rPr>
          <w:sz w:val="21"/>
          <w:szCs w:val="21"/>
        </w:rPr>
        <w:t xml:space="preserve"> </w:t>
      </w:r>
    </w:p>
    <w:p w14:paraId="6BE106F3" w14:textId="77777777" w:rsidR="00DD0172" w:rsidRPr="009B6E90" w:rsidRDefault="00DD0172" w:rsidP="009B6E90">
      <w:pPr>
        <w:pStyle w:val="ListParagraph"/>
        <w:spacing w:after="0" w:line="240" w:lineRule="auto"/>
        <w:rPr>
          <w:b/>
          <w:bCs/>
          <w:sz w:val="21"/>
          <w:szCs w:val="21"/>
          <w:highlight w:val="yellow"/>
        </w:rPr>
      </w:pPr>
    </w:p>
    <w:p w14:paraId="5AAD5C76" w14:textId="77777777" w:rsidR="000C281A" w:rsidRPr="009B6E90" w:rsidRDefault="00A75B88" w:rsidP="009B6E90">
      <w:pPr>
        <w:pStyle w:val="ListParagraph"/>
        <w:numPr>
          <w:ilvl w:val="1"/>
          <w:numId w:val="35"/>
        </w:numPr>
        <w:spacing w:after="0" w:line="240" w:lineRule="auto"/>
        <w:ind w:left="720"/>
        <w:rPr>
          <w:sz w:val="21"/>
          <w:szCs w:val="21"/>
        </w:rPr>
      </w:pPr>
      <w:r w:rsidRPr="009B6E90">
        <w:rPr>
          <w:b/>
          <w:bCs/>
          <w:sz w:val="21"/>
          <w:szCs w:val="21"/>
        </w:rPr>
        <w:t xml:space="preserve">Instruments addressing carbon leakage may not be able to recognise the difference in coverage of carbon pricing for sectors or specific companies under </w:t>
      </w:r>
      <w:r w:rsidR="006F7F36" w:rsidRPr="009B6E90">
        <w:rPr>
          <w:b/>
          <w:bCs/>
          <w:sz w:val="21"/>
          <w:szCs w:val="21"/>
        </w:rPr>
        <w:t xml:space="preserve">a </w:t>
      </w:r>
      <w:r w:rsidRPr="009B6E90">
        <w:rPr>
          <w:b/>
          <w:bCs/>
          <w:sz w:val="21"/>
          <w:szCs w:val="21"/>
        </w:rPr>
        <w:t xml:space="preserve">trading partner country’s carbon pricing system. </w:t>
      </w:r>
      <w:r w:rsidRPr="009B6E90">
        <w:rPr>
          <w:sz w:val="21"/>
          <w:szCs w:val="21"/>
        </w:rPr>
        <w:t>Often, this consideration is a consequence of addressing complexity and compliance concerns as proxies may be required for carbon coverage on a national level [</w:t>
      </w:r>
      <w:r w:rsidR="00B74548" w:rsidRPr="009B6E90">
        <w:rPr>
          <w:sz w:val="21"/>
          <w:szCs w:val="21"/>
        </w:rPr>
        <w:t>e.g.,</w:t>
      </w:r>
      <w:r w:rsidRPr="009B6E90">
        <w:rPr>
          <w:sz w:val="21"/>
          <w:szCs w:val="21"/>
        </w:rPr>
        <w:t xml:space="preserve"> not considering subnational rules] </w:t>
      </w:r>
      <w:proofErr w:type="gramStart"/>
      <w:r w:rsidRPr="009B6E90">
        <w:rPr>
          <w:sz w:val="21"/>
          <w:szCs w:val="21"/>
        </w:rPr>
        <w:t>in order to</w:t>
      </w:r>
      <w:proofErr w:type="gramEnd"/>
      <w:r w:rsidRPr="009B6E90">
        <w:rPr>
          <w:sz w:val="21"/>
          <w:szCs w:val="21"/>
        </w:rPr>
        <w:t xml:space="preserve"> keep compliance and tracking/tracing manageable. </w:t>
      </w:r>
    </w:p>
    <w:p w14:paraId="531EF6E7" w14:textId="77777777" w:rsidR="000C281A" w:rsidRPr="009B6E90" w:rsidRDefault="000C281A" w:rsidP="009B6E90">
      <w:pPr>
        <w:pStyle w:val="ListParagraph"/>
        <w:spacing w:after="0" w:line="240" w:lineRule="auto"/>
        <w:rPr>
          <w:sz w:val="21"/>
          <w:szCs w:val="21"/>
        </w:rPr>
      </w:pPr>
    </w:p>
    <w:p w14:paraId="49A8225F" w14:textId="6D8ED1E3" w:rsidR="000C281A" w:rsidRPr="009B6E90" w:rsidRDefault="007B59EE" w:rsidP="009B6E90">
      <w:pPr>
        <w:pStyle w:val="ListParagraph"/>
        <w:spacing w:after="0" w:line="240" w:lineRule="auto"/>
        <w:rPr>
          <w:sz w:val="21"/>
          <w:szCs w:val="21"/>
        </w:rPr>
      </w:pPr>
      <w:r w:rsidRPr="009B6E90">
        <w:rPr>
          <w:sz w:val="21"/>
          <w:szCs w:val="21"/>
        </w:rPr>
        <w:t>For example, if</w:t>
      </w:r>
      <w:r w:rsidR="00781378" w:rsidRPr="009B6E90">
        <w:rPr>
          <w:sz w:val="21"/>
          <w:szCs w:val="21"/>
        </w:rPr>
        <w:t xml:space="preserve"> 100 different companies import </w:t>
      </w:r>
      <w:r w:rsidR="008C765F" w:rsidRPr="009B6E90">
        <w:rPr>
          <w:sz w:val="21"/>
          <w:szCs w:val="21"/>
        </w:rPr>
        <w:t>fertilisers</w:t>
      </w:r>
      <w:r w:rsidR="00781378" w:rsidRPr="009B6E90">
        <w:rPr>
          <w:sz w:val="21"/>
          <w:szCs w:val="21"/>
        </w:rPr>
        <w:t xml:space="preserve"> from China or Canada to the EU, each </w:t>
      </w:r>
      <w:r w:rsidR="00E00559" w:rsidRPr="009B6E90">
        <w:rPr>
          <w:sz w:val="21"/>
          <w:szCs w:val="21"/>
        </w:rPr>
        <w:t xml:space="preserve">company </w:t>
      </w:r>
      <w:r w:rsidR="00781378" w:rsidRPr="009B6E90">
        <w:rPr>
          <w:sz w:val="21"/>
          <w:szCs w:val="21"/>
        </w:rPr>
        <w:t>would</w:t>
      </w:r>
      <w:r w:rsidR="00D57D38" w:rsidRPr="009B6E90">
        <w:rPr>
          <w:sz w:val="21"/>
          <w:szCs w:val="21"/>
        </w:rPr>
        <w:t xml:space="preserve"> need to</w:t>
      </w:r>
      <w:r w:rsidR="00781378" w:rsidRPr="009B6E90">
        <w:rPr>
          <w:sz w:val="21"/>
          <w:szCs w:val="21"/>
        </w:rPr>
        <w:t xml:space="preserve"> individually </w:t>
      </w:r>
      <w:r w:rsidR="00D57D38" w:rsidRPr="009B6E90">
        <w:rPr>
          <w:sz w:val="21"/>
          <w:szCs w:val="21"/>
        </w:rPr>
        <w:t>describe</w:t>
      </w:r>
      <w:r w:rsidR="00781378" w:rsidRPr="009B6E90">
        <w:rPr>
          <w:sz w:val="21"/>
          <w:szCs w:val="21"/>
        </w:rPr>
        <w:t xml:space="preserve"> to the national authorities how the Chinese or Canadian ETS system relates to the EU ETS and how this impacts the </w:t>
      </w:r>
      <w:r w:rsidR="00473E5C" w:rsidRPr="009B6E90">
        <w:rPr>
          <w:sz w:val="21"/>
          <w:szCs w:val="21"/>
        </w:rPr>
        <w:lastRenderedPageBreak/>
        <w:t xml:space="preserve">relevant payments they would need </w:t>
      </w:r>
      <w:r w:rsidR="00781378" w:rsidRPr="009B6E90">
        <w:rPr>
          <w:sz w:val="21"/>
          <w:szCs w:val="21"/>
        </w:rPr>
        <w:t>to make</w:t>
      </w:r>
      <w:r w:rsidR="00D11014" w:rsidRPr="009B6E90">
        <w:rPr>
          <w:sz w:val="21"/>
          <w:szCs w:val="21"/>
        </w:rPr>
        <w:t>.</w:t>
      </w:r>
      <w:r w:rsidR="00CE3F3C" w:rsidRPr="009B6E90">
        <w:rPr>
          <w:rStyle w:val="FootnoteReference"/>
          <w:sz w:val="21"/>
          <w:szCs w:val="21"/>
        </w:rPr>
        <w:footnoteReference w:id="26"/>
      </w:r>
      <w:r w:rsidR="006901C8" w:rsidRPr="009B6E90">
        <w:rPr>
          <w:sz w:val="21"/>
          <w:szCs w:val="21"/>
        </w:rPr>
        <w:t xml:space="preserve"> </w:t>
      </w:r>
      <w:r w:rsidR="00E13AD4" w:rsidRPr="009B6E90">
        <w:rPr>
          <w:sz w:val="21"/>
          <w:szCs w:val="21"/>
        </w:rPr>
        <w:t xml:space="preserve">Similarly, a </w:t>
      </w:r>
      <w:r w:rsidR="00CF00B9" w:rsidRPr="009B6E90">
        <w:rPr>
          <w:sz w:val="21"/>
          <w:szCs w:val="21"/>
        </w:rPr>
        <w:t xml:space="preserve">facility located in South America may need to measure and calculate the same emissions in multiple different ways under different calculation </w:t>
      </w:r>
      <w:r w:rsidR="003F10E2" w:rsidRPr="009B6E90">
        <w:rPr>
          <w:sz w:val="21"/>
          <w:szCs w:val="21"/>
        </w:rPr>
        <w:t>frameworks</w:t>
      </w:r>
      <w:r w:rsidR="00CF00B9" w:rsidRPr="009B6E90">
        <w:rPr>
          <w:sz w:val="21"/>
          <w:szCs w:val="21"/>
        </w:rPr>
        <w:t>, likely resulting in different numbers</w:t>
      </w:r>
      <w:r w:rsidR="00CB6FC9" w:rsidRPr="009B6E90">
        <w:rPr>
          <w:sz w:val="21"/>
          <w:szCs w:val="21"/>
        </w:rPr>
        <w:t xml:space="preserve"> – e.g. one for EU CBAM to import the product, one for the ISSB/TCFD e</w:t>
      </w:r>
      <w:r w:rsidR="00C27BAE" w:rsidRPr="009B6E90">
        <w:rPr>
          <w:sz w:val="21"/>
          <w:szCs w:val="21"/>
        </w:rPr>
        <w:t>xternal transparency reporting, one for domestic in country ETS and/or carbon tax, etc</w:t>
      </w:r>
      <w:r w:rsidR="00CF00B9" w:rsidRPr="009B6E90">
        <w:rPr>
          <w:sz w:val="21"/>
          <w:szCs w:val="21"/>
        </w:rPr>
        <w:t>.</w:t>
      </w:r>
    </w:p>
    <w:p w14:paraId="506E3A8B" w14:textId="77777777" w:rsidR="000C281A" w:rsidRPr="009B6E90" w:rsidRDefault="000C281A" w:rsidP="009B6E90">
      <w:pPr>
        <w:pStyle w:val="ListParagraph"/>
        <w:spacing w:after="0" w:line="240" w:lineRule="auto"/>
        <w:rPr>
          <w:sz w:val="21"/>
          <w:szCs w:val="21"/>
        </w:rPr>
      </w:pPr>
    </w:p>
    <w:p w14:paraId="1F117831" w14:textId="1B16EEC0" w:rsidR="005159BE" w:rsidRPr="009B6E90" w:rsidRDefault="006901C8" w:rsidP="009B6E90">
      <w:pPr>
        <w:pStyle w:val="ListParagraph"/>
        <w:spacing w:after="0" w:line="240" w:lineRule="auto"/>
        <w:rPr>
          <w:sz w:val="21"/>
          <w:szCs w:val="21"/>
        </w:rPr>
      </w:pPr>
      <w:r w:rsidRPr="009B6E90">
        <w:rPr>
          <w:sz w:val="21"/>
          <w:szCs w:val="21"/>
        </w:rPr>
        <w:t xml:space="preserve">This builds the case for international cooperation to start coalescing around international standards for emissions measurement, </w:t>
      </w:r>
      <w:r w:rsidR="00EF141B" w:rsidRPr="009B6E90">
        <w:rPr>
          <w:sz w:val="21"/>
          <w:szCs w:val="21"/>
        </w:rPr>
        <w:t>accounting,</w:t>
      </w:r>
      <w:r w:rsidRPr="009B6E90">
        <w:rPr>
          <w:sz w:val="21"/>
          <w:szCs w:val="21"/>
        </w:rPr>
        <w:t xml:space="preserve"> and levels of assurance.</w:t>
      </w:r>
      <w:r w:rsidR="00A75C6A" w:rsidRPr="009B6E90">
        <w:rPr>
          <w:sz w:val="21"/>
          <w:szCs w:val="21"/>
        </w:rPr>
        <w:t xml:space="preserve"> Agreed upon methodology of measuring embedded carbon could </w:t>
      </w:r>
      <w:r w:rsidR="00AB5ABA" w:rsidRPr="009B6E90">
        <w:rPr>
          <w:sz w:val="21"/>
          <w:szCs w:val="21"/>
        </w:rPr>
        <w:t xml:space="preserve">potentially </w:t>
      </w:r>
      <w:r w:rsidR="00A75C6A" w:rsidRPr="009B6E90">
        <w:rPr>
          <w:sz w:val="21"/>
          <w:szCs w:val="21"/>
        </w:rPr>
        <w:t>serve as a proxy for equivalence</w:t>
      </w:r>
      <w:proofErr w:type="gramStart"/>
      <w:r w:rsidR="00A75C6A" w:rsidRPr="009B6E90">
        <w:rPr>
          <w:sz w:val="21"/>
          <w:szCs w:val="21"/>
        </w:rPr>
        <w:t>.</w:t>
      </w:r>
      <w:r w:rsidR="00BC3F24" w:rsidRPr="009B6E90">
        <w:rPr>
          <w:sz w:val="21"/>
          <w:szCs w:val="21"/>
        </w:rPr>
        <w:t xml:space="preserve">  </w:t>
      </w:r>
      <w:proofErr w:type="gramEnd"/>
      <w:r w:rsidR="00BC3F24" w:rsidRPr="009B6E90">
        <w:rPr>
          <w:sz w:val="21"/>
          <w:szCs w:val="21"/>
        </w:rPr>
        <w:t>It</w:t>
      </w:r>
      <w:r w:rsidR="00F71D40" w:rsidRPr="009B6E90">
        <w:rPr>
          <w:sz w:val="21"/>
          <w:szCs w:val="21"/>
        </w:rPr>
        <w:t xml:space="preserve"> is welcome to note that the European Commission plans to develop secondary legislation before the end of the transitional period to design the rules and processes to </w:t>
      </w:r>
      <w:proofErr w:type="gramStart"/>
      <w:r w:rsidR="00F71D40" w:rsidRPr="009B6E90">
        <w:rPr>
          <w:sz w:val="21"/>
          <w:szCs w:val="21"/>
        </w:rPr>
        <w:t>take into account</w:t>
      </w:r>
      <w:proofErr w:type="gramEnd"/>
      <w:r w:rsidR="00F71D40" w:rsidRPr="009B6E90">
        <w:rPr>
          <w:sz w:val="21"/>
          <w:szCs w:val="21"/>
        </w:rPr>
        <w:t xml:space="preserve"> the effective carbon price paid abroad.</w:t>
      </w:r>
      <w:r w:rsidR="000968FA" w:rsidRPr="009B6E90">
        <w:rPr>
          <w:sz w:val="21"/>
          <w:szCs w:val="21"/>
        </w:rPr>
        <w:t xml:space="preserve">  </w:t>
      </w:r>
    </w:p>
    <w:p w14:paraId="621C385F" w14:textId="77777777" w:rsidR="000712F5" w:rsidRPr="009B6E90" w:rsidRDefault="000712F5" w:rsidP="009B6E90">
      <w:pPr>
        <w:spacing w:after="0" w:line="240" w:lineRule="auto"/>
        <w:contextualSpacing/>
        <w:rPr>
          <w:color w:val="000000"/>
          <w:sz w:val="21"/>
          <w:szCs w:val="21"/>
          <w:highlight w:val="yellow"/>
          <w:shd w:val="clear" w:color="auto" w:fill="FFFFFF"/>
        </w:rPr>
      </w:pPr>
    </w:p>
    <w:p w14:paraId="10AA620F" w14:textId="3D7A1C86" w:rsidR="00B65302" w:rsidRPr="009B6E90" w:rsidRDefault="00F15C34" w:rsidP="009B6E90">
      <w:pPr>
        <w:pStyle w:val="ListParagraph"/>
        <w:numPr>
          <w:ilvl w:val="0"/>
          <w:numId w:val="35"/>
        </w:numPr>
        <w:spacing w:after="0" w:line="240" w:lineRule="auto"/>
        <w:rPr>
          <w:color w:val="000000"/>
          <w:sz w:val="21"/>
          <w:szCs w:val="21"/>
          <w:shd w:val="clear" w:color="auto" w:fill="FFFFFF"/>
        </w:rPr>
      </w:pPr>
      <w:r w:rsidRPr="009B6E90">
        <w:rPr>
          <w:b/>
          <w:sz w:val="21"/>
          <w:szCs w:val="21"/>
        </w:rPr>
        <w:t xml:space="preserve">The question of </w:t>
      </w:r>
      <w:r w:rsidR="00867B13" w:rsidRPr="009B6E90">
        <w:rPr>
          <w:b/>
          <w:sz w:val="21"/>
          <w:szCs w:val="21"/>
        </w:rPr>
        <w:t xml:space="preserve">equivalence </w:t>
      </w:r>
      <w:r w:rsidR="00E056D0" w:rsidRPr="009B6E90">
        <w:rPr>
          <w:b/>
          <w:sz w:val="21"/>
          <w:szCs w:val="21"/>
        </w:rPr>
        <w:t>or difference in pricing to compensate for l</w:t>
      </w:r>
      <w:r w:rsidR="00E832F1" w:rsidRPr="009B6E90">
        <w:rPr>
          <w:b/>
          <w:sz w:val="21"/>
          <w:szCs w:val="21"/>
        </w:rPr>
        <w:t xml:space="preserve">eakage </w:t>
      </w:r>
      <w:r w:rsidR="00582346" w:rsidRPr="009B6E90">
        <w:rPr>
          <w:b/>
          <w:sz w:val="21"/>
          <w:szCs w:val="21"/>
        </w:rPr>
        <w:t xml:space="preserve">is another </w:t>
      </w:r>
      <w:r w:rsidR="00F121BD" w:rsidRPr="009B6E90">
        <w:rPr>
          <w:b/>
          <w:sz w:val="21"/>
          <w:szCs w:val="21"/>
        </w:rPr>
        <w:t>element for consideration that could pose certain challenges.</w:t>
      </w:r>
      <w:r w:rsidR="00215329" w:rsidRPr="009B6E90">
        <w:rPr>
          <w:sz w:val="21"/>
          <w:szCs w:val="21"/>
        </w:rPr>
        <w:t xml:space="preserve"> </w:t>
      </w:r>
      <w:r w:rsidR="005540FC" w:rsidRPr="009B6E90">
        <w:rPr>
          <w:sz w:val="21"/>
          <w:szCs w:val="21"/>
        </w:rPr>
        <w:t xml:space="preserve">In instances where an exporting country </w:t>
      </w:r>
      <w:r w:rsidR="00076591" w:rsidRPr="009B6E90">
        <w:rPr>
          <w:sz w:val="21"/>
          <w:szCs w:val="21"/>
        </w:rPr>
        <w:t>has</w:t>
      </w:r>
      <w:r w:rsidR="005540FC" w:rsidRPr="009B6E90">
        <w:rPr>
          <w:sz w:val="21"/>
          <w:szCs w:val="21"/>
        </w:rPr>
        <w:t xml:space="preserve"> </w:t>
      </w:r>
      <w:r w:rsidR="00C61E15" w:rsidRPr="009B6E90">
        <w:rPr>
          <w:sz w:val="21"/>
          <w:szCs w:val="21"/>
        </w:rPr>
        <w:t xml:space="preserve">a lower </w:t>
      </w:r>
      <w:r w:rsidR="0015362A" w:rsidRPr="009B6E90">
        <w:rPr>
          <w:sz w:val="21"/>
          <w:szCs w:val="21"/>
        </w:rPr>
        <w:t>carbon</w:t>
      </w:r>
      <w:r w:rsidR="00C4267D" w:rsidRPr="009B6E90">
        <w:rPr>
          <w:sz w:val="21"/>
          <w:szCs w:val="21"/>
        </w:rPr>
        <w:t xml:space="preserve"> price</w:t>
      </w:r>
      <w:r w:rsidR="00E63699" w:rsidRPr="009B6E90">
        <w:rPr>
          <w:sz w:val="21"/>
          <w:szCs w:val="21"/>
        </w:rPr>
        <w:t xml:space="preserve">, </w:t>
      </w:r>
      <w:r w:rsidR="007E5227" w:rsidRPr="009B6E90">
        <w:rPr>
          <w:sz w:val="21"/>
          <w:szCs w:val="21"/>
        </w:rPr>
        <w:t xml:space="preserve">the question arises as to whether </w:t>
      </w:r>
      <w:r w:rsidR="00076591" w:rsidRPr="009B6E90">
        <w:rPr>
          <w:sz w:val="21"/>
          <w:szCs w:val="21"/>
        </w:rPr>
        <w:t>the</w:t>
      </w:r>
      <w:r w:rsidR="00317DE9" w:rsidRPr="009B6E90">
        <w:rPr>
          <w:sz w:val="21"/>
          <w:szCs w:val="21"/>
        </w:rPr>
        <w:t xml:space="preserve"> price </w:t>
      </w:r>
      <w:r w:rsidR="003D4B2D" w:rsidRPr="009B6E90">
        <w:rPr>
          <w:sz w:val="21"/>
          <w:szCs w:val="21"/>
        </w:rPr>
        <w:t>for the BCA</w:t>
      </w:r>
      <w:r w:rsidR="00934A73" w:rsidRPr="009B6E90">
        <w:rPr>
          <w:sz w:val="21"/>
          <w:szCs w:val="21"/>
        </w:rPr>
        <w:t xml:space="preserve">, carbon tax credit or other carbon leakage mitigating instrument </w:t>
      </w:r>
      <w:r w:rsidR="000A3AF8" w:rsidRPr="009B6E90">
        <w:rPr>
          <w:sz w:val="21"/>
          <w:szCs w:val="21"/>
        </w:rPr>
        <w:t xml:space="preserve">will </w:t>
      </w:r>
      <w:r w:rsidR="00317DE9" w:rsidRPr="009B6E90">
        <w:rPr>
          <w:sz w:val="21"/>
          <w:szCs w:val="21"/>
        </w:rPr>
        <w:t xml:space="preserve">be applied </w:t>
      </w:r>
      <w:r w:rsidR="00000AEA" w:rsidRPr="009B6E90">
        <w:rPr>
          <w:sz w:val="21"/>
          <w:szCs w:val="21"/>
        </w:rPr>
        <w:t>for the difference between the</w:t>
      </w:r>
      <w:r w:rsidR="0015362A" w:rsidRPr="009B6E90">
        <w:rPr>
          <w:sz w:val="21"/>
          <w:szCs w:val="21"/>
        </w:rPr>
        <w:t xml:space="preserve"> carbon</w:t>
      </w:r>
      <w:r w:rsidR="00BC0A11" w:rsidRPr="009B6E90">
        <w:rPr>
          <w:sz w:val="21"/>
          <w:szCs w:val="21"/>
        </w:rPr>
        <w:t xml:space="preserve"> price of the </w:t>
      </w:r>
      <w:r w:rsidR="00035AEB" w:rsidRPr="009B6E90">
        <w:rPr>
          <w:sz w:val="21"/>
          <w:szCs w:val="21"/>
        </w:rPr>
        <w:t>importing and exporting country; or w</w:t>
      </w:r>
      <w:r w:rsidR="00005734" w:rsidRPr="009B6E90">
        <w:rPr>
          <w:sz w:val="21"/>
          <w:szCs w:val="21"/>
        </w:rPr>
        <w:t xml:space="preserve">ill </w:t>
      </w:r>
      <w:r w:rsidR="00A61779" w:rsidRPr="009B6E90">
        <w:rPr>
          <w:sz w:val="21"/>
          <w:szCs w:val="21"/>
        </w:rPr>
        <w:t>considerations</w:t>
      </w:r>
      <w:r w:rsidR="003C4ED0" w:rsidRPr="009B6E90">
        <w:rPr>
          <w:sz w:val="21"/>
          <w:szCs w:val="21"/>
        </w:rPr>
        <w:t xml:space="preserve"> be given</w:t>
      </w:r>
      <w:r w:rsidR="00A61779" w:rsidRPr="009B6E90">
        <w:rPr>
          <w:sz w:val="21"/>
          <w:szCs w:val="21"/>
        </w:rPr>
        <w:t xml:space="preserve"> </w:t>
      </w:r>
      <w:r w:rsidR="00955F74" w:rsidRPr="009B6E90">
        <w:rPr>
          <w:sz w:val="21"/>
          <w:szCs w:val="21"/>
        </w:rPr>
        <w:t xml:space="preserve">where the exporting country price </w:t>
      </w:r>
      <w:r w:rsidR="00AB0310" w:rsidRPr="009B6E90">
        <w:rPr>
          <w:sz w:val="21"/>
          <w:szCs w:val="21"/>
        </w:rPr>
        <w:t>could be</w:t>
      </w:r>
      <w:r w:rsidR="00955F74" w:rsidRPr="009B6E90">
        <w:rPr>
          <w:sz w:val="21"/>
          <w:szCs w:val="21"/>
        </w:rPr>
        <w:t xml:space="preserve"> considered sufficient</w:t>
      </w:r>
      <w:r w:rsidR="009A40C4" w:rsidRPr="009B6E90">
        <w:rPr>
          <w:sz w:val="21"/>
          <w:szCs w:val="21"/>
        </w:rPr>
        <w:t xml:space="preserve"> vis-à-vis </w:t>
      </w:r>
      <w:r w:rsidR="00587730" w:rsidRPr="009B6E90">
        <w:rPr>
          <w:sz w:val="21"/>
          <w:szCs w:val="21"/>
        </w:rPr>
        <w:t xml:space="preserve">the </w:t>
      </w:r>
      <w:r w:rsidR="00925C85" w:rsidRPr="009B6E90">
        <w:rPr>
          <w:sz w:val="21"/>
          <w:szCs w:val="21"/>
        </w:rPr>
        <w:t>abilit</w:t>
      </w:r>
      <w:r w:rsidR="00606DF2" w:rsidRPr="009B6E90">
        <w:rPr>
          <w:sz w:val="21"/>
          <w:szCs w:val="21"/>
        </w:rPr>
        <w:t>y</w:t>
      </w:r>
      <w:r w:rsidR="00E024D4" w:rsidRPr="009B6E90">
        <w:rPr>
          <w:sz w:val="21"/>
          <w:szCs w:val="21"/>
        </w:rPr>
        <w:t xml:space="preserve">/limitations of that country to </w:t>
      </w:r>
      <w:r w:rsidR="00785369" w:rsidRPr="009B6E90">
        <w:rPr>
          <w:sz w:val="21"/>
          <w:szCs w:val="21"/>
        </w:rPr>
        <w:t xml:space="preserve">effect a higher </w:t>
      </w:r>
      <w:r w:rsidR="0015362A" w:rsidRPr="009B6E90">
        <w:rPr>
          <w:sz w:val="21"/>
          <w:szCs w:val="21"/>
        </w:rPr>
        <w:t>carbon</w:t>
      </w:r>
      <w:r w:rsidR="00785369" w:rsidRPr="009B6E90">
        <w:rPr>
          <w:sz w:val="21"/>
          <w:szCs w:val="21"/>
        </w:rPr>
        <w:t xml:space="preserve"> price</w:t>
      </w:r>
      <w:r w:rsidR="00946A98" w:rsidRPr="009B6E90">
        <w:rPr>
          <w:sz w:val="21"/>
          <w:szCs w:val="21"/>
        </w:rPr>
        <w:t>; particularly in developing countries</w:t>
      </w:r>
      <w:r w:rsidR="001A65C0" w:rsidRPr="009B6E90">
        <w:rPr>
          <w:sz w:val="21"/>
          <w:szCs w:val="21"/>
        </w:rPr>
        <w:t xml:space="preserve">? </w:t>
      </w:r>
      <w:r w:rsidR="00F81166" w:rsidRPr="009B6E90">
        <w:rPr>
          <w:sz w:val="21"/>
          <w:szCs w:val="21"/>
        </w:rPr>
        <w:t xml:space="preserve">In this respect </w:t>
      </w:r>
      <w:r w:rsidR="001A65C0" w:rsidRPr="009B6E90">
        <w:rPr>
          <w:sz w:val="21"/>
          <w:szCs w:val="21"/>
        </w:rPr>
        <w:t xml:space="preserve">options are </w:t>
      </w:r>
      <w:proofErr w:type="gramStart"/>
      <w:r w:rsidR="000452CD" w:rsidRPr="009B6E90">
        <w:rPr>
          <w:sz w:val="21"/>
          <w:szCs w:val="21"/>
        </w:rPr>
        <w:t xml:space="preserve">being </w:t>
      </w:r>
      <w:r w:rsidR="001A65C0" w:rsidRPr="009B6E90">
        <w:rPr>
          <w:sz w:val="21"/>
          <w:szCs w:val="21"/>
        </w:rPr>
        <w:t>considered</w:t>
      </w:r>
      <w:proofErr w:type="gramEnd"/>
      <w:r w:rsidR="00E23A2F" w:rsidRPr="009B6E90">
        <w:rPr>
          <w:sz w:val="21"/>
          <w:szCs w:val="21"/>
        </w:rPr>
        <w:t xml:space="preserve"> </w:t>
      </w:r>
      <w:r w:rsidR="00062E88" w:rsidRPr="009B6E90">
        <w:rPr>
          <w:sz w:val="21"/>
          <w:szCs w:val="21"/>
        </w:rPr>
        <w:t xml:space="preserve">to provide for an export levy </w:t>
      </w:r>
      <w:r w:rsidR="00061EE2" w:rsidRPr="009B6E90">
        <w:rPr>
          <w:sz w:val="21"/>
          <w:szCs w:val="21"/>
        </w:rPr>
        <w:t>on producers</w:t>
      </w:r>
      <w:r w:rsidR="008C2697" w:rsidRPr="009B6E90">
        <w:rPr>
          <w:sz w:val="21"/>
          <w:szCs w:val="21"/>
        </w:rPr>
        <w:t>, as an equivalent on the export.</w:t>
      </w:r>
      <w:r w:rsidR="00492027" w:rsidRPr="009B6E90">
        <w:rPr>
          <w:sz w:val="21"/>
          <w:szCs w:val="21"/>
        </w:rPr>
        <w:t xml:space="preserve"> Relatedly, questions have been raised as to whether other countries should be compelled to introduce a higher carbon price </w:t>
      </w:r>
      <w:r w:rsidR="0085124C" w:rsidRPr="009B6E90">
        <w:rPr>
          <w:sz w:val="21"/>
          <w:szCs w:val="21"/>
        </w:rPr>
        <w:t>[</w:t>
      </w:r>
      <w:r w:rsidR="00562ACA" w:rsidRPr="009B6E90">
        <w:rPr>
          <w:sz w:val="21"/>
          <w:szCs w:val="21"/>
        </w:rPr>
        <w:t xml:space="preserve">e.g. </w:t>
      </w:r>
      <w:r w:rsidR="001A00EC" w:rsidRPr="009B6E90">
        <w:rPr>
          <w:sz w:val="21"/>
          <w:szCs w:val="21"/>
        </w:rPr>
        <w:t>for allowances</w:t>
      </w:r>
      <w:r w:rsidR="00B6474F" w:rsidRPr="009B6E90">
        <w:rPr>
          <w:sz w:val="21"/>
          <w:szCs w:val="21"/>
        </w:rPr>
        <w:t xml:space="preserve"> in compliance</w:t>
      </w:r>
      <w:r w:rsidR="00562ACA" w:rsidRPr="009B6E90">
        <w:rPr>
          <w:sz w:val="21"/>
          <w:szCs w:val="21"/>
        </w:rPr>
        <w:t xml:space="preserve"> schemes</w:t>
      </w:r>
      <w:r w:rsidR="0085124C" w:rsidRPr="009B6E90">
        <w:rPr>
          <w:sz w:val="21"/>
          <w:szCs w:val="21"/>
        </w:rPr>
        <w:t>]</w:t>
      </w:r>
      <w:r w:rsidR="001A00EC" w:rsidRPr="009B6E90">
        <w:rPr>
          <w:sz w:val="21"/>
          <w:szCs w:val="21"/>
        </w:rPr>
        <w:t xml:space="preserve"> </w:t>
      </w:r>
      <w:r w:rsidR="00492027" w:rsidRPr="009B6E90">
        <w:rPr>
          <w:sz w:val="21"/>
          <w:szCs w:val="21"/>
        </w:rPr>
        <w:t xml:space="preserve">if they are not a high emitting country and contribute a </w:t>
      </w:r>
      <w:proofErr w:type="gramStart"/>
      <w:r w:rsidR="00492027" w:rsidRPr="009B6E90">
        <w:rPr>
          <w:sz w:val="21"/>
          <w:szCs w:val="21"/>
        </w:rPr>
        <w:t>relatively small</w:t>
      </w:r>
      <w:proofErr w:type="gramEnd"/>
      <w:r w:rsidR="00492027" w:rsidRPr="009B6E90">
        <w:rPr>
          <w:sz w:val="21"/>
          <w:szCs w:val="21"/>
        </w:rPr>
        <w:t xml:space="preserve"> percentage to global emissions.</w:t>
      </w:r>
    </w:p>
    <w:p w14:paraId="3A5839EA" w14:textId="77777777" w:rsidR="00A27B53" w:rsidRPr="009B6E90" w:rsidRDefault="00A27B53" w:rsidP="009B6E90">
      <w:pPr>
        <w:pStyle w:val="ListParagraph"/>
        <w:spacing w:after="0" w:line="240" w:lineRule="auto"/>
        <w:rPr>
          <w:sz w:val="21"/>
          <w:szCs w:val="21"/>
          <w:highlight w:val="yellow"/>
        </w:rPr>
      </w:pPr>
    </w:p>
    <w:p w14:paraId="2741C063" w14:textId="238417F7" w:rsidR="001E07FB" w:rsidRPr="009B6E90" w:rsidRDefault="001E07FB" w:rsidP="009B6E90">
      <w:pPr>
        <w:pStyle w:val="ListParagraph"/>
        <w:numPr>
          <w:ilvl w:val="0"/>
          <w:numId w:val="35"/>
        </w:numPr>
        <w:spacing w:after="0" w:line="240" w:lineRule="auto"/>
        <w:rPr>
          <w:sz w:val="21"/>
          <w:szCs w:val="21"/>
        </w:rPr>
      </w:pPr>
      <w:r w:rsidRPr="009B6E90">
        <w:rPr>
          <w:b/>
          <w:bCs/>
          <w:sz w:val="21"/>
          <w:szCs w:val="21"/>
        </w:rPr>
        <w:t>Instruments addressing carbon leakage should consider and address the risk of fraud</w:t>
      </w:r>
      <w:proofErr w:type="gramStart"/>
      <w:r w:rsidRPr="009B6E90">
        <w:rPr>
          <w:b/>
          <w:bCs/>
          <w:sz w:val="21"/>
          <w:szCs w:val="21"/>
        </w:rPr>
        <w:t xml:space="preserve">.  </w:t>
      </w:r>
      <w:proofErr w:type="gramEnd"/>
      <w:r w:rsidRPr="009B6E90">
        <w:rPr>
          <w:sz w:val="21"/>
          <w:szCs w:val="21"/>
        </w:rPr>
        <w:t xml:space="preserve">The risk of regulatory circumvention exists, which could result in products with a significantly high carbon footprint being imported into the </w:t>
      </w:r>
      <w:proofErr w:type="gramStart"/>
      <w:r w:rsidRPr="009B6E90">
        <w:rPr>
          <w:sz w:val="21"/>
          <w:szCs w:val="21"/>
        </w:rPr>
        <w:t>jurisdiction</w:t>
      </w:r>
      <w:proofErr w:type="gramEnd"/>
      <w:r w:rsidRPr="009B6E90">
        <w:rPr>
          <w:sz w:val="21"/>
          <w:szCs w:val="21"/>
        </w:rPr>
        <w:t xml:space="preserve"> that established </w:t>
      </w:r>
      <w:r w:rsidR="00B74548" w:rsidRPr="009B6E90">
        <w:rPr>
          <w:sz w:val="21"/>
          <w:szCs w:val="21"/>
        </w:rPr>
        <w:t>e.g.,</w:t>
      </w:r>
      <w:r w:rsidRPr="009B6E90">
        <w:rPr>
          <w:sz w:val="21"/>
          <w:szCs w:val="21"/>
        </w:rPr>
        <w:t xml:space="preserve"> the BCA as low-carbon products. A number of European manufacturers have already brought to the attention of the European regulator that </w:t>
      </w:r>
      <w:proofErr w:type="gramStart"/>
      <w:r w:rsidRPr="009B6E90">
        <w:rPr>
          <w:sz w:val="21"/>
          <w:szCs w:val="21"/>
        </w:rPr>
        <w:t>as a result of</w:t>
      </w:r>
      <w:proofErr w:type="gramEnd"/>
      <w:r w:rsidRPr="009B6E90">
        <w:rPr>
          <w:sz w:val="21"/>
          <w:szCs w:val="21"/>
        </w:rPr>
        <w:t xml:space="preserve"> the introduction of CBAM, a loophole may arise that will encourage manufacturers from other countries to recycle products with a high carbon footprint and import them, therefore bypassing regulations. </w:t>
      </w:r>
    </w:p>
    <w:p w14:paraId="207E6936" w14:textId="77777777" w:rsidR="001E07FB" w:rsidRPr="009B6E90" w:rsidRDefault="001E07FB" w:rsidP="009B6E90">
      <w:pPr>
        <w:spacing w:after="0" w:line="240" w:lineRule="auto"/>
        <w:contextualSpacing/>
        <w:rPr>
          <w:sz w:val="21"/>
          <w:szCs w:val="21"/>
        </w:rPr>
      </w:pPr>
    </w:p>
    <w:p w14:paraId="50E999F6" w14:textId="77777777" w:rsidR="00A1252F" w:rsidRPr="009B6E90" w:rsidRDefault="006F2ED1" w:rsidP="009B6E90">
      <w:pPr>
        <w:pStyle w:val="ListParagraph"/>
        <w:numPr>
          <w:ilvl w:val="1"/>
          <w:numId w:val="35"/>
        </w:numPr>
        <w:spacing w:after="0" w:line="240" w:lineRule="auto"/>
        <w:ind w:left="720"/>
        <w:rPr>
          <w:sz w:val="21"/>
          <w:szCs w:val="21"/>
        </w:rPr>
      </w:pPr>
      <w:r w:rsidRPr="009B6E90">
        <w:rPr>
          <w:b/>
          <w:bCs/>
          <w:sz w:val="21"/>
          <w:szCs w:val="21"/>
        </w:rPr>
        <w:t xml:space="preserve">Specifically for </w:t>
      </w:r>
      <w:r w:rsidR="0001477C" w:rsidRPr="009B6E90">
        <w:rPr>
          <w:b/>
          <w:bCs/>
          <w:sz w:val="21"/>
          <w:szCs w:val="21"/>
        </w:rPr>
        <w:t>border carbon adjustments</w:t>
      </w:r>
      <w:r w:rsidRPr="009B6E90">
        <w:rPr>
          <w:sz w:val="21"/>
          <w:szCs w:val="21"/>
        </w:rPr>
        <w:t xml:space="preserve">, </w:t>
      </w:r>
      <w:r w:rsidR="6648CEF8" w:rsidRPr="009B6E90">
        <w:rPr>
          <w:sz w:val="21"/>
          <w:szCs w:val="21"/>
        </w:rPr>
        <w:t>a</w:t>
      </w:r>
      <w:r w:rsidR="00A22ED9" w:rsidRPr="009B6E90">
        <w:rPr>
          <w:sz w:val="21"/>
          <w:szCs w:val="21"/>
        </w:rPr>
        <w:t xml:space="preserve">n </w:t>
      </w:r>
      <w:r w:rsidR="003B4469" w:rsidRPr="009B6E90">
        <w:rPr>
          <w:sz w:val="21"/>
          <w:szCs w:val="21"/>
        </w:rPr>
        <w:t>IMF Working Paper: Border Carbon Adjustments: Rationale, Design and Impact</w:t>
      </w:r>
      <w:r w:rsidR="00FB6925" w:rsidRPr="009B6E90">
        <w:rPr>
          <w:sz w:val="21"/>
          <w:szCs w:val="21"/>
        </w:rPr>
        <w:t xml:space="preserve"> (</w:t>
      </w:r>
      <w:r w:rsidR="003B4469" w:rsidRPr="009B6E90">
        <w:rPr>
          <w:sz w:val="21"/>
          <w:szCs w:val="21"/>
        </w:rPr>
        <w:t>2021)</w:t>
      </w:r>
      <w:r w:rsidR="00FF03D6" w:rsidRPr="009B6E90">
        <w:rPr>
          <w:sz w:val="21"/>
          <w:szCs w:val="21"/>
        </w:rPr>
        <w:t xml:space="preserve">, </w:t>
      </w:r>
      <w:r w:rsidR="00B03183" w:rsidRPr="009B6E90">
        <w:rPr>
          <w:sz w:val="21"/>
          <w:szCs w:val="21"/>
        </w:rPr>
        <w:t xml:space="preserve">provides an </w:t>
      </w:r>
      <w:r w:rsidR="00B74548" w:rsidRPr="009B6E90">
        <w:rPr>
          <w:sz w:val="21"/>
          <w:szCs w:val="21"/>
        </w:rPr>
        <w:t>overview on</w:t>
      </w:r>
      <w:r w:rsidR="00B03183" w:rsidRPr="009B6E90">
        <w:rPr>
          <w:sz w:val="21"/>
          <w:szCs w:val="21"/>
        </w:rPr>
        <w:t xml:space="preserve"> design choices for BCA</w:t>
      </w:r>
      <w:r w:rsidR="00C740EE" w:rsidRPr="009B6E90">
        <w:rPr>
          <w:sz w:val="21"/>
          <w:szCs w:val="21"/>
        </w:rPr>
        <w:t xml:space="preserve"> and outlines </w:t>
      </w:r>
      <w:r w:rsidR="00172C86" w:rsidRPr="009B6E90">
        <w:rPr>
          <w:sz w:val="21"/>
          <w:szCs w:val="21"/>
        </w:rPr>
        <w:t>the in</w:t>
      </w:r>
      <w:r w:rsidR="00EE710C" w:rsidRPr="009B6E90">
        <w:rPr>
          <w:sz w:val="21"/>
          <w:szCs w:val="21"/>
        </w:rPr>
        <w:t xml:space="preserve">herent fiscal incentive </w:t>
      </w:r>
      <w:r w:rsidR="00225A59" w:rsidRPr="009B6E90">
        <w:rPr>
          <w:sz w:val="21"/>
          <w:szCs w:val="21"/>
        </w:rPr>
        <w:t xml:space="preserve">in any BCA </w:t>
      </w:r>
      <w:r w:rsidR="00EE710C" w:rsidRPr="009B6E90">
        <w:rPr>
          <w:sz w:val="21"/>
          <w:szCs w:val="21"/>
        </w:rPr>
        <w:t>for trading partners to impose some carbon pricing</w:t>
      </w:r>
      <w:r w:rsidR="00492027" w:rsidRPr="009B6E90">
        <w:rPr>
          <w:sz w:val="21"/>
          <w:szCs w:val="21"/>
        </w:rPr>
        <w:t>,</w:t>
      </w:r>
      <w:r w:rsidR="00EE2E56" w:rsidRPr="009B6E90">
        <w:rPr>
          <w:sz w:val="21"/>
          <w:szCs w:val="21"/>
        </w:rPr>
        <w:t xml:space="preserve"> </w:t>
      </w:r>
      <w:r w:rsidR="00CE3F75" w:rsidRPr="009B6E90">
        <w:rPr>
          <w:sz w:val="21"/>
          <w:szCs w:val="21"/>
        </w:rPr>
        <w:t>noting</w:t>
      </w:r>
      <w:r w:rsidR="00492027" w:rsidRPr="009B6E90">
        <w:rPr>
          <w:sz w:val="21"/>
          <w:szCs w:val="21"/>
        </w:rPr>
        <w:t xml:space="preserve"> that the </w:t>
      </w:r>
      <w:r w:rsidR="00EE710C" w:rsidRPr="009B6E90">
        <w:rPr>
          <w:sz w:val="21"/>
          <w:szCs w:val="21"/>
        </w:rPr>
        <w:t>incentive appears modest given the small shares of emissions in trade flows</w:t>
      </w:r>
      <w:r w:rsidR="00492027" w:rsidRPr="009B6E90">
        <w:rPr>
          <w:sz w:val="21"/>
          <w:szCs w:val="21"/>
        </w:rPr>
        <w:t>.</w:t>
      </w:r>
      <w:r w:rsidR="00F864B2" w:rsidRPr="009B6E90">
        <w:rPr>
          <w:sz w:val="21"/>
          <w:szCs w:val="21"/>
        </w:rPr>
        <w:t xml:space="preserve"> </w:t>
      </w:r>
    </w:p>
    <w:p w14:paraId="04D6FA76" w14:textId="77777777" w:rsidR="00A1252F" w:rsidRPr="009B6E90" w:rsidRDefault="00A1252F" w:rsidP="009B6E90">
      <w:pPr>
        <w:pStyle w:val="ListParagraph"/>
        <w:spacing w:after="0" w:line="240" w:lineRule="auto"/>
        <w:rPr>
          <w:sz w:val="21"/>
          <w:szCs w:val="21"/>
        </w:rPr>
      </w:pPr>
    </w:p>
    <w:p w14:paraId="715114D9" w14:textId="77777777" w:rsidR="00A1252F" w:rsidRPr="009B6E90" w:rsidRDefault="00086BEB" w:rsidP="009B6E90">
      <w:pPr>
        <w:pStyle w:val="ListParagraph"/>
        <w:spacing w:after="0" w:line="240" w:lineRule="auto"/>
        <w:rPr>
          <w:sz w:val="21"/>
          <w:szCs w:val="21"/>
        </w:rPr>
      </w:pPr>
      <w:r w:rsidRPr="009B6E90">
        <w:rPr>
          <w:sz w:val="21"/>
          <w:szCs w:val="21"/>
        </w:rPr>
        <w:t>It further notes that whilst B</w:t>
      </w:r>
      <w:r w:rsidR="00DC13F2" w:rsidRPr="009B6E90">
        <w:rPr>
          <w:sz w:val="21"/>
          <w:szCs w:val="21"/>
        </w:rPr>
        <w:t>CAs are initially</w:t>
      </w:r>
      <w:r w:rsidR="003B4469" w:rsidRPr="009B6E90">
        <w:rPr>
          <w:sz w:val="21"/>
          <w:szCs w:val="21"/>
        </w:rPr>
        <w:t xml:space="preserve"> </w:t>
      </w:r>
      <w:r w:rsidR="00DC13F2" w:rsidRPr="009B6E90">
        <w:rPr>
          <w:sz w:val="21"/>
          <w:szCs w:val="21"/>
        </w:rPr>
        <w:t>introduced unilaterally, countries may subsequently coordinate to create border free trading zones</w:t>
      </w:r>
      <w:r w:rsidRPr="009B6E90">
        <w:rPr>
          <w:sz w:val="21"/>
          <w:szCs w:val="21"/>
        </w:rPr>
        <w:t xml:space="preserve"> </w:t>
      </w:r>
      <w:r w:rsidR="00DC13F2" w:rsidRPr="009B6E90">
        <w:rPr>
          <w:sz w:val="21"/>
          <w:szCs w:val="21"/>
        </w:rPr>
        <w:t xml:space="preserve">with a common external </w:t>
      </w:r>
      <w:r w:rsidR="00DC13F2" w:rsidRPr="009B6E90">
        <w:rPr>
          <w:sz w:val="21"/>
          <w:szCs w:val="21"/>
        </w:rPr>
        <w:lastRenderedPageBreak/>
        <w:t xml:space="preserve">charge, which may </w:t>
      </w:r>
      <w:proofErr w:type="gramStart"/>
      <w:r w:rsidR="00DC13F2" w:rsidRPr="009B6E90">
        <w:rPr>
          <w:sz w:val="21"/>
          <w:szCs w:val="21"/>
        </w:rPr>
        <w:t>ultimately lead</w:t>
      </w:r>
      <w:proofErr w:type="gramEnd"/>
      <w:r w:rsidR="00DC13F2" w:rsidRPr="009B6E90">
        <w:rPr>
          <w:sz w:val="21"/>
          <w:szCs w:val="21"/>
        </w:rPr>
        <w:t xml:space="preserve"> to more formal and comprehensive</w:t>
      </w:r>
      <w:r w:rsidRPr="009B6E90">
        <w:rPr>
          <w:sz w:val="21"/>
          <w:szCs w:val="21"/>
        </w:rPr>
        <w:t xml:space="preserve"> </w:t>
      </w:r>
      <w:r w:rsidR="00DC13F2" w:rsidRPr="009B6E90">
        <w:rPr>
          <w:sz w:val="21"/>
          <w:szCs w:val="21"/>
        </w:rPr>
        <w:t>arrangements for coordinating over carbon pricing.</w:t>
      </w:r>
      <w:r w:rsidR="00A1252F" w:rsidRPr="009B6E90">
        <w:rPr>
          <w:sz w:val="21"/>
          <w:szCs w:val="21"/>
        </w:rPr>
        <w:t xml:space="preserve"> </w:t>
      </w:r>
    </w:p>
    <w:p w14:paraId="78D9DD05" w14:textId="77777777" w:rsidR="00A1252F" w:rsidRPr="009B6E90" w:rsidRDefault="00A1252F" w:rsidP="009B6E90">
      <w:pPr>
        <w:pStyle w:val="ListParagraph"/>
        <w:spacing w:after="0" w:line="240" w:lineRule="auto"/>
        <w:rPr>
          <w:sz w:val="21"/>
          <w:szCs w:val="21"/>
        </w:rPr>
      </w:pPr>
    </w:p>
    <w:p w14:paraId="5F907D24" w14:textId="4E99AEF5" w:rsidR="008F0F8F" w:rsidRPr="009B6E90" w:rsidRDefault="00F32AAB" w:rsidP="009B6E90">
      <w:pPr>
        <w:pStyle w:val="ListParagraph"/>
        <w:spacing w:after="0" w:line="240" w:lineRule="auto"/>
        <w:rPr>
          <w:sz w:val="21"/>
          <w:szCs w:val="21"/>
        </w:rPr>
      </w:pPr>
      <w:r w:rsidRPr="009B6E90">
        <w:rPr>
          <w:sz w:val="21"/>
          <w:szCs w:val="21"/>
        </w:rPr>
        <w:t>It suggests that a</w:t>
      </w:r>
      <w:r w:rsidR="00DC13F2" w:rsidRPr="009B6E90">
        <w:rPr>
          <w:sz w:val="21"/>
          <w:szCs w:val="21"/>
        </w:rPr>
        <w:t xml:space="preserve"> BCA in combination with other incentives could promote participation in an international</w:t>
      </w:r>
      <w:r w:rsidR="00086BEB" w:rsidRPr="009B6E90">
        <w:rPr>
          <w:sz w:val="21"/>
          <w:szCs w:val="21"/>
        </w:rPr>
        <w:t xml:space="preserve"> </w:t>
      </w:r>
      <w:r w:rsidR="00DC13F2" w:rsidRPr="009B6E90">
        <w:rPr>
          <w:sz w:val="21"/>
          <w:szCs w:val="21"/>
        </w:rPr>
        <w:t xml:space="preserve">carbon price floor </w:t>
      </w:r>
      <w:r w:rsidR="00AE40DA" w:rsidRPr="009B6E90">
        <w:rPr>
          <w:sz w:val="21"/>
          <w:szCs w:val="21"/>
        </w:rPr>
        <w:t xml:space="preserve">(ICPF) </w:t>
      </w:r>
      <w:r w:rsidR="00DC13F2" w:rsidRPr="009B6E90">
        <w:rPr>
          <w:sz w:val="21"/>
          <w:szCs w:val="21"/>
        </w:rPr>
        <w:t>arrangement among large emitting countries</w:t>
      </w:r>
      <w:r w:rsidR="12173AEB" w:rsidRPr="009B6E90">
        <w:rPr>
          <w:sz w:val="21"/>
          <w:szCs w:val="21"/>
        </w:rPr>
        <w:t xml:space="preserve">, with the </w:t>
      </w:r>
      <w:r w:rsidR="00DC13F2" w:rsidRPr="009B6E90">
        <w:rPr>
          <w:sz w:val="21"/>
          <w:szCs w:val="21"/>
        </w:rPr>
        <w:t>purpose to facilitate a scaling up of global carbon pricing (or equivalent measures) through</w:t>
      </w:r>
      <w:r w:rsidR="00276268" w:rsidRPr="009B6E90">
        <w:rPr>
          <w:sz w:val="21"/>
          <w:szCs w:val="21"/>
        </w:rPr>
        <w:t xml:space="preserve"> </w:t>
      </w:r>
      <w:r w:rsidR="00DC13F2" w:rsidRPr="009B6E90">
        <w:rPr>
          <w:sz w:val="21"/>
          <w:szCs w:val="21"/>
        </w:rPr>
        <w:t>coordinated action to address free-rider and competitiveness obstacles that hamper countries when</w:t>
      </w:r>
      <w:r w:rsidR="003B4469" w:rsidRPr="009B6E90">
        <w:rPr>
          <w:sz w:val="21"/>
          <w:szCs w:val="21"/>
        </w:rPr>
        <w:t xml:space="preserve"> </w:t>
      </w:r>
      <w:r w:rsidR="00DC13F2" w:rsidRPr="009B6E90">
        <w:rPr>
          <w:sz w:val="21"/>
          <w:szCs w:val="21"/>
        </w:rPr>
        <w:t>they act unilaterally</w:t>
      </w:r>
      <w:r w:rsidR="3E0C8F12" w:rsidRPr="009B6E90">
        <w:rPr>
          <w:sz w:val="21"/>
          <w:szCs w:val="21"/>
        </w:rPr>
        <w:t xml:space="preserve">. </w:t>
      </w:r>
      <w:r w:rsidR="00E81B11" w:rsidRPr="009B6E90">
        <w:rPr>
          <w:sz w:val="21"/>
          <w:szCs w:val="21"/>
        </w:rPr>
        <w:t xml:space="preserve"> </w:t>
      </w:r>
    </w:p>
    <w:p w14:paraId="0D6B1401" w14:textId="77777777" w:rsidR="00B71B55" w:rsidRPr="009B6E90" w:rsidRDefault="00B71B55" w:rsidP="009B6E90">
      <w:pPr>
        <w:pStyle w:val="ListParagraph"/>
        <w:spacing w:after="0" w:line="240" w:lineRule="auto"/>
        <w:rPr>
          <w:sz w:val="21"/>
          <w:szCs w:val="21"/>
          <w:highlight w:val="yellow"/>
        </w:rPr>
      </w:pPr>
    </w:p>
    <w:p w14:paraId="6032C0A6" w14:textId="77777777" w:rsidR="00551230" w:rsidRPr="009B6E90" w:rsidRDefault="00B71B55" w:rsidP="009B6E90">
      <w:pPr>
        <w:pStyle w:val="ListParagraph"/>
        <w:numPr>
          <w:ilvl w:val="0"/>
          <w:numId w:val="35"/>
        </w:numPr>
        <w:spacing w:after="0" w:line="240" w:lineRule="auto"/>
        <w:rPr>
          <w:sz w:val="21"/>
          <w:szCs w:val="21"/>
          <w:lang w:val="en-US"/>
        </w:rPr>
      </w:pPr>
      <w:r w:rsidRPr="009B6E90">
        <w:rPr>
          <w:b/>
          <w:bCs/>
          <w:sz w:val="21"/>
          <w:szCs w:val="21"/>
        </w:rPr>
        <w:t>Specifically with respect to Output-Based Pricing Systems</w:t>
      </w:r>
      <w:r w:rsidRPr="009B6E90">
        <w:rPr>
          <w:sz w:val="21"/>
          <w:szCs w:val="21"/>
        </w:rPr>
        <w:t xml:space="preserve">, there is room for improvement with respect to optimising international alignment to enhance the effectiveness of the mechanism more broadly, and </w:t>
      </w:r>
      <w:r w:rsidRPr="009B6E90">
        <w:rPr>
          <w:b/>
          <w:sz w:val="21"/>
          <w:szCs w:val="21"/>
        </w:rPr>
        <w:t>particularly the need to further improve and strengthen the accounting and reporting framework over time and aligning it with the reporting, accounting and transparency provisions agreed under the UNFCCC and Paris Agreement.</w:t>
      </w:r>
      <w:r w:rsidR="00F14FBA" w:rsidRPr="009B6E90">
        <w:rPr>
          <w:b/>
          <w:sz w:val="21"/>
          <w:szCs w:val="21"/>
        </w:rPr>
        <w:t xml:space="preserve"> </w:t>
      </w:r>
    </w:p>
    <w:p w14:paraId="53DB9978" w14:textId="77777777" w:rsidR="00551230" w:rsidRPr="009B6E90" w:rsidRDefault="00551230" w:rsidP="009B6E90">
      <w:pPr>
        <w:pStyle w:val="ListParagraph"/>
        <w:spacing w:after="0" w:line="240" w:lineRule="auto"/>
        <w:rPr>
          <w:sz w:val="21"/>
          <w:szCs w:val="21"/>
          <w:lang w:val="en-US"/>
        </w:rPr>
      </w:pPr>
    </w:p>
    <w:p w14:paraId="2252627F" w14:textId="16158D54" w:rsidR="00B71B55" w:rsidRPr="009B6E90" w:rsidRDefault="009B2BA5" w:rsidP="009B6E90">
      <w:pPr>
        <w:pStyle w:val="ListParagraph"/>
        <w:spacing w:after="0" w:line="240" w:lineRule="auto"/>
        <w:rPr>
          <w:sz w:val="21"/>
          <w:szCs w:val="21"/>
          <w:lang w:val="en-US"/>
        </w:rPr>
      </w:pPr>
      <w:r w:rsidRPr="009B6E90">
        <w:rPr>
          <w:sz w:val="21"/>
          <w:szCs w:val="21"/>
        </w:rPr>
        <w:t xml:space="preserve">The creation of a backstop in a federal context provides clarity for economic actors operating across multiple </w:t>
      </w:r>
      <w:proofErr w:type="gramStart"/>
      <w:r w:rsidRPr="009B6E90">
        <w:rPr>
          <w:sz w:val="21"/>
          <w:szCs w:val="21"/>
        </w:rPr>
        <w:t>jurisdictions</w:t>
      </w:r>
      <w:proofErr w:type="gramEnd"/>
      <w:r w:rsidRPr="009B6E90">
        <w:rPr>
          <w:sz w:val="21"/>
          <w:szCs w:val="21"/>
        </w:rPr>
        <w:t xml:space="preserve"> of the long-term policy priority while providing flexibility for provincial approaches. However, this flexible approach could increase complexity and administrative burden for entities operating across </w:t>
      </w:r>
      <w:proofErr w:type="gramStart"/>
      <w:r w:rsidRPr="009B6E90">
        <w:rPr>
          <w:sz w:val="21"/>
          <w:szCs w:val="21"/>
        </w:rPr>
        <w:t>several</w:t>
      </w:r>
      <w:proofErr w:type="gramEnd"/>
      <w:r w:rsidRPr="009B6E90">
        <w:rPr>
          <w:sz w:val="21"/>
          <w:szCs w:val="21"/>
        </w:rPr>
        <w:t xml:space="preserve"> domestic systems, especially as these differ widely in terms of compliance costs, reporting requirements and other features. </w:t>
      </w:r>
      <w:r w:rsidRPr="009B6E90">
        <w:rPr>
          <w:sz w:val="21"/>
          <w:szCs w:val="21"/>
          <w:lang w:val="en-US"/>
        </w:rPr>
        <w:t>A list of additional literature/studies for consideration is included in Annex 1.</w:t>
      </w:r>
    </w:p>
    <w:p w14:paraId="677212C5" w14:textId="77777777" w:rsidR="00B71B55" w:rsidRPr="009B6E90" w:rsidRDefault="00B71B55" w:rsidP="009B6E90">
      <w:pPr>
        <w:pStyle w:val="ListParagraph"/>
        <w:spacing w:after="0" w:line="240" w:lineRule="auto"/>
        <w:rPr>
          <w:sz w:val="21"/>
          <w:szCs w:val="21"/>
        </w:rPr>
      </w:pPr>
    </w:p>
    <w:p w14:paraId="769823B9" w14:textId="77777777" w:rsidR="00324E94" w:rsidRPr="009B6E90" w:rsidRDefault="00324E94" w:rsidP="009B6E90">
      <w:pPr>
        <w:pStyle w:val="ListParagraph"/>
        <w:spacing w:after="0" w:line="240" w:lineRule="auto"/>
        <w:rPr>
          <w:sz w:val="21"/>
          <w:szCs w:val="21"/>
        </w:rPr>
      </w:pPr>
    </w:p>
    <w:p w14:paraId="3FDD272F" w14:textId="59D1EF60" w:rsidR="00AF6986" w:rsidRPr="009B6E90" w:rsidRDefault="00D86F15" w:rsidP="009B6E90">
      <w:pPr>
        <w:spacing w:after="0" w:line="240" w:lineRule="auto"/>
        <w:contextualSpacing/>
        <w:rPr>
          <w:sz w:val="21"/>
          <w:szCs w:val="21"/>
        </w:rPr>
      </w:pPr>
      <w:r w:rsidRPr="009B6E90">
        <w:rPr>
          <w:b/>
          <w:sz w:val="21"/>
          <w:szCs w:val="21"/>
        </w:rPr>
        <w:t>ICC highlights the need for strengthened public-private sector collaboration</w:t>
      </w:r>
      <w:r w:rsidRPr="009B6E90">
        <w:rPr>
          <w:b/>
          <w:bCs/>
          <w:sz w:val="21"/>
          <w:szCs w:val="21"/>
        </w:rPr>
        <w:t xml:space="preserve"> as well as</w:t>
      </w:r>
      <w:r w:rsidRPr="009B6E90">
        <w:rPr>
          <w:b/>
          <w:sz w:val="21"/>
          <w:szCs w:val="21"/>
        </w:rPr>
        <w:t xml:space="preserve"> greater clarity and comprehensive guidance.</w:t>
      </w:r>
      <w:r w:rsidRPr="009B6E90">
        <w:rPr>
          <w:sz w:val="21"/>
          <w:szCs w:val="21"/>
        </w:rPr>
        <w:t xml:space="preserve"> In line with our principles, allowing for sufficient lead time to start implementation also needs to </w:t>
      </w:r>
      <w:proofErr w:type="gramStart"/>
      <w:r w:rsidRPr="009B6E90">
        <w:rPr>
          <w:sz w:val="21"/>
          <w:szCs w:val="21"/>
        </w:rPr>
        <w:t>be considered</w:t>
      </w:r>
      <w:proofErr w:type="gramEnd"/>
      <w:r w:rsidRPr="009B6E90">
        <w:rPr>
          <w:sz w:val="21"/>
          <w:szCs w:val="21"/>
        </w:rPr>
        <w:t xml:space="preserve"> in this respect. </w:t>
      </w:r>
      <w:r w:rsidR="00AF6986" w:rsidRPr="009B6E90">
        <w:rPr>
          <w:sz w:val="21"/>
          <w:szCs w:val="21"/>
        </w:rPr>
        <w:t>ICC recently contributed to a consultation specifically on the implementation and operationalisation of the European Commission’s draft act for the application of Regulation (EU) 2023/956 regarding the EU CBAM.</w:t>
      </w:r>
      <w:r w:rsidR="00C100FD" w:rsidRPr="009B6E90">
        <w:rPr>
          <w:rStyle w:val="FootnoteReference"/>
          <w:sz w:val="21"/>
          <w:szCs w:val="21"/>
        </w:rPr>
        <w:footnoteReference w:id="27"/>
      </w:r>
      <w:r w:rsidR="00AF6986" w:rsidRPr="009B6E90">
        <w:rPr>
          <w:sz w:val="21"/>
          <w:szCs w:val="21"/>
        </w:rPr>
        <w:t xml:space="preserve"> ICC outlines existing challenges for businesses in implementing the Act, including entry into effect, a transitional phase, navigating uncertainty with limited visibility and lack of comprehensive guidance.</w:t>
      </w:r>
    </w:p>
    <w:p w14:paraId="4B562266" w14:textId="77777777" w:rsidR="00AF7395" w:rsidRPr="009B6E90" w:rsidRDefault="00AF7395" w:rsidP="009B6E90">
      <w:pPr>
        <w:spacing w:after="0" w:line="240" w:lineRule="auto"/>
        <w:contextualSpacing/>
        <w:rPr>
          <w:sz w:val="21"/>
          <w:szCs w:val="21"/>
          <w:lang w:val="en-US"/>
        </w:rPr>
      </w:pPr>
    </w:p>
    <w:p w14:paraId="614A9003" w14:textId="64E705F8" w:rsidR="00AF7395" w:rsidRPr="009B6E90" w:rsidRDefault="00AF7395">
      <w:pPr>
        <w:rPr>
          <w:sz w:val="21"/>
          <w:szCs w:val="21"/>
          <w:lang w:val="en-US"/>
        </w:rPr>
      </w:pPr>
      <w:r w:rsidRPr="009B6E90">
        <w:rPr>
          <w:sz w:val="21"/>
          <w:szCs w:val="21"/>
          <w:lang w:val="en-US"/>
        </w:rPr>
        <w:br w:type="page"/>
      </w:r>
    </w:p>
    <w:p w14:paraId="0DDCE3C6" w14:textId="6407421F" w:rsidR="00AF7395" w:rsidRPr="00476926" w:rsidRDefault="00910C2B" w:rsidP="00CA359D">
      <w:pPr>
        <w:pStyle w:val="ListParagraph"/>
        <w:numPr>
          <w:ilvl w:val="0"/>
          <w:numId w:val="33"/>
        </w:numPr>
        <w:spacing w:after="0" w:line="240" w:lineRule="auto"/>
        <w:rPr>
          <w:b/>
          <w:bCs/>
          <w:color w:val="003594" w:themeColor="accent1"/>
          <w:sz w:val="32"/>
          <w:szCs w:val="32"/>
          <w:lang w:val="en-US"/>
        </w:rPr>
      </w:pPr>
      <w:r w:rsidRPr="00476926">
        <w:rPr>
          <w:b/>
          <w:bCs/>
          <w:color w:val="003594" w:themeColor="accent1"/>
          <w:sz w:val="32"/>
          <w:szCs w:val="32"/>
          <w:lang w:val="en-US"/>
        </w:rPr>
        <w:lastRenderedPageBreak/>
        <w:t>Carbon Linkage</w:t>
      </w:r>
    </w:p>
    <w:p w14:paraId="48A78CD6" w14:textId="77777777" w:rsidR="0039188E" w:rsidRPr="00123805" w:rsidRDefault="0039188E" w:rsidP="0039188E">
      <w:pPr>
        <w:spacing w:after="0" w:line="240" w:lineRule="auto"/>
        <w:rPr>
          <w:sz w:val="21"/>
          <w:szCs w:val="21"/>
        </w:rPr>
      </w:pPr>
    </w:p>
    <w:p w14:paraId="01521CA9" w14:textId="0BD8FDB2" w:rsidR="006C52A8" w:rsidRPr="00412CAF" w:rsidRDefault="0029689E" w:rsidP="00412CAF">
      <w:pPr>
        <w:spacing w:after="0" w:line="240" w:lineRule="auto"/>
        <w:rPr>
          <w:sz w:val="21"/>
          <w:szCs w:val="21"/>
        </w:rPr>
      </w:pPr>
      <w:r w:rsidRPr="00412CAF">
        <w:rPr>
          <w:sz w:val="21"/>
          <w:szCs w:val="21"/>
        </w:rPr>
        <w:t>National</w:t>
      </w:r>
      <w:r w:rsidR="00191FEC" w:rsidRPr="00412CAF">
        <w:rPr>
          <w:sz w:val="21"/>
          <w:szCs w:val="21"/>
        </w:rPr>
        <w:t xml:space="preserve"> </w:t>
      </w:r>
      <w:r w:rsidR="0044088A" w:rsidRPr="00412CAF">
        <w:rPr>
          <w:sz w:val="21"/>
          <w:szCs w:val="21"/>
        </w:rPr>
        <w:t>legal, regulatory and policy frameworks for carbon pricing market mechanisms should consider (i) l</w:t>
      </w:r>
      <w:r w:rsidR="00910C2B" w:rsidRPr="00412CAF">
        <w:rPr>
          <w:sz w:val="21"/>
          <w:szCs w:val="21"/>
        </w:rPr>
        <w:t>inkage</w:t>
      </w:r>
      <w:r w:rsidR="0044088A" w:rsidRPr="00412CAF">
        <w:rPr>
          <w:sz w:val="21"/>
          <w:szCs w:val="21"/>
        </w:rPr>
        <w:t xml:space="preserve"> across national and sub-national compliance mechanisms to prevent GHG emissions leakage between </w:t>
      </w:r>
      <w:r w:rsidR="00790D97" w:rsidRPr="00412CAF">
        <w:rPr>
          <w:sz w:val="21"/>
          <w:szCs w:val="21"/>
        </w:rPr>
        <w:t>countries</w:t>
      </w:r>
      <w:r w:rsidR="0044088A" w:rsidRPr="00412CAF">
        <w:rPr>
          <w:sz w:val="21"/>
          <w:szCs w:val="21"/>
        </w:rPr>
        <w:t xml:space="preserve"> and (ii) broader linkages between domestic compliance mechanisms, Article 6 mechanisms and the voluntary carbon markets, and (iii) broader climate, energy, </w:t>
      </w:r>
      <w:proofErr w:type="gramStart"/>
      <w:r w:rsidR="0044088A" w:rsidRPr="00412CAF">
        <w:rPr>
          <w:sz w:val="21"/>
          <w:szCs w:val="21"/>
        </w:rPr>
        <w:t>trade</w:t>
      </w:r>
      <w:proofErr w:type="gramEnd"/>
      <w:r w:rsidR="0044088A" w:rsidRPr="00412CAF">
        <w:rPr>
          <w:sz w:val="21"/>
          <w:szCs w:val="21"/>
        </w:rPr>
        <w:t xml:space="preserve"> and taxation policies.  </w:t>
      </w:r>
      <w:r w:rsidR="00910C2B" w:rsidRPr="00412CAF">
        <w:rPr>
          <w:sz w:val="21"/>
          <w:szCs w:val="21"/>
        </w:rPr>
        <w:t>The overriding common objective is to reduce greenhouse gas emissions;</w:t>
      </w:r>
      <w:r w:rsidR="0039188E" w:rsidRPr="00412CAF">
        <w:rPr>
          <w:sz w:val="21"/>
          <w:szCs w:val="21"/>
        </w:rPr>
        <w:t xml:space="preserve"> the development of sustained </w:t>
      </w:r>
      <w:r w:rsidR="000A113E" w:rsidRPr="00412CAF">
        <w:rPr>
          <w:sz w:val="21"/>
          <w:szCs w:val="21"/>
        </w:rPr>
        <w:t>and robust</w:t>
      </w:r>
      <w:r w:rsidR="0039188E" w:rsidRPr="00412CAF">
        <w:rPr>
          <w:sz w:val="21"/>
          <w:szCs w:val="21"/>
        </w:rPr>
        <w:t xml:space="preserve"> carbon markets </w:t>
      </w:r>
      <w:r w:rsidR="00910C2B" w:rsidRPr="00412CAF">
        <w:rPr>
          <w:sz w:val="21"/>
          <w:szCs w:val="21"/>
        </w:rPr>
        <w:t>maximises the effect of carbon pricing in achieving that objective</w:t>
      </w:r>
      <w:r w:rsidR="0039188E" w:rsidRPr="00412CAF">
        <w:rPr>
          <w:sz w:val="21"/>
          <w:szCs w:val="21"/>
        </w:rPr>
        <w:t>.</w:t>
      </w:r>
      <w:r w:rsidR="00F701C0" w:rsidRPr="00412CAF">
        <w:rPr>
          <w:sz w:val="21"/>
          <w:szCs w:val="21"/>
        </w:rPr>
        <w:t xml:space="preserve"> </w:t>
      </w:r>
    </w:p>
    <w:p w14:paraId="19E6E4B8" w14:textId="77777777" w:rsidR="006C52A8" w:rsidRPr="00412CAF" w:rsidRDefault="006C52A8" w:rsidP="00412CAF">
      <w:pPr>
        <w:spacing w:after="0" w:line="240" w:lineRule="auto"/>
        <w:rPr>
          <w:sz w:val="21"/>
          <w:szCs w:val="21"/>
        </w:rPr>
      </w:pPr>
    </w:p>
    <w:p w14:paraId="323116FA" w14:textId="47804503" w:rsidR="00DC0E02" w:rsidRPr="00412CAF" w:rsidRDefault="0044088A" w:rsidP="00412CAF">
      <w:pPr>
        <w:autoSpaceDE w:val="0"/>
        <w:autoSpaceDN w:val="0"/>
        <w:adjustRightInd w:val="0"/>
        <w:spacing w:after="0" w:line="240" w:lineRule="auto"/>
        <w:rPr>
          <w:sz w:val="21"/>
          <w:szCs w:val="21"/>
        </w:rPr>
      </w:pPr>
      <w:r w:rsidRPr="00412CAF">
        <w:rPr>
          <w:sz w:val="21"/>
          <w:szCs w:val="21"/>
        </w:rPr>
        <w:t xml:space="preserve">ICC Principles 2, 3 and 4 promote consistency between policies and advocate </w:t>
      </w:r>
      <w:proofErr w:type="gramStart"/>
      <w:r w:rsidRPr="00412CAF">
        <w:rPr>
          <w:sz w:val="21"/>
          <w:szCs w:val="21"/>
        </w:rPr>
        <w:t>reliable</w:t>
      </w:r>
      <w:proofErr w:type="gramEnd"/>
      <w:r w:rsidRPr="00412CAF">
        <w:rPr>
          <w:sz w:val="21"/>
          <w:szCs w:val="21"/>
        </w:rPr>
        <w:t xml:space="preserve"> and predictable, and clear and robust carbon pricing frameworks. </w:t>
      </w:r>
      <w:r w:rsidR="00752878" w:rsidRPr="00412CAF">
        <w:rPr>
          <w:sz w:val="21"/>
          <w:szCs w:val="21"/>
        </w:rPr>
        <w:t xml:space="preserve">It </w:t>
      </w:r>
      <w:proofErr w:type="gramStart"/>
      <w:r w:rsidR="00752878" w:rsidRPr="00412CAF">
        <w:rPr>
          <w:sz w:val="21"/>
          <w:szCs w:val="21"/>
        </w:rPr>
        <w:t>is acknowledged</w:t>
      </w:r>
      <w:proofErr w:type="gramEnd"/>
      <w:r w:rsidR="00752878" w:rsidRPr="00412CAF">
        <w:rPr>
          <w:sz w:val="21"/>
          <w:szCs w:val="21"/>
        </w:rPr>
        <w:t xml:space="preserve"> that carbon markets are still developing as, according to the World Bank, </w:t>
      </w:r>
      <w:r w:rsidR="0051140E" w:rsidRPr="00412CAF">
        <w:rPr>
          <w:sz w:val="21"/>
          <w:szCs w:val="21"/>
        </w:rPr>
        <w:t>only</w:t>
      </w:r>
      <w:r w:rsidR="00752878" w:rsidRPr="00412CAF">
        <w:rPr>
          <w:sz w:val="21"/>
          <w:szCs w:val="21"/>
        </w:rPr>
        <w:t xml:space="preserve">~25% of emissions are currently priced </w:t>
      </w:r>
      <w:r w:rsidR="00D96E0D" w:rsidRPr="00412CAF">
        <w:rPr>
          <w:sz w:val="21"/>
          <w:szCs w:val="21"/>
        </w:rPr>
        <w:t>globally.</w:t>
      </w:r>
      <w:r w:rsidR="00752878" w:rsidRPr="00412CAF">
        <w:rPr>
          <w:sz w:val="21"/>
          <w:szCs w:val="21"/>
        </w:rPr>
        <w:t xml:space="preserve"> </w:t>
      </w:r>
      <w:proofErr w:type="gramStart"/>
      <w:r w:rsidR="00752878" w:rsidRPr="00412CAF">
        <w:rPr>
          <w:sz w:val="21"/>
          <w:szCs w:val="21"/>
        </w:rPr>
        <w:t>As a consequence</w:t>
      </w:r>
      <w:proofErr w:type="gramEnd"/>
      <w:r w:rsidR="00752878" w:rsidRPr="00412CAF">
        <w:rPr>
          <w:sz w:val="21"/>
          <w:szCs w:val="21"/>
        </w:rPr>
        <w:t xml:space="preserve">, it is imperative that markets continue to grow, whether through compliance, voluntary, and Article 6 mechanisms.  </w:t>
      </w:r>
    </w:p>
    <w:p w14:paraId="52F080D4" w14:textId="77777777" w:rsidR="00DC0E02" w:rsidRPr="00412CAF" w:rsidRDefault="00DC0E02" w:rsidP="00412CAF">
      <w:pPr>
        <w:autoSpaceDE w:val="0"/>
        <w:autoSpaceDN w:val="0"/>
        <w:adjustRightInd w:val="0"/>
        <w:spacing w:after="0" w:line="240" w:lineRule="auto"/>
        <w:rPr>
          <w:sz w:val="21"/>
          <w:szCs w:val="21"/>
        </w:rPr>
      </w:pPr>
    </w:p>
    <w:p w14:paraId="217261EF" w14:textId="58916E80" w:rsidR="0044088A" w:rsidRPr="00412CAF" w:rsidRDefault="0044088A" w:rsidP="00412CAF">
      <w:pPr>
        <w:autoSpaceDE w:val="0"/>
        <w:autoSpaceDN w:val="0"/>
        <w:adjustRightInd w:val="0"/>
        <w:spacing w:after="0" w:line="240" w:lineRule="auto"/>
        <w:rPr>
          <w:sz w:val="21"/>
          <w:szCs w:val="21"/>
        </w:rPr>
      </w:pPr>
      <w:r w:rsidRPr="00412CAF">
        <w:rPr>
          <w:sz w:val="21"/>
          <w:szCs w:val="21"/>
        </w:rPr>
        <w:t xml:space="preserve">ICC Carbon Principle 7 recognises </w:t>
      </w:r>
      <w:r w:rsidR="00F701C0" w:rsidRPr="00412CAF">
        <w:rPr>
          <w:sz w:val="21"/>
          <w:szCs w:val="21"/>
        </w:rPr>
        <w:t xml:space="preserve">that a “one-size-fits-all-approach” for all </w:t>
      </w:r>
      <w:r w:rsidR="00752878" w:rsidRPr="00412CAF">
        <w:rPr>
          <w:sz w:val="21"/>
          <w:szCs w:val="21"/>
        </w:rPr>
        <w:t xml:space="preserve">economic sectors </w:t>
      </w:r>
      <w:r w:rsidR="00F701C0" w:rsidRPr="00412CAF" w:rsidDel="0044088A">
        <w:rPr>
          <w:sz w:val="21"/>
          <w:szCs w:val="21"/>
        </w:rPr>
        <w:t xml:space="preserve">and segments of society does not exist at this point and not all specific sectoral needs can </w:t>
      </w:r>
      <w:proofErr w:type="gramStart"/>
      <w:r w:rsidR="00F701C0" w:rsidRPr="00412CAF" w:rsidDel="0044088A">
        <w:rPr>
          <w:sz w:val="21"/>
          <w:szCs w:val="21"/>
        </w:rPr>
        <w:t>be included</w:t>
      </w:r>
      <w:proofErr w:type="gramEnd"/>
      <w:r w:rsidR="00F701C0" w:rsidRPr="00412CAF" w:rsidDel="0044088A">
        <w:rPr>
          <w:sz w:val="21"/>
          <w:szCs w:val="21"/>
        </w:rPr>
        <w:t xml:space="preserve"> under one single </w:t>
      </w:r>
      <w:r w:rsidR="00D96E0D" w:rsidRPr="00412CAF" w:rsidDel="0044088A">
        <w:rPr>
          <w:sz w:val="21"/>
          <w:szCs w:val="21"/>
        </w:rPr>
        <w:t>instrument</w:t>
      </w:r>
      <w:r w:rsidR="00D96E0D" w:rsidRPr="00412CAF">
        <w:rPr>
          <w:sz w:val="21"/>
          <w:szCs w:val="21"/>
        </w:rPr>
        <w:t xml:space="preserve">. </w:t>
      </w:r>
      <w:r w:rsidRPr="00412CAF">
        <w:rPr>
          <w:sz w:val="21"/>
          <w:szCs w:val="21"/>
        </w:rPr>
        <w:t>This is the same across national and sub-national compliance regimes (often but not exclusively tax-based), international treaty regimes (Paris Agreement, Article 6) and voluntary carbon market industry-based regimes</w:t>
      </w:r>
      <w:proofErr w:type="gramStart"/>
      <w:r w:rsidRPr="00412CAF">
        <w:rPr>
          <w:sz w:val="21"/>
          <w:szCs w:val="21"/>
        </w:rPr>
        <w:t xml:space="preserve">.  </w:t>
      </w:r>
      <w:proofErr w:type="gramEnd"/>
    </w:p>
    <w:p w14:paraId="71496F01" w14:textId="77777777" w:rsidR="0044088A" w:rsidRPr="00412CAF" w:rsidRDefault="0044088A" w:rsidP="00412CAF">
      <w:pPr>
        <w:spacing w:after="0" w:line="240" w:lineRule="auto"/>
        <w:rPr>
          <w:sz w:val="21"/>
          <w:szCs w:val="21"/>
        </w:rPr>
      </w:pPr>
    </w:p>
    <w:p w14:paraId="29347EF6" w14:textId="5AB89517" w:rsidR="0044088A" w:rsidRPr="00412CAF" w:rsidRDefault="0044088A" w:rsidP="00412CAF">
      <w:pPr>
        <w:spacing w:after="0" w:line="240" w:lineRule="auto"/>
        <w:rPr>
          <w:sz w:val="21"/>
          <w:szCs w:val="21"/>
        </w:rPr>
      </w:pPr>
      <w:r w:rsidRPr="00412CAF">
        <w:rPr>
          <w:sz w:val="21"/>
          <w:szCs w:val="21"/>
        </w:rPr>
        <w:t>The ICC Carbon Pricing Principles assist governments and policy makers to implement domestic legal, regulatory and policy frameworks for carbon pricing mechanisms</w:t>
      </w:r>
      <w:proofErr w:type="gramStart"/>
      <w:r w:rsidRPr="00412CAF">
        <w:rPr>
          <w:sz w:val="21"/>
          <w:szCs w:val="21"/>
        </w:rPr>
        <w:t xml:space="preserve">.  </w:t>
      </w:r>
      <w:proofErr w:type="gramEnd"/>
      <w:r w:rsidRPr="00412CAF">
        <w:rPr>
          <w:sz w:val="21"/>
          <w:szCs w:val="21"/>
        </w:rPr>
        <w:t xml:space="preserve">They apply to domestic frameworks for national, subnational, and supranational compliance mechanisms, </w:t>
      </w:r>
      <w:r w:rsidR="003261C8" w:rsidRPr="00412CAF">
        <w:rPr>
          <w:sz w:val="21"/>
          <w:szCs w:val="21"/>
        </w:rPr>
        <w:t xml:space="preserve">and could be relevant to </w:t>
      </w:r>
      <w:r w:rsidR="00063746" w:rsidRPr="00412CAF">
        <w:rPr>
          <w:sz w:val="21"/>
          <w:szCs w:val="21"/>
        </w:rPr>
        <w:t>support the development and implementation of</w:t>
      </w:r>
      <w:r w:rsidR="003261C8" w:rsidRPr="00412CAF">
        <w:rPr>
          <w:sz w:val="21"/>
          <w:szCs w:val="21"/>
        </w:rPr>
        <w:t xml:space="preserve"> </w:t>
      </w:r>
      <w:r w:rsidR="004E041A" w:rsidRPr="00412CAF">
        <w:rPr>
          <w:sz w:val="21"/>
          <w:szCs w:val="21"/>
        </w:rPr>
        <w:t>other systems</w:t>
      </w:r>
      <w:r w:rsidR="00063746" w:rsidRPr="00412CAF">
        <w:rPr>
          <w:sz w:val="21"/>
          <w:szCs w:val="21"/>
        </w:rPr>
        <w:t>.</w:t>
      </w:r>
      <w:r w:rsidR="00063746" w:rsidRPr="00412CAF" w:rsidDel="00063746">
        <w:rPr>
          <w:sz w:val="21"/>
          <w:szCs w:val="21"/>
        </w:rPr>
        <w:t xml:space="preserve"> </w:t>
      </w:r>
    </w:p>
    <w:p w14:paraId="58F73D03" w14:textId="77777777" w:rsidR="0039188E" w:rsidRPr="00412CAF" w:rsidRDefault="0039188E" w:rsidP="00412CAF">
      <w:pPr>
        <w:pStyle w:val="Heading4"/>
        <w:numPr>
          <w:ilvl w:val="0"/>
          <w:numId w:val="0"/>
        </w:numPr>
        <w:spacing w:after="0" w:line="240" w:lineRule="auto"/>
        <w:rPr>
          <w:sz w:val="21"/>
          <w:szCs w:val="21"/>
        </w:rPr>
      </w:pPr>
    </w:p>
    <w:p w14:paraId="64737484" w14:textId="358C85DF" w:rsidR="00910C2B" w:rsidRPr="00412CAF" w:rsidRDefault="00910C2B" w:rsidP="00412CAF">
      <w:pPr>
        <w:spacing w:after="0" w:line="240" w:lineRule="auto"/>
        <w:rPr>
          <w:sz w:val="21"/>
          <w:szCs w:val="21"/>
        </w:rPr>
      </w:pPr>
      <w:r w:rsidRPr="00412CAF">
        <w:rPr>
          <w:sz w:val="21"/>
          <w:szCs w:val="21"/>
        </w:rPr>
        <w:t>P</w:t>
      </w:r>
      <w:r w:rsidR="0044088A" w:rsidRPr="00412CAF">
        <w:rPr>
          <w:sz w:val="21"/>
          <w:szCs w:val="21"/>
        </w:rPr>
        <w:t xml:space="preserve">ractical linkages exist between </w:t>
      </w:r>
      <w:r w:rsidRPr="00412CAF">
        <w:rPr>
          <w:sz w:val="21"/>
          <w:szCs w:val="21"/>
        </w:rPr>
        <w:t>carbon pricing mechanisms</w:t>
      </w:r>
      <w:r w:rsidR="0044088A" w:rsidRPr="00412CAF">
        <w:rPr>
          <w:sz w:val="21"/>
          <w:szCs w:val="21"/>
        </w:rPr>
        <w:t xml:space="preserve">, irrespective of origin, </w:t>
      </w:r>
      <w:proofErr w:type="gramStart"/>
      <w:r w:rsidRPr="00412CAF">
        <w:rPr>
          <w:sz w:val="21"/>
          <w:szCs w:val="21"/>
        </w:rPr>
        <w:t>including but not limited to</w:t>
      </w:r>
      <w:proofErr w:type="gramEnd"/>
      <w:r w:rsidRPr="00412CAF">
        <w:rPr>
          <w:sz w:val="21"/>
          <w:szCs w:val="21"/>
        </w:rPr>
        <w:t>:</w:t>
      </w:r>
    </w:p>
    <w:p w14:paraId="39A5C1D6" w14:textId="6AF89A7E" w:rsidR="00910C2B" w:rsidRPr="00412CAF" w:rsidRDefault="00910C2B" w:rsidP="00412CAF">
      <w:pPr>
        <w:pStyle w:val="ListParagraph"/>
        <w:numPr>
          <w:ilvl w:val="0"/>
          <w:numId w:val="43"/>
        </w:numPr>
        <w:spacing w:after="0" w:line="240" w:lineRule="auto"/>
        <w:rPr>
          <w:rFonts w:cstheme="minorHAnsi"/>
          <w:sz w:val="21"/>
          <w:szCs w:val="21"/>
        </w:rPr>
      </w:pPr>
      <w:r w:rsidRPr="00412CAF">
        <w:rPr>
          <w:sz w:val="21"/>
          <w:szCs w:val="21"/>
        </w:rPr>
        <w:t>l</w:t>
      </w:r>
      <w:r w:rsidR="0039188E" w:rsidRPr="00412CAF">
        <w:rPr>
          <w:sz w:val="21"/>
          <w:szCs w:val="21"/>
        </w:rPr>
        <w:t>ink</w:t>
      </w:r>
      <w:r w:rsidRPr="00412CAF">
        <w:rPr>
          <w:sz w:val="21"/>
          <w:szCs w:val="21"/>
        </w:rPr>
        <w:t>age</w:t>
      </w:r>
      <w:r w:rsidR="0039188E" w:rsidRPr="00412CAF">
        <w:rPr>
          <w:sz w:val="21"/>
          <w:szCs w:val="21"/>
        </w:rPr>
        <w:t xml:space="preserve"> between </w:t>
      </w:r>
      <w:r w:rsidRPr="00412CAF">
        <w:rPr>
          <w:sz w:val="21"/>
          <w:szCs w:val="21"/>
        </w:rPr>
        <w:t xml:space="preserve">two or more </w:t>
      </w:r>
      <w:r w:rsidR="0039188E" w:rsidRPr="00412CAF">
        <w:rPr>
          <w:sz w:val="21"/>
          <w:szCs w:val="21"/>
        </w:rPr>
        <w:t xml:space="preserve">heterogeneous </w:t>
      </w:r>
      <w:r w:rsidRPr="00412CAF">
        <w:rPr>
          <w:sz w:val="21"/>
          <w:szCs w:val="21"/>
        </w:rPr>
        <w:t xml:space="preserve">domestic compliance </w:t>
      </w:r>
      <w:r w:rsidR="0039188E" w:rsidRPr="00412CAF">
        <w:rPr>
          <w:sz w:val="21"/>
          <w:szCs w:val="21"/>
        </w:rPr>
        <w:t>instruments</w:t>
      </w:r>
      <w:r w:rsidRPr="00412CAF">
        <w:rPr>
          <w:sz w:val="21"/>
          <w:szCs w:val="21"/>
        </w:rPr>
        <w:t>,</w:t>
      </w:r>
      <w:r w:rsidR="0039188E" w:rsidRPr="00412CAF">
        <w:rPr>
          <w:sz w:val="21"/>
          <w:szCs w:val="21"/>
        </w:rPr>
        <w:t xml:space="preserve"> </w:t>
      </w:r>
      <w:r w:rsidRPr="00412CAF">
        <w:rPr>
          <w:sz w:val="21"/>
          <w:szCs w:val="21"/>
        </w:rPr>
        <w:t xml:space="preserve">such as emissions trading schemes (ETSs), to expand carbon markets to offer participating regions and companies more </w:t>
      </w:r>
      <w:r w:rsidRPr="00412CAF">
        <w:rPr>
          <w:rFonts w:cstheme="minorHAnsi"/>
          <w:sz w:val="21"/>
          <w:szCs w:val="21"/>
        </w:rPr>
        <w:t>cost-efficient options to reduce emissions and exchange compliance permits</w:t>
      </w:r>
      <w:r w:rsidR="00E376BE" w:rsidRPr="00412CAF">
        <w:rPr>
          <w:rFonts w:cstheme="minorHAnsi"/>
          <w:sz w:val="21"/>
          <w:szCs w:val="21"/>
        </w:rPr>
        <w:t>;</w:t>
      </w:r>
      <w:r w:rsidRPr="00412CAF">
        <w:rPr>
          <w:rStyle w:val="FootnoteReference"/>
          <w:rFonts w:cstheme="minorHAnsi"/>
          <w:sz w:val="21"/>
          <w:szCs w:val="21"/>
        </w:rPr>
        <w:footnoteReference w:id="28"/>
      </w:r>
    </w:p>
    <w:p w14:paraId="001C60D1" w14:textId="072861D4" w:rsidR="004036A0" w:rsidRPr="00412CAF" w:rsidRDefault="004036A0" w:rsidP="00412CAF">
      <w:pPr>
        <w:pStyle w:val="ListParagraph"/>
        <w:numPr>
          <w:ilvl w:val="0"/>
          <w:numId w:val="43"/>
        </w:numPr>
        <w:spacing w:after="0" w:line="240" w:lineRule="auto"/>
        <w:rPr>
          <w:sz w:val="21"/>
          <w:szCs w:val="21"/>
        </w:rPr>
      </w:pPr>
      <w:r w:rsidRPr="00412CAF">
        <w:rPr>
          <w:sz w:val="21"/>
          <w:szCs w:val="21"/>
        </w:rPr>
        <w:t>linkage based on carbon border adjustment mechanisms for carbon leakage (Part II above)</w:t>
      </w:r>
      <w:r w:rsidR="001B2270" w:rsidRPr="00412CAF">
        <w:rPr>
          <w:sz w:val="21"/>
          <w:szCs w:val="21"/>
        </w:rPr>
        <w:t>;</w:t>
      </w:r>
    </w:p>
    <w:p w14:paraId="7A76CFBE" w14:textId="5E4BD5D9" w:rsidR="00910C2B" w:rsidRPr="00412CAF" w:rsidRDefault="00910C2B" w:rsidP="00412CAF">
      <w:pPr>
        <w:pStyle w:val="ListParagraph"/>
        <w:numPr>
          <w:ilvl w:val="0"/>
          <w:numId w:val="43"/>
        </w:numPr>
        <w:spacing w:after="0" w:line="240" w:lineRule="auto"/>
        <w:rPr>
          <w:rFonts w:cstheme="minorHAnsi"/>
          <w:sz w:val="21"/>
          <w:szCs w:val="21"/>
        </w:rPr>
      </w:pPr>
      <w:r w:rsidRPr="00412CAF">
        <w:rPr>
          <w:rFonts w:cstheme="minorHAnsi"/>
          <w:sz w:val="21"/>
          <w:szCs w:val="21"/>
        </w:rPr>
        <w:t xml:space="preserve">linkage between policies, regimes and maintaining values of high ambition </w:t>
      </w:r>
      <w:r w:rsidR="00654180" w:rsidRPr="00412CAF">
        <w:rPr>
          <w:rFonts w:cstheme="minorHAnsi"/>
          <w:sz w:val="21"/>
          <w:szCs w:val="21"/>
        </w:rPr>
        <w:t>countries</w:t>
      </w:r>
      <w:r w:rsidR="001B2270" w:rsidRPr="00412CAF">
        <w:rPr>
          <w:rFonts w:cstheme="minorHAnsi"/>
          <w:sz w:val="21"/>
          <w:szCs w:val="21"/>
        </w:rPr>
        <w:t>;</w:t>
      </w:r>
    </w:p>
    <w:p w14:paraId="0D75EDAE" w14:textId="5FBF0795" w:rsidR="00910C2B" w:rsidRPr="00412CAF" w:rsidRDefault="00910C2B" w:rsidP="00412CAF">
      <w:pPr>
        <w:pStyle w:val="ListParagraph"/>
        <w:numPr>
          <w:ilvl w:val="0"/>
          <w:numId w:val="43"/>
        </w:numPr>
        <w:spacing w:after="0" w:line="240" w:lineRule="auto"/>
        <w:rPr>
          <w:rFonts w:cstheme="minorHAnsi"/>
          <w:sz w:val="21"/>
          <w:szCs w:val="21"/>
        </w:rPr>
      </w:pPr>
      <w:r w:rsidRPr="00412CAF">
        <w:rPr>
          <w:rFonts w:cstheme="minorHAnsi"/>
          <w:sz w:val="21"/>
          <w:szCs w:val="21"/>
        </w:rPr>
        <w:lastRenderedPageBreak/>
        <w:t xml:space="preserve">linkage of carbon credit generation, verification and use rules, </w:t>
      </w:r>
      <w:proofErr w:type="gramStart"/>
      <w:r w:rsidRPr="00412CAF">
        <w:rPr>
          <w:rFonts w:cstheme="minorHAnsi"/>
          <w:sz w:val="21"/>
          <w:szCs w:val="21"/>
        </w:rPr>
        <w:t>standards</w:t>
      </w:r>
      <w:proofErr w:type="gramEnd"/>
      <w:r w:rsidRPr="00412CAF">
        <w:rPr>
          <w:rFonts w:cstheme="minorHAnsi"/>
          <w:sz w:val="21"/>
          <w:szCs w:val="21"/>
        </w:rPr>
        <w:t xml:space="preserve"> and guidelines across carbon pricing mechanisms</w:t>
      </w:r>
      <w:r w:rsidR="001B2270" w:rsidRPr="00412CAF">
        <w:rPr>
          <w:rFonts w:cstheme="minorHAnsi"/>
          <w:sz w:val="21"/>
          <w:szCs w:val="21"/>
        </w:rPr>
        <w:t>;</w:t>
      </w:r>
    </w:p>
    <w:p w14:paraId="25A039A7" w14:textId="3E92DAFC" w:rsidR="00910C2B" w:rsidRPr="00412CAF" w:rsidRDefault="00910C2B" w:rsidP="00412CAF">
      <w:pPr>
        <w:pStyle w:val="ListParagraph"/>
        <w:numPr>
          <w:ilvl w:val="0"/>
          <w:numId w:val="43"/>
        </w:numPr>
        <w:spacing w:after="0" w:line="240" w:lineRule="auto"/>
        <w:rPr>
          <w:rFonts w:cstheme="minorHAnsi"/>
          <w:sz w:val="21"/>
          <w:szCs w:val="21"/>
        </w:rPr>
      </w:pPr>
      <w:r w:rsidRPr="00412CAF">
        <w:rPr>
          <w:rFonts w:cstheme="minorHAnsi"/>
          <w:sz w:val="21"/>
          <w:szCs w:val="21"/>
        </w:rPr>
        <w:t xml:space="preserve">linkage to permit </w:t>
      </w:r>
      <w:r w:rsidRPr="00412CAF">
        <w:rPr>
          <w:rFonts w:cstheme="minorHAnsi"/>
          <w:color w:val="000000"/>
          <w:kern w:val="0"/>
          <w:sz w:val="21"/>
          <w:szCs w:val="21"/>
        </w:rPr>
        <w:t>efficient and effective transfer of verified carbon credits across borders and between group companies</w:t>
      </w:r>
      <w:r w:rsidR="001B2270" w:rsidRPr="00412CAF">
        <w:rPr>
          <w:rFonts w:cstheme="minorHAnsi"/>
          <w:color w:val="000000"/>
          <w:kern w:val="0"/>
          <w:sz w:val="21"/>
          <w:szCs w:val="21"/>
        </w:rPr>
        <w:t>;</w:t>
      </w:r>
      <w:r w:rsidRPr="00412CAF">
        <w:rPr>
          <w:rFonts w:cstheme="minorHAnsi"/>
          <w:color w:val="000000"/>
          <w:kern w:val="0"/>
          <w:sz w:val="21"/>
          <w:szCs w:val="21"/>
        </w:rPr>
        <w:t xml:space="preserve"> </w:t>
      </w:r>
    </w:p>
    <w:p w14:paraId="31DD0BB4" w14:textId="2CC5848E" w:rsidR="0044088A" w:rsidRPr="00412CAF" w:rsidRDefault="00910C2B" w:rsidP="00412CAF">
      <w:pPr>
        <w:pStyle w:val="ListParagraph"/>
        <w:numPr>
          <w:ilvl w:val="0"/>
          <w:numId w:val="43"/>
        </w:numPr>
        <w:spacing w:after="0" w:line="240" w:lineRule="auto"/>
        <w:rPr>
          <w:rFonts w:cstheme="minorHAnsi"/>
          <w:sz w:val="21"/>
          <w:szCs w:val="21"/>
        </w:rPr>
      </w:pPr>
      <w:r w:rsidRPr="00412CAF">
        <w:rPr>
          <w:rFonts w:cstheme="minorHAnsi"/>
          <w:color w:val="000000"/>
          <w:kern w:val="0"/>
          <w:sz w:val="21"/>
          <w:szCs w:val="21"/>
        </w:rPr>
        <w:t>linkages to support insetting and multinational organisation carbon sequestration or GHG reduction projects</w:t>
      </w:r>
      <w:r w:rsidR="001B2270" w:rsidRPr="00412CAF">
        <w:rPr>
          <w:rFonts w:cstheme="minorHAnsi"/>
          <w:color w:val="000000"/>
          <w:kern w:val="0"/>
          <w:sz w:val="21"/>
          <w:szCs w:val="21"/>
        </w:rPr>
        <w:t>;</w:t>
      </w:r>
    </w:p>
    <w:p w14:paraId="0C70FFB8" w14:textId="00EDE05A" w:rsidR="00910C2B" w:rsidRPr="00412CAF" w:rsidRDefault="00910C2B" w:rsidP="00412CAF">
      <w:pPr>
        <w:pStyle w:val="ListParagraph"/>
        <w:numPr>
          <w:ilvl w:val="0"/>
          <w:numId w:val="43"/>
        </w:numPr>
        <w:spacing w:after="0" w:line="240" w:lineRule="auto"/>
        <w:rPr>
          <w:rFonts w:cstheme="minorHAnsi"/>
          <w:sz w:val="21"/>
          <w:szCs w:val="21"/>
        </w:rPr>
      </w:pPr>
      <w:r w:rsidRPr="00412CAF">
        <w:rPr>
          <w:rFonts w:cstheme="minorHAnsi"/>
          <w:sz w:val="21"/>
          <w:szCs w:val="21"/>
        </w:rPr>
        <w:t xml:space="preserve">linkage between carbon pricing mechanisms and broader national </w:t>
      </w:r>
      <w:r w:rsidR="0039188E" w:rsidRPr="00412CAF">
        <w:rPr>
          <w:rFonts w:cstheme="minorHAnsi"/>
          <w:sz w:val="21"/>
          <w:szCs w:val="21"/>
        </w:rPr>
        <w:t>climate</w:t>
      </w:r>
      <w:r w:rsidR="00215CD7" w:rsidRPr="00412CAF">
        <w:rPr>
          <w:rFonts w:cstheme="minorHAnsi"/>
          <w:sz w:val="21"/>
          <w:szCs w:val="21"/>
        </w:rPr>
        <w:t>, economic</w:t>
      </w:r>
      <w:r w:rsidR="00D05EC6" w:rsidRPr="00412CAF">
        <w:rPr>
          <w:rFonts w:cstheme="minorHAnsi"/>
          <w:sz w:val="21"/>
          <w:szCs w:val="21"/>
        </w:rPr>
        <w:t xml:space="preserve">, </w:t>
      </w:r>
      <w:proofErr w:type="gramStart"/>
      <w:r w:rsidR="00D05EC6" w:rsidRPr="00412CAF">
        <w:rPr>
          <w:rFonts w:cstheme="minorHAnsi"/>
          <w:sz w:val="21"/>
          <w:szCs w:val="21"/>
        </w:rPr>
        <w:t>social</w:t>
      </w:r>
      <w:proofErr w:type="gramEnd"/>
      <w:r w:rsidR="00D05EC6" w:rsidRPr="00412CAF">
        <w:rPr>
          <w:rFonts w:cstheme="minorHAnsi"/>
          <w:sz w:val="21"/>
          <w:szCs w:val="21"/>
        </w:rPr>
        <w:t xml:space="preserve"> and environmental</w:t>
      </w:r>
      <w:r w:rsidR="0039188E" w:rsidRPr="00412CAF">
        <w:rPr>
          <w:rFonts w:cstheme="minorHAnsi"/>
          <w:sz w:val="21"/>
          <w:szCs w:val="21"/>
        </w:rPr>
        <w:t xml:space="preserve"> policies </w:t>
      </w:r>
      <w:r w:rsidR="00D05EC6" w:rsidRPr="00412CAF">
        <w:rPr>
          <w:rFonts w:cstheme="minorHAnsi"/>
          <w:sz w:val="21"/>
          <w:szCs w:val="21"/>
        </w:rPr>
        <w:t xml:space="preserve">as well as </w:t>
      </w:r>
      <w:r w:rsidR="0039188E" w:rsidRPr="00412CAF">
        <w:rPr>
          <w:rFonts w:cstheme="minorHAnsi"/>
          <w:sz w:val="21"/>
          <w:szCs w:val="21"/>
        </w:rPr>
        <w:t>NDC plans</w:t>
      </w:r>
      <w:r w:rsidR="001B2270" w:rsidRPr="00412CAF">
        <w:rPr>
          <w:rFonts w:cstheme="minorHAnsi"/>
          <w:sz w:val="21"/>
          <w:szCs w:val="21"/>
        </w:rPr>
        <w:t>;</w:t>
      </w:r>
    </w:p>
    <w:p w14:paraId="28907FBE" w14:textId="77777777" w:rsidR="0044088A" w:rsidRPr="00412CAF" w:rsidRDefault="0044088A" w:rsidP="00412CAF">
      <w:pPr>
        <w:pStyle w:val="Bullet2"/>
        <w:numPr>
          <w:ilvl w:val="0"/>
          <w:numId w:val="0"/>
        </w:numPr>
        <w:spacing w:after="0" w:line="240" w:lineRule="auto"/>
        <w:rPr>
          <w:rFonts w:cstheme="minorHAnsi"/>
          <w:sz w:val="21"/>
          <w:szCs w:val="21"/>
        </w:rPr>
      </w:pPr>
    </w:p>
    <w:p w14:paraId="3CE4B6E2" w14:textId="2BBCAFCD" w:rsidR="0060045B" w:rsidRPr="00412CAF" w:rsidRDefault="00910C2B" w:rsidP="00412CAF">
      <w:pPr>
        <w:pStyle w:val="Bullet2"/>
        <w:numPr>
          <w:ilvl w:val="0"/>
          <w:numId w:val="0"/>
        </w:numPr>
        <w:spacing w:after="0" w:line="240" w:lineRule="auto"/>
        <w:rPr>
          <w:rFonts w:cstheme="minorHAnsi"/>
          <w:sz w:val="21"/>
          <w:szCs w:val="21"/>
        </w:rPr>
      </w:pPr>
      <w:r w:rsidRPr="00412CAF">
        <w:rPr>
          <w:rFonts w:cstheme="minorHAnsi"/>
          <w:sz w:val="21"/>
          <w:szCs w:val="21"/>
        </w:rPr>
        <w:t xml:space="preserve">The Paris Agreement global climate change mitigation commitment architecture is </w:t>
      </w:r>
      <w:r w:rsidR="0039188E" w:rsidRPr="00412CAF">
        <w:rPr>
          <w:rFonts w:cstheme="minorHAnsi"/>
          <w:sz w:val="21"/>
          <w:szCs w:val="21"/>
        </w:rPr>
        <w:t>bottom-up</w:t>
      </w:r>
      <w:r w:rsidRPr="00412CAF">
        <w:rPr>
          <w:rFonts w:cstheme="minorHAnsi"/>
          <w:sz w:val="21"/>
          <w:szCs w:val="21"/>
        </w:rPr>
        <w:t xml:space="preserve">, permitting and mandating each </w:t>
      </w:r>
      <w:r w:rsidR="0060045B" w:rsidRPr="00412CAF">
        <w:rPr>
          <w:rFonts w:cstheme="minorHAnsi"/>
          <w:sz w:val="21"/>
          <w:szCs w:val="21"/>
        </w:rPr>
        <w:t>Part</w:t>
      </w:r>
      <w:r w:rsidR="00805302" w:rsidRPr="00412CAF">
        <w:rPr>
          <w:rFonts w:cstheme="minorHAnsi"/>
          <w:sz w:val="21"/>
          <w:szCs w:val="21"/>
        </w:rPr>
        <w:t>y</w:t>
      </w:r>
      <w:r w:rsidR="0060045B" w:rsidRPr="00412CAF">
        <w:rPr>
          <w:rFonts w:cstheme="minorHAnsi"/>
          <w:sz w:val="21"/>
          <w:szCs w:val="21"/>
        </w:rPr>
        <w:t xml:space="preserve"> under the Paris Agreement</w:t>
      </w:r>
      <w:r w:rsidR="005B6547" w:rsidRPr="00412CAF">
        <w:rPr>
          <w:rFonts w:cstheme="minorHAnsi"/>
          <w:sz w:val="21"/>
          <w:szCs w:val="21"/>
        </w:rPr>
        <w:t xml:space="preserve"> </w:t>
      </w:r>
      <w:r w:rsidRPr="00412CAF">
        <w:rPr>
          <w:rFonts w:cstheme="minorHAnsi"/>
          <w:sz w:val="21"/>
          <w:szCs w:val="21"/>
        </w:rPr>
        <w:t>to design and implement its own mitigation strategy</w:t>
      </w:r>
      <w:r w:rsidR="001779AA" w:rsidRPr="00412CAF">
        <w:rPr>
          <w:rFonts w:cstheme="minorHAnsi"/>
          <w:sz w:val="21"/>
          <w:szCs w:val="21"/>
        </w:rPr>
        <w:t>. It further enable</w:t>
      </w:r>
      <w:r w:rsidR="00520F6D" w:rsidRPr="00412CAF">
        <w:rPr>
          <w:rFonts w:cstheme="minorHAnsi"/>
          <w:sz w:val="21"/>
          <w:szCs w:val="21"/>
        </w:rPr>
        <w:t xml:space="preserve">s countries and businesses to </w:t>
      </w:r>
      <w:r w:rsidR="007C5A89" w:rsidRPr="00412CAF">
        <w:rPr>
          <w:rFonts w:cstheme="minorHAnsi"/>
          <w:sz w:val="21"/>
          <w:szCs w:val="21"/>
        </w:rPr>
        <w:t xml:space="preserve">manage their emissions reductions through cooperation under Article </w:t>
      </w:r>
      <w:r w:rsidR="00F525B2" w:rsidRPr="00412CAF">
        <w:rPr>
          <w:rFonts w:cstheme="minorHAnsi"/>
          <w:sz w:val="21"/>
          <w:szCs w:val="21"/>
        </w:rPr>
        <w:t>6</w:t>
      </w:r>
      <w:r w:rsidR="005D2BFA" w:rsidRPr="00412CAF">
        <w:rPr>
          <w:rFonts w:cstheme="minorHAnsi"/>
          <w:sz w:val="21"/>
          <w:szCs w:val="21"/>
        </w:rPr>
        <w:t>. C</w:t>
      </w:r>
      <w:r w:rsidR="00F525B2" w:rsidRPr="00412CAF">
        <w:rPr>
          <w:rFonts w:cstheme="minorHAnsi"/>
          <w:sz w:val="21"/>
          <w:szCs w:val="21"/>
        </w:rPr>
        <w:t xml:space="preserve">ountries </w:t>
      </w:r>
      <w:r w:rsidR="004E2EC5" w:rsidRPr="00412CAF">
        <w:rPr>
          <w:rFonts w:cstheme="minorHAnsi"/>
          <w:sz w:val="21"/>
          <w:szCs w:val="21"/>
        </w:rPr>
        <w:t xml:space="preserve">can also </w:t>
      </w:r>
      <w:r w:rsidR="00F525B2" w:rsidRPr="00412CAF">
        <w:rPr>
          <w:rFonts w:cstheme="minorHAnsi"/>
          <w:sz w:val="21"/>
          <w:szCs w:val="21"/>
        </w:rPr>
        <w:t>develop</w:t>
      </w:r>
      <w:r w:rsidR="007C5A89" w:rsidRPr="00412CAF">
        <w:rPr>
          <w:rFonts w:cstheme="minorHAnsi"/>
          <w:sz w:val="21"/>
          <w:szCs w:val="21"/>
        </w:rPr>
        <w:t xml:space="preserve"> </w:t>
      </w:r>
      <w:r w:rsidR="004E2EC5" w:rsidRPr="00412CAF">
        <w:rPr>
          <w:rFonts w:cstheme="minorHAnsi"/>
          <w:sz w:val="21"/>
          <w:szCs w:val="21"/>
        </w:rPr>
        <w:t>their</w:t>
      </w:r>
      <w:r w:rsidRPr="00412CAF">
        <w:rPr>
          <w:rFonts w:cstheme="minorHAnsi"/>
          <w:sz w:val="21"/>
          <w:szCs w:val="21"/>
        </w:rPr>
        <w:t xml:space="preserve"> own </w:t>
      </w:r>
      <w:r w:rsidR="00F525B2" w:rsidRPr="00412CAF">
        <w:rPr>
          <w:rFonts w:cstheme="minorHAnsi"/>
          <w:sz w:val="21"/>
          <w:szCs w:val="21"/>
        </w:rPr>
        <w:t xml:space="preserve">national </w:t>
      </w:r>
      <w:r w:rsidRPr="00412CAF">
        <w:rPr>
          <w:rFonts w:cstheme="minorHAnsi"/>
          <w:sz w:val="21"/>
          <w:szCs w:val="21"/>
        </w:rPr>
        <w:t>approach to carbon pricing mechanisms</w:t>
      </w:r>
      <w:r w:rsidR="00AB4D73" w:rsidRPr="00412CAF">
        <w:rPr>
          <w:rFonts w:cstheme="minorHAnsi"/>
          <w:sz w:val="21"/>
          <w:szCs w:val="21"/>
        </w:rPr>
        <w:t>.</w:t>
      </w:r>
      <w:r w:rsidRPr="00412CAF">
        <w:rPr>
          <w:rFonts w:cstheme="minorHAnsi"/>
          <w:sz w:val="21"/>
          <w:szCs w:val="21"/>
        </w:rPr>
        <w:t xml:space="preserve"> </w:t>
      </w:r>
    </w:p>
    <w:p w14:paraId="0A123D4A" w14:textId="77777777" w:rsidR="0060045B" w:rsidRPr="00412CAF" w:rsidRDefault="0060045B" w:rsidP="00412CAF">
      <w:pPr>
        <w:pStyle w:val="Bullet2"/>
        <w:numPr>
          <w:ilvl w:val="0"/>
          <w:numId w:val="0"/>
        </w:numPr>
        <w:spacing w:after="0" w:line="240" w:lineRule="auto"/>
        <w:rPr>
          <w:rFonts w:cstheme="minorHAnsi"/>
          <w:sz w:val="21"/>
          <w:szCs w:val="21"/>
        </w:rPr>
      </w:pPr>
    </w:p>
    <w:p w14:paraId="200E90DF" w14:textId="3580F8F9" w:rsidR="00910C2B" w:rsidRPr="00412CAF" w:rsidRDefault="005D2BFA" w:rsidP="00412CAF">
      <w:pPr>
        <w:pStyle w:val="Bullet2"/>
        <w:numPr>
          <w:ilvl w:val="0"/>
          <w:numId w:val="0"/>
        </w:numPr>
        <w:spacing w:after="0" w:line="240" w:lineRule="auto"/>
        <w:rPr>
          <w:rFonts w:cstheme="minorHAnsi"/>
          <w:sz w:val="21"/>
          <w:szCs w:val="21"/>
        </w:rPr>
      </w:pPr>
      <w:r w:rsidRPr="00412CAF">
        <w:rPr>
          <w:rFonts w:cstheme="minorHAnsi"/>
          <w:sz w:val="21"/>
          <w:szCs w:val="21"/>
        </w:rPr>
        <w:t>While th</w:t>
      </w:r>
      <w:r w:rsidR="003440FD" w:rsidRPr="00412CAF">
        <w:rPr>
          <w:rFonts w:cstheme="minorHAnsi"/>
          <w:sz w:val="21"/>
          <w:szCs w:val="21"/>
        </w:rPr>
        <w:t>e</w:t>
      </w:r>
      <w:r w:rsidR="0044088A" w:rsidRPr="00412CAF">
        <w:rPr>
          <w:rFonts w:cstheme="minorHAnsi"/>
          <w:sz w:val="21"/>
          <w:szCs w:val="21"/>
        </w:rPr>
        <w:t>r</w:t>
      </w:r>
      <w:r w:rsidR="003440FD" w:rsidRPr="00412CAF">
        <w:rPr>
          <w:rFonts w:cstheme="minorHAnsi"/>
          <w:sz w:val="21"/>
          <w:szCs w:val="21"/>
        </w:rPr>
        <w:t>e</w:t>
      </w:r>
      <w:r w:rsidRPr="00412CAF">
        <w:rPr>
          <w:rFonts w:cstheme="minorHAnsi"/>
          <w:sz w:val="21"/>
          <w:szCs w:val="21"/>
        </w:rPr>
        <w:t xml:space="preserve"> are different approaches, </w:t>
      </w:r>
      <w:r w:rsidR="003440FD" w:rsidRPr="00412CAF">
        <w:rPr>
          <w:rFonts w:cstheme="minorHAnsi"/>
          <w:sz w:val="21"/>
          <w:szCs w:val="21"/>
        </w:rPr>
        <w:t>a</w:t>
      </w:r>
      <w:r w:rsidR="00910C2B" w:rsidRPr="00412CAF">
        <w:rPr>
          <w:rFonts w:cstheme="minorHAnsi"/>
          <w:sz w:val="21"/>
          <w:szCs w:val="21"/>
        </w:rPr>
        <w:t xml:space="preserve"> carbon credit is a universally measurable unit, measured in tonn</w:t>
      </w:r>
      <w:r w:rsidR="00910C2B" w:rsidRPr="00412CAF" w:rsidDel="00E376BE">
        <w:rPr>
          <w:rFonts w:cstheme="minorHAnsi"/>
          <w:sz w:val="21"/>
          <w:szCs w:val="21"/>
        </w:rPr>
        <w:t>es</w:t>
      </w:r>
      <w:r w:rsidR="00910C2B" w:rsidRPr="00412CAF">
        <w:rPr>
          <w:rFonts w:cstheme="minorHAnsi"/>
          <w:sz w:val="21"/>
          <w:szCs w:val="21"/>
        </w:rPr>
        <w:t xml:space="preserve"> of carbon dioxide-equivalence (CO2e), representing the reduction or removal of a single </w:t>
      </w:r>
      <w:r w:rsidR="00910C2B" w:rsidRPr="00412CAF" w:rsidDel="00E376BE">
        <w:rPr>
          <w:rFonts w:cstheme="minorHAnsi"/>
          <w:sz w:val="21"/>
          <w:szCs w:val="21"/>
        </w:rPr>
        <w:t>tonne</w:t>
      </w:r>
      <w:r w:rsidR="00810A17" w:rsidRPr="00412CAF">
        <w:rPr>
          <w:rFonts w:cstheme="minorHAnsi"/>
          <w:sz w:val="21"/>
          <w:szCs w:val="21"/>
        </w:rPr>
        <w:t>s</w:t>
      </w:r>
      <w:r w:rsidR="00910C2B" w:rsidRPr="00412CAF">
        <w:rPr>
          <w:rFonts w:cstheme="minorHAnsi"/>
          <w:sz w:val="21"/>
          <w:szCs w:val="21"/>
        </w:rPr>
        <w:t xml:space="preserve"> of carbon from a single atmosphere.</w:t>
      </w:r>
      <w:r w:rsidR="00B46578" w:rsidRPr="00412CAF">
        <w:rPr>
          <w:rFonts w:cstheme="minorHAnsi"/>
          <w:sz w:val="21"/>
          <w:szCs w:val="21"/>
        </w:rPr>
        <w:t xml:space="preserve"> </w:t>
      </w:r>
      <w:r w:rsidR="00910C2B" w:rsidRPr="00412CAF">
        <w:rPr>
          <w:rFonts w:cstheme="minorHAnsi"/>
          <w:sz w:val="21"/>
          <w:szCs w:val="21"/>
        </w:rPr>
        <w:t xml:space="preserve">The generation of a credit and its verification by a government or industry body permits it to be used to discharge mandatory compliance obligations, voluntary targets or sell to generate income as a </w:t>
      </w:r>
      <w:r w:rsidR="00166F15" w:rsidRPr="00412CAF">
        <w:rPr>
          <w:rFonts w:cstheme="minorHAnsi"/>
          <w:sz w:val="21"/>
          <w:szCs w:val="21"/>
        </w:rPr>
        <w:t>transferable</w:t>
      </w:r>
      <w:r w:rsidR="00910C2B" w:rsidRPr="00412CAF">
        <w:rPr>
          <w:rFonts w:cstheme="minorHAnsi"/>
          <w:sz w:val="21"/>
          <w:szCs w:val="21"/>
        </w:rPr>
        <w:t xml:space="preserve"> financial instrument.</w:t>
      </w:r>
    </w:p>
    <w:p w14:paraId="4556292A" w14:textId="77777777" w:rsidR="00910C2B" w:rsidRPr="00412CAF" w:rsidRDefault="00910C2B" w:rsidP="00412CAF">
      <w:pPr>
        <w:pStyle w:val="Bullet2"/>
        <w:numPr>
          <w:ilvl w:val="0"/>
          <w:numId w:val="0"/>
        </w:numPr>
        <w:spacing w:after="0" w:line="240" w:lineRule="auto"/>
        <w:rPr>
          <w:rFonts w:cstheme="minorHAnsi"/>
          <w:sz w:val="21"/>
          <w:szCs w:val="21"/>
        </w:rPr>
      </w:pPr>
    </w:p>
    <w:p w14:paraId="712F69D1" w14:textId="2FDC288F" w:rsidR="00910C2B" w:rsidRPr="00412CAF" w:rsidRDefault="00E61769" w:rsidP="00412CAF">
      <w:pPr>
        <w:pStyle w:val="Bullet2"/>
        <w:numPr>
          <w:ilvl w:val="0"/>
          <w:numId w:val="0"/>
        </w:numPr>
        <w:spacing w:after="0" w:line="240" w:lineRule="auto"/>
        <w:rPr>
          <w:rFonts w:cstheme="minorHAnsi"/>
          <w:sz w:val="21"/>
          <w:szCs w:val="21"/>
        </w:rPr>
      </w:pPr>
      <w:r w:rsidRPr="00412CAF">
        <w:rPr>
          <w:rFonts w:cstheme="minorHAnsi"/>
          <w:sz w:val="21"/>
          <w:szCs w:val="21"/>
        </w:rPr>
        <w:t>Effective and smartly designed and implemented c</w:t>
      </w:r>
      <w:r w:rsidR="0039188E" w:rsidRPr="00412CAF">
        <w:rPr>
          <w:rFonts w:cstheme="minorHAnsi"/>
          <w:sz w:val="21"/>
          <w:szCs w:val="21"/>
        </w:rPr>
        <w:t xml:space="preserve">arbon pricing </w:t>
      </w:r>
      <w:r w:rsidR="00910C2B" w:rsidRPr="00412CAF">
        <w:rPr>
          <w:rFonts w:cstheme="minorHAnsi"/>
          <w:sz w:val="21"/>
          <w:szCs w:val="21"/>
        </w:rPr>
        <w:t>mechanisms</w:t>
      </w:r>
      <w:r w:rsidR="0039188E" w:rsidRPr="00412CAF">
        <w:rPr>
          <w:rFonts w:cstheme="minorHAnsi"/>
          <w:sz w:val="21"/>
          <w:szCs w:val="21"/>
        </w:rPr>
        <w:t xml:space="preserve"> </w:t>
      </w:r>
      <w:r w:rsidR="003E0992" w:rsidRPr="00412CAF">
        <w:rPr>
          <w:rFonts w:cstheme="minorHAnsi"/>
          <w:sz w:val="21"/>
          <w:szCs w:val="21"/>
        </w:rPr>
        <w:t xml:space="preserve">that allow for increased coordination and cooperation have the potential to </w:t>
      </w:r>
      <w:r w:rsidR="00910C2B" w:rsidRPr="00412CAF">
        <w:rPr>
          <w:rFonts w:cstheme="minorHAnsi"/>
          <w:sz w:val="21"/>
          <w:szCs w:val="21"/>
        </w:rPr>
        <w:t>create</w:t>
      </w:r>
      <w:r w:rsidR="0039188E" w:rsidRPr="00412CAF">
        <w:rPr>
          <w:rFonts w:cstheme="minorHAnsi"/>
          <w:sz w:val="21"/>
          <w:szCs w:val="21"/>
        </w:rPr>
        <w:t xml:space="preserve"> economic and </w:t>
      </w:r>
      <w:r w:rsidR="00910C2B" w:rsidRPr="00412CAF">
        <w:rPr>
          <w:rFonts w:cstheme="minorHAnsi"/>
          <w:sz w:val="21"/>
          <w:szCs w:val="21"/>
        </w:rPr>
        <w:t xml:space="preserve">social </w:t>
      </w:r>
      <w:r w:rsidR="0039188E" w:rsidRPr="00412CAF">
        <w:rPr>
          <w:rFonts w:cstheme="minorHAnsi"/>
          <w:sz w:val="21"/>
          <w:szCs w:val="21"/>
        </w:rPr>
        <w:t>benefits</w:t>
      </w:r>
      <w:r w:rsidR="00910C2B" w:rsidRPr="00412CAF">
        <w:rPr>
          <w:rFonts w:cstheme="minorHAnsi"/>
          <w:sz w:val="21"/>
          <w:szCs w:val="21"/>
        </w:rPr>
        <w:t xml:space="preserve"> for </w:t>
      </w:r>
      <w:r w:rsidR="00DA1A49" w:rsidRPr="00412CAF">
        <w:rPr>
          <w:rFonts w:cstheme="minorHAnsi"/>
          <w:sz w:val="21"/>
          <w:szCs w:val="21"/>
        </w:rPr>
        <w:t>countries</w:t>
      </w:r>
      <w:r w:rsidR="0039188E" w:rsidRPr="00412CAF">
        <w:rPr>
          <w:rFonts w:cstheme="minorHAnsi"/>
          <w:sz w:val="21"/>
          <w:szCs w:val="21"/>
        </w:rPr>
        <w:t>,</w:t>
      </w:r>
      <w:r w:rsidR="00910C2B" w:rsidRPr="00412CAF">
        <w:rPr>
          <w:rFonts w:cstheme="minorHAnsi"/>
          <w:sz w:val="21"/>
          <w:szCs w:val="21"/>
        </w:rPr>
        <w:t xml:space="preserve"> </w:t>
      </w:r>
      <w:r w:rsidR="008071DD" w:rsidRPr="00412CAF">
        <w:rPr>
          <w:rFonts w:cstheme="minorHAnsi"/>
          <w:sz w:val="21"/>
          <w:szCs w:val="21"/>
        </w:rPr>
        <w:t>citizens,</w:t>
      </w:r>
      <w:r w:rsidR="00910C2B" w:rsidRPr="00412CAF">
        <w:rPr>
          <w:rFonts w:cstheme="minorHAnsi"/>
          <w:sz w:val="21"/>
          <w:szCs w:val="21"/>
        </w:rPr>
        <w:t xml:space="preserve"> and corporates as, in addition to reducing greenhouse gas emissions, they </w:t>
      </w:r>
      <w:proofErr w:type="gramStart"/>
      <w:r w:rsidR="00910C2B" w:rsidRPr="00412CAF">
        <w:rPr>
          <w:rFonts w:cstheme="minorHAnsi"/>
          <w:sz w:val="21"/>
          <w:szCs w:val="21"/>
        </w:rPr>
        <w:t>have the ability to</w:t>
      </w:r>
      <w:proofErr w:type="gramEnd"/>
      <w:r w:rsidR="00910C2B" w:rsidRPr="00412CAF">
        <w:rPr>
          <w:rFonts w:cstheme="minorHAnsi"/>
          <w:sz w:val="21"/>
          <w:szCs w:val="21"/>
        </w:rPr>
        <w:t xml:space="preserve"> generate income that may be deployed to achieve broader climate-related economic, energy transition and social goals.  They</w:t>
      </w:r>
      <w:r w:rsidR="0039188E" w:rsidRPr="00412CAF">
        <w:rPr>
          <w:rFonts w:cstheme="minorHAnsi"/>
          <w:sz w:val="21"/>
          <w:szCs w:val="21"/>
        </w:rPr>
        <w:t xml:space="preserve"> can make climate mitigation efforts more cost-effective and may allow governments and companies to adopt more ambitious climate targets. </w:t>
      </w:r>
    </w:p>
    <w:p w14:paraId="450773DF" w14:textId="77777777" w:rsidR="00910C2B" w:rsidRPr="00412CAF" w:rsidRDefault="00910C2B" w:rsidP="00412CAF">
      <w:pPr>
        <w:pStyle w:val="Bullet2"/>
        <w:numPr>
          <w:ilvl w:val="0"/>
          <w:numId w:val="0"/>
        </w:numPr>
        <w:spacing w:after="0" w:line="240" w:lineRule="auto"/>
        <w:rPr>
          <w:rFonts w:cstheme="minorHAnsi"/>
          <w:sz w:val="21"/>
          <w:szCs w:val="21"/>
        </w:rPr>
      </w:pPr>
    </w:p>
    <w:p w14:paraId="66E02BE8" w14:textId="5769A516" w:rsidR="00910C2B" w:rsidRPr="00412CAF" w:rsidRDefault="000A113E" w:rsidP="00412CAF">
      <w:pPr>
        <w:pStyle w:val="Bullet2"/>
        <w:numPr>
          <w:ilvl w:val="0"/>
          <w:numId w:val="0"/>
        </w:numPr>
        <w:spacing w:after="0" w:line="240" w:lineRule="auto"/>
        <w:rPr>
          <w:rFonts w:cstheme="minorHAnsi"/>
          <w:sz w:val="21"/>
          <w:szCs w:val="21"/>
        </w:rPr>
      </w:pPr>
      <w:r w:rsidRPr="00412CAF">
        <w:rPr>
          <w:rFonts w:cstheme="minorHAnsi"/>
          <w:sz w:val="21"/>
          <w:szCs w:val="21"/>
        </w:rPr>
        <w:t>C</w:t>
      </w:r>
      <w:r w:rsidR="00910C2B" w:rsidRPr="00412CAF">
        <w:rPr>
          <w:rFonts w:cstheme="minorHAnsi"/>
          <w:sz w:val="21"/>
          <w:szCs w:val="21"/>
        </w:rPr>
        <w:t>onsideration of linkage</w:t>
      </w:r>
      <w:r w:rsidR="00991856" w:rsidRPr="00412CAF">
        <w:rPr>
          <w:rFonts w:cstheme="minorHAnsi"/>
          <w:sz w:val="21"/>
          <w:szCs w:val="21"/>
        </w:rPr>
        <w:t>, as set out above</w:t>
      </w:r>
      <w:r w:rsidR="00910C2B" w:rsidRPr="00412CAF">
        <w:rPr>
          <w:rFonts w:cstheme="minorHAnsi"/>
          <w:sz w:val="21"/>
          <w:szCs w:val="21"/>
        </w:rPr>
        <w:t xml:space="preserve"> </w:t>
      </w:r>
      <w:r w:rsidR="0039188E" w:rsidRPr="00412CAF">
        <w:rPr>
          <w:rFonts w:cstheme="minorHAnsi"/>
          <w:sz w:val="21"/>
          <w:szCs w:val="21"/>
        </w:rPr>
        <w:t xml:space="preserve">can: </w:t>
      </w:r>
    </w:p>
    <w:p w14:paraId="2C616D6E" w14:textId="2DD45292" w:rsidR="0039188E" w:rsidRPr="00412CAF" w:rsidRDefault="0039188E" w:rsidP="00412CAF">
      <w:pPr>
        <w:pStyle w:val="ListParagraph"/>
        <w:numPr>
          <w:ilvl w:val="1"/>
          <w:numId w:val="38"/>
        </w:numPr>
        <w:spacing w:after="0" w:line="240" w:lineRule="auto"/>
        <w:ind w:left="709" w:hanging="283"/>
        <w:rPr>
          <w:sz w:val="21"/>
          <w:szCs w:val="21"/>
        </w:rPr>
      </w:pPr>
      <w:r w:rsidRPr="00412CAF">
        <w:rPr>
          <w:rFonts w:cstheme="minorHAnsi"/>
          <w:sz w:val="21"/>
          <w:szCs w:val="21"/>
        </w:rPr>
        <w:t xml:space="preserve">Improve cost effectiveness and reduce the cost of action by reducing aggregate compliance costs (in </w:t>
      </w:r>
      <w:proofErr w:type="gramStart"/>
      <w:r w:rsidRPr="00412CAF">
        <w:rPr>
          <w:rFonts w:cstheme="minorHAnsi"/>
          <w:sz w:val="21"/>
          <w:szCs w:val="21"/>
        </w:rPr>
        <w:t>a similar way</w:t>
      </w:r>
      <w:proofErr w:type="gramEnd"/>
      <w:r w:rsidRPr="00412CAF">
        <w:rPr>
          <w:rFonts w:cstheme="minorHAnsi"/>
          <w:sz w:val="21"/>
          <w:szCs w:val="21"/>
        </w:rPr>
        <w:t xml:space="preserve"> that costs are reduced in a trade relationship) and can therefore facilitate administrative</w:t>
      </w:r>
      <w:r w:rsidRPr="00412CAF">
        <w:rPr>
          <w:sz w:val="21"/>
          <w:szCs w:val="21"/>
        </w:rPr>
        <w:t xml:space="preserve"> efficiency and lower administrative costs.</w:t>
      </w:r>
      <w:r w:rsidR="00B83721" w:rsidRPr="00412CAF">
        <w:rPr>
          <w:rStyle w:val="FootnoteReference"/>
          <w:sz w:val="21"/>
          <w:szCs w:val="21"/>
        </w:rPr>
        <w:footnoteReference w:id="29"/>
      </w:r>
    </w:p>
    <w:p w14:paraId="2E1FD6B1" w14:textId="2C0CCBAB" w:rsidR="009605CD" w:rsidRPr="00412CAF" w:rsidRDefault="0039188E" w:rsidP="00412CAF">
      <w:pPr>
        <w:pStyle w:val="ListParagraph"/>
        <w:numPr>
          <w:ilvl w:val="1"/>
          <w:numId w:val="38"/>
        </w:numPr>
        <w:spacing w:after="0" w:line="240" w:lineRule="auto"/>
        <w:ind w:left="709" w:hanging="283"/>
        <w:rPr>
          <w:sz w:val="21"/>
          <w:szCs w:val="21"/>
        </w:rPr>
      </w:pPr>
      <w:r w:rsidRPr="00412CAF">
        <w:rPr>
          <w:sz w:val="21"/>
          <w:szCs w:val="21"/>
        </w:rPr>
        <w:t>Improve price stability and predictability;</w:t>
      </w:r>
    </w:p>
    <w:p w14:paraId="2A1F145C" w14:textId="77777777" w:rsidR="009605CD" w:rsidRPr="00412CAF" w:rsidRDefault="0039188E" w:rsidP="00412CAF">
      <w:pPr>
        <w:pStyle w:val="ListParagraph"/>
        <w:numPr>
          <w:ilvl w:val="1"/>
          <w:numId w:val="38"/>
        </w:numPr>
        <w:spacing w:after="0" w:line="240" w:lineRule="auto"/>
        <w:ind w:left="709" w:hanging="283"/>
        <w:rPr>
          <w:sz w:val="21"/>
          <w:szCs w:val="21"/>
        </w:rPr>
      </w:pPr>
      <w:r w:rsidRPr="00412CAF">
        <w:rPr>
          <w:sz w:val="21"/>
          <w:szCs w:val="21"/>
        </w:rPr>
        <w:t>Reduce leakage concerns and competitive disadvantage, creating a level playing field for companies across the linked market, which now face the same carbon price.</w:t>
      </w:r>
    </w:p>
    <w:p w14:paraId="5CE840C8" w14:textId="77777777" w:rsidR="009605CD" w:rsidRPr="00412CAF" w:rsidRDefault="003F10E2" w:rsidP="00412CAF">
      <w:pPr>
        <w:pStyle w:val="ListParagraph"/>
        <w:numPr>
          <w:ilvl w:val="1"/>
          <w:numId w:val="38"/>
        </w:numPr>
        <w:spacing w:after="0" w:line="240" w:lineRule="auto"/>
        <w:ind w:left="709" w:hanging="283"/>
        <w:rPr>
          <w:sz w:val="21"/>
          <w:szCs w:val="21"/>
        </w:rPr>
      </w:pPr>
      <w:r w:rsidRPr="00412CAF">
        <w:rPr>
          <w:sz w:val="21"/>
          <w:szCs w:val="21"/>
        </w:rPr>
        <w:t>Increase</w:t>
      </w:r>
      <w:r w:rsidR="0039188E" w:rsidRPr="00412CAF">
        <w:rPr>
          <w:sz w:val="21"/>
          <w:szCs w:val="21"/>
        </w:rPr>
        <w:t xml:space="preserve"> the number of market participants. With more actors buying and selling permits, market depth and liquidity increase. A bigger carbon market is also better at absorbing shocks and is more resilient to manipulation, which could result from a buyer or seller power;</w:t>
      </w:r>
    </w:p>
    <w:p w14:paraId="45B1C7E4" w14:textId="5E758125" w:rsidR="0039188E" w:rsidRPr="00412CAF" w:rsidRDefault="00910C2B" w:rsidP="00412CAF">
      <w:pPr>
        <w:pStyle w:val="ListParagraph"/>
        <w:numPr>
          <w:ilvl w:val="1"/>
          <w:numId w:val="38"/>
        </w:numPr>
        <w:spacing w:after="0" w:line="240" w:lineRule="auto"/>
        <w:ind w:left="709" w:hanging="283"/>
        <w:rPr>
          <w:sz w:val="21"/>
          <w:szCs w:val="21"/>
        </w:rPr>
      </w:pPr>
      <w:r w:rsidRPr="00412CAF">
        <w:rPr>
          <w:sz w:val="21"/>
          <w:szCs w:val="21"/>
        </w:rPr>
        <w:t>A</w:t>
      </w:r>
      <w:r w:rsidR="0039188E" w:rsidRPr="00412CAF">
        <w:rPr>
          <w:sz w:val="21"/>
          <w:szCs w:val="21"/>
        </w:rPr>
        <w:t xml:space="preserve">llow different </w:t>
      </w:r>
      <w:proofErr w:type="gramStart"/>
      <w:r w:rsidR="0039188E" w:rsidRPr="00412CAF">
        <w:rPr>
          <w:sz w:val="21"/>
          <w:szCs w:val="21"/>
        </w:rPr>
        <w:t>jurisdictions</w:t>
      </w:r>
      <w:proofErr w:type="gramEnd"/>
      <w:r w:rsidR="0039188E" w:rsidRPr="00412CAF">
        <w:rPr>
          <w:sz w:val="21"/>
          <w:szCs w:val="21"/>
        </w:rPr>
        <w:t xml:space="preserve"> to increase political momentum and attention for climate action, by demonstrating their climate leadership at a global level. </w:t>
      </w:r>
    </w:p>
    <w:p w14:paraId="504E446E" w14:textId="77777777" w:rsidR="0039188E" w:rsidRPr="00412CAF" w:rsidRDefault="0039188E" w:rsidP="00412CAF">
      <w:pPr>
        <w:pStyle w:val="ListParagraph"/>
        <w:spacing w:after="0" w:line="240" w:lineRule="auto"/>
        <w:rPr>
          <w:sz w:val="21"/>
          <w:szCs w:val="21"/>
        </w:rPr>
      </w:pPr>
    </w:p>
    <w:p w14:paraId="65A405D4" w14:textId="38DC7BCE" w:rsidR="0039188E" w:rsidRPr="00412CAF" w:rsidRDefault="0039188E" w:rsidP="00412CAF">
      <w:pPr>
        <w:spacing w:after="0" w:line="240" w:lineRule="auto"/>
        <w:rPr>
          <w:sz w:val="21"/>
          <w:szCs w:val="21"/>
        </w:rPr>
      </w:pPr>
      <w:r w:rsidRPr="00412CAF">
        <w:rPr>
          <w:sz w:val="21"/>
          <w:szCs w:val="21"/>
        </w:rPr>
        <w:t>Therefore, link</w:t>
      </w:r>
      <w:r w:rsidR="00910C2B" w:rsidRPr="00412CAF">
        <w:rPr>
          <w:sz w:val="21"/>
          <w:szCs w:val="21"/>
        </w:rPr>
        <w:t>age</w:t>
      </w:r>
      <w:r w:rsidR="005E0726" w:rsidRPr="00412CAF">
        <w:rPr>
          <w:sz w:val="21"/>
          <w:szCs w:val="21"/>
        </w:rPr>
        <w:t xml:space="preserve">, as </w:t>
      </w:r>
      <w:r w:rsidR="00B46578" w:rsidRPr="00412CAF">
        <w:rPr>
          <w:sz w:val="21"/>
          <w:szCs w:val="21"/>
        </w:rPr>
        <w:t xml:space="preserve">explained </w:t>
      </w:r>
      <w:r w:rsidR="0086638E" w:rsidRPr="00412CAF">
        <w:rPr>
          <w:sz w:val="21"/>
          <w:szCs w:val="21"/>
        </w:rPr>
        <w:t>above, should</w:t>
      </w:r>
      <w:r w:rsidR="00910C2B" w:rsidRPr="00412CAF">
        <w:rPr>
          <w:sz w:val="21"/>
          <w:szCs w:val="21"/>
        </w:rPr>
        <w:t xml:space="preserve"> </w:t>
      </w:r>
      <w:proofErr w:type="gramStart"/>
      <w:r w:rsidR="00910C2B" w:rsidRPr="00412CAF">
        <w:rPr>
          <w:sz w:val="21"/>
          <w:szCs w:val="21"/>
        </w:rPr>
        <w:t xml:space="preserve">be </w:t>
      </w:r>
      <w:r w:rsidR="005E0726" w:rsidRPr="00412CAF">
        <w:rPr>
          <w:sz w:val="21"/>
          <w:szCs w:val="21"/>
        </w:rPr>
        <w:t xml:space="preserve">increasingly </w:t>
      </w:r>
      <w:r w:rsidR="00910C2B" w:rsidRPr="00412CAF">
        <w:rPr>
          <w:sz w:val="21"/>
          <w:szCs w:val="21"/>
        </w:rPr>
        <w:t>considered</w:t>
      </w:r>
      <w:proofErr w:type="gramEnd"/>
      <w:r w:rsidR="00910C2B" w:rsidRPr="00412CAF">
        <w:rPr>
          <w:sz w:val="21"/>
          <w:szCs w:val="21"/>
        </w:rPr>
        <w:t xml:space="preserve"> by governments in </w:t>
      </w:r>
      <w:r w:rsidRPr="00412CAF">
        <w:rPr>
          <w:sz w:val="21"/>
          <w:szCs w:val="21"/>
        </w:rPr>
        <w:t xml:space="preserve">developing or implementing effective carbon pricing </w:t>
      </w:r>
      <w:r w:rsidR="00910C2B" w:rsidRPr="00412CAF">
        <w:rPr>
          <w:sz w:val="21"/>
          <w:szCs w:val="21"/>
        </w:rPr>
        <w:t>mechanisms</w:t>
      </w:r>
      <w:r w:rsidRPr="00412CAF">
        <w:rPr>
          <w:sz w:val="21"/>
          <w:szCs w:val="21"/>
        </w:rPr>
        <w:t>.</w:t>
      </w:r>
    </w:p>
    <w:p w14:paraId="52B47F82" w14:textId="77777777" w:rsidR="0039188E" w:rsidRPr="00412CAF" w:rsidRDefault="0039188E" w:rsidP="00412CAF">
      <w:pPr>
        <w:pStyle w:val="Bullet2"/>
        <w:numPr>
          <w:ilvl w:val="0"/>
          <w:numId w:val="0"/>
        </w:numPr>
        <w:spacing w:after="0" w:line="240" w:lineRule="auto"/>
        <w:ind w:left="720"/>
        <w:rPr>
          <w:sz w:val="21"/>
          <w:szCs w:val="21"/>
        </w:rPr>
      </w:pPr>
    </w:p>
    <w:p w14:paraId="490C57F8" w14:textId="55CFE968" w:rsidR="00910C2B" w:rsidRPr="00412CAF" w:rsidRDefault="00910C2B" w:rsidP="00412CAF">
      <w:pPr>
        <w:pStyle w:val="ListParagraph"/>
        <w:numPr>
          <w:ilvl w:val="0"/>
          <w:numId w:val="39"/>
        </w:numPr>
        <w:spacing w:after="0" w:line="240" w:lineRule="auto"/>
        <w:ind w:left="360"/>
        <w:rPr>
          <w:b/>
          <w:bCs/>
          <w:sz w:val="21"/>
          <w:szCs w:val="21"/>
        </w:rPr>
      </w:pPr>
      <w:r w:rsidRPr="00412CAF">
        <w:rPr>
          <w:b/>
          <w:bCs/>
          <w:sz w:val="21"/>
          <w:szCs w:val="21"/>
        </w:rPr>
        <w:t xml:space="preserve">Linkage </w:t>
      </w:r>
      <w:r w:rsidR="000D5CB5" w:rsidRPr="00412CAF">
        <w:rPr>
          <w:b/>
          <w:bCs/>
          <w:sz w:val="21"/>
          <w:szCs w:val="21"/>
        </w:rPr>
        <w:t xml:space="preserve">Across </w:t>
      </w:r>
      <w:r w:rsidR="00023E6D" w:rsidRPr="00412CAF">
        <w:rPr>
          <w:b/>
          <w:bCs/>
          <w:sz w:val="21"/>
          <w:szCs w:val="21"/>
        </w:rPr>
        <w:t>National</w:t>
      </w:r>
      <w:r w:rsidR="000D5CB5" w:rsidRPr="00412CAF">
        <w:rPr>
          <w:b/>
          <w:bCs/>
          <w:sz w:val="21"/>
          <w:szCs w:val="21"/>
        </w:rPr>
        <w:t xml:space="preserve"> or Subnational</w:t>
      </w:r>
      <w:r w:rsidRPr="00412CAF">
        <w:rPr>
          <w:b/>
          <w:bCs/>
          <w:sz w:val="21"/>
          <w:szCs w:val="21"/>
        </w:rPr>
        <w:t xml:space="preserve"> Compliance Mechanisms</w:t>
      </w:r>
    </w:p>
    <w:p w14:paraId="48F845A7" w14:textId="01EE312C" w:rsidR="00910C2B" w:rsidRPr="00412CAF" w:rsidRDefault="00910C2B" w:rsidP="00412CAF">
      <w:pPr>
        <w:pStyle w:val="Bullet2"/>
        <w:numPr>
          <w:ilvl w:val="0"/>
          <w:numId w:val="23"/>
        </w:numPr>
        <w:spacing w:after="0" w:line="240" w:lineRule="auto"/>
        <w:ind w:left="737"/>
        <w:rPr>
          <w:sz w:val="21"/>
          <w:szCs w:val="21"/>
        </w:rPr>
      </w:pPr>
      <w:r w:rsidRPr="00412CAF">
        <w:rPr>
          <w:sz w:val="21"/>
          <w:szCs w:val="21"/>
        </w:rPr>
        <w:t xml:space="preserve">Linkage may align reduction percentages and reduction terms within the NDCs of </w:t>
      </w:r>
      <w:r w:rsidR="0035182E" w:rsidRPr="00412CAF">
        <w:rPr>
          <w:sz w:val="21"/>
          <w:szCs w:val="21"/>
        </w:rPr>
        <w:t>countries</w:t>
      </w:r>
      <w:r w:rsidRPr="00412CAF">
        <w:rPr>
          <w:sz w:val="21"/>
          <w:szCs w:val="21"/>
        </w:rPr>
        <w:t xml:space="preserve"> seeking to collaborate to achieve the Paris Agreement target</w:t>
      </w:r>
      <w:r w:rsidR="00CA4235" w:rsidRPr="00412CAF">
        <w:rPr>
          <w:sz w:val="21"/>
          <w:szCs w:val="21"/>
        </w:rPr>
        <w:t xml:space="preserve"> of limiting the global temperature increase to 1.5°C above pre-industrial levels.</w:t>
      </w:r>
    </w:p>
    <w:p w14:paraId="25D9F2BB" w14:textId="29E1147E" w:rsidR="00910C2B" w:rsidRPr="00412CAF" w:rsidRDefault="00910C2B" w:rsidP="00412CAF">
      <w:pPr>
        <w:pStyle w:val="Bullet2"/>
        <w:numPr>
          <w:ilvl w:val="0"/>
          <w:numId w:val="19"/>
        </w:numPr>
        <w:spacing w:after="0" w:line="240" w:lineRule="auto"/>
        <w:rPr>
          <w:sz w:val="21"/>
          <w:szCs w:val="21"/>
        </w:rPr>
      </w:pPr>
      <w:r w:rsidRPr="00412CAF">
        <w:rPr>
          <w:sz w:val="21"/>
          <w:szCs w:val="21"/>
        </w:rPr>
        <w:t xml:space="preserve">Linkage may enhance coordination and compatibility between carbon pricing mechanisms, to preserve social and environmental integrity of allowances across </w:t>
      </w:r>
      <w:r w:rsidR="0035182E" w:rsidRPr="00412CAF">
        <w:rPr>
          <w:sz w:val="21"/>
          <w:szCs w:val="21"/>
        </w:rPr>
        <w:t>countries</w:t>
      </w:r>
      <w:r w:rsidRPr="00412CAF">
        <w:rPr>
          <w:sz w:val="21"/>
          <w:szCs w:val="21"/>
        </w:rPr>
        <w:t>.</w:t>
      </w:r>
    </w:p>
    <w:p w14:paraId="414C052F" w14:textId="77777777" w:rsidR="00910C2B" w:rsidRPr="00412CAF" w:rsidRDefault="00910C2B" w:rsidP="00412CAF">
      <w:pPr>
        <w:pStyle w:val="ListParagraph"/>
        <w:numPr>
          <w:ilvl w:val="0"/>
          <w:numId w:val="19"/>
        </w:numPr>
        <w:spacing w:after="0" w:line="240" w:lineRule="auto"/>
        <w:rPr>
          <w:sz w:val="21"/>
          <w:szCs w:val="21"/>
        </w:rPr>
      </w:pPr>
      <w:r w:rsidRPr="00412CAF">
        <w:rPr>
          <w:sz w:val="21"/>
          <w:szCs w:val="21"/>
        </w:rPr>
        <w:t xml:space="preserve">Linkage may improve compatibility of design features across systems by clearly aligning objectives, current and future levels of ambition, standards for environmental integrity, strategies for stabilising prices, and direction of future ETS policy. </w:t>
      </w:r>
    </w:p>
    <w:p w14:paraId="55DD74B9" w14:textId="51B1612E" w:rsidR="00910C2B" w:rsidRPr="00412CAF" w:rsidRDefault="00910C2B" w:rsidP="00412CAF">
      <w:pPr>
        <w:pStyle w:val="ListParagraph"/>
        <w:numPr>
          <w:ilvl w:val="0"/>
          <w:numId w:val="19"/>
        </w:numPr>
        <w:spacing w:after="0" w:line="240" w:lineRule="auto"/>
        <w:rPr>
          <w:sz w:val="21"/>
          <w:szCs w:val="21"/>
        </w:rPr>
      </w:pPr>
      <w:r w:rsidRPr="00412CAF">
        <w:rPr>
          <w:sz w:val="21"/>
          <w:szCs w:val="21"/>
        </w:rPr>
        <w:t>In particular, certain design features require strict compatibility (e.g., voluntary or mandatory nature of system, type of cap, Price or Supply Adjustment Mechanisms (PSAMs), use and environmental integrity of offset credits, borrowing and banking), whereas others demand confidence in comparable outcomes (e.g., stringent ETS cap, robust MRV systems, capacity of regulators to manage risk of misconduct in secondary markets, administration of registry and tracking allowances, and ability and willingness to enforce)</w:t>
      </w:r>
    </w:p>
    <w:p w14:paraId="2BD3CF06" w14:textId="20160A53" w:rsidR="00910C2B" w:rsidRPr="00412CAF" w:rsidRDefault="00910C2B" w:rsidP="00412CAF">
      <w:pPr>
        <w:pStyle w:val="ListParagraph"/>
        <w:numPr>
          <w:ilvl w:val="0"/>
          <w:numId w:val="20"/>
        </w:numPr>
        <w:spacing w:after="0" w:line="240" w:lineRule="auto"/>
        <w:rPr>
          <w:sz w:val="21"/>
          <w:szCs w:val="21"/>
        </w:rPr>
      </w:pPr>
      <w:r w:rsidRPr="00412CAF">
        <w:rPr>
          <w:sz w:val="21"/>
          <w:szCs w:val="21"/>
        </w:rPr>
        <w:t xml:space="preserve">Linkage also arises in the context of alignment with international trade rules, to avoid creating trade barriers. For policymakers, linking also means a loss of regulatory flexibility and control on a regional level, </w:t>
      </w:r>
      <w:r w:rsidR="00AB7873" w:rsidRPr="00412CAF">
        <w:rPr>
          <w:sz w:val="21"/>
          <w:szCs w:val="21"/>
        </w:rPr>
        <w:t>emphasising</w:t>
      </w:r>
      <w:r w:rsidRPr="00412CAF">
        <w:rPr>
          <w:sz w:val="21"/>
          <w:szCs w:val="21"/>
        </w:rPr>
        <w:t xml:space="preserve"> the need for close coordination between linked systems. </w:t>
      </w:r>
    </w:p>
    <w:p w14:paraId="77B9EFA5" w14:textId="7400780F" w:rsidR="00910C2B" w:rsidRPr="00412CAF" w:rsidRDefault="00910C2B" w:rsidP="00412CAF">
      <w:pPr>
        <w:pStyle w:val="ListParagraph"/>
        <w:numPr>
          <w:ilvl w:val="0"/>
          <w:numId w:val="20"/>
        </w:numPr>
        <w:spacing w:after="0" w:line="240" w:lineRule="auto"/>
        <w:rPr>
          <w:sz w:val="21"/>
          <w:szCs w:val="21"/>
        </w:rPr>
      </w:pPr>
      <w:r w:rsidRPr="00412CAF">
        <w:rPr>
          <w:sz w:val="21"/>
          <w:szCs w:val="21"/>
        </w:rPr>
        <w:t xml:space="preserve">Timing of any linkage should also </w:t>
      </w:r>
      <w:proofErr w:type="gramStart"/>
      <w:r w:rsidRPr="00412CAF">
        <w:rPr>
          <w:sz w:val="21"/>
          <w:szCs w:val="21"/>
        </w:rPr>
        <w:t>be considered</w:t>
      </w:r>
      <w:proofErr w:type="gramEnd"/>
      <w:r w:rsidRPr="00412CAF">
        <w:rPr>
          <w:sz w:val="21"/>
          <w:szCs w:val="21"/>
        </w:rPr>
        <w:t xml:space="preserve">, as well as governance and long-term management. </w:t>
      </w:r>
    </w:p>
    <w:p w14:paraId="332B7E4F" w14:textId="0896C375" w:rsidR="00910C2B" w:rsidRPr="00412CAF" w:rsidRDefault="00910C2B" w:rsidP="00412CAF">
      <w:pPr>
        <w:pStyle w:val="Bullet2"/>
        <w:numPr>
          <w:ilvl w:val="0"/>
          <w:numId w:val="20"/>
        </w:numPr>
        <w:spacing w:after="0" w:line="240" w:lineRule="auto"/>
        <w:rPr>
          <w:sz w:val="21"/>
          <w:szCs w:val="21"/>
        </w:rPr>
      </w:pPr>
      <w:r w:rsidRPr="00412CAF">
        <w:rPr>
          <w:sz w:val="21"/>
          <w:szCs w:val="21"/>
        </w:rPr>
        <w:t xml:space="preserve">Recognising the </w:t>
      </w:r>
      <w:r w:rsidR="00166F15" w:rsidRPr="00412CAF">
        <w:rPr>
          <w:sz w:val="21"/>
          <w:szCs w:val="21"/>
        </w:rPr>
        <w:t>bottom-up</w:t>
      </w:r>
      <w:r w:rsidRPr="00412CAF">
        <w:rPr>
          <w:sz w:val="21"/>
          <w:szCs w:val="21"/>
        </w:rPr>
        <w:t xml:space="preserve"> architecture of the Paris Agreement commitments, </w:t>
      </w:r>
      <w:r w:rsidR="00781681" w:rsidRPr="00412CAF">
        <w:rPr>
          <w:sz w:val="21"/>
          <w:szCs w:val="21"/>
        </w:rPr>
        <w:t>governments retain</w:t>
      </w:r>
      <w:r w:rsidRPr="00412CAF">
        <w:rPr>
          <w:sz w:val="21"/>
          <w:szCs w:val="21"/>
        </w:rPr>
        <w:t xml:space="preserve"> the right to prioritise local political, </w:t>
      </w:r>
      <w:r w:rsidR="00D42814" w:rsidRPr="00412CAF">
        <w:rPr>
          <w:sz w:val="21"/>
          <w:szCs w:val="21"/>
        </w:rPr>
        <w:t>economic,</w:t>
      </w:r>
      <w:r w:rsidRPr="00412CAF">
        <w:rPr>
          <w:sz w:val="21"/>
          <w:szCs w:val="21"/>
        </w:rPr>
        <w:t xml:space="preserve"> and societal factors against broader global economic, </w:t>
      </w:r>
      <w:proofErr w:type="gramStart"/>
      <w:r w:rsidRPr="00412CAF">
        <w:rPr>
          <w:sz w:val="21"/>
          <w:szCs w:val="21"/>
        </w:rPr>
        <w:t>social</w:t>
      </w:r>
      <w:proofErr w:type="gramEnd"/>
      <w:r w:rsidRPr="00412CAF">
        <w:rPr>
          <w:sz w:val="21"/>
          <w:szCs w:val="21"/>
        </w:rPr>
        <w:t xml:space="preserve"> and environmental interests.</w:t>
      </w:r>
    </w:p>
    <w:p w14:paraId="26454755" w14:textId="77777777" w:rsidR="00910C2B" w:rsidRPr="00412CAF" w:rsidRDefault="00910C2B" w:rsidP="00412CAF">
      <w:pPr>
        <w:pStyle w:val="Bullet2"/>
        <w:numPr>
          <w:ilvl w:val="0"/>
          <w:numId w:val="0"/>
        </w:numPr>
        <w:spacing w:after="0" w:line="240" w:lineRule="auto"/>
        <w:ind w:left="720"/>
        <w:rPr>
          <w:sz w:val="21"/>
          <w:szCs w:val="21"/>
        </w:rPr>
      </w:pPr>
    </w:p>
    <w:p w14:paraId="6C318FCE" w14:textId="6F63FDB0" w:rsidR="00910C2B" w:rsidRPr="00412CAF" w:rsidRDefault="00910C2B" w:rsidP="00412CAF">
      <w:pPr>
        <w:pStyle w:val="Heading3"/>
        <w:numPr>
          <w:ilvl w:val="0"/>
          <w:numId w:val="39"/>
        </w:numPr>
        <w:spacing w:after="0" w:line="240" w:lineRule="auto"/>
        <w:ind w:left="360"/>
        <w:rPr>
          <w:sz w:val="21"/>
          <w:szCs w:val="21"/>
          <w:u w:val="none"/>
        </w:rPr>
      </w:pPr>
      <w:r w:rsidRPr="00412CAF">
        <w:rPr>
          <w:sz w:val="21"/>
          <w:szCs w:val="21"/>
          <w:u w:val="none"/>
        </w:rPr>
        <w:t xml:space="preserve">Linkage </w:t>
      </w:r>
      <w:r w:rsidR="006D49A0" w:rsidRPr="00412CAF">
        <w:rPr>
          <w:sz w:val="21"/>
          <w:szCs w:val="21"/>
          <w:u w:val="none"/>
        </w:rPr>
        <w:t xml:space="preserve">between </w:t>
      </w:r>
      <w:r w:rsidR="00023E6D" w:rsidRPr="00412CAF">
        <w:rPr>
          <w:sz w:val="21"/>
          <w:szCs w:val="21"/>
          <w:u w:val="none"/>
        </w:rPr>
        <w:t>National</w:t>
      </w:r>
      <w:r w:rsidR="006D49A0" w:rsidRPr="00412CAF">
        <w:rPr>
          <w:sz w:val="21"/>
          <w:szCs w:val="21"/>
          <w:u w:val="none"/>
        </w:rPr>
        <w:t xml:space="preserve"> or </w:t>
      </w:r>
      <w:r w:rsidR="007F6927" w:rsidRPr="00412CAF">
        <w:rPr>
          <w:sz w:val="21"/>
          <w:szCs w:val="21"/>
          <w:u w:val="none"/>
        </w:rPr>
        <w:t>Subnational</w:t>
      </w:r>
      <w:r w:rsidRPr="00412CAF">
        <w:rPr>
          <w:sz w:val="21"/>
          <w:szCs w:val="21"/>
          <w:u w:val="none"/>
        </w:rPr>
        <w:t xml:space="preserve"> Compliance Mechanisms </w:t>
      </w:r>
      <w:r w:rsidR="00781681" w:rsidRPr="00412CAF">
        <w:rPr>
          <w:sz w:val="21"/>
          <w:szCs w:val="21"/>
          <w:u w:val="none"/>
        </w:rPr>
        <w:t>and Paris</w:t>
      </w:r>
      <w:r w:rsidR="00A85781" w:rsidRPr="00412CAF">
        <w:rPr>
          <w:sz w:val="21"/>
          <w:szCs w:val="21"/>
          <w:u w:val="none"/>
        </w:rPr>
        <w:t xml:space="preserve"> Agreement</w:t>
      </w:r>
      <w:r w:rsidRPr="00412CAF">
        <w:rPr>
          <w:sz w:val="21"/>
          <w:szCs w:val="21"/>
          <w:u w:val="none"/>
        </w:rPr>
        <w:t xml:space="preserve"> </w:t>
      </w:r>
      <w:r w:rsidR="0039188E" w:rsidRPr="00412CAF">
        <w:rPr>
          <w:sz w:val="21"/>
          <w:szCs w:val="21"/>
          <w:u w:val="none"/>
        </w:rPr>
        <w:t xml:space="preserve">Article 6 </w:t>
      </w:r>
    </w:p>
    <w:p w14:paraId="28B7C6C8" w14:textId="1A0A1217" w:rsidR="00910C2B" w:rsidRPr="00412CAF" w:rsidRDefault="00910C2B" w:rsidP="00412CAF">
      <w:pPr>
        <w:pStyle w:val="Heading3"/>
        <w:numPr>
          <w:ilvl w:val="0"/>
          <w:numId w:val="23"/>
        </w:numPr>
        <w:spacing w:after="0" w:line="240" w:lineRule="auto"/>
        <w:ind w:left="720"/>
        <w:rPr>
          <w:b w:val="0"/>
          <w:bCs w:val="0"/>
          <w:sz w:val="21"/>
          <w:szCs w:val="21"/>
          <w:u w:val="none"/>
        </w:rPr>
      </w:pPr>
      <w:r w:rsidRPr="00412CAF">
        <w:rPr>
          <w:b w:val="0"/>
          <w:bCs w:val="0"/>
          <w:sz w:val="21"/>
          <w:szCs w:val="21"/>
          <w:u w:val="none"/>
        </w:rPr>
        <w:t xml:space="preserve">Article 6 </w:t>
      </w:r>
      <w:r w:rsidR="0039188E" w:rsidRPr="00412CAF">
        <w:rPr>
          <w:b w:val="0"/>
          <w:bCs w:val="0"/>
          <w:sz w:val="21"/>
          <w:szCs w:val="21"/>
          <w:u w:val="none"/>
        </w:rPr>
        <w:t>of the Paris Agreement</w:t>
      </w:r>
      <w:r w:rsidR="003E398B" w:rsidRPr="00412CAF">
        <w:rPr>
          <w:b w:val="0"/>
          <w:bCs w:val="0"/>
          <w:sz w:val="21"/>
          <w:szCs w:val="21"/>
          <w:u w:val="none"/>
        </w:rPr>
        <w:t xml:space="preserve">, if implemented and operationalised </w:t>
      </w:r>
      <w:r w:rsidR="00874321" w:rsidRPr="00412CAF">
        <w:rPr>
          <w:b w:val="0"/>
          <w:bCs w:val="0"/>
          <w:sz w:val="21"/>
          <w:szCs w:val="21"/>
          <w:u w:val="none"/>
        </w:rPr>
        <w:t>effectively, is</w:t>
      </w:r>
      <w:r w:rsidRPr="00412CAF">
        <w:rPr>
          <w:b w:val="0"/>
          <w:bCs w:val="0"/>
          <w:sz w:val="21"/>
          <w:szCs w:val="21"/>
          <w:u w:val="none"/>
        </w:rPr>
        <w:t xml:space="preserve"> a </w:t>
      </w:r>
      <w:r w:rsidR="0039188E" w:rsidRPr="00412CAF">
        <w:rPr>
          <w:b w:val="0"/>
          <w:bCs w:val="0"/>
          <w:sz w:val="21"/>
          <w:szCs w:val="21"/>
          <w:u w:val="none"/>
        </w:rPr>
        <w:t>key enabler for increased cooperation and higher climate ambition and action</w:t>
      </w:r>
      <w:r w:rsidRPr="00412CAF">
        <w:rPr>
          <w:b w:val="0"/>
          <w:bCs w:val="0"/>
          <w:sz w:val="21"/>
          <w:szCs w:val="21"/>
          <w:u w:val="none"/>
        </w:rPr>
        <w:t>.</w:t>
      </w:r>
    </w:p>
    <w:p w14:paraId="238BED7B" w14:textId="2F1CB7C2" w:rsidR="00910C2B" w:rsidRPr="00412CAF" w:rsidRDefault="00910C2B" w:rsidP="00412CAF">
      <w:pPr>
        <w:pStyle w:val="Heading3"/>
        <w:numPr>
          <w:ilvl w:val="0"/>
          <w:numId w:val="23"/>
        </w:numPr>
        <w:spacing w:after="0" w:line="240" w:lineRule="auto"/>
        <w:ind w:left="720"/>
        <w:rPr>
          <w:b w:val="0"/>
          <w:bCs w:val="0"/>
          <w:sz w:val="21"/>
          <w:szCs w:val="21"/>
          <w:u w:val="none"/>
        </w:rPr>
      </w:pPr>
      <w:r w:rsidRPr="00412CAF">
        <w:rPr>
          <w:b w:val="0"/>
          <w:bCs w:val="0"/>
          <w:sz w:val="21"/>
          <w:szCs w:val="21"/>
          <w:u w:val="none"/>
        </w:rPr>
        <w:t>Article 6 e</w:t>
      </w:r>
      <w:r w:rsidR="0039188E" w:rsidRPr="00412CAF">
        <w:rPr>
          <w:b w:val="0"/>
          <w:bCs w:val="0"/>
          <w:sz w:val="21"/>
          <w:szCs w:val="21"/>
          <w:u w:val="none"/>
        </w:rPr>
        <w:t>nabl</w:t>
      </w:r>
      <w:r w:rsidRPr="00412CAF">
        <w:rPr>
          <w:b w:val="0"/>
          <w:bCs w:val="0"/>
          <w:sz w:val="21"/>
          <w:szCs w:val="21"/>
          <w:u w:val="none"/>
        </w:rPr>
        <w:t>es</w:t>
      </w:r>
      <w:r w:rsidR="0039188E" w:rsidRPr="00412CAF">
        <w:rPr>
          <w:b w:val="0"/>
          <w:bCs w:val="0"/>
          <w:sz w:val="21"/>
          <w:szCs w:val="21"/>
          <w:u w:val="none"/>
        </w:rPr>
        <w:t xml:space="preserve"> </w:t>
      </w:r>
      <w:r w:rsidR="0039188E" w:rsidRPr="00412CAF">
        <w:rPr>
          <w:b w:val="0"/>
          <w:bCs w:val="0"/>
          <w:sz w:val="21"/>
          <w:szCs w:val="21"/>
          <w:u w:val="none"/>
          <w:shd w:val="clear" w:color="auto" w:fill="FFFFFF"/>
        </w:rPr>
        <w:t xml:space="preserve">countries and businesses </w:t>
      </w:r>
      <w:r w:rsidR="005A49F5" w:rsidRPr="00412CAF">
        <w:rPr>
          <w:b w:val="0"/>
          <w:bCs w:val="0"/>
          <w:sz w:val="21"/>
          <w:szCs w:val="21"/>
          <w:u w:val="none"/>
          <w:shd w:val="clear" w:color="auto" w:fill="FFFFFF"/>
        </w:rPr>
        <w:t xml:space="preserve">to </w:t>
      </w:r>
      <w:r w:rsidR="0039188E" w:rsidRPr="00412CAF">
        <w:rPr>
          <w:b w:val="0"/>
          <w:bCs w:val="0"/>
          <w:sz w:val="21"/>
          <w:szCs w:val="21"/>
          <w:u w:val="none"/>
          <w:shd w:val="clear" w:color="auto" w:fill="FFFFFF"/>
        </w:rPr>
        <w:t xml:space="preserve">cost-effectively manage </w:t>
      </w:r>
      <w:r w:rsidRPr="00412CAF">
        <w:rPr>
          <w:b w:val="0"/>
          <w:bCs w:val="0"/>
          <w:sz w:val="21"/>
          <w:szCs w:val="21"/>
          <w:u w:val="none"/>
          <w:shd w:val="clear" w:color="auto" w:fill="FFFFFF"/>
        </w:rPr>
        <w:t xml:space="preserve">greenhouse gas </w:t>
      </w:r>
      <w:r w:rsidR="0039188E" w:rsidRPr="00412CAF">
        <w:rPr>
          <w:b w:val="0"/>
          <w:bCs w:val="0"/>
          <w:sz w:val="21"/>
          <w:szCs w:val="21"/>
          <w:u w:val="none"/>
          <w:shd w:val="clear" w:color="auto" w:fill="FFFFFF"/>
        </w:rPr>
        <w:t>emission reductions through global</w:t>
      </w:r>
      <w:r w:rsidRPr="00412CAF">
        <w:rPr>
          <w:b w:val="0"/>
          <w:bCs w:val="0"/>
          <w:sz w:val="21"/>
          <w:szCs w:val="21"/>
          <w:u w:val="none"/>
          <w:shd w:val="clear" w:color="auto" w:fill="FFFFFF"/>
        </w:rPr>
        <w:t xml:space="preserve"> cooperation</w:t>
      </w:r>
      <w:r w:rsidR="0039188E" w:rsidRPr="00412CAF">
        <w:rPr>
          <w:b w:val="0"/>
          <w:bCs w:val="0"/>
          <w:sz w:val="21"/>
          <w:szCs w:val="21"/>
          <w:u w:val="none"/>
        </w:rPr>
        <w:t xml:space="preserve">. </w:t>
      </w:r>
    </w:p>
    <w:p w14:paraId="753715E3" w14:textId="77777777" w:rsidR="00910C2B" w:rsidRPr="00412CAF" w:rsidRDefault="00910C2B" w:rsidP="00412CAF">
      <w:pPr>
        <w:pStyle w:val="Heading3"/>
        <w:numPr>
          <w:ilvl w:val="0"/>
          <w:numId w:val="23"/>
        </w:numPr>
        <w:spacing w:after="0" w:line="240" w:lineRule="auto"/>
        <w:ind w:left="720"/>
        <w:rPr>
          <w:b w:val="0"/>
          <w:bCs w:val="0"/>
          <w:sz w:val="21"/>
          <w:szCs w:val="21"/>
          <w:u w:val="none"/>
        </w:rPr>
      </w:pPr>
      <w:r w:rsidRPr="00412CAF">
        <w:rPr>
          <w:b w:val="0"/>
          <w:bCs w:val="0"/>
          <w:sz w:val="21"/>
          <w:szCs w:val="21"/>
          <w:u w:val="none"/>
        </w:rPr>
        <w:t xml:space="preserve">Fundamental rules for Article 6 </w:t>
      </w:r>
      <w:proofErr w:type="gramStart"/>
      <w:r w:rsidRPr="00412CAF">
        <w:rPr>
          <w:b w:val="0"/>
          <w:bCs w:val="0"/>
          <w:sz w:val="21"/>
          <w:szCs w:val="21"/>
          <w:u w:val="none"/>
        </w:rPr>
        <w:t>are agreed</w:t>
      </w:r>
      <w:proofErr w:type="gramEnd"/>
      <w:r w:rsidRPr="00412CAF">
        <w:rPr>
          <w:b w:val="0"/>
          <w:bCs w:val="0"/>
          <w:sz w:val="21"/>
          <w:szCs w:val="21"/>
          <w:u w:val="none"/>
        </w:rPr>
        <w:t xml:space="preserve"> but functional details are still to be defined and governments must work to ensure that new mechanisms deliver real and additional benefits to climate and society.</w:t>
      </w:r>
    </w:p>
    <w:p w14:paraId="053EF928" w14:textId="029CC19E" w:rsidR="00910C2B" w:rsidRPr="00412CAF" w:rsidRDefault="00910C2B" w:rsidP="00412CAF">
      <w:pPr>
        <w:pStyle w:val="Heading3"/>
        <w:numPr>
          <w:ilvl w:val="0"/>
          <w:numId w:val="23"/>
        </w:numPr>
        <w:spacing w:after="0" w:line="240" w:lineRule="auto"/>
        <w:ind w:left="720"/>
        <w:rPr>
          <w:b w:val="0"/>
          <w:bCs w:val="0"/>
          <w:sz w:val="21"/>
          <w:szCs w:val="21"/>
          <w:u w:val="none"/>
        </w:rPr>
      </w:pPr>
      <w:r w:rsidRPr="00412CAF">
        <w:rPr>
          <w:b w:val="0"/>
          <w:bCs w:val="0"/>
          <w:sz w:val="21"/>
          <w:szCs w:val="21"/>
          <w:u w:val="none"/>
        </w:rPr>
        <w:t xml:space="preserve">Nevertheless, valuable learnings through the Article 6 rules negotiations may </w:t>
      </w:r>
      <w:proofErr w:type="gramStart"/>
      <w:r w:rsidRPr="00412CAF">
        <w:rPr>
          <w:b w:val="0"/>
          <w:bCs w:val="0"/>
          <w:sz w:val="21"/>
          <w:szCs w:val="21"/>
          <w:u w:val="none"/>
        </w:rPr>
        <w:t>be applied</w:t>
      </w:r>
      <w:proofErr w:type="gramEnd"/>
      <w:r w:rsidRPr="00412CAF">
        <w:rPr>
          <w:b w:val="0"/>
          <w:bCs w:val="0"/>
          <w:sz w:val="21"/>
          <w:szCs w:val="21"/>
          <w:u w:val="none"/>
        </w:rPr>
        <w:t xml:space="preserve"> to domestic carbon pricing compliance mechanisms and rules governing voluntary carbon markets.</w:t>
      </w:r>
      <w:r w:rsidRPr="00412CAF">
        <w:rPr>
          <w:rStyle w:val="FootnoteReference"/>
          <w:b w:val="0"/>
          <w:bCs w:val="0"/>
          <w:sz w:val="21"/>
          <w:szCs w:val="21"/>
          <w:u w:val="none"/>
        </w:rPr>
        <w:footnoteReference w:id="30"/>
      </w:r>
      <w:r w:rsidRPr="00412CAF">
        <w:rPr>
          <w:b w:val="0"/>
          <w:bCs w:val="0"/>
          <w:sz w:val="21"/>
          <w:szCs w:val="21"/>
          <w:u w:val="none"/>
        </w:rPr>
        <w:t xml:space="preserve"> </w:t>
      </w:r>
    </w:p>
    <w:p w14:paraId="2EF3BC70" w14:textId="77777777" w:rsidR="0039188E" w:rsidRPr="00412CAF" w:rsidRDefault="0039188E" w:rsidP="00412CAF">
      <w:pPr>
        <w:spacing w:after="0" w:line="240" w:lineRule="auto"/>
        <w:rPr>
          <w:rStyle w:val="normaltextrun"/>
          <w:rFonts w:eastAsia="Gotham"/>
          <w:sz w:val="21"/>
          <w:szCs w:val="21"/>
        </w:rPr>
      </w:pPr>
    </w:p>
    <w:tbl>
      <w:tblPr>
        <w:tblStyle w:val="TableGrid"/>
        <w:tblW w:w="0" w:type="auto"/>
        <w:tblLook w:val="04A0" w:firstRow="1" w:lastRow="0" w:firstColumn="1" w:lastColumn="0" w:noHBand="0" w:noVBand="1"/>
      </w:tblPr>
      <w:tblGrid>
        <w:gridCol w:w="9034"/>
      </w:tblGrid>
      <w:tr w:rsidR="0039188E" w:rsidRPr="00412CAF" w14:paraId="13A610CE" w14:textId="77777777" w:rsidTr="004645C9">
        <w:tc>
          <w:tcPr>
            <w:tcW w:w="9034" w:type="dxa"/>
            <w:tcBorders>
              <w:top w:val="single" w:sz="12" w:space="0" w:color="000000"/>
              <w:left w:val="single" w:sz="12" w:space="0" w:color="auto"/>
              <w:bottom w:val="single" w:sz="12" w:space="0" w:color="000000"/>
              <w:right w:val="single" w:sz="12" w:space="0" w:color="auto"/>
            </w:tcBorders>
          </w:tcPr>
          <w:p w14:paraId="5790EFF3" w14:textId="1AD526EA" w:rsidR="0039188E" w:rsidRPr="00412CAF" w:rsidRDefault="00130BD8" w:rsidP="00412CAF">
            <w:pPr>
              <w:rPr>
                <w:b/>
                <w:bCs/>
                <w:color w:val="00B050"/>
                <w:sz w:val="21"/>
                <w:szCs w:val="21"/>
              </w:rPr>
            </w:pPr>
            <w:r w:rsidRPr="00412CAF">
              <w:rPr>
                <w:b/>
                <w:bCs/>
                <w:color w:val="00B050"/>
                <w:sz w:val="21"/>
                <w:szCs w:val="21"/>
              </w:rPr>
              <w:lastRenderedPageBreak/>
              <w:t xml:space="preserve">Box 3 </w:t>
            </w:r>
            <w:r w:rsidR="0039188E" w:rsidRPr="00412CAF">
              <w:rPr>
                <w:b/>
                <w:bCs/>
                <w:color w:val="00B050"/>
                <w:sz w:val="21"/>
                <w:szCs w:val="21"/>
              </w:rPr>
              <w:t>Operationalising Article 6: a key step to establishing a high-integrity cross-border carbon market</w:t>
            </w:r>
          </w:p>
          <w:p w14:paraId="6E522041" w14:textId="77777777" w:rsidR="0039188E" w:rsidRPr="00412CAF" w:rsidRDefault="0039188E" w:rsidP="00412CAF">
            <w:pPr>
              <w:rPr>
                <w:rStyle w:val="normaltextrun"/>
                <w:rFonts w:cs="Calibri"/>
                <w:sz w:val="21"/>
                <w:szCs w:val="21"/>
              </w:rPr>
            </w:pPr>
          </w:p>
          <w:p w14:paraId="5FAC5BCA" w14:textId="05A662BD" w:rsidR="0039188E" w:rsidRPr="00412CAF" w:rsidRDefault="0039188E" w:rsidP="00412CAF">
            <w:pPr>
              <w:rPr>
                <w:rStyle w:val="xmsohyperlink"/>
                <w:rFonts w:cs="Calibri"/>
                <w:sz w:val="21"/>
                <w:szCs w:val="21"/>
              </w:rPr>
            </w:pPr>
            <w:r w:rsidRPr="00412CAF">
              <w:rPr>
                <w:rStyle w:val="normaltextrun"/>
                <w:rFonts w:cs="Calibri"/>
                <w:sz w:val="21"/>
                <w:szCs w:val="21"/>
              </w:rPr>
              <w:t xml:space="preserve">The conditions for cross-border emissions trading fundamentally changed when the Paris Agreement Article 6 Rulebook </w:t>
            </w:r>
            <w:proofErr w:type="gramStart"/>
            <w:r w:rsidRPr="00412CAF">
              <w:rPr>
                <w:rStyle w:val="normaltextrun"/>
                <w:rFonts w:cs="Calibri"/>
                <w:sz w:val="21"/>
                <w:szCs w:val="21"/>
              </w:rPr>
              <w:t>was adopted</w:t>
            </w:r>
            <w:proofErr w:type="gramEnd"/>
            <w:r w:rsidRPr="00412CAF">
              <w:rPr>
                <w:rStyle w:val="normaltextrun"/>
                <w:rFonts w:cs="Calibri"/>
                <w:sz w:val="21"/>
                <w:szCs w:val="21"/>
              </w:rPr>
              <w:t xml:space="preserve"> at COP26 in Glasgow in 2021. The Rulebook sets out the conditions and rules for emissions trading between countries within the UN system under Article 6 of the Paris Agreement, more specifically for </w:t>
            </w:r>
            <w:hyperlink r:id="rId15" w:history="1">
              <w:r w:rsidRPr="00412CAF">
                <w:rPr>
                  <w:rStyle w:val="Hyperlink"/>
                  <w:rFonts w:cs="Arial"/>
                  <w:color w:val="0064A8"/>
                  <w:sz w:val="21"/>
                  <w:szCs w:val="21"/>
                  <w:shd w:val="clear" w:color="auto" w:fill="FFFFFF"/>
                </w:rPr>
                <w:t>Article 6.2</w:t>
              </w:r>
            </w:hyperlink>
            <w:r w:rsidRPr="00412CAF">
              <w:rPr>
                <w:rFonts w:cs="Arial"/>
                <w:color w:val="201F1E"/>
                <w:sz w:val="21"/>
                <w:szCs w:val="21"/>
                <w:bdr w:val="none" w:sz="0" w:space="0" w:color="auto" w:frame="1"/>
              </w:rPr>
              <w:t xml:space="preserve"> (</w:t>
            </w:r>
            <w:r w:rsidRPr="00412CAF">
              <w:rPr>
                <w:rStyle w:val="xmsohyperlink"/>
                <w:rFonts w:cs="Arial"/>
                <w:color w:val="201F1E"/>
                <w:sz w:val="21"/>
                <w:szCs w:val="21"/>
                <w:bdr w:val="none" w:sz="0" w:space="0" w:color="auto" w:frame="1"/>
              </w:rPr>
              <w:t xml:space="preserve">allowing for the international transfer of carbon credits between countries) </w:t>
            </w:r>
            <w:r w:rsidRPr="00412CAF">
              <w:rPr>
                <w:rFonts w:cs="Arial"/>
                <w:color w:val="201F1E"/>
                <w:sz w:val="21"/>
                <w:szCs w:val="21"/>
                <w:bdr w:val="none" w:sz="0" w:space="0" w:color="auto" w:frame="1"/>
              </w:rPr>
              <w:t xml:space="preserve">and </w:t>
            </w:r>
            <w:hyperlink r:id="rId16" w:history="1">
              <w:r w:rsidRPr="00412CAF">
                <w:rPr>
                  <w:rStyle w:val="Hyperlink"/>
                  <w:rFonts w:cs="Arial"/>
                  <w:color w:val="0064A8"/>
                  <w:sz w:val="21"/>
                  <w:szCs w:val="21"/>
                  <w:shd w:val="clear" w:color="auto" w:fill="FFFFFF"/>
                </w:rPr>
                <w:t>Article 6.4</w:t>
              </w:r>
            </w:hyperlink>
            <w:r w:rsidRPr="00412CAF">
              <w:rPr>
                <w:rFonts w:cs="Arial"/>
                <w:color w:val="201F1E"/>
                <w:sz w:val="21"/>
                <w:szCs w:val="21"/>
                <w:bdr w:val="none" w:sz="0" w:space="0" w:color="auto" w:frame="1"/>
              </w:rPr>
              <w:t xml:space="preserve"> (</w:t>
            </w:r>
            <w:r w:rsidRPr="00412CAF">
              <w:rPr>
                <w:rStyle w:val="xmsohyperlink"/>
                <w:rFonts w:cs="Arial"/>
                <w:color w:val="201F1E"/>
                <w:sz w:val="21"/>
                <w:szCs w:val="21"/>
                <w:bdr w:val="none" w:sz="0" w:space="0" w:color="auto" w:frame="1"/>
              </w:rPr>
              <w:t>creating a central UNFCCC mechanism to trade credits from emissions reductions generated through specific projects) (ICC, 2021b)</w:t>
            </w:r>
            <w:r w:rsidR="00F32F10" w:rsidRPr="00412CAF">
              <w:rPr>
                <w:rStyle w:val="FootnoteReference"/>
                <w:rFonts w:cs="Arial"/>
                <w:color w:val="201F1E"/>
                <w:sz w:val="21"/>
                <w:szCs w:val="21"/>
                <w:bdr w:val="none" w:sz="0" w:space="0" w:color="auto" w:frame="1"/>
              </w:rPr>
              <w:footnoteReference w:id="31"/>
            </w:r>
            <w:r w:rsidRPr="00412CAF">
              <w:rPr>
                <w:rStyle w:val="xmsohyperlink"/>
                <w:rFonts w:cs="Calibri"/>
                <w:sz w:val="21"/>
                <w:szCs w:val="21"/>
              </w:rPr>
              <w:t>.</w:t>
            </w:r>
          </w:p>
          <w:p w14:paraId="724A5016" w14:textId="77777777" w:rsidR="0039188E" w:rsidRPr="00412CAF" w:rsidRDefault="0039188E" w:rsidP="00412CAF">
            <w:pPr>
              <w:rPr>
                <w:rFonts w:cs="Arial"/>
                <w:sz w:val="21"/>
                <w:szCs w:val="21"/>
              </w:rPr>
            </w:pPr>
          </w:p>
          <w:p w14:paraId="27EF57ED" w14:textId="77777777" w:rsidR="0039188E" w:rsidRPr="00412CAF" w:rsidRDefault="0039188E" w:rsidP="00412CAF">
            <w:pPr>
              <w:rPr>
                <w:rFonts w:eastAsia="Gotham" w:cs="Arial"/>
                <w:sz w:val="21"/>
                <w:szCs w:val="21"/>
              </w:rPr>
            </w:pPr>
            <w:r w:rsidRPr="00412CAF">
              <w:rPr>
                <w:rFonts w:cs="Arial"/>
                <w:sz w:val="21"/>
                <w:szCs w:val="21"/>
              </w:rPr>
              <w:t xml:space="preserve">Article 6 itself </w:t>
            </w:r>
            <w:proofErr w:type="gramStart"/>
            <w:r w:rsidRPr="00412CAF">
              <w:rPr>
                <w:rFonts w:cs="Arial"/>
                <w:sz w:val="21"/>
                <w:szCs w:val="21"/>
              </w:rPr>
              <w:t>is not designed</w:t>
            </w:r>
            <w:proofErr w:type="gramEnd"/>
            <w:r w:rsidRPr="00412CAF">
              <w:rPr>
                <w:rFonts w:cs="Arial"/>
                <w:sz w:val="21"/>
                <w:szCs w:val="21"/>
              </w:rPr>
              <w:t xml:space="preserve"> to create a global carbon price. However, </w:t>
            </w:r>
            <w:r w:rsidRPr="00412CAF">
              <w:rPr>
                <w:sz w:val="21"/>
                <w:szCs w:val="21"/>
              </w:rPr>
              <w:t xml:space="preserve">if operationalised and implemented effectively, it has enormous potential to establish a functioning, high-integrity cross-border carbon market and to provide the foundational overarching international architecture for countries to increase cooperation on emissions trading. </w:t>
            </w:r>
          </w:p>
          <w:p w14:paraId="240CE35C" w14:textId="77777777" w:rsidR="0039188E" w:rsidRPr="00412CAF" w:rsidRDefault="0039188E" w:rsidP="00412CAF">
            <w:pPr>
              <w:rPr>
                <w:sz w:val="21"/>
                <w:szCs w:val="21"/>
              </w:rPr>
            </w:pPr>
          </w:p>
          <w:p w14:paraId="1D7B061C" w14:textId="0D673F82" w:rsidR="0039188E" w:rsidRPr="00412CAF" w:rsidRDefault="0039188E" w:rsidP="00412CAF">
            <w:pPr>
              <w:rPr>
                <w:rStyle w:val="normaltextrun"/>
                <w:rFonts w:eastAsia="Gotham"/>
                <w:sz w:val="21"/>
                <w:szCs w:val="21"/>
              </w:rPr>
            </w:pPr>
            <w:r w:rsidRPr="00412CAF">
              <w:rPr>
                <w:sz w:val="21"/>
                <w:szCs w:val="21"/>
              </w:rPr>
              <w:t>It can further assist in developing transparency around carbon pricing and allowing for a stronger and more coordinated approach to carbon pricing (ICC, 2021c)</w:t>
            </w:r>
            <w:r w:rsidR="00F32F10" w:rsidRPr="00412CAF">
              <w:rPr>
                <w:rStyle w:val="FootnoteReference"/>
                <w:sz w:val="21"/>
                <w:szCs w:val="21"/>
              </w:rPr>
              <w:footnoteReference w:id="32"/>
            </w:r>
            <w:r w:rsidRPr="00412CAF">
              <w:rPr>
                <w:sz w:val="21"/>
                <w:szCs w:val="21"/>
              </w:rPr>
              <w:t xml:space="preserve"> and most importantly avoid potential unilateral and protectionist climate policy measures. </w:t>
            </w:r>
            <w:r w:rsidRPr="00412CAF">
              <w:rPr>
                <w:sz w:val="21"/>
                <w:szCs w:val="21"/>
                <w:shd w:val="clear" w:color="auto" w:fill="FFFFFF"/>
              </w:rPr>
              <w:t>Article 6 also has the potential to drive forward multilevel and multilateral collaboration between government and the private sector offering the chance to work together collectively to achieve our common goals. To achieve this, the private sector has a key role to play in translating Article 6 collaboration frameworks into real action (IETA, 2021).</w:t>
            </w:r>
            <w:r w:rsidRPr="00412CAF">
              <w:rPr>
                <w:rStyle w:val="FootnoteReference"/>
                <w:rFonts w:cs="Arial"/>
                <w:color w:val="1A1919"/>
                <w:sz w:val="21"/>
                <w:szCs w:val="21"/>
                <w:shd w:val="clear" w:color="auto" w:fill="FFFFFF"/>
              </w:rPr>
              <w:footnoteReference w:id="33"/>
            </w:r>
          </w:p>
        </w:tc>
      </w:tr>
    </w:tbl>
    <w:p w14:paraId="2D61690D" w14:textId="77777777" w:rsidR="004645C9" w:rsidRPr="00412CAF" w:rsidRDefault="004645C9" w:rsidP="00412CAF">
      <w:pPr>
        <w:spacing w:after="0" w:line="240" w:lineRule="auto"/>
        <w:rPr>
          <w:sz w:val="21"/>
          <w:szCs w:val="21"/>
        </w:rPr>
      </w:pPr>
    </w:p>
    <w:p w14:paraId="6D72D8A9" w14:textId="35C6F994" w:rsidR="004645C9" w:rsidRPr="00412CAF" w:rsidRDefault="004645C9" w:rsidP="00412CAF">
      <w:pPr>
        <w:spacing w:after="0" w:line="240" w:lineRule="auto"/>
        <w:rPr>
          <w:sz w:val="21"/>
          <w:szCs w:val="21"/>
        </w:rPr>
      </w:pPr>
      <w:r w:rsidRPr="00412CAF">
        <w:rPr>
          <w:sz w:val="21"/>
          <w:szCs w:val="21"/>
        </w:rPr>
        <w:t xml:space="preserve">[Box to </w:t>
      </w:r>
      <w:proofErr w:type="gramStart"/>
      <w:r w:rsidRPr="00412CAF">
        <w:rPr>
          <w:sz w:val="21"/>
          <w:szCs w:val="21"/>
        </w:rPr>
        <w:t>be replaced/complemented</w:t>
      </w:r>
      <w:proofErr w:type="gramEnd"/>
      <w:r w:rsidRPr="00412CAF">
        <w:rPr>
          <w:sz w:val="21"/>
          <w:szCs w:val="21"/>
        </w:rPr>
        <w:t xml:space="preserve"> by an infographic]</w:t>
      </w:r>
    </w:p>
    <w:p w14:paraId="0E7B5B74" w14:textId="77777777" w:rsidR="00910C2B" w:rsidRPr="00412CAF" w:rsidRDefault="00910C2B" w:rsidP="00412CAF">
      <w:pPr>
        <w:pStyle w:val="Bullet2"/>
        <w:numPr>
          <w:ilvl w:val="0"/>
          <w:numId w:val="0"/>
        </w:numPr>
        <w:spacing w:after="0" w:line="240" w:lineRule="auto"/>
        <w:ind w:left="720"/>
        <w:rPr>
          <w:sz w:val="21"/>
          <w:szCs w:val="21"/>
        </w:rPr>
      </w:pPr>
    </w:p>
    <w:p w14:paraId="2D702A8A" w14:textId="12DB112B" w:rsidR="00910C2B" w:rsidRPr="00412CAF" w:rsidRDefault="00910C2B" w:rsidP="00412CAF">
      <w:pPr>
        <w:pStyle w:val="Heading3"/>
        <w:numPr>
          <w:ilvl w:val="0"/>
          <w:numId w:val="39"/>
        </w:numPr>
        <w:spacing w:after="0" w:line="240" w:lineRule="auto"/>
        <w:ind w:left="360"/>
        <w:rPr>
          <w:sz w:val="21"/>
          <w:szCs w:val="21"/>
          <w:u w:val="none"/>
        </w:rPr>
      </w:pPr>
      <w:r w:rsidRPr="00412CAF">
        <w:rPr>
          <w:sz w:val="21"/>
          <w:szCs w:val="21"/>
          <w:u w:val="none"/>
        </w:rPr>
        <w:t xml:space="preserve">Linkage to Voluntary Carbon Markets </w:t>
      </w:r>
    </w:p>
    <w:p w14:paraId="3C0487E0" w14:textId="10DADFE7" w:rsidR="00910C2B" w:rsidRPr="00412CAF" w:rsidRDefault="00910C2B" w:rsidP="00412CAF">
      <w:pPr>
        <w:pStyle w:val="Heading3"/>
        <w:numPr>
          <w:ilvl w:val="0"/>
          <w:numId w:val="23"/>
        </w:numPr>
        <w:spacing w:after="0" w:line="240" w:lineRule="auto"/>
        <w:ind w:left="630" w:hanging="270"/>
        <w:rPr>
          <w:b w:val="0"/>
          <w:bCs w:val="0"/>
          <w:sz w:val="21"/>
          <w:szCs w:val="21"/>
          <w:u w:val="none"/>
        </w:rPr>
      </w:pPr>
      <w:r w:rsidRPr="00412CAF">
        <w:rPr>
          <w:b w:val="0"/>
          <w:bCs w:val="0"/>
          <w:sz w:val="21"/>
          <w:szCs w:val="21"/>
          <w:u w:val="none"/>
        </w:rPr>
        <w:t xml:space="preserve">Voluntary carbon markets are an additional </w:t>
      </w:r>
      <w:r w:rsidR="00CF1346" w:rsidRPr="00412CAF">
        <w:rPr>
          <w:b w:val="0"/>
          <w:bCs w:val="0"/>
          <w:sz w:val="21"/>
          <w:szCs w:val="21"/>
          <w:u w:val="none"/>
        </w:rPr>
        <w:t xml:space="preserve">and important </w:t>
      </w:r>
      <w:r w:rsidRPr="00412CAF">
        <w:rPr>
          <w:b w:val="0"/>
          <w:bCs w:val="0"/>
          <w:sz w:val="21"/>
          <w:szCs w:val="21"/>
          <w:u w:val="none"/>
        </w:rPr>
        <w:t>enabler for increased cooperation and higher climate ambition and action by non-state actors.</w:t>
      </w:r>
    </w:p>
    <w:p w14:paraId="22A3B056" w14:textId="27956BAA" w:rsidR="00910C2B" w:rsidRPr="00412CAF" w:rsidRDefault="00910C2B" w:rsidP="00412CAF">
      <w:pPr>
        <w:pStyle w:val="Heading3"/>
        <w:numPr>
          <w:ilvl w:val="0"/>
          <w:numId w:val="23"/>
        </w:numPr>
        <w:spacing w:after="0" w:line="240" w:lineRule="auto"/>
        <w:ind w:left="630" w:hanging="270"/>
        <w:rPr>
          <w:b w:val="0"/>
          <w:bCs w:val="0"/>
          <w:sz w:val="21"/>
          <w:szCs w:val="21"/>
          <w:u w:val="none"/>
        </w:rPr>
      </w:pPr>
      <w:r w:rsidRPr="00412CAF">
        <w:rPr>
          <w:b w:val="0"/>
          <w:bCs w:val="0"/>
          <w:sz w:val="21"/>
          <w:szCs w:val="21"/>
          <w:u w:val="none"/>
        </w:rPr>
        <w:t xml:space="preserve">Voluntary carbon markets enable </w:t>
      </w:r>
      <w:r w:rsidRPr="00412CAF">
        <w:rPr>
          <w:b w:val="0"/>
          <w:bCs w:val="0"/>
          <w:sz w:val="21"/>
          <w:szCs w:val="21"/>
          <w:u w:val="none"/>
          <w:shd w:val="clear" w:color="auto" w:fill="FFFFFF"/>
        </w:rPr>
        <w:t>businesses to generate greenhouse gas emission removal schemes and to inject additional carbon credits into the global system to achieve the overriding objective of greenhouse gas emission reduction.</w:t>
      </w:r>
    </w:p>
    <w:p w14:paraId="32F28A12" w14:textId="2E4CC487" w:rsidR="00910C2B" w:rsidRPr="00412CAF" w:rsidRDefault="00910C2B" w:rsidP="00412CAF">
      <w:pPr>
        <w:pStyle w:val="Heading3"/>
        <w:numPr>
          <w:ilvl w:val="0"/>
          <w:numId w:val="23"/>
        </w:numPr>
        <w:spacing w:after="0" w:line="240" w:lineRule="auto"/>
        <w:ind w:left="630" w:hanging="270"/>
        <w:rPr>
          <w:b w:val="0"/>
          <w:bCs w:val="0"/>
          <w:sz w:val="21"/>
          <w:szCs w:val="21"/>
          <w:u w:val="none"/>
        </w:rPr>
      </w:pPr>
      <w:r w:rsidRPr="00412CAF">
        <w:rPr>
          <w:b w:val="0"/>
          <w:bCs w:val="0"/>
          <w:sz w:val="21"/>
          <w:szCs w:val="21"/>
          <w:u w:val="none"/>
          <w:shd w:val="clear" w:color="auto" w:fill="FFFFFF"/>
        </w:rPr>
        <w:t>Voluntary carbon markets have undergone critical review for integrity both in terms of generation and verification of credits and claims by purchasers of credits to meet their own mandatory of voluntary net emissions reduction targets.</w:t>
      </w:r>
    </w:p>
    <w:p w14:paraId="749B247B" w14:textId="77777777" w:rsidR="00216EEE" w:rsidRPr="00412CAF" w:rsidRDefault="00910C2B" w:rsidP="00412CAF">
      <w:pPr>
        <w:pStyle w:val="Heading3"/>
        <w:numPr>
          <w:ilvl w:val="0"/>
          <w:numId w:val="23"/>
        </w:numPr>
        <w:spacing w:after="0" w:line="240" w:lineRule="auto"/>
        <w:ind w:left="630" w:hanging="270"/>
        <w:rPr>
          <w:b w:val="0"/>
          <w:bCs w:val="0"/>
          <w:sz w:val="21"/>
          <w:szCs w:val="21"/>
          <w:u w:val="none"/>
        </w:rPr>
      </w:pPr>
      <w:r w:rsidRPr="00412CAF">
        <w:rPr>
          <w:b w:val="0"/>
          <w:bCs w:val="0"/>
          <w:sz w:val="21"/>
          <w:szCs w:val="21"/>
          <w:u w:val="none"/>
        </w:rPr>
        <w:t xml:space="preserve">These learnings are also still developing, but the identification of Core Carbon principles and other standards and core elements may </w:t>
      </w:r>
      <w:proofErr w:type="gramStart"/>
      <w:r w:rsidRPr="00412CAF">
        <w:rPr>
          <w:b w:val="0"/>
          <w:bCs w:val="0"/>
          <w:sz w:val="21"/>
          <w:szCs w:val="21"/>
          <w:u w:val="none"/>
        </w:rPr>
        <w:t>be applied</w:t>
      </w:r>
      <w:proofErr w:type="gramEnd"/>
      <w:r w:rsidRPr="00412CAF">
        <w:rPr>
          <w:b w:val="0"/>
          <w:bCs w:val="0"/>
          <w:sz w:val="21"/>
          <w:szCs w:val="21"/>
          <w:u w:val="none"/>
        </w:rPr>
        <w:t xml:space="preserve"> to domestic carbon pricing compliance mechanisms and rules governing voluntary carbon markets.</w:t>
      </w:r>
      <w:r w:rsidRPr="00412CAF">
        <w:rPr>
          <w:rStyle w:val="FootnoteReference"/>
          <w:b w:val="0"/>
          <w:bCs w:val="0"/>
          <w:sz w:val="21"/>
          <w:szCs w:val="21"/>
          <w:u w:val="none"/>
        </w:rPr>
        <w:footnoteReference w:id="34"/>
      </w:r>
      <w:r w:rsidRPr="00412CAF">
        <w:rPr>
          <w:b w:val="0"/>
          <w:bCs w:val="0"/>
          <w:sz w:val="21"/>
          <w:szCs w:val="21"/>
          <w:u w:val="none"/>
        </w:rPr>
        <w:t xml:space="preserve"> </w:t>
      </w:r>
    </w:p>
    <w:p w14:paraId="36E81A19" w14:textId="7947B7A7" w:rsidR="00AA012F" w:rsidRPr="00412CAF" w:rsidRDefault="001E3826" w:rsidP="00412CAF">
      <w:pPr>
        <w:pStyle w:val="Heading3"/>
        <w:numPr>
          <w:ilvl w:val="0"/>
          <w:numId w:val="23"/>
        </w:numPr>
        <w:spacing w:after="0" w:line="240" w:lineRule="auto"/>
        <w:ind w:left="630" w:hanging="270"/>
        <w:rPr>
          <w:b w:val="0"/>
          <w:sz w:val="21"/>
          <w:szCs w:val="21"/>
          <w:u w:val="none"/>
        </w:rPr>
      </w:pPr>
      <w:r w:rsidRPr="00412CAF">
        <w:rPr>
          <w:b w:val="0"/>
          <w:sz w:val="21"/>
          <w:szCs w:val="21"/>
          <w:u w:val="none"/>
        </w:rPr>
        <w:lastRenderedPageBreak/>
        <w:t>Voluntary carbon market standards</w:t>
      </w:r>
      <w:r w:rsidR="00B521BF" w:rsidRPr="00412CAF">
        <w:rPr>
          <w:b w:val="0"/>
          <w:sz w:val="21"/>
          <w:szCs w:val="21"/>
          <w:u w:val="none"/>
        </w:rPr>
        <w:t xml:space="preserve"> </w:t>
      </w:r>
      <w:r w:rsidR="00612657" w:rsidRPr="00412CAF">
        <w:rPr>
          <w:b w:val="0"/>
          <w:sz w:val="21"/>
          <w:szCs w:val="21"/>
          <w:u w:val="none"/>
        </w:rPr>
        <w:t xml:space="preserve">and principles </w:t>
      </w:r>
      <w:r w:rsidR="003A1935" w:rsidRPr="00412CAF">
        <w:rPr>
          <w:b w:val="0"/>
          <w:sz w:val="21"/>
          <w:szCs w:val="21"/>
          <w:u w:val="none"/>
        </w:rPr>
        <w:t>aim to</w:t>
      </w:r>
      <w:r w:rsidR="00B521BF" w:rsidRPr="00412CAF">
        <w:rPr>
          <w:b w:val="0"/>
          <w:sz w:val="21"/>
          <w:szCs w:val="21"/>
          <w:u w:val="none"/>
        </w:rPr>
        <w:t xml:space="preserve"> </w:t>
      </w:r>
      <w:r w:rsidR="003E535F" w:rsidRPr="00412CAF">
        <w:rPr>
          <w:b w:val="0"/>
          <w:sz w:val="21"/>
          <w:szCs w:val="21"/>
          <w:u w:val="none"/>
        </w:rPr>
        <w:t>enhance integrity</w:t>
      </w:r>
      <w:r w:rsidR="001021D2" w:rsidRPr="00412CAF">
        <w:rPr>
          <w:b w:val="0"/>
          <w:sz w:val="21"/>
          <w:szCs w:val="21"/>
          <w:u w:val="none"/>
        </w:rPr>
        <w:t xml:space="preserve">, </w:t>
      </w:r>
      <w:proofErr w:type="gramStart"/>
      <w:r w:rsidR="001021D2" w:rsidRPr="00412CAF">
        <w:rPr>
          <w:b w:val="0"/>
          <w:sz w:val="21"/>
          <w:szCs w:val="21"/>
          <w:u w:val="none"/>
        </w:rPr>
        <w:t>credibility</w:t>
      </w:r>
      <w:proofErr w:type="gramEnd"/>
      <w:r w:rsidR="001021D2" w:rsidRPr="00412CAF">
        <w:rPr>
          <w:b w:val="0"/>
          <w:sz w:val="21"/>
          <w:szCs w:val="21"/>
          <w:u w:val="none"/>
        </w:rPr>
        <w:t xml:space="preserve"> and overall confidence</w:t>
      </w:r>
      <w:r w:rsidR="003E535F" w:rsidRPr="00412CAF">
        <w:rPr>
          <w:b w:val="0"/>
          <w:sz w:val="21"/>
          <w:szCs w:val="21"/>
          <w:u w:val="none"/>
        </w:rPr>
        <w:t xml:space="preserve"> </w:t>
      </w:r>
      <w:r w:rsidR="001021D2" w:rsidRPr="00412CAF">
        <w:rPr>
          <w:b w:val="0"/>
          <w:sz w:val="21"/>
          <w:szCs w:val="21"/>
          <w:u w:val="none"/>
        </w:rPr>
        <w:t>in carbon markets</w:t>
      </w:r>
      <w:r w:rsidR="009033B7" w:rsidRPr="00412CAF">
        <w:rPr>
          <w:b w:val="0"/>
          <w:sz w:val="21"/>
          <w:szCs w:val="21"/>
          <w:u w:val="none"/>
        </w:rPr>
        <w:t xml:space="preserve">, also </w:t>
      </w:r>
      <w:r w:rsidR="00B97343" w:rsidRPr="00412CAF">
        <w:rPr>
          <w:b w:val="0"/>
          <w:sz w:val="21"/>
          <w:szCs w:val="21"/>
          <w:u w:val="none"/>
        </w:rPr>
        <w:t xml:space="preserve">providing necessary safeguards where necessary and ensuring environmental and social co-benefits. </w:t>
      </w:r>
      <w:r w:rsidR="0044088A" w:rsidRPr="00412CAF">
        <w:rPr>
          <w:b w:val="0"/>
          <w:sz w:val="21"/>
          <w:szCs w:val="21"/>
          <w:u w:val="none"/>
        </w:rPr>
        <w:t xml:space="preserve">These apply to design, </w:t>
      </w:r>
      <w:proofErr w:type="gramStart"/>
      <w:r w:rsidR="0044088A" w:rsidRPr="00412CAF">
        <w:rPr>
          <w:b w:val="0"/>
          <w:sz w:val="21"/>
          <w:szCs w:val="21"/>
          <w:u w:val="none"/>
        </w:rPr>
        <w:t>development</w:t>
      </w:r>
      <w:proofErr w:type="gramEnd"/>
      <w:r w:rsidR="0044088A" w:rsidRPr="00412CAF">
        <w:rPr>
          <w:b w:val="0"/>
          <w:sz w:val="21"/>
          <w:szCs w:val="21"/>
          <w:u w:val="none"/>
        </w:rPr>
        <w:t xml:space="preserve"> and verification of carbon credits, as well as to claims by purchasers.  Standards applicable to claims seek to reduce the risk of greenwashing in GHG emission reduction using offsets, </w:t>
      </w:r>
    </w:p>
    <w:p w14:paraId="1ACD4DD2" w14:textId="77777777" w:rsidR="00B33B92" w:rsidRPr="00412CAF" w:rsidRDefault="00B33B92" w:rsidP="00412CAF">
      <w:pPr>
        <w:spacing w:after="0" w:line="240" w:lineRule="auto"/>
        <w:rPr>
          <w:sz w:val="21"/>
          <w:szCs w:val="21"/>
        </w:rPr>
      </w:pPr>
    </w:p>
    <w:p w14:paraId="3E4D7D28" w14:textId="77777777" w:rsidR="00E9799F" w:rsidRPr="00412CAF" w:rsidRDefault="00E9799F" w:rsidP="00412CAF">
      <w:pPr>
        <w:pStyle w:val="Heading3"/>
        <w:numPr>
          <w:ilvl w:val="0"/>
          <w:numId w:val="39"/>
        </w:numPr>
        <w:spacing w:after="0" w:line="240" w:lineRule="auto"/>
        <w:ind w:left="360"/>
        <w:rPr>
          <w:sz w:val="21"/>
          <w:szCs w:val="21"/>
          <w:u w:val="none"/>
        </w:rPr>
      </w:pPr>
      <w:r w:rsidRPr="00412CAF">
        <w:rPr>
          <w:sz w:val="21"/>
          <w:szCs w:val="21"/>
          <w:u w:val="none"/>
        </w:rPr>
        <w:t xml:space="preserve">Overriding Considerations for Any Carbon Pricing Mechanisms and Markets </w:t>
      </w:r>
    </w:p>
    <w:p w14:paraId="5C72A53B" w14:textId="524092ED" w:rsidR="00A64B30" w:rsidRPr="00412CAF" w:rsidRDefault="00A64B30" w:rsidP="00412CAF">
      <w:pPr>
        <w:spacing w:after="0" w:line="240" w:lineRule="auto"/>
        <w:rPr>
          <w:sz w:val="21"/>
          <w:szCs w:val="21"/>
        </w:rPr>
      </w:pPr>
      <w:r w:rsidRPr="00412CAF">
        <w:rPr>
          <w:sz w:val="21"/>
          <w:szCs w:val="21"/>
        </w:rPr>
        <w:t>Different forms of carbon pricing mechanisms have evolved and expanded dramatically since the 2015 Paris Agreement; national compliance mechanisms issuing carbon credits now reach well beyond Kyoto Protocol Annex A States, the Paris Agreement Article 6 has introduced a new global mechanism, and carbon offsets generated for voluntary carbon markets continue to develop.</w:t>
      </w:r>
      <w:r w:rsidR="00BD61DF" w:rsidRPr="00412CAF">
        <w:rPr>
          <w:sz w:val="21"/>
          <w:szCs w:val="21"/>
        </w:rPr>
        <w:t xml:space="preserve"> </w:t>
      </w:r>
      <w:r w:rsidRPr="00412CAF">
        <w:rPr>
          <w:sz w:val="21"/>
          <w:szCs w:val="21"/>
        </w:rPr>
        <w:t xml:space="preserve">2022 heralded the launch of several new national and subnational compliance mechanisms, with </w:t>
      </w:r>
      <w:proofErr w:type="gramStart"/>
      <w:r w:rsidRPr="00412CAF">
        <w:rPr>
          <w:sz w:val="21"/>
          <w:szCs w:val="21"/>
        </w:rPr>
        <w:t>73</w:t>
      </w:r>
      <w:proofErr w:type="gramEnd"/>
      <w:r w:rsidRPr="00412CAF">
        <w:rPr>
          <w:sz w:val="21"/>
          <w:szCs w:val="21"/>
        </w:rPr>
        <w:t xml:space="preserve"> now in operation, and expanded their scope to cover around 23% of global GHG emissions</w:t>
      </w:r>
      <w:r w:rsidR="007F7A1E" w:rsidRPr="00412CAF">
        <w:rPr>
          <w:sz w:val="21"/>
          <w:szCs w:val="21"/>
        </w:rPr>
        <w:t>.</w:t>
      </w:r>
      <w:r w:rsidR="00275413" w:rsidRPr="00412CAF">
        <w:rPr>
          <w:rStyle w:val="FootnoteReference"/>
          <w:sz w:val="21"/>
          <w:szCs w:val="21"/>
        </w:rPr>
        <w:footnoteReference w:id="35"/>
      </w:r>
    </w:p>
    <w:p w14:paraId="2782777B" w14:textId="77777777" w:rsidR="00021245" w:rsidRPr="00412CAF" w:rsidRDefault="00021245" w:rsidP="00412CAF">
      <w:pPr>
        <w:spacing w:after="0" w:line="240" w:lineRule="auto"/>
        <w:rPr>
          <w:sz w:val="21"/>
          <w:szCs w:val="21"/>
        </w:rPr>
      </w:pPr>
    </w:p>
    <w:p w14:paraId="0A664A86" w14:textId="274DE8A2" w:rsidR="00021245" w:rsidRPr="00412CAF" w:rsidRDefault="00021245" w:rsidP="00412CAF">
      <w:pPr>
        <w:spacing w:after="0" w:line="240" w:lineRule="auto"/>
        <w:rPr>
          <w:sz w:val="21"/>
          <w:szCs w:val="21"/>
        </w:rPr>
      </w:pPr>
      <w:r w:rsidRPr="00412CAF">
        <w:rPr>
          <w:sz w:val="21"/>
          <w:szCs w:val="21"/>
        </w:rPr>
        <w:t xml:space="preserve">The primary underlying objective of all carbon pricing mechanisms and markets is to value the externality of carbon emissions </w:t>
      </w:r>
      <w:proofErr w:type="gramStart"/>
      <w:r w:rsidRPr="00412CAF">
        <w:rPr>
          <w:sz w:val="21"/>
          <w:szCs w:val="21"/>
        </w:rPr>
        <w:t>in an effort to</w:t>
      </w:r>
      <w:proofErr w:type="gramEnd"/>
      <w:r w:rsidRPr="00412CAF">
        <w:rPr>
          <w:sz w:val="21"/>
          <w:szCs w:val="21"/>
        </w:rPr>
        <w:t xml:space="preserve"> reduce global GHG emissions.  The three broad types of carbon </w:t>
      </w:r>
      <w:r w:rsidR="00E94F9B" w:rsidRPr="00412CAF">
        <w:rPr>
          <w:sz w:val="21"/>
          <w:szCs w:val="21"/>
        </w:rPr>
        <w:t>pricing segments</w:t>
      </w:r>
      <w:r w:rsidRPr="00412CAF">
        <w:rPr>
          <w:sz w:val="21"/>
          <w:szCs w:val="21"/>
        </w:rPr>
        <w:t xml:space="preserve"> that flow from carbon credits and offsets generated by carbon pricing mechanisms are: (A) National (or sub-national) Compliance Markets, (B) Voluntary Carbon Markets and (C) </w:t>
      </w:r>
      <w:r w:rsidR="00BD61DF" w:rsidRPr="00412CAF">
        <w:rPr>
          <w:sz w:val="21"/>
          <w:szCs w:val="21"/>
        </w:rPr>
        <w:t xml:space="preserve">International Cooperation under </w:t>
      </w:r>
      <w:r w:rsidRPr="00412CAF">
        <w:rPr>
          <w:sz w:val="21"/>
          <w:szCs w:val="21"/>
        </w:rPr>
        <w:t xml:space="preserve">Article 6. </w:t>
      </w:r>
    </w:p>
    <w:p w14:paraId="1145AD28" w14:textId="77777777" w:rsidR="00021245" w:rsidRPr="00412CAF" w:rsidRDefault="00021245" w:rsidP="00412CAF">
      <w:pPr>
        <w:spacing w:after="0" w:line="240" w:lineRule="auto"/>
        <w:rPr>
          <w:sz w:val="21"/>
          <w:szCs w:val="21"/>
        </w:rPr>
      </w:pPr>
    </w:p>
    <w:p w14:paraId="39108D08" w14:textId="4F5D719C" w:rsidR="00021245" w:rsidRPr="00412CAF" w:rsidRDefault="00021245" w:rsidP="00412CAF">
      <w:pPr>
        <w:spacing w:after="0" w:line="240" w:lineRule="auto"/>
        <w:rPr>
          <w:sz w:val="21"/>
          <w:szCs w:val="21"/>
        </w:rPr>
      </w:pPr>
      <w:r w:rsidRPr="00412CAF">
        <w:rPr>
          <w:sz w:val="21"/>
          <w:szCs w:val="21"/>
        </w:rPr>
        <w:t xml:space="preserve">Despite their different origin, scope, </w:t>
      </w:r>
      <w:r w:rsidR="00154E31" w:rsidRPr="00412CAF">
        <w:rPr>
          <w:sz w:val="21"/>
          <w:szCs w:val="21"/>
        </w:rPr>
        <w:t>design,</w:t>
      </w:r>
      <w:r w:rsidRPr="00412CAF">
        <w:rPr>
          <w:sz w:val="21"/>
          <w:szCs w:val="21"/>
        </w:rPr>
        <w:t xml:space="preserve"> and governance, all three share one primary goal: </w:t>
      </w:r>
      <w:r w:rsidRPr="00412CAF">
        <w:rPr>
          <w:b/>
          <w:bCs/>
          <w:sz w:val="21"/>
          <w:szCs w:val="21"/>
        </w:rPr>
        <w:t>to reduce GHG emissions and address the market failure to price climate change</w:t>
      </w:r>
      <w:r w:rsidRPr="00412CAF">
        <w:rPr>
          <w:sz w:val="21"/>
          <w:szCs w:val="21"/>
        </w:rPr>
        <w:t xml:space="preserve"> by capturing the external costs of emitting GHG emissions, and </w:t>
      </w:r>
      <w:proofErr w:type="gramStart"/>
      <w:r w:rsidRPr="00412CAF">
        <w:rPr>
          <w:sz w:val="21"/>
          <w:szCs w:val="21"/>
        </w:rPr>
        <w:t>ultimately helping</w:t>
      </w:r>
      <w:proofErr w:type="gramEnd"/>
      <w:r w:rsidRPr="00412CAF">
        <w:rPr>
          <w:sz w:val="21"/>
          <w:szCs w:val="21"/>
        </w:rPr>
        <w:t xml:space="preserve"> government and companies to achieve their climate goals.</w:t>
      </w:r>
    </w:p>
    <w:p w14:paraId="5660988C" w14:textId="77777777" w:rsidR="00B87A6C" w:rsidRPr="00412CAF" w:rsidRDefault="00B87A6C" w:rsidP="00412CAF">
      <w:pPr>
        <w:spacing w:after="0" w:line="240" w:lineRule="auto"/>
        <w:rPr>
          <w:sz w:val="21"/>
          <w:szCs w:val="21"/>
        </w:rPr>
      </w:pPr>
    </w:p>
    <w:p w14:paraId="3ACCA67E" w14:textId="7793FA11" w:rsidR="00811926" w:rsidRPr="00412CAF" w:rsidRDefault="0016252E" w:rsidP="00412CAF">
      <w:pPr>
        <w:spacing w:after="0" w:line="240" w:lineRule="auto"/>
        <w:rPr>
          <w:sz w:val="21"/>
          <w:szCs w:val="21"/>
        </w:rPr>
      </w:pPr>
      <w:r w:rsidRPr="00412CAF">
        <w:rPr>
          <w:b/>
          <w:bCs/>
          <w:sz w:val="21"/>
          <w:szCs w:val="21"/>
        </w:rPr>
        <w:t>Compliance Markets</w:t>
      </w:r>
      <w:r w:rsidRPr="00412CAF">
        <w:rPr>
          <w:sz w:val="21"/>
          <w:szCs w:val="21"/>
        </w:rPr>
        <w:t xml:space="preserve">: </w:t>
      </w:r>
      <w:r w:rsidR="00811926" w:rsidRPr="00412CAF">
        <w:rPr>
          <w:sz w:val="21"/>
          <w:szCs w:val="21"/>
        </w:rPr>
        <w:t xml:space="preserve">Despite </w:t>
      </w:r>
      <w:r w:rsidR="004F725C" w:rsidRPr="00412CAF">
        <w:rPr>
          <w:sz w:val="21"/>
          <w:szCs w:val="21"/>
        </w:rPr>
        <w:t>economic turmoil and geopolitical instability of this past year</w:t>
      </w:r>
      <w:r w:rsidR="00811926" w:rsidRPr="00412CAF">
        <w:rPr>
          <w:sz w:val="21"/>
          <w:szCs w:val="21"/>
        </w:rPr>
        <w:t xml:space="preserve">, ETSs and carbon taxes have proven resilient; several </w:t>
      </w:r>
      <w:proofErr w:type="gramStart"/>
      <w:r w:rsidR="00811926" w:rsidRPr="00412CAF">
        <w:rPr>
          <w:sz w:val="21"/>
          <w:szCs w:val="21"/>
        </w:rPr>
        <w:t>jurisdictions</w:t>
      </w:r>
      <w:proofErr w:type="gramEnd"/>
      <w:r w:rsidR="00811926" w:rsidRPr="00412CAF">
        <w:rPr>
          <w:sz w:val="21"/>
          <w:szCs w:val="21"/>
        </w:rPr>
        <w:t xml:space="preserve"> either delivered on existing plans for new ETSs or taxes, increased their ambition, or announced further proposals for developing new initiatives in the coming years.</w:t>
      </w:r>
    </w:p>
    <w:p w14:paraId="16D6C1C0" w14:textId="77777777" w:rsidR="002B2380" w:rsidRPr="00412CAF" w:rsidRDefault="002B2380" w:rsidP="00412CAF">
      <w:pPr>
        <w:spacing w:after="0" w:line="240" w:lineRule="auto"/>
        <w:rPr>
          <w:sz w:val="21"/>
          <w:szCs w:val="21"/>
        </w:rPr>
      </w:pPr>
    </w:p>
    <w:p w14:paraId="47D3A789" w14:textId="77777777" w:rsidR="002B2380" w:rsidRPr="00412CAF" w:rsidRDefault="002B2380" w:rsidP="00412CAF">
      <w:pPr>
        <w:spacing w:after="0" w:line="240" w:lineRule="auto"/>
        <w:rPr>
          <w:sz w:val="21"/>
          <w:szCs w:val="21"/>
        </w:rPr>
      </w:pPr>
      <w:r w:rsidRPr="00412CAF">
        <w:rPr>
          <w:noProof/>
          <w:sz w:val="21"/>
          <w:szCs w:val="21"/>
        </w:rPr>
        <w:lastRenderedPageBreak/>
        <w:drawing>
          <wp:inline distT="0" distB="0" distL="0" distR="0" wp14:anchorId="0E56D993" wp14:editId="16F14C2F">
            <wp:extent cx="5755640" cy="2679773"/>
            <wp:effectExtent l="0" t="0" r="0" b="6350"/>
            <wp:docPr id="1689634618" name="Picture 1689634618"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34618" name="Picture 1" descr="A map of the world&#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312"/>
                    <a:stretch/>
                  </pic:blipFill>
                  <pic:spPr bwMode="auto">
                    <a:xfrm>
                      <a:off x="0" y="0"/>
                      <a:ext cx="5755640" cy="2679773"/>
                    </a:xfrm>
                    <a:prstGeom prst="rect">
                      <a:avLst/>
                    </a:prstGeom>
                    <a:noFill/>
                    <a:ln>
                      <a:noFill/>
                    </a:ln>
                    <a:extLst>
                      <a:ext uri="{53640926-AAD7-44D8-BBD7-CCE9431645EC}">
                        <a14:shadowObscured xmlns:a14="http://schemas.microsoft.com/office/drawing/2010/main"/>
                      </a:ext>
                    </a:extLst>
                  </pic:spPr>
                </pic:pic>
              </a:graphicData>
            </a:graphic>
          </wp:inline>
        </w:drawing>
      </w:r>
    </w:p>
    <w:p w14:paraId="1DCF02DF" w14:textId="77777777" w:rsidR="002B2380" w:rsidRPr="004C366A" w:rsidRDefault="002B2380" w:rsidP="00412CAF">
      <w:pPr>
        <w:spacing w:after="0" w:line="240" w:lineRule="auto"/>
        <w:rPr>
          <w:i/>
          <w:iCs/>
          <w:sz w:val="21"/>
          <w:szCs w:val="21"/>
        </w:rPr>
      </w:pPr>
      <w:r w:rsidRPr="004C366A">
        <w:rPr>
          <w:i/>
          <w:iCs/>
          <w:sz w:val="21"/>
          <w:szCs w:val="21"/>
        </w:rPr>
        <w:t>Source: World Bank: State and Trends of Carbon Pricing (2023)</w:t>
      </w:r>
    </w:p>
    <w:p w14:paraId="29ADDF28" w14:textId="77777777" w:rsidR="002B2380" w:rsidRPr="00412CAF" w:rsidRDefault="002B2380" w:rsidP="00412CAF">
      <w:pPr>
        <w:spacing w:after="0" w:line="240" w:lineRule="auto"/>
        <w:rPr>
          <w:sz w:val="21"/>
          <w:szCs w:val="21"/>
        </w:rPr>
      </w:pPr>
    </w:p>
    <w:p w14:paraId="5B903C1A" w14:textId="6E93E554" w:rsidR="002B2380" w:rsidRPr="00412CAF" w:rsidRDefault="00446F9B" w:rsidP="00412CAF">
      <w:pPr>
        <w:spacing w:after="0" w:line="240" w:lineRule="auto"/>
        <w:rPr>
          <w:sz w:val="21"/>
          <w:szCs w:val="21"/>
        </w:rPr>
      </w:pPr>
      <w:r w:rsidRPr="00412CAF">
        <w:rPr>
          <w:b/>
          <w:bCs/>
          <w:sz w:val="21"/>
          <w:szCs w:val="21"/>
        </w:rPr>
        <w:t>Voluntary Carbon Markets</w:t>
      </w:r>
      <w:r w:rsidR="00A90D6B" w:rsidRPr="00412CAF">
        <w:rPr>
          <w:sz w:val="21"/>
          <w:szCs w:val="21"/>
        </w:rPr>
        <w:t>: VCMs</w:t>
      </w:r>
      <w:r w:rsidR="00440AF7" w:rsidRPr="00412CAF">
        <w:rPr>
          <w:sz w:val="21"/>
          <w:szCs w:val="21"/>
        </w:rPr>
        <w:t xml:space="preserve"> </w:t>
      </w:r>
      <w:r w:rsidRPr="00412CAF">
        <w:rPr>
          <w:sz w:val="21"/>
          <w:szCs w:val="21"/>
        </w:rPr>
        <w:t>continued to expand</w:t>
      </w:r>
      <w:r w:rsidR="004645C9" w:rsidRPr="00412CAF">
        <w:rPr>
          <w:rStyle w:val="FootnoteReference"/>
          <w:sz w:val="21"/>
          <w:szCs w:val="21"/>
        </w:rPr>
        <w:footnoteReference w:id="36"/>
      </w:r>
      <w:r w:rsidRPr="00412CAF">
        <w:rPr>
          <w:sz w:val="21"/>
          <w:szCs w:val="21"/>
        </w:rPr>
        <w:t xml:space="preserve"> and there has been increased momentum to address issues that undermine the integrity of carbon credit markets, including efforts by the Integrity Council for the Voluntary Carbon Markets to establish guardrails to increase transparency and integrity and by the Voluntary Carbon Market Integrity initiative to provide guidance to corporates. </w:t>
      </w:r>
      <w:r w:rsidR="004C366A">
        <w:rPr>
          <w:sz w:val="21"/>
          <w:szCs w:val="21"/>
        </w:rPr>
        <w:t xml:space="preserve"> </w:t>
      </w:r>
      <w:r w:rsidR="008573B5" w:rsidRPr="00412CAF">
        <w:rPr>
          <w:sz w:val="21"/>
          <w:szCs w:val="21"/>
        </w:rPr>
        <w:t xml:space="preserve">[graphic to </w:t>
      </w:r>
      <w:proofErr w:type="gramStart"/>
      <w:r w:rsidR="008573B5" w:rsidRPr="00412CAF">
        <w:rPr>
          <w:sz w:val="21"/>
          <w:szCs w:val="21"/>
        </w:rPr>
        <w:t>be included</w:t>
      </w:r>
      <w:proofErr w:type="gramEnd"/>
      <w:r w:rsidR="008573B5" w:rsidRPr="00412CAF">
        <w:rPr>
          <w:sz w:val="21"/>
          <w:szCs w:val="21"/>
        </w:rPr>
        <w:t>]</w:t>
      </w:r>
    </w:p>
    <w:p w14:paraId="00410D79" w14:textId="77777777" w:rsidR="002B2380" w:rsidRPr="00412CAF" w:rsidRDefault="002B2380" w:rsidP="00412CAF">
      <w:pPr>
        <w:spacing w:after="0" w:line="240" w:lineRule="auto"/>
        <w:rPr>
          <w:sz w:val="21"/>
          <w:szCs w:val="21"/>
        </w:rPr>
      </w:pPr>
    </w:p>
    <w:p w14:paraId="75FA483D" w14:textId="75C59FE4" w:rsidR="00D0603B" w:rsidRPr="00412CAF" w:rsidRDefault="00C42804" w:rsidP="00412CAF">
      <w:pPr>
        <w:spacing w:after="0" w:line="240" w:lineRule="auto"/>
        <w:rPr>
          <w:sz w:val="21"/>
          <w:szCs w:val="21"/>
        </w:rPr>
      </w:pPr>
      <w:r w:rsidRPr="00412CAF">
        <w:rPr>
          <w:b/>
          <w:bCs/>
          <w:sz w:val="21"/>
          <w:szCs w:val="21"/>
        </w:rPr>
        <w:t xml:space="preserve">International Cooperation under </w:t>
      </w:r>
      <w:r w:rsidR="00D0603B" w:rsidRPr="00412CAF">
        <w:rPr>
          <w:b/>
          <w:bCs/>
          <w:sz w:val="21"/>
          <w:szCs w:val="21"/>
        </w:rPr>
        <w:t>Article 6</w:t>
      </w:r>
      <w:r w:rsidR="00D0603B" w:rsidRPr="00412CAF">
        <w:rPr>
          <w:sz w:val="21"/>
          <w:szCs w:val="21"/>
        </w:rPr>
        <w:t>: There are early signs of progress on the operationalisation of Article 6 of the Paris Agreement on cross-border emissions trading, with not only increased evidence of bilateral agreements but also examples of establishing implementation frameworks and infrastructure to facilitate international cooperation</w:t>
      </w:r>
      <w:r w:rsidR="007F7A1E" w:rsidRPr="00412CAF">
        <w:rPr>
          <w:sz w:val="21"/>
          <w:szCs w:val="21"/>
        </w:rPr>
        <w:t>.</w:t>
      </w:r>
      <w:r w:rsidR="00D0603B" w:rsidRPr="00412CAF">
        <w:rPr>
          <w:sz w:val="21"/>
          <w:szCs w:val="21"/>
        </w:rPr>
        <w:t xml:space="preserve"> </w:t>
      </w:r>
    </w:p>
    <w:p w14:paraId="1E320BFA" w14:textId="77777777" w:rsidR="002B2380" w:rsidRPr="00412CAF" w:rsidRDefault="002B2380" w:rsidP="00412CAF">
      <w:pPr>
        <w:spacing w:after="0" w:line="240" w:lineRule="auto"/>
        <w:rPr>
          <w:sz w:val="21"/>
          <w:szCs w:val="21"/>
        </w:rPr>
      </w:pPr>
      <w:r w:rsidRPr="00412CAF">
        <w:rPr>
          <w:noProof/>
          <w:sz w:val="21"/>
          <w:szCs w:val="21"/>
        </w:rPr>
        <w:lastRenderedPageBreak/>
        <w:drawing>
          <wp:inline distT="0" distB="0" distL="0" distR="0" wp14:anchorId="4ECE2E0D" wp14:editId="0D5488B0">
            <wp:extent cx="5755640" cy="3961670"/>
            <wp:effectExtent l="0" t="0" r="3175" b="0"/>
            <wp:docPr id="1908761343" name="Picture 1908761343" descr="A chart showing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61343" name="Picture 1908761343" descr="A chart showing different colored lines&#10;&#10;Description automatically generated"/>
                    <pic:cNvPicPr>
                      <a:picLocks noChangeAspect="1" noChangeArrowheads="1"/>
                    </pic:cNvPicPr>
                  </pic:nvPicPr>
                  <pic:blipFill rotWithShape="1">
                    <a:blip r:embed="rId18">
                      <a:extLst>
                        <a:ext uri="{28A0092B-C50C-407E-A947-70E740481C1C}">
                          <a14:useLocalDpi xmlns:a14="http://schemas.microsoft.com/office/drawing/2010/main" val="0"/>
                        </a:ext>
                      </a:extLst>
                    </a:blip>
                    <a:srcRect t="2472"/>
                    <a:stretch/>
                  </pic:blipFill>
                  <pic:spPr bwMode="auto">
                    <a:xfrm>
                      <a:off x="0" y="0"/>
                      <a:ext cx="5755640" cy="3961670"/>
                    </a:xfrm>
                    <a:prstGeom prst="rect">
                      <a:avLst/>
                    </a:prstGeom>
                    <a:noFill/>
                    <a:ln>
                      <a:noFill/>
                    </a:ln>
                    <a:extLst>
                      <a:ext uri="{53640926-AAD7-44D8-BBD7-CCE9431645EC}">
                        <a14:shadowObscured xmlns:a14="http://schemas.microsoft.com/office/drawing/2010/main"/>
                      </a:ext>
                    </a:extLst>
                  </pic:spPr>
                </pic:pic>
              </a:graphicData>
            </a:graphic>
          </wp:inline>
        </w:drawing>
      </w:r>
    </w:p>
    <w:p w14:paraId="648AC67C" w14:textId="77777777" w:rsidR="004C366A" w:rsidRDefault="004C366A" w:rsidP="00412CAF">
      <w:pPr>
        <w:spacing w:after="0" w:line="240" w:lineRule="auto"/>
        <w:rPr>
          <w:sz w:val="21"/>
          <w:szCs w:val="21"/>
        </w:rPr>
      </w:pPr>
    </w:p>
    <w:p w14:paraId="010242ED" w14:textId="53D66FC5" w:rsidR="002B2380" w:rsidRPr="00412CAF" w:rsidRDefault="002B2380" w:rsidP="00412CAF">
      <w:pPr>
        <w:spacing w:after="0" w:line="240" w:lineRule="auto"/>
        <w:rPr>
          <w:sz w:val="21"/>
          <w:szCs w:val="21"/>
        </w:rPr>
      </w:pPr>
      <w:r w:rsidRPr="00412CAF">
        <w:rPr>
          <w:sz w:val="21"/>
          <w:szCs w:val="21"/>
        </w:rPr>
        <w:t>Source: World Bank. State and Trends of Carbon Pricing (2023)</w:t>
      </w:r>
    </w:p>
    <w:p w14:paraId="0B55C71A" w14:textId="77777777" w:rsidR="002B2380" w:rsidRPr="00412CAF" w:rsidRDefault="002B2380" w:rsidP="00412CAF">
      <w:pPr>
        <w:spacing w:after="0" w:line="240" w:lineRule="auto"/>
        <w:rPr>
          <w:sz w:val="21"/>
          <w:szCs w:val="21"/>
        </w:rPr>
      </w:pPr>
    </w:p>
    <w:p w14:paraId="5F6EFC49" w14:textId="6D91540F" w:rsidR="00E3160B" w:rsidRPr="00412CAF" w:rsidRDefault="00D0603B" w:rsidP="00412CAF">
      <w:pPr>
        <w:spacing w:after="0" w:line="240" w:lineRule="auto"/>
        <w:rPr>
          <w:rStyle w:val="normaltextrun"/>
          <w:rFonts w:cs="Calibri"/>
          <w:sz w:val="21"/>
          <w:szCs w:val="21"/>
        </w:rPr>
      </w:pPr>
      <w:r w:rsidRPr="00412CAF">
        <w:rPr>
          <w:sz w:val="21"/>
          <w:szCs w:val="21"/>
        </w:rPr>
        <w:t xml:space="preserve">Carbon pricing mechanisms and markets lack any universal or coordinated approach on design, scope, integrity, governance, </w:t>
      </w:r>
      <w:proofErr w:type="gramStart"/>
      <w:r w:rsidRPr="00412CAF">
        <w:rPr>
          <w:sz w:val="21"/>
          <w:szCs w:val="21"/>
        </w:rPr>
        <w:t>regulation</w:t>
      </w:r>
      <w:proofErr w:type="gramEnd"/>
      <w:r w:rsidRPr="00412CAF">
        <w:rPr>
          <w:sz w:val="21"/>
          <w:szCs w:val="21"/>
        </w:rPr>
        <w:t xml:space="preserve"> or enforcement.</w:t>
      </w:r>
      <w:r w:rsidR="00C42804" w:rsidRPr="00412CAF">
        <w:rPr>
          <w:sz w:val="21"/>
          <w:szCs w:val="21"/>
        </w:rPr>
        <w:t xml:space="preserve"> </w:t>
      </w:r>
      <w:r w:rsidRPr="00412CAF">
        <w:rPr>
          <w:sz w:val="21"/>
          <w:szCs w:val="21"/>
        </w:rPr>
        <w:t xml:space="preserve">Lack of consistency creates a challenge for effective accounting by </w:t>
      </w:r>
      <w:r w:rsidR="00781681" w:rsidRPr="00412CAF">
        <w:rPr>
          <w:sz w:val="21"/>
          <w:szCs w:val="21"/>
        </w:rPr>
        <w:t>governments and</w:t>
      </w:r>
      <w:r w:rsidRPr="00412CAF">
        <w:rPr>
          <w:sz w:val="21"/>
          <w:szCs w:val="21"/>
        </w:rPr>
        <w:t xml:space="preserve"> corporates and</w:t>
      </w:r>
      <w:proofErr w:type="gramStart"/>
      <w:r w:rsidRPr="00412CAF">
        <w:rPr>
          <w:sz w:val="21"/>
          <w:szCs w:val="21"/>
        </w:rPr>
        <w:t>, ultimately, for</w:t>
      </w:r>
      <w:proofErr w:type="gramEnd"/>
      <w:r w:rsidRPr="00412CAF">
        <w:rPr>
          <w:sz w:val="21"/>
          <w:szCs w:val="21"/>
        </w:rPr>
        <w:t xml:space="preserve"> scaling carbon markets to help reach the global goal to halve GHG emissions by 2030 and achieve net-zero emissions by 2050.</w:t>
      </w:r>
      <w:r w:rsidRPr="00412CAF" w:rsidDel="00FF3DAE">
        <w:rPr>
          <w:sz w:val="21"/>
          <w:szCs w:val="21"/>
        </w:rPr>
        <w:t xml:space="preserve"> </w:t>
      </w:r>
    </w:p>
    <w:p w14:paraId="56ACABBB" w14:textId="77777777" w:rsidR="006A6369" w:rsidRPr="00412CAF" w:rsidRDefault="006A6369" w:rsidP="00412CAF">
      <w:pPr>
        <w:pStyle w:val="paragraph"/>
        <w:spacing w:before="0" w:beforeAutospacing="0" w:after="0" w:afterAutospacing="0" w:line="240" w:lineRule="auto"/>
        <w:rPr>
          <w:rFonts w:ascii="Gellix" w:hAnsi="Gellix"/>
          <w:b/>
          <w:bCs/>
          <w:sz w:val="21"/>
          <w:szCs w:val="21"/>
        </w:rPr>
      </w:pPr>
    </w:p>
    <w:p w14:paraId="3944F781" w14:textId="35BA85E2" w:rsidR="006A6369" w:rsidRPr="00412CAF" w:rsidRDefault="006A6369" w:rsidP="00412CAF">
      <w:pPr>
        <w:pStyle w:val="paragraph"/>
        <w:spacing w:before="0" w:beforeAutospacing="0" w:after="0" w:afterAutospacing="0" w:line="240" w:lineRule="auto"/>
        <w:rPr>
          <w:rFonts w:ascii="Gellix" w:hAnsi="Gellix"/>
          <w:sz w:val="21"/>
          <w:szCs w:val="21"/>
        </w:rPr>
      </w:pPr>
      <w:r w:rsidRPr="00412CAF">
        <w:rPr>
          <w:rFonts w:ascii="Gellix" w:hAnsi="Gellix"/>
          <w:sz w:val="21"/>
          <w:szCs w:val="21"/>
        </w:rPr>
        <w:t xml:space="preserve">The existing </w:t>
      </w:r>
      <w:r w:rsidRPr="00412CAF">
        <w:rPr>
          <w:rFonts w:ascii="Gellix" w:hAnsi="Gellix"/>
          <w:b/>
          <w:bCs/>
          <w:sz w:val="21"/>
          <w:szCs w:val="21"/>
        </w:rPr>
        <w:t>carbon markets landscape</w:t>
      </w:r>
      <w:r w:rsidRPr="00412CAF">
        <w:rPr>
          <w:rFonts w:ascii="Gellix" w:hAnsi="Gellix"/>
          <w:sz w:val="21"/>
          <w:szCs w:val="21"/>
        </w:rPr>
        <w:t xml:space="preserve"> is characteri</w:t>
      </w:r>
      <w:r w:rsidR="00C87754" w:rsidRPr="00412CAF">
        <w:rPr>
          <w:rFonts w:ascii="Gellix" w:hAnsi="Gellix"/>
          <w:sz w:val="21"/>
          <w:szCs w:val="21"/>
        </w:rPr>
        <w:t>s</w:t>
      </w:r>
      <w:r w:rsidRPr="00412CAF">
        <w:rPr>
          <w:rFonts w:ascii="Gellix" w:hAnsi="Gellix"/>
          <w:sz w:val="21"/>
          <w:szCs w:val="21"/>
        </w:rPr>
        <w:t xml:space="preserve">ed by a series of different </w:t>
      </w:r>
      <w:r w:rsidRPr="00412CAF">
        <w:rPr>
          <w:rStyle w:val="normaltextrun"/>
          <w:rFonts w:ascii="Gellix" w:hAnsi="Gellix" w:cs="Calibri"/>
          <w:sz w:val="21"/>
          <w:szCs w:val="21"/>
        </w:rPr>
        <w:t xml:space="preserve">governance, </w:t>
      </w:r>
      <w:proofErr w:type="gramStart"/>
      <w:r w:rsidRPr="00412CAF">
        <w:rPr>
          <w:rStyle w:val="normaltextrun"/>
          <w:rFonts w:ascii="Gellix" w:hAnsi="Gellix" w:cs="Calibri"/>
          <w:sz w:val="21"/>
          <w:szCs w:val="21"/>
        </w:rPr>
        <w:t>design</w:t>
      </w:r>
      <w:proofErr w:type="gramEnd"/>
      <w:r w:rsidRPr="00412CAF">
        <w:rPr>
          <w:rStyle w:val="normaltextrun"/>
          <w:rFonts w:ascii="Gellix" w:hAnsi="Gellix" w:cs="Calibri"/>
          <w:sz w:val="21"/>
          <w:szCs w:val="21"/>
        </w:rPr>
        <w:t xml:space="preserve"> and methodology standa</w:t>
      </w:r>
      <w:r w:rsidR="00643C00" w:rsidRPr="00412CAF">
        <w:rPr>
          <w:rStyle w:val="normaltextrun"/>
          <w:rFonts w:ascii="Gellix" w:hAnsi="Gellix" w:cs="Calibri"/>
          <w:sz w:val="21"/>
          <w:szCs w:val="21"/>
        </w:rPr>
        <w:t>rds</w:t>
      </w:r>
      <w:r w:rsidRPr="00412CAF">
        <w:rPr>
          <w:rFonts w:ascii="Gellix" w:hAnsi="Gellix"/>
          <w:sz w:val="21"/>
          <w:szCs w:val="21"/>
        </w:rPr>
        <w:t xml:space="preserve"> as well as different degrees of transparency and scales (see Annex A).  </w:t>
      </w:r>
    </w:p>
    <w:p w14:paraId="25D7F026" w14:textId="77777777" w:rsidR="006A6369" w:rsidRPr="00412CAF" w:rsidRDefault="006A6369" w:rsidP="00412CAF">
      <w:pPr>
        <w:pStyle w:val="paragraph"/>
        <w:spacing w:before="0" w:beforeAutospacing="0" w:after="0" w:afterAutospacing="0" w:line="240" w:lineRule="auto"/>
        <w:rPr>
          <w:rFonts w:ascii="Gellix" w:hAnsi="Gellix"/>
          <w:sz w:val="21"/>
          <w:szCs w:val="21"/>
        </w:rPr>
      </w:pPr>
    </w:p>
    <w:p w14:paraId="5491FAAC" w14:textId="315D5D81" w:rsidR="006A6369" w:rsidRPr="00412CAF" w:rsidRDefault="006A6369" w:rsidP="00412CAF">
      <w:pPr>
        <w:pStyle w:val="paragraph"/>
        <w:spacing w:before="0" w:beforeAutospacing="0" w:after="0" w:afterAutospacing="0" w:line="240" w:lineRule="auto"/>
        <w:rPr>
          <w:rStyle w:val="normaltextrun"/>
          <w:rFonts w:ascii="Gellix" w:hAnsi="Gellix" w:cs="Calibri"/>
          <w:sz w:val="21"/>
          <w:szCs w:val="21"/>
          <w:lang w:val="en-GB"/>
        </w:rPr>
      </w:pPr>
      <w:r w:rsidRPr="00412CAF">
        <w:rPr>
          <w:rFonts w:ascii="Gellix" w:hAnsi="Gellix"/>
          <w:sz w:val="21"/>
          <w:szCs w:val="21"/>
        </w:rPr>
        <w:t xml:space="preserve">A single </w:t>
      </w:r>
      <w:r w:rsidR="009773E6" w:rsidRPr="00412CAF">
        <w:rPr>
          <w:rFonts w:ascii="Gellix" w:hAnsi="Gellix"/>
          <w:sz w:val="21"/>
          <w:szCs w:val="21"/>
        </w:rPr>
        <w:t>country</w:t>
      </w:r>
      <w:r w:rsidRPr="00412CAF">
        <w:rPr>
          <w:rFonts w:ascii="Gellix" w:hAnsi="Gellix"/>
          <w:sz w:val="21"/>
          <w:szCs w:val="21"/>
        </w:rPr>
        <w:t xml:space="preserve"> may operate a</w:t>
      </w:r>
      <w:r w:rsidRPr="00412CAF">
        <w:rPr>
          <w:rStyle w:val="normaltextrun"/>
          <w:rFonts w:ascii="Gellix" w:hAnsi="Gellix" w:cs="Calibri"/>
          <w:sz w:val="21"/>
          <w:szCs w:val="21"/>
        </w:rPr>
        <w:t xml:space="preserve"> regulated </w:t>
      </w:r>
      <w:r w:rsidRPr="00412CAF">
        <w:rPr>
          <w:rStyle w:val="normaltextrun"/>
          <w:rFonts w:ascii="Gellix" w:hAnsi="Gellix" w:cs="Calibri"/>
          <w:sz w:val="21"/>
          <w:szCs w:val="21"/>
          <w:lang w:val="en-GB"/>
        </w:rPr>
        <w:t xml:space="preserve">compliance market and, at the same time, permit voluntary market trading by corporates outside the compliance regulated sectors and participate in mitigation outcome trading activities under Article 6.2 and 6.4 of the Paris Agreement. </w:t>
      </w:r>
    </w:p>
    <w:p w14:paraId="7F4A87F9" w14:textId="77777777" w:rsidR="006A6369" w:rsidRPr="00412CAF" w:rsidRDefault="006A6369" w:rsidP="00412CAF">
      <w:pPr>
        <w:pStyle w:val="paragraph"/>
        <w:spacing w:before="0" w:beforeAutospacing="0" w:after="0" w:afterAutospacing="0" w:line="240" w:lineRule="auto"/>
        <w:rPr>
          <w:rStyle w:val="normaltextrun"/>
          <w:rFonts w:ascii="Gellix" w:hAnsi="Gellix" w:cs="Calibri"/>
          <w:sz w:val="21"/>
          <w:szCs w:val="21"/>
          <w:lang w:val="en-GB"/>
        </w:rPr>
      </w:pPr>
    </w:p>
    <w:p w14:paraId="694F6672" w14:textId="7D279A99" w:rsidR="006A6369" w:rsidRPr="00412CAF" w:rsidRDefault="006A6369" w:rsidP="00412CAF">
      <w:pPr>
        <w:pStyle w:val="paragraph"/>
        <w:spacing w:before="0" w:beforeAutospacing="0" w:after="0" w:afterAutospacing="0" w:line="240" w:lineRule="auto"/>
        <w:rPr>
          <w:rStyle w:val="normaltextrun"/>
          <w:rFonts w:ascii="Gellix" w:hAnsi="Gellix" w:cs="Calibri"/>
          <w:sz w:val="21"/>
          <w:szCs w:val="21"/>
          <w:lang w:val="en-GB"/>
        </w:rPr>
      </w:pPr>
      <w:r w:rsidRPr="00412CAF">
        <w:rPr>
          <w:rStyle w:val="normaltextrun"/>
          <w:rFonts w:ascii="Gellix" w:hAnsi="Gellix" w:cs="Calibri"/>
          <w:sz w:val="21"/>
          <w:szCs w:val="21"/>
          <w:lang w:val="en-GB"/>
        </w:rPr>
        <w:t>As to the</w:t>
      </w:r>
      <w:r w:rsidR="00C87754" w:rsidRPr="00412CAF">
        <w:rPr>
          <w:rStyle w:val="normaltextrun"/>
          <w:rFonts w:ascii="Gellix" w:hAnsi="Gellix" w:cs="Calibri"/>
          <w:sz w:val="21"/>
          <w:szCs w:val="21"/>
          <w:lang w:val="en-GB"/>
        </w:rPr>
        <w:t xml:space="preserve"> international cooperation</w:t>
      </w:r>
      <w:r w:rsidRPr="00412CAF">
        <w:rPr>
          <w:rStyle w:val="normaltextrun"/>
          <w:rFonts w:ascii="Gellix" w:hAnsi="Gellix" w:cs="Calibri"/>
          <w:sz w:val="21"/>
          <w:szCs w:val="21"/>
          <w:lang w:val="en-GB"/>
        </w:rPr>
        <w:t xml:space="preserve">, rules to fully operationalise Article 6 of the Paris Agreement remain in discussion; it is difficult to predict the effect of an operationalised Article 6.2 carbon pricing mechanism and Article 6.4 global carbon market on existing mechanisms and </w:t>
      </w:r>
      <w:r w:rsidR="00874321" w:rsidRPr="00412CAF">
        <w:rPr>
          <w:rStyle w:val="normaltextrun"/>
          <w:rFonts w:ascii="Gellix" w:hAnsi="Gellix" w:cs="Calibri"/>
          <w:sz w:val="21"/>
          <w:szCs w:val="21"/>
          <w:lang w:val="en-GB"/>
        </w:rPr>
        <w:t>markets. It</w:t>
      </w:r>
      <w:r w:rsidR="00B35D67" w:rsidRPr="00412CAF">
        <w:rPr>
          <w:rStyle w:val="normaltextrun"/>
          <w:rFonts w:ascii="Gellix" w:hAnsi="Gellix" w:cs="Calibri"/>
          <w:sz w:val="21"/>
          <w:szCs w:val="21"/>
          <w:lang w:val="en-GB"/>
        </w:rPr>
        <w:t xml:space="preserve"> </w:t>
      </w:r>
      <w:r w:rsidR="00631C2F" w:rsidRPr="00412CAF">
        <w:rPr>
          <w:rStyle w:val="normaltextrun"/>
          <w:rFonts w:ascii="Gellix" w:hAnsi="Gellix" w:cs="Calibri"/>
          <w:sz w:val="21"/>
          <w:szCs w:val="21"/>
          <w:lang w:val="en-GB"/>
        </w:rPr>
        <w:t>is there</w:t>
      </w:r>
      <w:r w:rsidR="008D1A92" w:rsidRPr="00412CAF">
        <w:rPr>
          <w:rStyle w:val="normaltextrun"/>
          <w:rFonts w:ascii="Gellix" w:hAnsi="Gellix" w:cs="Calibri"/>
          <w:sz w:val="21"/>
          <w:szCs w:val="21"/>
          <w:lang w:val="en-GB"/>
        </w:rPr>
        <w:t>fore</w:t>
      </w:r>
      <w:r w:rsidR="00631C2F" w:rsidRPr="00412CAF">
        <w:rPr>
          <w:rStyle w:val="normaltextrun"/>
          <w:rFonts w:ascii="Gellix" w:hAnsi="Gellix" w:cs="Calibri"/>
          <w:sz w:val="21"/>
          <w:szCs w:val="21"/>
          <w:lang w:val="en-GB"/>
        </w:rPr>
        <w:t xml:space="preserve"> important</w:t>
      </w:r>
      <w:r w:rsidRPr="00412CAF">
        <w:rPr>
          <w:rStyle w:val="normaltextrun"/>
          <w:rFonts w:ascii="Gellix" w:hAnsi="Gellix" w:cs="Calibri"/>
          <w:sz w:val="21"/>
          <w:szCs w:val="21"/>
          <w:lang w:val="en-GB"/>
        </w:rPr>
        <w:t xml:space="preserve"> to continuously examine the development of these </w:t>
      </w:r>
      <w:r w:rsidR="00593116" w:rsidRPr="00412CAF">
        <w:rPr>
          <w:rStyle w:val="normaltextrun"/>
          <w:rFonts w:ascii="Gellix" w:hAnsi="Gellix" w:cs="Calibri"/>
          <w:sz w:val="21"/>
          <w:szCs w:val="21"/>
          <w:lang w:val="en-GB"/>
        </w:rPr>
        <w:t>systems and</w:t>
      </w:r>
      <w:r w:rsidRPr="00412CAF">
        <w:rPr>
          <w:rStyle w:val="normaltextrun"/>
          <w:rFonts w:ascii="Gellix" w:hAnsi="Gellix" w:cs="Calibri"/>
          <w:sz w:val="21"/>
          <w:szCs w:val="21"/>
          <w:lang w:val="en-GB"/>
        </w:rPr>
        <w:t xml:space="preserve"> assess their implications </w:t>
      </w:r>
      <w:r w:rsidR="009507B1" w:rsidRPr="00412CAF">
        <w:rPr>
          <w:rStyle w:val="normaltextrun"/>
          <w:rFonts w:ascii="Gellix" w:hAnsi="Gellix" w:cs="Calibri"/>
          <w:sz w:val="21"/>
          <w:szCs w:val="21"/>
          <w:lang w:val="en-GB"/>
        </w:rPr>
        <w:t xml:space="preserve">as the market continues to grow and evolve. </w:t>
      </w:r>
    </w:p>
    <w:p w14:paraId="2199E296" w14:textId="77777777" w:rsidR="00E3160B" w:rsidRPr="00412CAF" w:rsidRDefault="00E3160B" w:rsidP="00412CAF">
      <w:pPr>
        <w:pStyle w:val="Heading3"/>
        <w:spacing w:after="0" w:line="240" w:lineRule="auto"/>
        <w:rPr>
          <w:sz w:val="21"/>
          <w:szCs w:val="21"/>
        </w:rPr>
      </w:pPr>
    </w:p>
    <w:p w14:paraId="502B0B06" w14:textId="019A81B7" w:rsidR="00262182" w:rsidRPr="00412CAF" w:rsidRDefault="00262182" w:rsidP="00412CAF">
      <w:pPr>
        <w:pStyle w:val="Heading3"/>
        <w:spacing w:after="0" w:line="240" w:lineRule="auto"/>
        <w:rPr>
          <w:rFonts w:cs="Calibri"/>
          <w:sz w:val="21"/>
          <w:szCs w:val="21"/>
        </w:rPr>
      </w:pPr>
      <w:r w:rsidRPr="00412CAF">
        <w:rPr>
          <w:sz w:val="21"/>
          <w:szCs w:val="21"/>
        </w:rPr>
        <w:t>Guiding Principles for Carbon Markets</w:t>
      </w:r>
    </w:p>
    <w:p w14:paraId="44ADF55E" w14:textId="56E52D63" w:rsidR="00C679C8" w:rsidRPr="00412CAF" w:rsidRDefault="009507B1" w:rsidP="00412CAF">
      <w:pPr>
        <w:spacing w:after="0" w:line="240" w:lineRule="auto"/>
        <w:rPr>
          <w:b/>
          <w:sz w:val="21"/>
          <w:szCs w:val="21"/>
        </w:rPr>
      </w:pPr>
      <w:r w:rsidRPr="00412CAF">
        <w:rPr>
          <w:b/>
          <w:sz w:val="21"/>
          <w:szCs w:val="21"/>
        </w:rPr>
        <w:t xml:space="preserve">Each of the three broad types of carbon markets, and any credits and offsets generated within them, could </w:t>
      </w:r>
      <w:proofErr w:type="gramStart"/>
      <w:r w:rsidRPr="00412CAF">
        <w:rPr>
          <w:b/>
          <w:sz w:val="21"/>
          <w:szCs w:val="21"/>
        </w:rPr>
        <w:t>be guided</w:t>
      </w:r>
      <w:proofErr w:type="gramEnd"/>
      <w:r w:rsidRPr="00412CAF">
        <w:rPr>
          <w:b/>
          <w:sz w:val="21"/>
          <w:szCs w:val="21"/>
        </w:rPr>
        <w:t xml:space="preserve"> the ICC carbon pricing principles. </w:t>
      </w:r>
    </w:p>
    <w:p w14:paraId="70C62288" w14:textId="77777777" w:rsidR="00C679C8" w:rsidRPr="00412CAF" w:rsidRDefault="00C679C8" w:rsidP="00412CAF">
      <w:pPr>
        <w:spacing w:after="0" w:line="240" w:lineRule="auto"/>
        <w:rPr>
          <w:sz w:val="21"/>
          <w:szCs w:val="21"/>
        </w:rPr>
      </w:pPr>
    </w:p>
    <w:p w14:paraId="1E52BFD8" w14:textId="0C4C2979" w:rsidR="00262182" w:rsidRPr="00412CAF" w:rsidRDefault="00262182" w:rsidP="00412CAF">
      <w:pPr>
        <w:spacing w:after="0" w:line="240" w:lineRule="auto"/>
        <w:rPr>
          <w:sz w:val="21"/>
          <w:szCs w:val="21"/>
        </w:rPr>
      </w:pPr>
      <w:r w:rsidRPr="00412CAF">
        <w:rPr>
          <w:sz w:val="21"/>
          <w:szCs w:val="21"/>
        </w:rPr>
        <w:t xml:space="preserve">Clear principles are key for policymakers when designing regional, </w:t>
      </w:r>
      <w:proofErr w:type="gramStart"/>
      <w:r w:rsidRPr="00412CAF">
        <w:rPr>
          <w:sz w:val="21"/>
          <w:szCs w:val="21"/>
        </w:rPr>
        <w:t>national</w:t>
      </w:r>
      <w:proofErr w:type="gramEnd"/>
      <w:r w:rsidRPr="00412CAF">
        <w:rPr>
          <w:sz w:val="21"/>
          <w:szCs w:val="21"/>
        </w:rPr>
        <w:t xml:space="preserve"> and supranational carbon pricing systems.</w:t>
      </w:r>
      <w:r w:rsidR="00476926" w:rsidRPr="00412CAF">
        <w:rPr>
          <w:sz w:val="21"/>
          <w:szCs w:val="21"/>
        </w:rPr>
        <w:t xml:space="preserve"> </w:t>
      </w:r>
      <w:r w:rsidRPr="00412CAF">
        <w:rPr>
          <w:sz w:val="21"/>
          <w:szCs w:val="21"/>
        </w:rPr>
        <w:t xml:space="preserve">They are equally key for negotiators involved in negotiating rules for international cooperation under Article 6 of the Paris Agreement, and for independent bodies when developing rules for high-integrity carbon credits. </w:t>
      </w:r>
    </w:p>
    <w:p w14:paraId="33BB6852" w14:textId="77777777" w:rsidR="009B2A1A" w:rsidRPr="00412CAF" w:rsidRDefault="009B2A1A" w:rsidP="00412CAF">
      <w:pPr>
        <w:spacing w:after="0" w:line="240" w:lineRule="auto"/>
        <w:rPr>
          <w:sz w:val="21"/>
          <w:szCs w:val="21"/>
        </w:rPr>
      </w:pPr>
    </w:p>
    <w:p w14:paraId="57C0E1A6" w14:textId="21A3686A" w:rsidR="0024544D" w:rsidRPr="00412CAF" w:rsidRDefault="00E3160B" w:rsidP="00412CAF">
      <w:pPr>
        <w:spacing w:after="0" w:line="240" w:lineRule="auto"/>
        <w:rPr>
          <w:sz w:val="21"/>
          <w:szCs w:val="21"/>
        </w:rPr>
      </w:pPr>
      <w:r w:rsidRPr="00412CAF">
        <w:rPr>
          <w:iCs/>
          <w:sz w:val="21"/>
          <w:szCs w:val="21"/>
        </w:rPr>
        <w:t xml:space="preserve">In this regard, ICC has </w:t>
      </w:r>
      <w:r w:rsidR="00D121A8" w:rsidRPr="00412CAF">
        <w:rPr>
          <w:iCs/>
          <w:sz w:val="21"/>
          <w:szCs w:val="21"/>
        </w:rPr>
        <w:t>outlined</w:t>
      </w:r>
      <w:r w:rsidR="006E355D" w:rsidRPr="00412CAF">
        <w:rPr>
          <w:iCs/>
          <w:sz w:val="21"/>
          <w:szCs w:val="21"/>
        </w:rPr>
        <w:t xml:space="preserve"> </w:t>
      </w:r>
      <w:r w:rsidR="000138DA" w:rsidRPr="00412CAF">
        <w:rPr>
          <w:iCs/>
          <w:sz w:val="21"/>
          <w:szCs w:val="21"/>
        </w:rPr>
        <w:t>the main existing principles</w:t>
      </w:r>
      <w:r w:rsidR="006224AE" w:rsidRPr="00412CAF">
        <w:rPr>
          <w:iCs/>
          <w:sz w:val="21"/>
          <w:szCs w:val="21"/>
        </w:rPr>
        <w:t>, in particular</w:t>
      </w:r>
      <w:r w:rsidRPr="00412CAF">
        <w:rPr>
          <w:iCs/>
          <w:sz w:val="21"/>
          <w:szCs w:val="21"/>
        </w:rPr>
        <w:t xml:space="preserve">: </w:t>
      </w:r>
      <w:r w:rsidRPr="00412CAF">
        <w:rPr>
          <w:sz w:val="21"/>
          <w:szCs w:val="21"/>
        </w:rPr>
        <w:t xml:space="preserve">(1) the ICC carbon pricing principles, specifically dedicated to the development of compliance markets, (2) the Core Carbon Principles developed by the Integrity Council for the Voluntary Carbon Market (ICVCM), and (3) the Article 6 Rulebook </w:t>
      </w:r>
      <w:r w:rsidRPr="00412CAF">
        <w:rPr>
          <w:rStyle w:val="normaltextrun"/>
          <w:rFonts w:cs="Calibri"/>
          <w:sz w:val="21"/>
          <w:szCs w:val="21"/>
        </w:rPr>
        <w:t>setting out the conditions and rules for emissions trading between countries within the UN system under Article 6 of the Paris Agreement</w:t>
      </w:r>
      <w:r w:rsidRPr="00412CAF">
        <w:rPr>
          <w:sz w:val="21"/>
          <w:szCs w:val="21"/>
        </w:rPr>
        <w:t>, to determine key commonalities and differences.</w:t>
      </w:r>
      <w:r w:rsidR="009B2A1A" w:rsidRPr="00412CAF">
        <w:rPr>
          <w:sz w:val="21"/>
          <w:szCs w:val="21"/>
        </w:rPr>
        <w:t xml:space="preserve"> </w:t>
      </w:r>
    </w:p>
    <w:p w14:paraId="09F097B9" w14:textId="77777777" w:rsidR="00E3160B" w:rsidRPr="00412CAF" w:rsidRDefault="00E3160B" w:rsidP="00412CAF">
      <w:pPr>
        <w:spacing w:after="0" w:line="240" w:lineRule="auto"/>
        <w:rPr>
          <w:color w:val="2B579A"/>
          <w:sz w:val="21"/>
          <w:szCs w:val="21"/>
          <w:shd w:val="clear" w:color="auto" w:fill="E6E6E6"/>
        </w:rPr>
      </w:pPr>
    </w:p>
    <w:p w14:paraId="6DF93D7D" w14:textId="2C74B0D3" w:rsidR="00E3160B" w:rsidRPr="00412CAF" w:rsidRDefault="00E3160B" w:rsidP="00412CAF">
      <w:pPr>
        <w:spacing w:after="0" w:line="240" w:lineRule="auto"/>
        <w:rPr>
          <w:sz w:val="21"/>
          <w:szCs w:val="21"/>
        </w:rPr>
      </w:pPr>
      <w:r w:rsidRPr="00412CAF">
        <w:rPr>
          <w:sz w:val="21"/>
          <w:szCs w:val="21"/>
        </w:rPr>
        <w:t>The main similarities and differences are outlined in the table in Annex 2</w:t>
      </w:r>
      <w:proofErr w:type="gramStart"/>
      <w:r w:rsidR="00E948D4" w:rsidRPr="00412CAF">
        <w:rPr>
          <w:sz w:val="21"/>
          <w:szCs w:val="21"/>
        </w:rPr>
        <w:t xml:space="preserve">. </w:t>
      </w:r>
      <w:r w:rsidRPr="00412CAF">
        <w:rPr>
          <w:sz w:val="21"/>
          <w:szCs w:val="21"/>
        </w:rPr>
        <w:t xml:space="preserve"> </w:t>
      </w:r>
      <w:proofErr w:type="gramEnd"/>
    </w:p>
    <w:p w14:paraId="7CFD8BFD" w14:textId="77777777" w:rsidR="00CB3162" w:rsidRPr="00412CAF" w:rsidRDefault="00CB3162" w:rsidP="00412CAF">
      <w:pPr>
        <w:spacing w:after="0" w:line="240" w:lineRule="auto"/>
        <w:rPr>
          <w:sz w:val="21"/>
          <w:szCs w:val="21"/>
        </w:rPr>
      </w:pPr>
    </w:p>
    <w:p w14:paraId="13452BFA" w14:textId="77777777" w:rsidR="00CB3162" w:rsidRPr="00412CAF" w:rsidRDefault="00CB3162" w:rsidP="00412CAF">
      <w:pPr>
        <w:spacing w:after="0" w:line="240" w:lineRule="auto"/>
        <w:rPr>
          <w:sz w:val="21"/>
          <w:szCs w:val="21"/>
        </w:rPr>
      </w:pPr>
    </w:p>
    <w:p w14:paraId="3758C63D" w14:textId="77777777" w:rsidR="00CB3162" w:rsidRPr="00412CAF" w:rsidRDefault="00CB3162" w:rsidP="00412CAF">
      <w:pPr>
        <w:spacing w:after="0" w:line="240" w:lineRule="auto"/>
        <w:rPr>
          <w:sz w:val="21"/>
          <w:szCs w:val="21"/>
        </w:rPr>
      </w:pPr>
    </w:p>
    <w:p w14:paraId="6AD11983" w14:textId="77777777" w:rsidR="00CB3162" w:rsidRPr="009E6DB9" w:rsidRDefault="00CB3162" w:rsidP="00123805">
      <w:pPr>
        <w:spacing w:after="0" w:line="240" w:lineRule="auto"/>
        <w:rPr>
          <w:sz w:val="21"/>
          <w:szCs w:val="21"/>
        </w:rPr>
      </w:pPr>
    </w:p>
    <w:p w14:paraId="0D60897F" w14:textId="3F717954" w:rsidR="00CB3162" w:rsidRPr="009E6DB9" w:rsidRDefault="00CB3162" w:rsidP="00123805">
      <w:pPr>
        <w:spacing w:after="0" w:line="240" w:lineRule="auto"/>
        <w:rPr>
          <w:sz w:val="21"/>
          <w:szCs w:val="21"/>
        </w:rPr>
        <w:sectPr w:rsidR="00CB3162" w:rsidRPr="009E6DB9">
          <w:headerReference w:type="even" r:id="rId19"/>
          <w:footerReference w:type="even" r:id="rId20"/>
          <w:footerReference w:type="default" r:id="rId21"/>
          <w:headerReference w:type="first" r:id="rId22"/>
          <w:footerReference w:type="first" r:id="rId23"/>
          <w:pgSz w:w="11900" w:h="16840"/>
          <w:pgMar w:top="1213" w:right="1418" w:bottom="1230" w:left="1418" w:header="0" w:footer="57" w:gutter="0"/>
          <w:cols w:space="720"/>
          <w:titlePg/>
          <w:docGrid w:linePitch="299"/>
        </w:sectPr>
      </w:pPr>
    </w:p>
    <w:p w14:paraId="1311BC66" w14:textId="61016C5A" w:rsidR="007729B9" w:rsidRPr="00476926" w:rsidRDefault="007729B9" w:rsidP="00123805">
      <w:pPr>
        <w:spacing w:after="0" w:line="240" w:lineRule="auto"/>
        <w:rPr>
          <w:sz w:val="21"/>
          <w:szCs w:val="21"/>
        </w:rPr>
      </w:pPr>
    </w:p>
    <w:p w14:paraId="2A75580B" w14:textId="6377DDAC" w:rsidR="007729B9" w:rsidRPr="00AE6A2D" w:rsidRDefault="007729B9" w:rsidP="00F31956">
      <w:pPr>
        <w:pStyle w:val="Heading1"/>
        <w:numPr>
          <w:ilvl w:val="0"/>
          <w:numId w:val="0"/>
        </w:numPr>
        <w:spacing w:before="0" w:line="240" w:lineRule="auto"/>
        <w:rPr>
          <w:sz w:val="21"/>
          <w:szCs w:val="21"/>
        </w:rPr>
      </w:pPr>
      <w:r w:rsidRPr="00AE6A2D">
        <w:rPr>
          <w:sz w:val="21"/>
          <w:szCs w:val="21"/>
        </w:rPr>
        <w:t>Bibliography</w:t>
      </w:r>
      <w:r w:rsidR="00ED78A4" w:rsidRPr="00AE6A2D">
        <w:rPr>
          <w:sz w:val="21"/>
          <w:szCs w:val="21"/>
        </w:rPr>
        <w:t xml:space="preserve"> </w:t>
      </w:r>
    </w:p>
    <w:p w14:paraId="72BF604E" w14:textId="77777777" w:rsidR="007729B9" w:rsidRPr="00AE6A2D" w:rsidRDefault="007729B9" w:rsidP="00123805">
      <w:pPr>
        <w:spacing w:after="0" w:line="240" w:lineRule="auto"/>
        <w:rPr>
          <w:color w:val="00B050"/>
          <w:sz w:val="21"/>
          <w:szCs w:val="21"/>
        </w:rPr>
      </w:pPr>
    </w:p>
    <w:p w14:paraId="4C76675C" w14:textId="3D9A2AD0" w:rsidR="00901073" w:rsidRPr="00AE6A2D" w:rsidRDefault="00901073" w:rsidP="00901073">
      <w:pPr>
        <w:rPr>
          <w:sz w:val="21"/>
          <w:szCs w:val="21"/>
        </w:rPr>
      </w:pPr>
      <w:r w:rsidRPr="00AE6A2D">
        <w:rPr>
          <w:sz w:val="21"/>
          <w:szCs w:val="21"/>
        </w:rPr>
        <w:t xml:space="preserve">AFEP, (2022): ‘Trade and Climate Change Quantitative Assessment of the Best Policy Tools to Achieve Climate Neutrality and Competitiveness’: </w:t>
      </w:r>
      <w:hyperlink r:id="rId24" w:history="1">
        <w:r w:rsidRPr="00AE6A2D">
          <w:rPr>
            <w:rStyle w:val="Hyperlink"/>
            <w:sz w:val="21"/>
            <w:szCs w:val="21"/>
          </w:rPr>
          <w:t>https://afep.com/wp-content/uploads/2021/01/Trade-and-Climate-Change-Quantitative-Assessment-of-the-Best-Policy-Tools.pdf</w:t>
        </w:r>
      </w:hyperlink>
    </w:p>
    <w:p w14:paraId="4FA827B5" w14:textId="4A1CD849" w:rsidR="00942A13" w:rsidRPr="00AE6A2D" w:rsidRDefault="00291990" w:rsidP="00D70920">
      <w:pPr>
        <w:spacing w:after="180" w:line="240" w:lineRule="auto"/>
        <w:rPr>
          <w:sz w:val="21"/>
          <w:szCs w:val="21"/>
        </w:rPr>
      </w:pPr>
      <w:r w:rsidRPr="00AE6A2D">
        <w:rPr>
          <w:sz w:val="21"/>
          <w:szCs w:val="21"/>
        </w:rPr>
        <w:t>Bekkers, E., and Cariola</w:t>
      </w:r>
      <w:r w:rsidR="005522AB" w:rsidRPr="00AE6A2D">
        <w:rPr>
          <w:sz w:val="21"/>
          <w:szCs w:val="21"/>
        </w:rPr>
        <w:t>, C., (2022), ‘Comparing different approaches to tackle the challenges of global carbon pricing’</w:t>
      </w:r>
      <w:r w:rsidR="00A52D99" w:rsidRPr="00AE6A2D">
        <w:rPr>
          <w:sz w:val="21"/>
          <w:szCs w:val="21"/>
        </w:rPr>
        <w:t>, WTO Working Papers</w:t>
      </w:r>
      <w:r w:rsidR="00942A13" w:rsidRPr="00AE6A2D">
        <w:rPr>
          <w:sz w:val="21"/>
          <w:szCs w:val="21"/>
        </w:rPr>
        <w:t xml:space="preserve">, </w:t>
      </w:r>
      <w:hyperlink r:id="rId25" w:history="1">
        <w:r w:rsidR="00942A13" w:rsidRPr="00AE6A2D">
          <w:rPr>
            <w:rStyle w:val="Hyperlink"/>
            <w:sz w:val="21"/>
            <w:szCs w:val="21"/>
          </w:rPr>
          <w:t>https://www.wto-ilibrary.org/content/papers/10.30875/25189808-2022-10</w:t>
        </w:r>
      </w:hyperlink>
    </w:p>
    <w:p w14:paraId="7688D2CD" w14:textId="7C3FC66B" w:rsidR="001C68AC" w:rsidRPr="00AE6A2D" w:rsidRDefault="00B0520E" w:rsidP="00D70920">
      <w:pPr>
        <w:spacing w:after="180" w:line="240" w:lineRule="auto"/>
        <w:rPr>
          <w:sz w:val="21"/>
          <w:szCs w:val="21"/>
        </w:rPr>
      </w:pPr>
      <w:r w:rsidRPr="00AE6A2D">
        <w:rPr>
          <w:sz w:val="21"/>
          <w:szCs w:val="21"/>
        </w:rPr>
        <w:t xml:space="preserve">Böhringer, C., et al </w:t>
      </w:r>
      <w:r w:rsidR="009D4192" w:rsidRPr="00AE6A2D">
        <w:rPr>
          <w:sz w:val="21"/>
          <w:szCs w:val="21"/>
        </w:rPr>
        <w:t xml:space="preserve">(2022) </w:t>
      </w:r>
      <w:r w:rsidR="001C68AC" w:rsidRPr="00AE6A2D">
        <w:rPr>
          <w:rFonts w:cs="Segoe UI"/>
          <w:sz w:val="21"/>
          <w:szCs w:val="21"/>
        </w:rPr>
        <w:t xml:space="preserve">'The incidence of Carbon Pricing: from input-output via microsimulation to General Equilibrium' </w:t>
      </w:r>
      <w:hyperlink r:id="rId26" w:history="1">
        <w:r w:rsidR="001C68AC" w:rsidRPr="00AE6A2D">
          <w:rPr>
            <w:rFonts w:cs="Segoe UI"/>
            <w:color w:val="0000FF"/>
            <w:sz w:val="21"/>
            <w:szCs w:val="21"/>
            <w:u w:val="single"/>
          </w:rPr>
          <w:t>https://www.econstor.eu/bitstream/10419/264067/1/vfs-2022-pid-70008.pdf</w:t>
        </w:r>
      </w:hyperlink>
    </w:p>
    <w:p w14:paraId="781684A5" w14:textId="4DD16E7F" w:rsidR="00D52D71" w:rsidRPr="00AE6A2D" w:rsidRDefault="00D52D71" w:rsidP="00D70920">
      <w:pPr>
        <w:spacing w:after="180" w:line="240" w:lineRule="auto"/>
        <w:rPr>
          <w:sz w:val="21"/>
          <w:szCs w:val="21"/>
        </w:rPr>
      </w:pPr>
      <w:r w:rsidRPr="00AE6A2D">
        <w:rPr>
          <w:sz w:val="21"/>
          <w:szCs w:val="21"/>
        </w:rPr>
        <w:t xml:space="preserve">Branger, F., Quirion, P., (2014), ‘Would border carbon adjustments prevent carbon leakage and heavy industry competitiveness losses? Insights from a meta-analysis of recent economic studies’ Ecological Economics Volume 99, ELSEVIER, pp. 29-39. </w:t>
      </w:r>
      <w:hyperlink r:id="rId27" w:history="1">
        <w:r w:rsidRPr="00AE6A2D">
          <w:rPr>
            <w:rStyle w:val="Hyperlink"/>
            <w:sz w:val="21"/>
            <w:szCs w:val="21"/>
          </w:rPr>
          <w:t>https://www.sciencedirect.com/science/article/abs/pii/S0921800913003650</w:t>
        </w:r>
      </w:hyperlink>
    </w:p>
    <w:p w14:paraId="32DE8706" w14:textId="225A2A53" w:rsidR="007729B9" w:rsidRPr="00AE6A2D" w:rsidRDefault="007729B9" w:rsidP="00D70920">
      <w:pPr>
        <w:spacing w:after="180" w:line="240" w:lineRule="auto"/>
        <w:rPr>
          <w:color w:val="00B050"/>
          <w:sz w:val="21"/>
          <w:szCs w:val="21"/>
        </w:rPr>
      </w:pPr>
      <w:r w:rsidRPr="00AE6A2D">
        <w:rPr>
          <w:sz w:val="21"/>
          <w:szCs w:val="21"/>
        </w:rPr>
        <w:t xml:space="preserve">Carbon Market Watch (2015), Carbon Market Watch Policy Briefing: Carbon leakage myth buster  </w:t>
      </w:r>
      <w:hyperlink r:id="rId28" w:history="1">
        <w:r w:rsidRPr="00AE6A2D">
          <w:rPr>
            <w:rStyle w:val="Hyperlink"/>
            <w:sz w:val="21"/>
            <w:szCs w:val="21"/>
          </w:rPr>
          <w:t>https://carbonmarketwatch.org/wp-content/uploads/2015/10/CMW-Carbon-leakage-myth-buster-WEB-single-final.pdf</w:t>
        </w:r>
      </w:hyperlink>
      <w:r w:rsidRPr="00AE6A2D">
        <w:rPr>
          <w:color w:val="00B050"/>
          <w:sz w:val="21"/>
          <w:szCs w:val="21"/>
        </w:rPr>
        <w:t>.</w:t>
      </w:r>
    </w:p>
    <w:p w14:paraId="1DEEC03B" w14:textId="77777777" w:rsidR="007729B9" w:rsidRPr="00AE6A2D" w:rsidRDefault="007729B9" w:rsidP="00D70920">
      <w:pPr>
        <w:spacing w:after="180" w:line="240" w:lineRule="auto"/>
        <w:rPr>
          <w:sz w:val="21"/>
          <w:szCs w:val="21"/>
        </w:rPr>
      </w:pPr>
      <w:r w:rsidRPr="00AE6A2D">
        <w:rPr>
          <w:sz w:val="21"/>
          <w:szCs w:val="21"/>
        </w:rPr>
        <w:t xml:space="preserve">Clean Competition Act, S.4355, 117th Congress (2021-2022) </w:t>
      </w:r>
      <w:hyperlink r:id="rId29" w:history="1">
        <w:r w:rsidRPr="00AE6A2D">
          <w:rPr>
            <w:rStyle w:val="Hyperlink"/>
            <w:sz w:val="21"/>
            <w:szCs w:val="21"/>
          </w:rPr>
          <w:t>https://www.congress.gov/bill/117th-congress/senate-bill/4355</w:t>
        </w:r>
      </w:hyperlink>
    </w:p>
    <w:p w14:paraId="6B51631C" w14:textId="77777777" w:rsidR="007729B9" w:rsidRPr="00AE6A2D" w:rsidRDefault="007729B9" w:rsidP="00D70920">
      <w:pPr>
        <w:spacing w:after="180" w:line="240" w:lineRule="auto"/>
        <w:rPr>
          <w:sz w:val="21"/>
          <w:szCs w:val="21"/>
        </w:rPr>
      </w:pPr>
      <w:r w:rsidRPr="00AE6A2D">
        <w:rPr>
          <w:sz w:val="21"/>
          <w:szCs w:val="21"/>
          <w:shd w:val="clear" w:color="auto" w:fill="FFFFFF"/>
        </w:rPr>
        <w:t xml:space="preserve">Commission delegated decision (EU) 2019/708 of 15 February 2019 supplementing Directive 2003/87/EC of the European Parliament and of the Council concerning the determination of sectors and subsectors deemed at risk of carbon leakage for the period 2021 to 2030 </w:t>
      </w:r>
      <w:hyperlink r:id="rId30" w:history="1">
        <w:r w:rsidRPr="00AE6A2D">
          <w:rPr>
            <w:rStyle w:val="Hyperlink"/>
            <w:sz w:val="21"/>
            <w:szCs w:val="21"/>
          </w:rPr>
          <w:t>https://eur-lex.europa.eu/legal-content/EN/TXT/PDF/?uri=CELEX:32019D0708&amp;from=EN</w:t>
        </w:r>
      </w:hyperlink>
    </w:p>
    <w:p w14:paraId="2C54148C" w14:textId="5E69477A" w:rsidR="007729B9" w:rsidRPr="00AE6A2D" w:rsidRDefault="007729B9" w:rsidP="00D70920">
      <w:pPr>
        <w:spacing w:after="180" w:line="240" w:lineRule="auto"/>
        <w:rPr>
          <w:sz w:val="21"/>
          <w:szCs w:val="21"/>
        </w:rPr>
      </w:pPr>
      <w:r w:rsidRPr="00AE6A2D">
        <w:rPr>
          <w:sz w:val="21"/>
          <w:szCs w:val="21"/>
        </w:rPr>
        <w:t xml:space="preserve">Council of the European Union, Fit for 55 </w:t>
      </w:r>
      <w:hyperlink r:id="rId31" w:history="1">
        <w:r w:rsidRPr="00AE6A2D">
          <w:rPr>
            <w:rStyle w:val="Hyperlink"/>
            <w:sz w:val="21"/>
            <w:szCs w:val="21"/>
          </w:rPr>
          <w:t>https://www.consilium.europa.eu/en/policies/green-deal/fit-for-55-the-eu-plan-for-a-green-transition/</w:t>
        </w:r>
      </w:hyperlink>
    </w:p>
    <w:p w14:paraId="15518301" w14:textId="2DE44E94" w:rsidR="00C67C6E" w:rsidRPr="00AE6A2D" w:rsidRDefault="00C67C6E" w:rsidP="00C67C6E">
      <w:pPr>
        <w:pStyle w:val="FootnoteText"/>
        <w:rPr>
          <w:sz w:val="21"/>
          <w:szCs w:val="21"/>
          <w:lang w:val="en-US"/>
        </w:rPr>
      </w:pPr>
      <w:r w:rsidRPr="00AE6A2D">
        <w:rPr>
          <w:sz w:val="21"/>
          <w:szCs w:val="21"/>
        </w:rPr>
        <w:t>CSIS: Voluntary Carbon Markets: A Review of Global Initiatives and Evolving Models: https://www.csis.org/analysis/voluntary-carbon-markets-review-global-initiatives-and-evolving-models</w:t>
      </w:r>
    </w:p>
    <w:p w14:paraId="52F0E6DC" w14:textId="77777777" w:rsidR="00C67C6E" w:rsidRPr="00AE6A2D" w:rsidRDefault="00C67C6E" w:rsidP="00D70920">
      <w:pPr>
        <w:spacing w:after="180" w:line="240" w:lineRule="auto"/>
        <w:rPr>
          <w:sz w:val="21"/>
          <w:szCs w:val="21"/>
          <w:lang w:val="fr-FR"/>
        </w:rPr>
      </w:pPr>
    </w:p>
    <w:p w14:paraId="30A4FD93" w14:textId="07E7EBF7" w:rsidR="007729B9" w:rsidRPr="00AE6A2D" w:rsidRDefault="007729B9" w:rsidP="00D70920">
      <w:pPr>
        <w:spacing w:after="180" w:line="240" w:lineRule="auto"/>
        <w:rPr>
          <w:sz w:val="21"/>
          <w:szCs w:val="21"/>
          <w:lang w:val="fr-FR"/>
        </w:rPr>
      </w:pPr>
      <w:r w:rsidRPr="00AE6A2D">
        <w:rPr>
          <w:sz w:val="21"/>
          <w:szCs w:val="21"/>
          <w:lang w:val="fr-FR"/>
        </w:rPr>
        <w:t xml:space="preserve">European Commission, Carbon Border Adjustment </w:t>
      </w:r>
      <w:hyperlink r:id="rId32" w:history="1">
        <w:r w:rsidRPr="00AE6A2D">
          <w:rPr>
            <w:rStyle w:val="Hyperlink"/>
            <w:sz w:val="21"/>
            <w:szCs w:val="21"/>
            <w:lang w:val="fr-FR"/>
          </w:rPr>
          <w:t>https://taxation-customs.ec.europa.eu/carbon-border-adjustment-mechanism_en</w:t>
        </w:r>
      </w:hyperlink>
      <w:r w:rsidRPr="00AE6A2D">
        <w:rPr>
          <w:sz w:val="21"/>
          <w:szCs w:val="21"/>
          <w:highlight w:val="yellow"/>
          <w:lang w:val="fr-FR"/>
        </w:rPr>
        <w:t xml:space="preserve"> </w:t>
      </w:r>
    </w:p>
    <w:p w14:paraId="44A0CB84" w14:textId="675411A2" w:rsidR="007729B9" w:rsidRPr="00AE6A2D" w:rsidRDefault="007729B9" w:rsidP="00D70920">
      <w:pPr>
        <w:spacing w:after="180" w:line="240" w:lineRule="auto"/>
        <w:rPr>
          <w:sz w:val="21"/>
          <w:szCs w:val="21"/>
          <w:lang w:val="fr-FR"/>
        </w:rPr>
      </w:pPr>
      <w:r w:rsidRPr="00AE6A2D">
        <w:rPr>
          <w:sz w:val="21"/>
          <w:szCs w:val="21"/>
          <w:lang w:val="fr-FR"/>
        </w:rPr>
        <w:t xml:space="preserve">European commission, Carbon leakage </w:t>
      </w:r>
      <w:hyperlink r:id="rId33" w:history="1">
        <w:r w:rsidRPr="00AE6A2D">
          <w:rPr>
            <w:rStyle w:val="Hyperlink"/>
            <w:sz w:val="21"/>
            <w:szCs w:val="21"/>
            <w:lang w:val="fr-FR"/>
          </w:rPr>
          <w:t>https://climate.ec.europa.eu/eu-action/eu-emissions-trading-system-eu-ets/free-allocation/carbon-leakage_en</w:t>
        </w:r>
      </w:hyperlink>
      <w:r w:rsidRPr="00AE6A2D">
        <w:rPr>
          <w:sz w:val="21"/>
          <w:szCs w:val="21"/>
          <w:highlight w:val="yellow"/>
          <w:lang w:val="fr-FR"/>
        </w:rPr>
        <w:t xml:space="preserve"> </w:t>
      </w:r>
    </w:p>
    <w:p w14:paraId="67AC5BFF" w14:textId="1F3568D1" w:rsidR="007729B9" w:rsidRPr="00AE6A2D" w:rsidRDefault="007729B9" w:rsidP="00D70920">
      <w:pPr>
        <w:spacing w:after="180" w:line="240" w:lineRule="auto"/>
        <w:rPr>
          <w:sz w:val="21"/>
          <w:szCs w:val="21"/>
        </w:rPr>
      </w:pPr>
      <w:r w:rsidRPr="00AE6A2D">
        <w:rPr>
          <w:sz w:val="21"/>
          <w:szCs w:val="21"/>
        </w:rPr>
        <w:t xml:space="preserve">Government of Canada (2022), The federal carbon pollution pricing benchmark </w:t>
      </w:r>
      <w:hyperlink r:id="rId34" w:history="1">
        <w:r w:rsidRPr="00AE6A2D">
          <w:rPr>
            <w:rStyle w:val="Hyperlink"/>
            <w:sz w:val="21"/>
            <w:szCs w:val="21"/>
          </w:rPr>
          <w:t>https://www.canada.ca/en/environment-climate-change/services/climate-change/pricing-pollution-how-it-will-work/carbon-pollution-pricing-federal-benchmark-information.html</w:t>
        </w:r>
      </w:hyperlink>
      <w:r w:rsidRPr="00AE6A2D">
        <w:rPr>
          <w:sz w:val="21"/>
          <w:szCs w:val="21"/>
          <w:highlight w:val="yellow"/>
        </w:rPr>
        <w:t xml:space="preserve"> </w:t>
      </w:r>
    </w:p>
    <w:p w14:paraId="5A5225B2" w14:textId="0CAAF645" w:rsidR="007729B9" w:rsidRPr="00AE6A2D" w:rsidRDefault="007729B9" w:rsidP="00D70920">
      <w:pPr>
        <w:spacing w:after="180" w:line="240" w:lineRule="auto"/>
        <w:rPr>
          <w:sz w:val="21"/>
          <w:szCs w:val="21"/>
        </w:rPr>
      </w:pPr>
      <w:r w:rsidRPr="00AE6A2D">
        <w:rPr>
          <w:sz w:val="21"/>
          <w:szCs w:val="21"/>
        </w:rPr>
        <w:lastRenderedPageBreak/>
        <w:t xml:space="preserve">Government of Canada, Carbon pollution pricing systems across Canada </w:t>
      </w:r>
      <w:hyperlink r:id="rId35" w:history="1">
        <w:r w:rsidRPr="00AE6A2D">
          <w:rPr>
            <w:rStyle w:val="Hyperlink"/>
            <w:sz w:val="21"/>
            <w:szCs w:val="21"/>
          </w:rPr>
          <w:t>https://www.canada.ca/en/environment-climate-change/services/climate-change/pricing-pollution-how</w:t>
        </w:r>
        <w:bookmarkStart w:id="3" w:name="_Hlt142474206"/>
        <w:bookmarkStart w:id="4" w:name="_Hlt142474207"/>
        <w:bookmarkEnd w:id="3"/>
        <w:bookmarkEnd w:id="4"/>
        <w:r w:rsidRPr="00AE6A2D">
          <w:rPr>
            <w:rStyle w:val="Hyperlink"/>
            <w:sz w:val="21"/>
            <w:szCs w:val="21"/>
          </w:rPr>
          <w:t>-it-will-work.html</w:t>
        </w:r>
      </w:hyperlink>
      <w:r w:rsidRPr="00AE6A2D">
        <w:rPr>
          <w:sz w:val="21"/>
          <w:szCs w:val="21"/>
        </w:rPr>
        <w:t xml:space="preserve"> </w:t>
      </w:r>
    </w:p>
    <w:p w14:paraId="0066AA98" w14:textId="132B7EC8" w:rsidR="007729B9" w:rsidRPr="00AE6A2D" w:rsidRDefault="007729B9" w:rsidP="00D70920">
      <w:pPr>
        <w:pStyle w:val="FootnoteText"/>
        <w:spacing w:after="180"/>
        <w:rPr>
          <w:sz w:val="21"/>
          <w:szCs w:val="21"/>
        </w:rPr>
      </w:pPr>
      <w:r w:rsidRPr="00AE6A2D">
        <w:rPr>
          <w:sz w:val="21"/>
          <w:szCs w:val="21"/>
        </w:rPr>
        <w:t xml:space="preserve">HM Treasury and Department for Energy Security and Net Zero (2023), Addressing carbon leakage risk to support decarbonisation </w:t>
      </w:r>
      <w:hyperlink r:id="rId36" w:history="1">
        <w:r w:rsidRPr="00AE6A2D">
          <w:rPr>
            <w:rStyle w:val="Hyperlink"/>
            <w:sz w:val="21"/>
            <w:szCs w:val="21"/>
          </w:rPr>
          <w:t>https://www.gov.uk/government/consultations/addressing-carbon-leakage-risk-to-support-decarbonisation</w:t>
        </w:r>
      </w:hyperlink>
      <w:r w:rsidRPr="00AE6A2D">
        <w:rPr>
          <w:sz w:val="21"/>
          <w:szCs w:val="21"/>
        </w:rPr>
        <w:t xml:space="preserve"> </w:t>
      </w:r>
    </w:p>
    <w:p w14:paraId="2A6FEAEE" w14:textId="7DB67195" w:rsidR="007729B9" w:rsidRPr="00AE6A2D" w:rsidRDefault="007729B9" w:rsidP="00D70920">
      <w:pPr>
        <w:pStyle w:val="FootnoteText"/>
        <w:spacing w:after="180"/>
        <w:rPr>
          <w:sz w:val="21"/>
          <w:szCs w:val="21"/>
        </w:rPr>
      </w:pPr>
      <w:r w:rsidRPr="00AE6A2D">
        <w:rPr>
          <w:sz w:val="21"/>
          <w:szCs w:val="21"/>
        </w:rPr>
        <w:t xml:space="preserve">ICC (2022), ICC Critical Design Features for Effective Carbon Pricing – A Business Perspective </w:t>
      </w:r>
      <w:hyperlink r:id="rId37" w:history="1">
        <w:r w:rsidRPr="00AE6A2D">
          <w:rPr>
            <w:rStyle w:val="Hyperlink"/>
            <w:sz w:val="21"/>
            <w:szCs w:val="21"/>
          </w:rPr>
          <w:t>https://iccwbo.org/news-publications/policies-reports/critical-design-features-for-effective-carbon-pricing-a-business-perspective/</w:t>
        </w:r>
      </w:hyperlink>
    </w:p>
    <w:p w14:paraId="22947093" w14:textId="253D6CE4" w:rsidR="007729B9" w:rsidRPr="00AE6A2D" w:rsidRDefault="007729B9" w:rsidP="00D70920">
      <w:pPr>
        <w:spacing w:after="180" w:line="240" w:lineRule="auto"/>
        <w:rPr>
          <w:rFonts w:cstheme="minorHAnsi"/>
          <w:color w:val="00B050"/>
          <w:sz w:val="21"/>
          <w:szCs w:val="21"/>
        </w:rPr>
      </w:pPr>
      <w:r w:rsidRPr="00AE6A2D">
        <w:rPr>
          <w:rFonts w:cstheme="minorHAnsi"/>
          <w:sz w:val="21"/>
          <w:szCs w:val="21"/>
        </w:rPr>
        <w:t xml:space="preserve">ICC (2021a), ICC recommendations to the European Commission on the implementation of the Carbon Border Adjustment Mechanism </w:t>
      </w:r>
      <w:hyperlink r:id="rId38" w:history="1">
        <w:r w:rsidRPr="00AE6A2D">
          <w:rPr>
            <w:rStyle w:val="Hyperlink"/>
            <w:rFonts w:cstheme="minorHAnsi"/>
            <w:sz w:val="21"/>
            <w:szCs w:val="21"/>
          </w:rPr>
          <w:t>https://iccwbo.org/news-publications/policies-reports/icc-recommendations-to-the-european-commission-on-the-implementation-of-the-carbon-border-adjustment-mechanism/</w:t>
        </w:r>
      </w:hyperlink>
    </w:p>
    <w:p w14:paraId="33AF6F26" w14:textId="77777777" w:rsidR="007729B9" w:rsidRPr="00AE6A2D" w:rsidRDefault="007729B9" w:rsidP="00D70920">
      <w:pPr>
        <w:spacing w:after="180" w:line="240" w:lineRule="auto"/>
        <w:rPr>
          <w:sz w:val="21"/>
          <w:szCs w:val="21"/>
        </w:rPr>
      </w:pPr>
      <w:r w:rsidRPr="00AE6A2D">
        <w:rPr>
          <w:sz w:val="21"/>
          <w:szCs w:val="21"/>
        </w:rPr>
        <w:t xml:space="preserve">ICC (2021b), Article 6 Business Brief </w:t>
      </w:r>
      <w:hyperlink r:id="rId39" w:history="1">
        <w:r w:rsidRPr="00AE6A2D">
          <w:rPr>
            <w:rStyle w:val="Hyperlink"/>
            <w:sz w:val="21"/>
            <w:szCs w:val="21"/>
          </w:rPr>
          <w:t>https://iccwbo.org/news-publications/policies-reports/article-6-business-brief/</w:t>
        </w:r>
      </w:hyperlink>
    </w:p>
    <w:p w14:paraId="6C47E409" w14:textId="77777777" w:rsidR="007729B9" w:rsidRPr="00AE6A2D" w:rsidRDefault="007729B9" w:rsidP="00D70920">
      <w:pPr>
        <w:spacing w:after="180" w:line="240" w:lineRule="auto"/>
        <w:rPr>
          <w:color w:val="00B050"/>
          <w:sz w:val="21"/>
          <w:szCs w:val="21"/>
        </w:rPr>
      </w:pPr>
      <w:r w:rsidRPr="00AE6A2D">
        <w:rPr>
          <w:sz w:val="21"/>
          <w:szCs w:val="21"/>
        </w:rPr>
        <w:t xml:space="preserve">ICC (2021c), Carbon Pricing Principles </w:t>
      </w:r>
      <w:hyperlink r:id="rId40" w:history="1">
        <w:r w:rsidRPr="00AE6A2D">
          <w:rPr>
            <w:rStyle w:val="Hyperlink"/>
            <w:sz w:val="21"/>
            <w:szCs w:val="21"/>
          </w:rPr>
          <w:t>https://iccwbo.org/publication/icc-carbon-pricing-principles/</w:t>
        </w:r>
      </w:hyperlink>
    </w:p>
    <w:p w14:paraId="438AF5B4" w14:textId="5DBA5092" w:rsidR="007729B9" w:rsidRPr="00AE6A2D" w:rsidRDefault="007729B9" w:rsidP="00966825">
      <w:pPr>
        <w:pStyle w:val="FootnoteText"/>
        <w:spacing w:after="180"/>
        <w:rPr>
          <w:rStyle w:val="Hyperlink"/>
          <w:sz w:val="21"/>
          <w:szCs w:val="21"/>
        </w:rPr>
      </w:pPr>
      <w:r w:rsidRPr="00AE6A2D">
        <w:rPr>
          <w:sz w:val="21"/>
          <w:szCs w:val="21"/>
        </w:rPr>
        <w:t>IETA (2021), The Potential Role of Article 6 Compatible</w:t>
      </w:r>
      <w:r w:rsidR="00966825" w:rsidRPr="00AE6A2D">
        <w:rPr>
          <w:sz w:val="21"/>
          <w:szCs w:val="21"/>
        </w:rPr>
        <w:t xml:space="preserve"> </w:t>
      </w:r>
      <w:r w:rsidRPr="00AE6A2D">
        <w:rPr>
          <w:sz w:val="21"/>
          <w:szCs w:val="21"/>
        </w:rPr>
        <w:t xml:space="preserve">Carbon Markets in Reaching Net-Zero </w:t>
      </w:r>
      <w:r w:rsidRPr="00AE6A2D">
        <w:rPr>
          <w:rStyle w:val="Hyperlink"/>
          <w:color w:val="00B050"/>
          <w:sz w:val="21"/>
          <w:szCs w:val="21"/>
        </w:rPr>
        <w:t xml:space="preserve"> </w:t>
      </w:r>
      <w:hyperlink r:id="rId41" w:history="1">
        <w:r w:rsidRPr="00AE6A2D">
          <w:rPr>
            <w:rStyle w:val="Hyperlink"/>
            <w:sz w:val="21"/>
            <w:szCs w:val="21"/>
          </w:rPr>
          <w:t>https://www.ieta.org/The-Potential-Role-of-Article-6-Compatible-Carbon-Markets-in-Reaching-Net-Zero</w:t>
        </w:r>
      </w:hyperlink>
    </w:p>
    <w:p w14:paraId="08E1B5B6" w14:textId="794AD9F0" w:rsidR="00B5387D" w:rsidRPr="00AE6A2D" w:rsidRDefault="00B5387D" w:rsidP="00B5387D">
      <w:pPr>
        <w:rPr>
          <w:sz w:val="21"/>
          <w:szCs w:val="21"/>
        </w:rPr>
      </w:pPr>
      <w:r w:rsidRPr="00AE6A2D">
        <w:rPr>
          <w:sz w:val="21"/>
          <w:szCs w:val="21"/>
        </w:rPr>
        <w:t xml:space="preserve">IETA (2022), ‘How Governments Can Implement NDCs Cooperatively and Encourage Private Sector Investment’ </w:t>
      </w:r>
      <w:r w:rsidR="00E20C11" w:rsidRPr="00AE6A2D">
        <w:rPr>
          <w:sz w:val="21"/>
          <w:szCs w:val="21"/>
        </w:rPr>
        <w:t xml:space="preserve">IETA Article 6 Discussion Paper, </w:t>
      </w:r>
      <w:hyperlink r:id="rId42" w:history="1">
        <w:r w:rsidRPr="00AE6A2D">
          <w:rPr>
            <w:rStyle w:val="Hyperlink"/>
            <w:sz w:val="21"/>
            <w:szCs w:val="21"/>
          </w:rPr>
          <w:t>https://www.ieta.org/resources/papers/ieta-article-6-discussion-paper-how-governments-can-implement-ndcs-cooperatively-and-encourage-private-sector-inveestment/</w:t>
        </w:r>
      </w:hyperlink>
    </w:p>
    <w:p w14:paraId="5744E3BD" w14:textId="01260158" w:rsidR="00B5387D" w:rsidRPr="00AE6A2D" w:rsidRDefault="00B5387D" w:rsidP="00B5387D">
      <w:pPr>
        <w:rPr>
          <w:rStyle w:val="Hyperlink"/>
          <w:rFonts w:ascii="Calibri" w:hAnsi="Calibri"/>
          <w:color w:val="auto"/>
          <w:sz w:val="21"/>
          <w:szCs w:val="21"/>
          <w:u w:val="none"/>
        </w:rPr>
      </w:pPr>
      <w:r w:rsidRPr="00AE6A2D">
        <w:rPr>
          <w:sz w:val="21"/>
          <w:szCs w:val="21"/>
          <w:lang w:val="en-US"/>
        </w:rPr>
        <w:t xml:space="preserve">IETA (2023) ‘The Article 6 Opportunity for Canada: Blueprint to International Carbon Market Cooperation’ </w:t>
      </w:r>
      <w:hyperlink r:id="rId43" w:history="1">
        <w:r w:rsidRPr="00AE6A2D">
          <w:rPr>
            <w:rStyle w:val="Hyperlink"/>
            <w:sz w:val="21"/>
            <w:szCs w:val="21"/>
            <w:lang w:val="en-US"/>
          </w:rPr>
          <w:t>https://www.ieta.org/resources/papers/the-article-6-opportunity-for-canada-blueprint-to-international-carbon-market-cooperation/</w:t>
        </w:r>
      </w:hyperlink>
    </w:p>
    <w:p w14:paraId="4500CB2A" w14:textId="06AB7A01" w:rsidR="007729B9" w:rsidRPr="00AE6A2D" w:rsidRDefault="007729B9" w:rsidP="00D70920">
      <w:pPr>
        <w:spacing w:after="180" w:line="240" w:lineRule="auto"/>
        <w:rPr>
          <w:sz w:val="21"/>
          <w:szCs w:val="21"/>
        </w:rPr>
      </w:pPr>
      <w:r w:rsidRPr="00AE6A2D">
        <w:rPr>
          <w:sz w:val="21"/>
          <w:szCs w:val="21"/>
        </w:rPr>
        <w:t xml:space="preserve">International Carbon Action Partnership, ETS Map : Canada </w:t>
      </w:r>
      <w:hyperlink r:id="rId44" w:history="1">
        <w:r w:rsidRPr="00AE6A2D">
          <w:rPr>
            <w:rStyle w:val="Hyperlink"/>
            <w:sz w:val="21"/>
            <w:szCs w:val="21"/>
          </w:rPr>
          <w:t>https://icapcarbonaction.com/system/files/ets_pdfs/icap-etsmap-factsheet-112.pdf</w:t>
        </w:r>
      </w:hyperlink>
      <w:r w:rsidRPr="00AE6A2D">
        <w:rPr>
          <w:sz w:val="21"/>
          <w:szCs w:val="21"/>
          <w:highlight w:val="yellow"/>
        </w:rPr>
        <w:t xml:space="preserve"> </w:t>
      </w:r>
    </w:p>
    <w:p w14:paraId="0EF24CCE" w14:textId="418ECBB7" w:rsidR="00B93F1D" w:rsidRPr="00AE6A2D" w:rsidRDefault="00B93F1D" w:rsidP="00D70920">
      <w:pPr>
        <w:spacing w:after="180" w:line="240" w:lineRule="auto"/>
        <w:rPr>
          <w:sz w:val="21"/>
          <w:szCs w:val="21"/>
        </w:rPr>
      </w:pPr>
      <w:r w:rsidRPr="00AE6A2D">
        <w:rPr>
          <w:sz w:val="21"/>
          <w:szCs w:val="21"/>
        </w:rPr>
        <w:t>IVCM</w:t>
      </w:r>
      <w:r w:rsidR="000F53E7" w:rsidRPr="00AE6A2D">
        <w:rPr>
          <w:sz w:val="21"/>
          <w:szCs w:val="21"/>
        </w:rPr>
        <w:t>, (2023), ‘Core Carbon Principles, assessment framework and assessment procedure</w:t>
      </w:r>
      <w:r w:rsidR="00700507" w:rsidRPr="00AE6A2D">
        <w:rPr>
          <w:sz w:val="21"/>
          <w:szCs w:val="21"/>
        </w:rPr>
        <w:t xml:space="preserve">’ </w:t>
      </w:r>
      <w:hyperlink r:id="rId45" w:history="1">
        <w:r w:rsidR="00700507" w:rsidRPr="00AE6A2D">
          <w:rPr>
            <w:rStyle w:val="Hyperlink"/>
            <w:sz w:val="21"/>
            <w:szCs w:val="21"/>
          </w:rPr>
          <w:t>https://icvcm.org/wp-content/uploads/2023/07/CCP-Book-R2-FINAL-26Jul23.pdf</w:t>
        </w:r>
      </w:hyperlink>
      <w:r w:rsidR="000F53E7" w:rsidRPr="00AE6A2D">
        <w:rPr>
          <w:sz w:val="21"/>
          <w:szCs w:val="21"/>
        </w:rPr>
        <w:t xml:space="preserve"> </w:t>
      </w:r>
    </w:p>
    <w:p w14:paraId="4A7EDCC1" w14:textId="77777777" w:rsidR="007729B9" w:rsidRPr="00AE6A2D" w:rsidRDefault="007729B9" w:rsidP="00D70920">
      <w:pPr>
        <w:spacing w:after="180" w:line="240" w:lineRule="auto"/>
        <w:rPr>
          <w:rFonts w:cstheme="minorHAnsi"/>
          <w:color w:val="00B050"/>
          <w:sz w:val="21"/>
          <w:szCs w:val="21"/>
        </w:rPr>
      </w:pPr>
      <w:r w:rsidRPr="00AE6A2D">
        <w:rPr>
          <w:rFonts w:cstheme="minorHAnsi"/>
          <w:sz w:val="21"/>
          <w:szCs w:val="21"/>
        </w:rPr>
        <w:t xml:space="preserve">Keen, M., Parry, I. and Roaf J. (2021), Border Carbon Adjustments: Rationale, Design and Impact, IMF Working Paper No. 2021/239 </w:t>
      </w:r>
      <w:hyperlink r:id="rId46" w:history="1">
        <w:r w:rsidRPr="00AE6A2D">
          <w:rPr>
            <w:rStyle w:val="Hyperlink"/>
            <w:rFonts w:cstheme="minorHAnsi"/>
            <w:sz w:val="21"/>
            <w:szCs w:val="21"/>
          </w:rPr>
          <w:t>https://ssrn.com/abstract=4026441</w:t>
        </w:r>
      </w:hyperlink>
    </w:p>
    <w:p w14:paraId="7FE7B16D" w14:textId="5B649A7C" w:rsidR="007729B9" w:rsidRPr="00AE6A2D" w:rsidRDefault="007729B9" w:rsidP="00D70920">
      <w:pPr>
        <w:spacing w:after="180" w:line="240" w:lineRule="auto"/>
        <w:rPr>
          <w:color w:val="00B050"/>
          <w:sz w:val="21"/>
          <w:szCs w:val="21"/>
        </w:rPr>
      </w:pPr>
      <w:r w:rsidRPr="00AE6A2D">
        <w:rPr>
          <w:sz w:val="21"/>
          <w:szCs w:val="21"/>
        </w:rPr>
        <w:t xml:space="preserve">Lee, H et al. (2023), Climate Change 2023: Synthesis Report. A Report of the Intergovernmental Panel on Climate Change. Contribution of Working Groups I, II and III to the Sixth Assessment Report of the Intergovernmental Panel on Climate Change, IPCC </w:t>
      </w:r>
      <w:hyperlink r:id="rId47" w:history="1">
        <w:r w:rsidRPr="00AE6A2D">
          <w:rPr>
            <w:rStyle w:val="Hyperlink"/>
            <w:sz w:val="21"/>
            <w:szCs w:val="21"/>
          </w:rPr>
          <w:t>www.ipcc.ch/report/sixth-assessment-report-cycle/</w:t>
        </w:r>
      </w:hyperlink>
    </w:p>
    <w:p w14:paraId="768E9037" w14:textId="63219B08" w:rsidR="007729B9" w:rsidRPr="00AE6A2D" w:rsidRDefault="007729B9" w:rsidP="00D70920">
      <w:pPr>
        <w:spacing w:after="180" w:line="240" w:lineRule="auto"/>
        <w:rPr>
          <w:color w:val="00B050"/>
          <w:sz w:val="21"/>
          <w:szCs w:val="21"/>
        </w:rPr>
      </w:pPr>
      <w:r w:rsidRPr="00AE6A2D">
        <w:rPr>
          <w:sz w:val="21"/>
          <w:szCs w:val="21"/>
        </w:rPr>
        <w:lastRenderedPageBreak/>
        <w:t>Misch, F</w:t>
      </w:r>
      <w:r w:rsidR="00486463" w:rsidRPr="00AE6A2D">
        <w:rPr>
          <w:sz w:val="21"/>
          <w:szCs w:val="21"/>
        </w:rPr>
        <w:t>.,</w:t>
      </w:r>
      <w:r w:rsidRPr="00AE6A2D">
        <w:rPr>
          <w:sz w:val="21"/>
          <w:szCs w:val="21"/>
        </w:rPr>
        <w:t xml:space="preserve"> and WingenderI, P</w:t>
      </w:r>
      <w:r w:rsidR="00486463" w:rsidRPr="00AE6A2D">
        <w:rPr>
          <w:sz w:val="21"/>
          <w:szCs w:val="21"/>
        </w:rPr>
        <w:t>.,</w:t>
      </w:r>
      <w:r w:rsidRPr="00AE6A2D">
        <w:rPr>
          <w:sz w:val="21"/>
          <w:szCs w:val="21"/>
        </w:rPr>
        <w:t xml:space="preserve"> (2021</w:t>
      </w:r>
      <w:r w:rsidR="00486463" w:rsidRPr="00AE6A2D">
        <w:rPr>
          <w:sz w:val="21"/>
          <w:szCs w:val="21"/>
        </w:rPr>
        <w:t>), ‘</w:t>
      </w:r>
      <w:r w:rsidRPr="00AE6A2D">
        <w:rPr>
          <w:sz w:val="21"/>
          <w:szCs w:val="21"/>
        </w:rPr>
        <w:t xml:space="preserve">Revisiting Carbon </w:t>
      </w:r>
      <w:r w:rsidR="00AC1226" w:rsidRPr="00AE6A2D">
        <w:rPr>
          <w:sz w:val="21"/>
          <w:szCs w:val="21"/>
        </w:rPr>
        <w:t>Leakage</w:t>
      </w:r>
      <w:r w:rsidR="00486463" w:rsidRPr="00AE6A2D">
        <w:rPr>
          <w:sz w:val="21"/>
          <w:szCs w:val="21"/>
        </w:rPr>
        <w:t>’ IMF Working Paper</w:t>
      </w:r>
      <w:r w:rsidR="00AC1226" w:rsidRPr="00AE6A2D">
        <w:rPr>
          <w:sz w:val="21"/>
          <w:szCs w:val="21"/>
        </w:rPr>
        <w:t xml:space="preserve"> W</w:t>
      </w:r>
      <w:r w:rsidR="00667A9F" w:rsidRPr="00AE6A2D">
        <w:rPr>
          <w:sz w:val="21"/>
          <w:szCs w:val="21"/>
        </w:rPr>
        <w:t>orking Paper</w:t>
      </w:r>
      <w:r w:rsidRPr="00AE6A2D">
        <w:rPr>
          <w:sz w:val="21"/>
          <w:szCs w:val="21"/>
        </w:rPr>
        <w:t xml:space="preserve">/21/207, IMF  </w:t>
      </w:r>
      <w:hyperlink r:id="rId48" w:history="1">
        <w:r w:rsidRPr="00AE6A2D">
          <w:rPr>
            <w:rStyle w:val="Hyperlink"/>
            <w:sz w:val="21"/>
            <w:szCs w:val="21"/>
          </w:rPr>
          <w:t>https://www.imf.org/en/Publications/WP/Issues/2021/08/06/Revisiting-Carbon-Leakage-462148</w:t>
        </w:r>
      </w:hyperlink>
    </w:p>
    <w:p w14:paraId="563F844B" w14:textId="1EB76CA6" w:rsidR="007729B9" w:rsidRPr="00AE6A2D" w:rsidRDefault="007729B9" w:rsidP="00D70920">
      <w:pPr>
        <w:spacing w:after="180" w:line="240" w:lineRule="auto"/>
        <w:rPr>
          <w:sz w:val="21"/>
          <w:szCs w:val="21"/>
        </w:rPr>
      </w:pPr>
      <w:r w:rsidRPr="00AE6A2D">
        <w:rPr>
          <w:sz w:val="21"/>
          <w:szCs w:val="21"/>
        </w:rPr>
        <w:t>Neil Campbell, A., Gordner, T. and Page, L</w:t>
      </w:r>
      <w:r w:rsidR="00966825" w:rsidRPr="00AE6A2D">
        <w:rPr>
          <w:sz w:val="21"/>
          <w:szCs w:val="21"/>
        </w:rPr>
        <w:t>.</w:t>
      </w:r>
      <w:r w:rsidRPr="00AE6A2D">
        <w:rPr>
          <w:sz w:val="21"/>
          <w:szCs w:val="21"/>
        </w:rPr>
        <w:t xml:space="preserve"> (2023) The EU’s New Carbon Border Adjustment Mechanism in Action: Impacts on Canada and Beyond, Mcmilan International Trade Bulletin </w:t>
      </w:r>
      <w:hyperlink r:id="rId49" w:history="1">
        <w:r w:rsidRPr="00AE6A2D">
          <w:rPr>
            <w:rStyle w:val="Hyperlink"/>
            <w:sz w:val="21"/>
            <w:szCs w:val="21"/>
          </w:rPr>
          <w:t>https://mcmillan.ca/insights/publications/the-eus-new-carbon-border-adjustment-mechanism-in-action-impacts-on-canada-and-beyond/</w:t>
        </w:r>
      </w:hyperlink>
    </w:p>
    <w:p w14:paraId="5DC303E4" w14:textId="77777777" w:rsidR="007729B9" w:rsidRPr="00AE6A2D" w:rsidRDefault="007729B9" w:rsidP="00D70920">
      <w:pPr>
        <w:spacing w:after="180" w:line="240" w:lineRule="auto"/>
        <w:rPr>
          <w:color w:val="00B050"/>
          <w:sz w:val="21"/>
          <w:szCs w:val="21"/>
        </w:rPr>
      </w:pPr>
      <w:r w:rsidRPr="00AE6A2D">
        <w:rPr>
          <w:sz w:val="21"/>
          <w:szCs w:val="21"/>
        </w:rPr>
        <w:t xml:space="preserve">UN Tax Committee (2023), Co-Coordinators’ report: Carbon Border Adjustments: Impact and Relevance for Developing Countries: Proposed Guidance on (1) Part A: Carbon leakage and ways to address it; and (2) Part B: Carbon border adjustment measures and proposals, E/C.18/2023/CRP.17 </w:t>
      </w:r>
      <w:hyperlink r:id="rId50" w:history="1">
        <w:r w:rsidRPr="00AE6A2D">
          <w:rPr>
            <w:rStyle w:val="Hyperlink"/>
            <w:sz w:val="21"/>
            <w:szCs w:val="21"/>
          </w:rPr>
          <w:t>https://financing.desa.un.org/sites/default/files/2023-04/CRP.17%20Environmental_Workstream%204%20%28BCAs%29.pdf</w:t>
        </w:r>
      </w:hyperlink>
    </w:p>
    <w:p w14:paraId="1D792915" w14:textId="77777777" w:rsidR="007729B9" w:rsidRPr="00AE6A2D" w:rsidRDefault="007729B9" w:rsidP="00D70920">
      <w:pPr>
        <w:spacing w:after="180" w:line="240" w:lineRule="auto"/>
        <w:rPr>
          <w:sz w:val="21"/>
          <w:szCs w:val="21"/>
        </w:rPr>
      </w:pPr>
      <w:r w:rsidRPr="00AE6A2D">
        <w:rPr>
          <w:sz w:val="21"/>
          <w:szCs w:val="21"/>
        </w:rPr>
        <w:t xml:space="preserve">UNCTAD (2021)  A European Union Carbon Border Adjustment Mechanism: Implications for developing countries, United Nations Conference on Trade and Development </w:t>
      </w:r>
      <w:hyperlink r:id="rId51" w:history="1">
        <w:r w:rsidRPr="00AE6A2D">
          <w:rPr>
            <w:rStyle w:val="Hyperlink"/>
            <w:sz w:val="21"/>
            <w:szCs w:val="21"/>
          </w:rPr>
          <w:t>https://unctad.org/system/files/official-document/osginf2021d2_en.pdf</w:t>
        </w:r>
      </w:hyperlink>
    </w:p>
    <w:p w14:paraId="7A298F90" w14:textId="720B6C02" w:rsidR="007729B9" w:rsidRPr="00AE6A2D" w:rsidRDefault="007729B9" w:rsidP="00D70920">
      <w:pPr>
        <w:pStyle w:val="FootnoteText"/>
        <w:spacing w:after="180"/>
        <w:rPr>
          <w:color w:val="00B050"/>
          <w:sz w:val="21"/>
          <w:szCs w:val="21"/>
        </w:rPr>
      </w:pPr>
      <w:r w:rsidRPr="00AE6A2D">
        <w:rPr>
          <w:sz w:val="21"/>
          <w:szCs w:val="21"/>
        </w:rPr>
        <w:t>World Bank (2023), State and Trends of Carbon Pricing</w:t>
      </w:r>
      <w:r w:rsidR="005C57BE" w:rsidRPr="00AE6A2D">
        <w:rPr>
          <w:sz w:val="21"/>
          <w:szCs w:val="21"/>
        </w:rPr>
        <w:t xml:space="preserve"> </w:t>
      </w:r>
      <w:hyperlink r:id="rId52" w:history="1">
        <w:r w:rsidR="00F0694A" w:rsidRPr="00AE6A2D">
          <w:rPr>
            <w:rStyle w:val="Hyperlink"/>
            <w:sz w:val="21"/>
            <w:szCs w:val="21"/>
          </w:rPr>
          <w:t>https://openknowledge.worldbank.org/entities/publication/58f2a409-9bb7-4ee6-899d-be47835c838f</w:t>
        </w:r>
      </w:hyperlink>
      <w:r w:rsidRPr="00AE6A2D">
        <w:rPr>
          <w:color w:val="00B050"/>
          <w:sz w:val="21"/>
          <w:szCs w:val="21"/>
        </w:rPr>
        <w:t xml:space="preserve"> </w:t>
      </w:r>
    </w:p>
    <w:p w14:paraId="5FAC496D" w14:textId="77777777" w:rsidR="007729B9" w:rsidRPr="009E6DB9" w:rsidRDefault="007729B9" w:rsidP="00123805">
      <w:pPr>
        <w:spacing w:after="0" w:line="240" w:lineRule="auto"/>
        <w:rPr>
          <w:sz w:val="21"/>
          <w:szCs w:val="21"/>
          <w:highlight w:val="yellow"/>
        </w:rPr>
      </w:pPr>
    </w:p>
    <w:p w14:paraId="24D4CEE4" w14:textId="61621A19" w:rsidR="00100661" w:rsidRPr="00123805" w:rsidRDefault="00100661" w:rsidP="00123805">
      <w:pPr>
        <w:spacing w:after="0" w:line="240" w:lineRule="auto"/>
        <w:rPr>
          <w:rFonts w:eastAsiaTheme="majorEastAsia" w:cstheme="majorBidi"/>
          <w:b/>
          <w:bCs/>
          <w:color w:val="003594" w:themeColor="accent1"/>
          <w:sz w:val="21"/>
          <w:szCs w:val="21"/>
          <w:lang w:val="en-US"/>
        </w:rPr>
      </w:pPr>
      <w:r w:rsidRPr="00123805">
        <w:rPr>
          <w:sz w:val="21"/>
          <w:szCs w:val="21"/>
        </w:rPr>
        <w:br w:type="page"/>
      </w:r>
    </w:p>
    <w:p w14:paraId="0B900993" w14:textId="77777777" w:rsidR="007729B9" w:rsidRPr="00123805" w:rsidRDefault="007729B9" w:rsidP="00123805">
      <w:pPr>
        <w:pStyle w:val="Heading1"/>
        <w:numPr>
          <w:ilvl w:val="0"/>
          <w:numId w:val="0"/>
        </w:numPr>
        <w:spacing w:before="0" w:line="240" w:lineRule="auto"/>
        <w:ind w:left="720"/>
        <w:rPr>
          <w:sz w:val="21"/>
          <w:szCs w:val="21"/>
        </w:rPr>
      </w:pPr>
    </w:p>
    <w:p w14:paraId="1A02DC26" w14:textId="7AC45EC4" w:rsidR="00F46B02" w:rsidRPr="00476926" w:rsidRDefault="00CB1653" w:rsidP="00164EDB">
      <w:pPr>
        <w:pStyle w:val="Heading1"/>
        <w:numPr>
          <w:ilvl w:val="0"/>
          <w:numId w:val="0"/>
        </w:numPr>
        <w:spacing w:before="0" w:line="240" w:lineRule="auto"/>
        <w:rPr>
          <w:sz w:val="21"/>
          <w:szCs w:val="21"/>
        </w:rPr>
      </w:pPr>
      <w:r w:rsidRPr="00476926">
        <w:rPr>
          <w:sz w:val="21"/>
          <w:szCs w:val="21"/>
        </w:rPr>
        <w:t xml:space="preserve">Annex </w:t>
      </w:r>
      <w:r w:rsidR="00164EDB" w:rsidRPr="00476926">
        <w:rPr>
          <w:sz w:val="21"/>
          <w:szCs w:val="21"/>
        </w:rPr>
        <w:t>I</w:t>
      </w:r>
      <w:r w:rsidRPr="00476926">
        <w:rPr>
          <w:sz w:val="21"/>
          <w:szCs w:val="21"/>
        </w:rPr>
        <w:t xml:space="preserve"> </w:t>
      </w:r>
    </w:p>
    <w:p w14:paraId="1CE0E205" w14:textId="77777777" w:rsidR="00F1315D" w:rsidRPr="009E6DB9" w:rsidRDefault="00F1315D" w:rsidP="00164EDB">
      <w:pPr>
        <w:pStyle w:val="Heading1"/>
        <w:numPr>
          <w:ilvl w:val="0"/>
          <w:numId w:val="0"/>
        </w:numPr>
        <w:spacing w:before="0" w:line="240" w:lineRule="auto"/>
        <w:rPr>
          <w:color w:val="auto"/>
          <w:sz w:val="21"/>
          <w:szCs w:val="21"/>
        </w:rPr>
      </w:pPr>
    </w:p>
    <w:p w14:paraId="24CCAEE5" w14:textId="63F72F5D" w:rsidR="00164EDB" w:rsidRPr="009E6DB9" w:rsidRDefault="00CB1653" w:rsidP="00164EDB">
      <w:pPr>
        <w:pStyle w:val="Heading1"/>
        <w:numPr>
          <w:ilvl w:val="0"/>
          <w:numId w:val="0"/>
        </w:numPr>
        <w:spacing w:before="0" w:line="240" w:lineRule="auto"/>
        <w:rPr>
          <w:color w:val="auto"/>
          <w:sz w:val="21"/>
          <w:szCs w:val="21"/>
          <w:u w:val="single"/>
        </w:rPr>
      </w:pPr>
      <w:r w:rsidRPr="009E6DB9">
        <w:rPr>
          <w:color w:val="auto"/>
          <w:sz w:val="21"/>
          <w:szCs w:val="21"/>
          <w:u w:val="single"/>
        </w:rPr>
        <w:t xml:space="preserve">Existing </w:t>
      </w:r>
      <w:r w:rsidR="00413BE5" w:rsidRPr="009E6DB9">
        <w:rPr>
          <w:color w:val="auto"/>
          <w:sz w:val="21"/>
          <w:szCs w:val="21"/>
          <w:u w:val="single"/>
        </w:rPr>
        <w:t>i</w:t>
      </w:r>
      <w:r w:rsidRPr="009E6DB9">
        <w:rPr>
          <w:color w:val="auto"/>
          <w:sz w:val="21"/>
          <w:szCs w:val="21"/>
          <w:u w:val="single"/>
        </w:rPr>
        <w:t>nstruments/measures to address carbon leakage</w:t>
      </w:r>
    </w:p>
    <w:p w14:paraId="75EDE5D8" w14:textId="77777777" w:rsidR="00DD7381" w:rsidRPr="009E6DB9" w:rsidRDefault="00DD7381" w:rsidP="00123805">
      <w:pPr>
        <w:spacing w:after="0" w:line="240" w:lineRule="auto"/>
        <w:rPr>
          <w:sz w:val="21"/>
          <w:szCs w:val="21"/>
        </w:rPr>
      </w:pPr>
    </w:p>
    <w:p w14:paraId="451BCC50" w14:textId="77777777" w:rsidR="00CB1653" w:rsidRPr="009E6DB9" w:rsidRDefault="00CB1653" w:rsidP="00157B8D">
      <w:pPr>
        <w:pStyle w:val="Heading4"/>
        <w:numPr>
          <w:ilvl w:val="0"/>
          <w:numId w:val="17"/>
        </w:numPr>
        <w:spacing w:after="0" w:line="240" w:lineRule="auto"/>
        <w:rPr>
          <w:sz w:val="21"/>
          <w:szCs w:val="21"/>
        </w:rPr>
      </w:pPr>
      <w:r w:rsidRPr="009E6DB9">
        <w:rPr>
          <w:sz w:val="21"/>
          <w:szCs w:val="21"/>
        </w:rPr>
        <w:t>Border carbon adjustments (BCAs)</w:t>
      </w:r>
    </w:p>
    <w:p w14:paraId="5679E809" w14:textId="77777777" w:rsidR="00CB1653" w:rsidRPr="009E6DB9" w:rsidRDefault="00CB1653" w:rsidP="00123805">
      <w:pPr>
        <w:spacing w:after="0" w:line="240" w:lineRule="auto"/>
        <w:rPr>
          <w:sz w:val="21"/>
          <w:szCs w:val="21"/>
          <w:lang w:val="en-US"/>
        </w:rPr>
      </w:pPr>
      <w:r w:rsidRPr="009E6DB9">
        <w:rPr>
          <w:sz w:val="21"/>
          <w:szCs w:val="21"/>
          <w:lang w:val="en-US"/>
        </w:rPr>
        <w:t xml:space="preserve">A BCA works by imposing a charge on specified imported goods according to their level of embedded carbon. Depending upon the design of the BCA, the definition of embedded carbon can cover direct and indirect emissions. A BCA therefore requires agreed systems of quantifying and verifying embedded carbon. </w:t>
      </w:r>
    </w:p>
    <w:p w14:paraId="13FBE7F7" w14:textId="77777777" w:rsidR="00F34C26" w:rsidRPr="009E6DB9" w:rsidRDefault="00F34C26" w:rsidP="00123805">
      <w:pPr>
        <w:spacing w:after="0" w:line="240" w:lineRule="auto"/>
        <w:rPr>
          <w:sz w:val="21"/>
          <w:szCs w:val="21"/>
          <w:lang w:val="en-US"/>
        </w:rPr>
      </w:pPr>
    </w:p>
    <w:p w14:paraId="1DC78C58" w14:textId="1FC18958" w:rsidR="00CB1653" w:rsidRPr="009E6DB9" w:rsidRDefault="00CB1653" w:rsidP="00123805">
      <w:pPr>
        <w:spacing w:after="0" w:line="240" w:lineRule="auto"/>
        <w:rPr>
          <w:sz w:val="21"/>
          <w:szCs w:val="21"/>
          <w:lang w:val="en-US"/>
        </w:rPr>
      </w:pPr>
      <w:r w:rsidRPr="009E6DB9">
        <w:rPr>
          <w:sz w:val="21"/>
          <w:szCs w:val="21"/>
          <w:lang w:val="en-US"/>
        </w:rPr>
        <w:t xml:space="preserve">Whilst BCAs are being considered by </w:t>
      </w:r>
      <w:proofErr w:type="gramStart"/>
      <w:r w:rsidRPr="009E6DB9">
        <w:rPr>
          <w:sz w:val="21"/>
          <w:szCs w:val="21"/>
          <w:lang w:val="en-US"/>
        </w:rPr>
        <w:t>a number of</w:t>
      </w:r>
      <w:proofErr w:type="gramEnd"/>
      <w:r w:rsidRPr="009E6DB9">
        <w:rPr>
          <w:sz w:val="21"/>
          <w:szCs w:val="21"/>
          <w:lang w:val="en-US"/>
        </w:rPr>
        <w:t xml:space="preserve"> countries, the most developed BCA </w:t>
      </w:r>
      <w:r w:rsidR="00746882" w:rsidRPr="009E6DB9">
        <w:rPr>
          <w:sz w:val="21"/>
          <w:szCs w:val="21"/>
          <w:lang w:val="en-US"/>
        </w:rPr>
        <w:t>policy/measure</w:t>
      </w:r>
      <w:r w:rsidR="000376B4" w:rsidRPr="009E6DB9">
        <w:rPr>
          <w:sz w:val="21"/>
          <w:szCs w:val="21"/>
          <w:lang w:val="en-US"/>
        </w:rPr>
        <w:t>/mechanism</w:t>
      </w:r>
      <w:r w:rsidR="00746882" w:rsidRPr="009E6DB9">
        <w:rPr>
          <w:sz w:val="21"/>
          <w:szCs w:val="21"/>
          <w:lang w:val="en-US"/>
        </w:rPr>
        <w:t xml:space="preserve"> </w:t>
      </w:r>
      <w:r w:rsidRPr="009E6DB9">
        <w:rPr>
          <w:sz w:val="21"/>
          <w:szCs w:val="21"/>
          <w:lang w:val="en-US"/>
        </w:rPr>
        <w:t>is the European Union Carbon Border Adjustment Mechanism (CBAM) which seeks to reduce the risk of carbon leakage and to level the field for European industries working towards decarbonisation of their production processes.</w:t>
      </w:r>
    </w:p>
    <w:p w14:paraId="63FFF620" w14:textId="77777777" w:rsidR="00F34C26" w:rsidRPr="009E6DB9" w:rsidRDefault="00F34C26" w:rsidP="00123805">
      <w:pPr>
        <w:spacing w:after="0" w:line="240" w:lineRule="auto"/>
        <w:rPr>
          <w:sz w:val="21"/>
          <w:szCs w:val="21"/>
          <w:lang w:val="en-US"/>
        </w:rPr>
      </w:pPr>
    </w:p>
    <w:p w14:paraId="24826016" w14:textId="6D03EBB4" w:rsidR="0012272C" w:rsidRPr="009E6DB9" w:rsidRDefault="00CB1653" w:rsidP="00123805">
      <w:pPr>
        <w:spacing w:after="0" w:line="240" w:lineRule="auto"/>
        <w:rPr>
          <w:sz w:val="21"/>
          <w:szCs w:val="21"/>
          <w:lang w:val="en-US"/>
        </w:rPr>
      </w:pPr>
      <w:r w:rsidRPr="009E6DB9">
        <w:rPr>
          <w:sz w:val="21"/>
          <w:szCs w:val="21"/>
          <w:lang w:val="en-US"/>
        </w:rPr>
        <w:t>In July 2021, as part of the "Fit for 55" package</w:t>
      </w:r>
      <w:r w:rsidR="00AF04E5" w:rsidRPr="009E6DB9">
        <w:rPr>
          <w:sz w:val="21"/>
          <w:szCs w:val="21"/>
          <w:lang w:val="en-US"/>
        </w:rPr>
        <w:t>”</w:t>
      </w:r>
      <w:r w:rsidRPr="009E6DB9">
        <w:rPr>
          <w:sz w:val="21"/>
          <w:szCs w:val="21"/>
          <w:lang w:val="en-US"/>
        </w:rPr>
        <w:t xml:space="preserve">, the Commission adopted its </w:t>
      </w:r>
      <w:r w:rsidR="00C77CDA" w:rsidRPr="009019FF">
        <w:rPr>
          <w:sz w:val="21"/>
          <w:szCs w:val="21"/>
          <w:lang w:val="en-US"/>
        </w:rPr>
        <w:t>proposal for a regulation</w:t>
      </w:r>
      <w:r w:rsidRPr="009E6DB9">
        <w:rPr>
          <w:sz w:val="21"/>
          <w:szCs w:val="21"/>
          <w:lang w:val="en-US"/>
        </w:rPr>
        <w:t xml:space="preserve"> establishing a Carbon Border Adjustment Mechanism</w:t>
      </w:r>
      <w:r w:rsidR="002B5EE0" w:rsidRPr="009E6DB9">
        <w:rPr>
          <w:sz w:val="21"/>
          <w:szCs w:val="21"/>
          <w:lang w:val="en-US"/>
        </w:rPr>
        <w:t xml:space="preserve"> (CBAM)</w:t>
      </w:r>
      <w:r w:rsidRPr="009E6DB9">
        <w:rPr>
          <w:sz w:val="21"/>
          <w:szCs w:val="21"/>
          <w:lang w:val="en-US"/>
        </w:rPr>
        <w:t xml:space="preserve"> – a trade measure which seeks to address the risk of carbon leakage by imposing a levy on imports of certain GHG emissions intensive goods from outside the EU.</w:t>
      </w:r>
      <w:r w:rsidR="00211A07">
        <w:rPr>
          <w:rStyle w:val="FootnoteReference"/>
          <w:sz w:val="21"/>
          <w:szCs w:val="21"/>
          <w:lang w:val="en-US"/>
        </w:rPr>
        <w:footnoteReference w:id="37"/>
      </w:r>
      <w:r w:rsidRPr="009E6DB9">
        <w:rPr>
          <w:sz w:val="21"/>
          <w:szCs w:val="21"/>
          <w:lang w:val="en-US"/>
        </w:rPr>
        <w:t xml:space="preserve"> </w:t>
      </w:r>
      <w:r w:rsidR="00F2404D" w:rsidRPr="009E6DB9">
        <w:rPr>
          <w:sz w:val="21"/>
          <w:szCs w:val="21"/>
          <w:lang w:val="en-US"/>
        </w:rPr>
        <w:t>A political agreement was then reached</w:t>
      </w:r>
      <w:r w:rsidR="0060056D" w:rsidRPr="009E6DB9">
        <w:rPr>
          <w:sz w:val="21"/>
          <w:szCs w:val="21"/>
          <w:lang w:val="en-US"/>
        </w:rPr>
        <w:t xml:space="preserve"> in December 2022 by the European Parliament and the Council</w:t>
      </w:r>
      <w:r w:rsidR="004F668D" w:rsidRPr="009E6DB9">
        <w:rPr>
          <w:sz w:val="21"/>
          <w:szCs w:val="21"/>
          <w:lang w:val="en-US"/>
        </w:rPr>
        <w:t xml:space="preserve"> on the Commission’s proposal</w:t>
      </w:r>
      <w:r w:rsidR="00F33BD9" w:rsidRPr="009E6DB9">
        <w:rPr>
          <w:sz w:val="21"/>
          <w:szCs w:val="21"/>
          <w:lang w:val="en-US"/>
        </w:rPr>
        <w:t xml:space="preserve"> and the CBAM Regulation was finally signed on </w:t>
      </w:r>
      <w:r w:rsidR="00740789" w:rsidRPr="009E6DB9">
        <w:rPr>
          <w:sz w:val="21"/>
          <w:szCs w:val="21"/>
          <w:lang w:val="en-US"/>
        </w:rPr>
        <w:t>in</w:t>
      </w:r>
      <w:r w:rsidR="00F33BD9" w:rsidRPr="009E6DB9">
        <w:rPr>
          <w:sz w:val="21"/>
          <w:szCs w:val="21"/>
          <w:lang w:val="en-US"/>
        </w:rPr>
        <w:t xml:space="preserve"> May 2023. </w:t>
      </w:r>
      <w:r w:rsidR="00740789" w:rsidRPr="009E6DB9">
        <w:rPr>
          <w:sz w:val="21"/>
          <w:szCs w:val="21"/>
          <w:lang w:val="en-US"/>
        </w:rPr>
        <w:t>The</w:t>
      </w:r>
      <w:r w:rsidR="00D06BFE" w:rsidRPr="009E6DB9">
        <w:rPr>
          <w:sz w:val="21"/>
          <w:szCs w:val="21"/>
          <w:lang w:val="en-US"/>
        </w:rPr>
        <w:t xml:space="preserve"> </w:t>
      </w:r>
      <w:r w:rsidR="000C7B0C" w:rsidRPr="009E6DB9">
        <w:rPr>
          <w:sz w:val="21"/>
          <w:szCs w:val="21"/>
          <w:lang w:val="en-US"/>
        </w:rPr>
        <w:t xml:space="preserve">CBAM </w:t>
      </w:r>
      <w:r w:rsidR="00740789" w:rsidRPr="009E6DB9">
        <w:rPr>
          <w:sz w:val="21"/>
          <w:szCs w:val="21"/>
          <w:lang w:val="en-US"/>
        </w:rPr>
        <w:t xml:space="preserve">itself </w:t>
      </w:r>
      <w:r w:rsidR="000C7B0C" w:rsidRPr="009E6DB9">
        <w:rPr>
          <w:sz w:val="21"/>
          <w:szCs w:val="21"/>
          <w:lang w:val="en-US"/>
        </w:rPr>
        <w:t xml:space="preserve">entered into application on 1 October 2023 in </w:t>
      </w:r>
      <w:r w:rsidR="000F1A3A" w:rsidRPr="009E6DB9">
        <w:rPr>
          <w:sz w:val="21"/>
          <w:szCs w:val="21"/>
          <w:lang w:val="en-US"/>
        </w:rPr>
        <w:t>its transitional phase</w:t>
      </w:r>
      <w:r w:rsidR="00A55797" w:rsidRPr="009E6DB9">
        <w:rPr>
          <w:sz w:val="21"/>
          <w:szCs w:val="21"/>
          <w:lang w:val="en-US"/>
        </w:rPr>
        <w:t xml:space="preserve">, with the first reporting period for importers ending </w:t>
      </w:r>
      <w:r w:rsidR="00FD14F2" w:rsidRPr="009E6DB9">
        <w:rPr>
          <w:sz w:val="21"/>
          <w:szCs w:val="21"/>
          <w:lang w:val="en-US"/>
        </w:rPr>
        <w:t>end of</w:t>
      </w:r>
      <w:r w:rsidR="00A55797" w:rsidRPr="009E6DB9">
        <w:rPr>
          <w:sz w:val="21"/>
          <w:szCs w:val="21"/>
          <w:lang w:val="en-US"/>
        </w:rPr>
        <w:t xml:space="preserve"> January 2024.</w:t>
      </w:r>
    </w:p>
    <w:p w14:paraId="3149CA35" w14:textId="77777777" w:rsidR="0012272C" w:rsidRPr="009E6DB9" w:rsidRDefault="0012272C" w:rsidP="00123805">
      <w:pPr>
        <w:spacing w:after="0" w:line="240" w:lineRule="auto"/>
        <w:rPr>
          <w:sz w:val="21"/>
          <w:szCs w:val="21"/>
          <w:lang w:val="en-US"/>
        </w:rPr>
      </w:pPr>
    </w:p>
    <w:p w14:paraId="0B5FD51A" w14:textId="0B3C5856" w:rsidR="00CB1653" w:rsidRDefault="00CB1653" w:rsidP="00123805">
      <w:pPr>
        <w:spacing w:after="0" w:line="240" w:lineRule="auto"/>
        <w:rPr>
          <w:sz w:val="21"/>
          <w:szCs w:val="21"/>
          <w:lang w:val="en-US"/>
        </w:rPr>
      </w:pPr>
      <w:r w:rsidRPr="009E6DB9">
        <w:rPr>
          <w:sz w:val="21"/>
          <w:szCs w:val="21"/>
          <w:lang w:val="en-US"/>
        </w:rPr>
        <w:t>The EUCBAM is aimed at putting a fair price on the carbon emitted during the production of carbon intensive goods that are entering the EU</w:t>
      </w:r>
      <w:r w:rsidR="00423534" w:rsidRPr="009E6DB9">
        <w:rPr>
          <w:sz w:val="21"/>
          <w:szCs w:val="21"/>
          <w:lang w:val="en-US"/>
        </w:rPr>
        <w:t xml:space="preserve"> – in the transitional phase this will only apply to imports of cement, iron and steel, aluminium, fertilisers, </w:t>
      </w:r>
      <w:proofErr w:type="gramStart"/>
      <w:r w:rsidR="00423534" w:rsidRPr="009E6DB9">
        <w:rPr>
          <w:sz w:val="21"/>
          <w:szCs w:val="21"/>
          <w:lang w:val="en-US"/>
        </w:rPr>
        <w:t>electricity</w:t>
      </w:r>
      <w:proofErr w:type="gramEnd"/>
      <w:r w:rsidR="00423534" w:rsidRPr="009E6DB9">
        <w:rPr>
          <w:sz w:val="21"/>
          <w:szCs w:val="21"/>
          <w:lang w:val="en-US"/>
        </w:rPr>
        <w:t xml:space="preserve"> and hydrogen</w:t>
      </w:r>
      <w:r w:rsidRPr="009E6DB9">
        <w:rPr>
          <w:sz w:val="21"/>
          <w:szCs w:val="21"/>
          <w:lang w:val="en-US"/>
        </w:rPr>
        <w:t>, and to encourage less emissions intensive industrial production in non-EU countries. The gradual introduction of the CBAM is aligned with the phase-out of the allocation of free allowances under the EU Emissions Trading System (ETS) to support the decarbonisation of EU industry. By confirming that a price has been paid for the embedded carbon emissions generated in the production of certain goods imported into the EU, the CBAM will ensure the carbon price of imports is equivalent to the carbon price of domestic production.</w:t>
      </w:r>
      <w:r w:rsidRPr="009E6DB9">
        <w:rPr>
          <w:rStyle w:val="FootnoteReference"/>
          <w:sz w:val="21"/>
          <w:szCs w:val="21"/>
          <w:lang w:val="en-US"/>
        </w:rPr>
        <w:footnoteReference w:id="38"/>
      </w:r>
      <w:r w:rsidRPr="009E6DB9">
        <w:rPr>
          <w:sz w:val="21"/>
          <w:szCs w:val="21"/>
          <w:lang w:val="en-US"/>
        </w:rPr>
        <w:t xml:space="preserve"> </w:t>
      </w:r>
    </w:p>
    <w:p w14:paraId="1FB9A216" w14:textId="77777777" w:rsidR="00F25F62" w:rsidRPr="009E6DB9" w:rsidRDefault="00F25F62" w:rsidP="00123805">
      <w:pPr>
        <w:spacing w:after="0" w:line="240" w:lineRule="auto"/>
        <w:rPr>
          <w:sz w:val="21"/>
          <w:szCs w:val="21"/>
          <w:lang w:val="en-US"/>
        </w:rPr>
      </w:pPr>
    </w:p>
    <w:p w14:paraId="767F04B5" w14:textId="22AE96FE" w:rsidR="00CB1653" w:rsidRPr="009E6DB9" w:rsidRDefault="00CB1653" w:rsidP="00123805">
      <w:pPr>
        <w:spacing w:after="0" w:line="240" w:lineRule="auto"/>
        <w:rPr>
          <w:sz w:val="21"/>
          <w:szCs w:val="21"/>
          <w:lang w:val="en-US"/>
        </w:rPr>
      </w:pPr>
      <w:r w:rsidRPr="009E6DB9">
        <w:rPr>
          <w:sz w:val="21"/>
          <w:szCs w:val="21"/>
          <w:lang w:val="en-US"/>
        </w:rPr>
        <w:t xml:space="preserve">The EU CBAM </w:t>
      </w:r>
      <w:proofErr w:type="gramStart"/>
      <w:r w:rsidRPr="009E6DB9">
        <w:rPr>
          <w:sz w:val="21"/>
          <w:szCs w:val="21"/>
          <w:lang w:val="en-US"/>
        </w:rPr>
        <w:t>takes into account</w:t>
      </w:r>
      <w:proofErr w:type="gramEnd"/>
      <w:r w:rsidRPr="009E6DB9">
        <w:rPr>
          <w:sz w:val="21"/>
          <w:szCs w:val="21"/>
          <w:lang w:val="en-US"/>
        </w:rPr>
        <w:t xml:space="preserve"> the carbon pricing policies that may exist in other countries, applying an adjustment on the import side for countries that already have their own carbon pricing. The objective is that emissions are priced, preferentially in the country of origin and, if </w:t>
      </w:r>
      <w:r w:rsidR="009E6DB9" w:rsidRPr="009E6DB9">
        <w:rPr>
          <w:sz w:val="21"/>
          <w:szCs w:val="21"/>
          <w:lang w:val="en-US"/>
        </w:rPr>
        <w:t>not, upon</w:t>
      </w:r>
      <w:r w:rsidR="006A5210" w:rsidRPr="009E6DB9">
        <w:rPr>
          <w:sz w:val="21"/>
          <w:szCs w:val="21"/>
          <w:lang w:val="en-US"/>
        </w:rPr>
        <w:t xml:space="preserve"> </w:t>
      </w:r>
      <w:r w:rsidR="00440AF7" w:rsidRPr="009E6DB9">
        <w:rPr>
          <w:sz w:val="21"/>
          <w:szCs w:val="21"/>
          <w:lang w:val="en-US"/>
        </w:rPr>
        <w:t>arrival in</w:t>
      </w:r>
      <w:r w:rsidRPr="009E6DB9">
        <w:rPr>
          <w:sz w:val="21"/>
          <w:szCs w:val="21"/>
          <w:lang w:val="en-US"/>
        </w:rPr>
        <w:t xml:space="preserve"> the EU.  </w:t>
      </w:r>
    </w:p>
    <w:p w14:paraId="19FCCB78" w14:textId="77777777" w:rsidR="00F34C26" w:rsidRPr="009E6DB9" w:rsidRDefault="00F34C26" w:rsidP="00123805">
      <w:pPr>
        <w:spacing w:after="0" w:line="240" w:lineRule="auto"/>
        <w:rPr>
          <w:sz w:val="21"/>
          <w:szCs w:val="21"/>
          <w:lang w:val="en-US"/>
        </w:rPr>
      </w:pPr>
    </w:p>
    <w:p w14:paraId="3CBA5827" w14:textId="12A86E88" w:rsidR="009D6A72" w:rsidRPr="00F25F62" w:rsidRDefault="003B5C43" w:rsidP="00123805">
      <w:pPr>
        <w:spacing w:after="0" w:line="240" w:lineRule="auto"/>
        <w:rPr>
          <w:sz w:val="21"/>
          <w:szCs w:val="21"/>
          <w:lang w:val="en-US"/>
        </w:rPr>
      </w:pPr>
      <w:r w:rsidRPr="00F25F62">
        <w:rPr>
          <w:sz w:val="21"/>
          <w:szCs w:val="21"/>
          <w:lang w:val="en-US"/>
        </w:rPr>
        <w:lastRenderedPageBreak/>
        <w:t xml:space="preserve">A </w:t>
      </w:r>
      <w:r w:rsidRPr="00F25F62">
        <w:rPr>
          <w:rFonts w:cs="Arial"/>
          <w:sz w:val="21"/>
          <w:szCs w:val="21"/>
        </w:rPr>
        <w:t>CBAM transitional registry</w:t>
      </w:r>
      <w:r w:rsidR="001833E2" w:rsidRPr="00F25F62">
        <w:rPr>
          <w:rFonts w:cs="Arial"/>
          <w:sz w:val="21"/>
          <w:szCs w:val="21"/>
        </w:rPr>
        <w:t>, as well as written guidance documents</w:t>
      </w:r>
      <w:r w:rsidR="00CB395A" w:rsidRPr="00F25F62">
        <w:rPr>
          <w:rFonts w:cs="Arial"/>
          <w:sz w:val="21"/>
          <w:szCs w:val="21"/>
        </w:rPr>
        <w:t xml:space="preserve"> including a series of sector-specific </w:t>
      </w:r>
      <w:r w:rsidR="00166F15" w:rsidRPr="00F25F62">
        <w:rPr>
          <w:rFonts w:cs="Arial"/>
          <w:sz w:val="21"/>
          <w:szCs w:val="21"/>
        </w:rPr>
        <w:t>factsheets</w:t>
      </w:r>
      <w:r w:rsidR="00C206C0" w:rsidRPr="00F25F62">
        <w:rPr>
          <w:rFonts w:cs="Arial"/>
          <w:sz w:val="21"/>
          <w:szCs w:val="21"/>
        </w:rPr>
        <w:t xml:space="preserve"> and a </w:t>
      </w:r>
      <w:r w:rsidR="009E6DB9" w:rsidRPr="00F25F62">
        <w:rPr>
          <w:rFonts w:cs="Arial"/>
          <w:sz w:val="21"/>
          <w:szCs w:val="21"/>
        </w:rPr>
        <w:t>step-by-step</w:t>
      </w:r>
      <w:r w:rsidR="00C206C0" w:rsidRPr="00F25F62">
        <w:rPr>
          <w:rFonts w:cs="Arial"/>
          <w:sz w:val="21"/>
          <w:szCs w:val="21"/>
        </w:rPr>
        <w:t xml:space="preserve"> checklist</w:t>
      </w:r>
      <w:r w:rsidR="001833E2" w:rsidRPr="00F25F62">
        <w:rPr>
          <w:rFonts w:cs="Arial"/>
          <w:sz w:val="21"/>
          <w:szCs w:val="21"/>
        </w:rPr>
        <w:t>, have been prepared by the Commission to</w:t>
      </w:r>
      <w:r w:rsidR="00497910" w:rsidRPr="00F25F62">
        <w:rPr>
          <w:rFonts w:cs="Arial"/>
          <w:sz w:val="21"/>
          <w:szCs w:val="21"/>
        </w:rPr>
        <w:t xml:space="preserve"> help importers </w:t>
      </w:r>
      <w:r w:rsidR="00AA6AA2" w:rsidRPr="00F25F62">
        <w:rPr>
          <w:rFonts w:cs="Arial"/>
          <w:sz w:val="21"/>
          <w:szCs w:val="21"/>
        </w:rPr>
        <w:t>navigating the transitional phase and</w:t>
      </w:r>
      <w:r w:rsidR="00CC465F" w:rsidRPr="00F25F62">
        <w:rPr>
          <w:rFonts w:cs="Arial"/>
          <w:sz w:val="21"/>
          <w:szCs w:val="21"/>
        </w:rPr>
        <w:t xml:space="preserve"> practical</w:t>
      </w:r>
      <w:r w:rsidR="00A44998" w:rsidRPr="00F25F62">
        <w:rPr>
          <w:rFonts w:cs="Arial"/>
          <w:sz w:val="21"/>
          <w:szCs w:val="21"/>
        </w:rPr>
        <w:t>ly</w:t>
      </w:r>
      <w:r w:rsidR="00CC465F" w:rsidRPr="00F25F62">
        <w:rPr>
          <w:rFonts w:cs="Arial"/>
          <w:sz w:val="21"/>
          <w:szCs w:val="21"/>
        </w:rPr>
        <w:t xml:space="preserve"> implement</w:t>
      </w:r>
      <w:r w:rsidR="00A44998" w:rsidRPr="00F25F62">
        <w:rPr>
          <w:rFonts w:cs="Arial"/>
          <w:sz w:val="21"/>
          <w:szCs w:val="21"/>
        </w:rPr>
        <w:t>ing</w:t>
      </w:r>
      <w:r w:rsidR="00CC465F" w:rsidRPr="00F25F62">
        <w:rPr>
          <w:rFonts w:cs="Arial"/>
          <w:sz w:val="21"/>
          <w:szCs w:val="21"/>
        </w:rPr>
        <w:t xml:space="preserve"> the new rules.</w:t>
      </w:r>
    </w:p>
    <w:p w14:paraId="02137402" w14:textId="77777777" w:rsidR="00F34C26" w:rsidRPr="009E6DB9" w:rsidRDefault="00F34C26" w:rsidP="00123805">
      <w:pPr>
        <w:spacing w:after="0" w:line="240" w:lineRule="auto"/>
        <w:rPr>
          <w:sz w:val="21"/>
          <w:szCs w:val="21"/>
          <w:lang w:val="en-US"/>
        </w:rPr>
      </w:pPr>
    </w:p>
    <w:p w14:paraId="38B99394" w14:textId="25A3169D" w:rsidR="00CB1653" w:rsidRPr="009E6DB9" w:rsidRDefault="00CB1653" w:rsidP="00123805">
      <w:pPr>
        <w:spacing w:after="0" w:line="240" w:lineRule="auto"/>
        <w:rPr>
          <w:sz w:val="21"/>
          <w:szCs w:val="21"/>
          <w:lang w:val="en-US"/>
        </w:rPr>
      </w:pPr>
      <w:r w:rsidRPr="009E6DB9">
        <w:rPr>
          <w:sz w:val="21"/>
          <w:szCs w:val="21"/>
          <w:lang w:val="en-US"/>
        </w:rPr>
        <w:t>As noted above, other countries are also considering the use of BCAs. In June 2023, the UK completed an open consultation</w:t>
      </w:r>
      <w:r w:rsidR="00CA109F" w:rsidRPr="009E6DB9">
        <w:rPr>
          <w:rFonts w:cs="Helvetica"/>
          <w:color w:val="333333"/>
          <w:sz w:val="21"/>
          <w:szCs w:val="21"/>
          <w:shd w:val="clear" w:color="auto" w:fill="FFFFFF"/>
        </w:rPr>
        <w:t>Brown n.d</w:t>
      </w:r>
      <w:r w:rsidRPr="009E6DB9">
        <w:rPr>
          <w:sz w:val="21"/>
          <w:szCs w:val="21"/>
          <w:lang w:val="en-US"/>
        </w:rPr>
        <w:t xml:space="preserve"> specifically on addressing carbon leakage risk to support decarbonisation, including other mitigating policies, such as carbon clubs, mandatory product standards and demand side policies. </w:t>
      </w:r>
    </w:p>
    <w:p w14:paraId="1D6BC2E7" w14:textId="77777777" w:rsidR="00AD5F7C" w:rsidRPr="009E6DB9" w:rsidRDefault="00AD5F7C" w:rsidP="00123805">
      <w:pPr>
        <w:spacing w:after="0" w:line="240" w:lineRule="auto"/>
        <w:rPr>
          <w:sz w:val="21"/>
          <w:szCs w:val="21"/>
          <w:lang w:val="en-US"/>
        </w:rPr>
      </w:pPr>
    </w:p>
    <w:p w14:paraId="425F5A27" w14:textId="7A469EEC" w:rsidR="00CB1653" w:rsidRPr="009E6DB9" w:rsidRDefault="00CB1653" w:rsidP="00123805">
      <w:pPr>
        <w:spacing w:after="0" w:line="240" w:lineRule="auto"/>
        <w:rPr>
          <w:sz w:val="21"/>
          <w:szCs w:val="21"/>
          <w:lang w:val="en-US"/>
        </w:rPr>
      </w:pPr>
      <w:r w:rsidRPr="009E6DB9">
        <w:rPr>
          <w:sz w:val="21"/>
          <w:szCs w:val="21"/>
          <w:lang w:val="en-US"/>
        </w:rPr>
        <w:t>The Government of Canada initiated public consultations in the fall of 2021 exploring the use of BCAs for a variety of fossil fuel and emissions-intensive trade-exposed (EITE) sectors, which account for more than 70% of Canada’s export</w:t>
      </w:r>
      <w:r w:rsidR="00AD5F7C">
        <w:rPr>
          <w:rStyle w:val="FootnoteReference"/>
          <w:sz w:val="21"/>
          <w:szCs w:val="21"/>
          <w:lang w:val="en-US"/>
        </w:rPr>
        <w:footnoteReference w:id="39"/>
      </w:r>
      <w:r w:rsidRPr="009E6DB9">
        <w:rPr>
          <w:sz w:val="21"/>
          <w:szCs w:val="21"/>
          <w:lang w:val="en-US"/>
        </w:rPr>
        <w:t xml:space="preserve"> (Niel Campbell et al., 2023). Input received through this consultation will assist the government in the next steps in the consideration of border carbon adjustments. The formal consultation has concluded, but a </w:t>
      </w:r>
      <w:r w:rsidR="003623BB" w:rsidRPr="009E6DB9">
        <w:rPr>
          <w:sz w:val="21"/>
          <w:szCs w:val="21"/>
          <w:lang w:val="en-US"/>
        </w:rPr>
        <w:t xml:space="preserve">draft </w:t>
      </w:r>
      <w:r w:rsidRPr="009E6DB9">
        <w:rPr>
          <w:sz w:val="21"/>
          <w:szCs w:val="21"/>
          <w:lang w:val="en-US"/>
        </w:rPr>
        <w:t xml:space="preserve">regime has not </w:t>
      </w:r>
      <w:proofErr w:type="gramStart"/>
      <w:r w:rsidRPr="009E6DB9">
        <w:rPr>
          <w:sz w:val="21"/>
          <w:szCs w:val="21"/>
          <w:lang w:val="en-US"/>
        </w:rPr>
        <w:t>as yet</w:t>
      </w:r>
      <w:proofErr w:type="gramEnd"/>
      <w:r w:rsidRPr="009E6DB9">
        <w:rPr>
          <w:sz w:val="21"/>
          <w:szCs w:val="21"/>
          <w:lang w:val="en-US"/>
        </w:rPr>
        <w:t xml:space="preserve"> been proposed. </w:t>
      </w:r>
    </w:p>
    <w:p w14:paraId="65C07BAF" w14:textId="77777777" w:rsidR="00F34C26" w:rsidRPr="009E6DB9" w:rsidRDefault="00F34C26" w:rsidP="00123805">
      <w:pPr>
        <w:spacing w:after="0" w:line="240" w:lineRule="auto"/>
        <w:rPr>
          <w:sz w:val="21"/>
          <w:szCs w:val="21"/>
          <w:lang w:val="en-US"/>
        </w:rPr>
      </w:pPr>
    </w:p>
    <w:p w14:paraId="5F125C4A" w14:textId="4A763FF1" w:rsidR="00CB1653" w:rsidRPr="009E6DB9" w:rsidRDefault="00CB1653" w:rsidP="00123805">
      <w:pPr>
        <w:spacing w:after="0" w:line="240" w:lineRule="auto"/>
        <w:rPr>
          <w:sz w:val="21"/>
          <w:szCs w:val="21"/>
          <w:lang w:val="en-US"/>
        </w:rPr>
      </w:pPr>
      <w:r w:rsidRPr="009E6DB9">
        <w:rPr>
          <w:sz w:val="21"/>
          <w:szCs w:val="21"/>
          <w:lang w:val="en-US"/>
        </w:rPr>
        <w:t xml:space="preserve">U.S. Senator Sheldon Whitehouse (D-RI) introduced a bill in early June 2022 called the "Clean Competition Act” which proposes a carbon border adjustment in the U.S. to </w:t>
      </w:r>
      <w:r w:rsidR="00154E31">
        <w:rPr>
          <w:sz w:val="21"/>
          <w:szCs w:val="21"/>
          <w:lang w:val="en-US"/>
        </w:rPr>
        <w:t xml:space="preserve">incentivise </w:t>
      </w:r>
      <w:r w:rsidRPr="009E6DB9">
        <w:rPr>
          <w:sz w:val="21"/>
          <w:szCs w:val="21"/>
          <w:lang w:val="en-US"/>
        </w:rPr>
        <w:t>foreign producer decarbonisation. The plan was to establish a $55 per ton price on carbon, with an increase of 5 percent above inflation each year. The bill is active but is not expected to pass.</w:t>
      </w:r>
    </w:p>
    <w:p w14:paraId="0DD0177A" w14:textId="77777777" w:rsidR="00F34C26" w:rsidRPr="009E6DB9" w:rsidRDefault="00F34C26" w:rsidP="00123805">
      <w:pPr>
        <w:spacing w:after="0" w:line="240" w:lineRule="auto"/>
        <w:rPr>
          <w:sz w:val="21"/>
          <w:szCs w:val="21"/>
          <w:lang w:val="en-US"/>
        </w:rPr>
      </w:pPr>
    </w:p>
    <w:p w14:paraId="5E6B5FB8" w14:textId="77777777" w:rsidR="00CB1653" w:rsidRPr="009E6DB9" w:rsidRDefault="00CB1653" w:rsidP="00746D5D">
      <w:pPr>
        <w:pStyle w:val="Heading4"/>
        <w:numPr>
          <w:ilvl w:val="0"/>
          <w:numId w:val="24"/>
        </w:numPr>
        <w:spacing w:after="0" w:line="240" w:lineRule="auto"/>
        <w:rPr>
          <w:sz w:val="21"/>
          <w:szCs w:val="21"/>
          <w:lang w:val="en-US"/>
        </w:rPr>
      </w:pPr>
      <w:r w:rsidRPr="009E6DB9">
        <w:rPr>
          <w:sz w:val="21"/>
          <w:szCs w:val="21"/>
        </w:rPr>
        <w:t xml:space="preserve">Free allowances under an ETS </w:t>
      </w:r>
    </w:p>
    <w:p w14:paraId="5843F1B4" w14:textId="0C96A5CD" w:rsidR="00CB1653" w:rsidRPr="009E6DB9" w:rsidRDefault="00CB1653" w:rsidP="00123805">
      <w:pPr>
        <w:spacing w:after="0" w:line="240" w:lineRule="auto"/>
        <w:rPr>
          <w:sz w:val="21"/>
          <w:szCs w:val="21"/>
          <w:lang w:val="en-US"/>
        </w:rPr>
      </w:pPr>
      <w:r w:rsidRPr="009E6DB9">
        <w:rPr>
          <w:sz w:val="21"/>
          <w:szCs w:val="21"/>
          <w:lang w:val="en-US"/>
        </w:rPr>
        <w:t xml:space="preserve">Under an ETS, the government sets the limit of emissions to be produced by covered industries – which are typically heavy emitting industries such as iron and steel, </w:t>
      </w:r>
      <w:r w:rsidR="00EA4E2E" w:rsidRPr="009E6DB9">
        <w:rPr>
          <w:sz w:val="21"/>
          <w:szCs w:val="21"/>
          <w:lang w:val="en-US"/>
        </w:rPr>
        <w:t>aluminum</w:t>
      </w:r>
      <w:r w:rsidRPr="009E6DB9">
        <w:rPr>
          <w:sz w:val="21"/>
          <w:szCs w:val="21"/>
          <w:lang w:val="en-US"/>
        </w:rPr>
        <w:t xml:space="preserve">, cement, glass, and power plants. Emission allowances (emission permits) are then auctioned or distributed for free to most energy-intensive industries considered at risk of carbon leakage, </w:t>
      </w:r>
      <w:proofErr w:type="gramStart"/>
      <w:r w:rsidRPr="009E6DB9">
        <w:rPr>
          <w:sz w:val="21"/>
          <w:szCs w:val="21"/>
          <w:lang w:val="en-US"/>
        </w:rPr>
        <w:t>in order to</w:t>
      </w:r>
      <w:proofErr w:type="gramEnd"/>
      <w:r w:rsidRPr="009E6DB9">
        <w:rPr>
          <w:sz w:val="21"/>
          <w:szCs w:val="21"/>
          <w:lang w:val="en-US"/>
        </w:rPr>
        <w:t xml:space="preserve"> safeguard the competitiveness of these regulated industries where the carbon price could trigger the relocation of production. These permits or allowances can be traded between companies and other market participants. While the government therefore sets the maximum amount of CO2 which can be produced, the market sets the price. </w:t>
      </w:r>
    </w:p>
    <w:p w14:paraId="34335D71" w14:textId="77777777" w:rsidR="00F34C26" w:rsidRPr="009E6DB9" w:rsidRDefault="00F34C26" w:rsidP="00123805">
      <w:pPr>
        <w:spacing w:after="0" w:line="240" w:lineRule="auto"/>
        <w:rPr>
          <w:sz w:val="21"/>
          <w:szCs w:val="21"/>
          <w:lang w:val="en-US"/>
        </w:rPr>
      </w:pPr>
    </w:p>
    <w:p w14:paraId="419C7AC1" w14:textId="357FDB97" w:rsidR="00CB1653" w:rsidRPr="00F31C6C" w:rsidRDefault="00CB1653" w:rsidP="00123805">
      <w:pPr>
        <w:spacing w:after="0" w:line="240" w:lineRule="auto"/>
        <w:rPr>
          <w:sz w:val="21"/>
          <w:szCs w:val="21"/>
          <w:lang w:val="en-US"/>
        </w:rPr>
      </w:pPr>
      <w:r w:rsidRPr="009E6DB9">
        <w:rPr>
          <w:sz w:val="21"/>
          <w:szCs w:val="21"/>
          <w:lang w:val="en-US"/>
        </w:rPr>
        <w:t>In the EU ETS, free allowance allocation is used. Under the revised EU ETS Directive, the system of free allocation will be prolonged for phase 4 of the EU ETS (2021-2030). Free allocation</w:t>
      </w:r>
      <w:r w:rsidR="002075AB">
        <w:rPr>
          <w:rStyle w:val="FootnoteReference"/>
          <w:sz w:val="21"/>
          <w:szCs w:val="21"/>
          <w:lang w:val="en-US"/>
        </w:rPr>
        <w:footnoteReference w:id="40"/>
      </w:r>
      <w:r w:rsidRPr="009E6DB9">
        <w:rPr>
          <w:sz w:val="21"/>
          <w:szCs w:val="21"/>
          <w:lang w:val="en-US"/>
        </w:rPr>
        <w:t xml:space="preserve"> will focus on sectors at the highest risk of relocating their production outside of the EU</w:t>
      </w:r>
      <w:r w:rsidR="00CA109F" w:rsidRPr="009E6DB9">
        <w:rPr>
          <w:sz w:val="21"/>
          <w:szCs w:val="21"/>
          <w:lang w:val="en-US"/>
        </w:rPr>
        <w:t xml:space="preserve"> (</w:t>
      </w:r>
      <w:r w:rsidR="006714CD" w:rsidRPr="009E6DB9">
        <w:rPr>
          <w:sz w:val="21"/>
          <w:szCs w:val="21"/>
          <w:lang w:val="en-US"/>
        </w:rPr>
        <w:t xml:space="preserve">European </w:t>
      </w:r>
      <w:r w:rsidR="00CA109F" w:rsidRPr="009E6DB9">
        <w:rPr>
          <w:sz w:val="21"/>
          <w:szCs w:val="21"/>
          <w:lang w:val="en-US"/>
        </w:rPr>
        <w:t>Commission, 2019)</w:t>
      </w:r>
      <w:r w:rsidRPr="009E6DB9">
        <w:rPr>
          <w:sz w:val="21"/>
          <w:szCs w:val="21"/>
          <w:lang w:val="en-US"/>
        </w:rPr>
        <w:t>. For less exposed sectors, free allocation is foreseen to be phased out after 2026 from a maximum of 30% to 0</w:t>
      </w:r>
      <w:r w:rsidR="0004663D" w:rsidRPr="009E6DB9">
        <w:rPr>
          <w:sz w:val="21"/>
          <w:szCs w:val="21"/>
          <w:lang w:val="en-US"/>
        </w:rPr>
        <w:t>%</w:t>
      </w:r>
      <w:r w:rsidRPr="009E6DB9">
        <w:rPr>
          <w:sz w:val="21"/>
          <w:szCs w:val="21"/>
          <w:lang w:val="en-US"/>
        </w:rPr>
        <w:t xml:space="preserve"> at the end of phase 4 (2030).</w:t>
      </w:r>
      <w:r w:rsidR="00F31C6C">
        <w:rPr>
          <w:sz w:val="21"/>
          <w:szCs w:val="21"/>
          <w:lang w:val="en-US"/>
        </w:rPr>
        <w:t xml:space="preserve">  </w:t>
      </w:r>
      <w:r w:rsidR="00F31C6C" w:rsidRPr="00F31C6C">
        <w:rPr>
          <w:rFonts w:cs="Arial"/>
          <w:color w:val="404040"/>
          <w:sz w:val="21"/>
          <w:szCs w:val="21"/>
        </w:rPr>
        <w:t xml:space="preserve">The list of sectors deemed to </w:t>
      </w:r>
      <w:r w:rsidR="00F31C6C" w:rsidRPr="00F31C6C">
        <w:rPr>
          <w:rFonts w:cs="Arial"/>
          <w:color w:val="404040"/>
          <w:sz w:val="21"/>
          <w:szCs w:val="21"/>
        </w:rPr>
        <w:lastRenderedPageBreak/>
        <w:t>be at the </w:t>
      </w:r>
      <w:r w:rsidR="00B4442E" w:rsidRPr="009019FF">
        <w:rPr>
          <w:rFonts w:cs="Arial"/>
          <w:sz w:val="21"/>
          <w:szCs w:val="21"/>
        </w:rPr>
        <w:t>risk of carbon leakage</w:t>
      </w:r>
      <w:r w:rsidR="00F31C6C" w:rsidRPr="00F31C6C">
        <w:rPr>
          <w:rFonts w:cs="Arial"/>
          <w:color w:val="404040"/>
          <w:sz w:val="21"/>
          <w:szCs w:val="21"/>
        </w:rPr>
        <w:t> </w:t>
      </w:r>
      <w:proofErr w:type="gramStart"/>
      <w:r w:rsidR="00F31C6C" w:rsidRPr="00F31C6C">
        <w:rPr>
          <w:rFonts w:cs="Arial"/>
          <w:color w:val="404040"/>
          <w:sz w:val="21"/>
          <w:szCs w:val="21"/>
        </w:rPr>
        <w:t>was updated</w:t>
      </w:r>
      <w:proofErr w:type="gramEnd"/>
      <w:r w:rsidR="00F31C6C" w:rsidRPr="00F31C6C">
        <w:rPr>
          <w:rFonts w:cs="Arial"/>
          <w:color w:val="404040"/>
          <w:sz w:val="21"/>
          <w:szCs w:val="21"/>
        </w:rPr>
        <w:t xml:space="preserve"> in 2019 and will be valid for the period 2021-2030.</w:t>
      </w:r>
      <w:r w:rsidR="00582D47">
        <w:rPr>
          <w:rStyle w:val="FootnoteReference"/>
          <w:rFonts w:cs="Arial"/>
          <w:color w:val="404040"/>
          <w:sz w:val="21"/>
          <w:szCs w:val="21"/>
        </w:rPr>
        <w:footnoteReference w:id="41"/>
      </w:r>
    </w:p>
    <w:p w14:paraId="2A8B6D91" w14:textId="77777777" w:rsidR="00F34C26" w:rsidRPr="009E6DB9" w:rsidRDefault="00F34C26" w:rsidP="00123805">
      <w:pPr>
        <w:spacing w:after="0" w:line="240" w:lineRule="auto"/>
        <w:rPr>
          <w:sz w:val="21"/>
          <w:szCs w:val="21"/>
          <w:lang w:val="en-US"/>
        </w:rPr>
      </w:pPr>
    </w:p>
    <w:p w14:paraId="2B1E1B53" w14:textId="77777777" w:rsidR="00CB1653" w:rsidRPr="009E6DB9" w:rsidRDefault="00CB1653" w:rsidP="00746D5D">
      <w:pPr>
        <w:pStyle w:val="Heading4"/>
        <w:numPr>
          <w:ilvl w:val="0"/>
          <w:numId w:val="24"/>
        </w:numPr>
        <w:spacing w:after="0" w:line="240" w:lineRule="auto"/>
        <w:rPr>
          <w:sz w:val="21"/>
          <w:szCs w:val="21"/>
          <w:lang w:val="en-US"/>
        </w:rPr>
      </w:pPr>
      <w:r w:rsidRPr="009E6DB9">
        <w:rPr>
          <w:sz w:val="21"/>
          <w:szCs w:val="21"/>
        </w:rPr>
        <w:t xml:space="preserve">Carbon tax reliefs </w:t>
      </w:r>
    </w:p>
    <w:p w14:paraId="3D0B177E" w14:textId="4B02B427" w:rsidR="00CB1653" w:rsidRPr="009E6DB9" w:rsidRDefault="00CB1653" w:rsidP="00123805">
      <w:pPr>
        <w:spacing w:after="0" w:line="240" w:lineRule="auto"/>
        <w:rPr>
          <w:sz w:val="21"/>
          <w:szCs w:val="21"/>
          <w:lang w:val="en-US"/>
        </w:rPr>
      </w:pPr>
      <w:r w:rsidRPr="009E6DB9">
        <w:rPr>
          <w:sz w:val="21"/>
          <w:szCs w:val="21"/>
          <w:lang w:val="en-US"/>
        </w:rPr>
        <w:t xml:space="preserve">A carbon tax can be applied to industry </w:t>
      </w:r>
      <w:proofErr w:type="gramStart"/>
      <w:r w:rsidRPr="009E6DB9">
        <w:rPr>
          <w:sz w:val="21"/>
          <w:szCs w:val="21"/>
          <w:lang w:val="en-US"/>
        </w:rPr>
        <w:t xml:space="preserve">on </w:t>
      </w:r>
      <w:r w:rsidR="00A15522" w:rsidRPr="009E6DB9">
        <w:rPr>
          <w:sz w:val="21"/>
          <w:szCs w:val="21"/>
          <w:lang w:val="en-US"/>
        </w:rPr>
        <w:t>the basis of</w:t>
      </w:r>
      <w:proofErr w:type="gramEnd"/>
      <w:r w:rsidR="00A15522" w:rsidRPr="009E6DB9">
        <w:rPr>
          <w:sz w:val="21"/>
          <w:szCs w:val="21"/>
          <w:lang w:val="en-US"/>
        </w:rPr>
        <w:t xml:space="preserve"> volumetric fuel consumption</w:t>
      </w:r>
      <w:r w:rsidRPr="009E6DB9">
        <w:rPr>
          <w:sz w:val="21"/>
          <w:szCs w:val="21"/>
          <w:lang w:val="en-US"/>
        </w:rPr>
        <w:t xml:space="preserve"> or </w:t>
      </w:r>
      <w:r w:rsidR="00E04F70" w:rsidRPr="009E6DB9">
        <w:rPr>
          <w:sz w:val="21"/>
          <w:szCs w:val="21"/>
          <w:lang w:val="en-US"/>
        </w:rPr>
        <w:t xml:space="preserve">on </w:t>
      </w:r>
      <w:r w:rsidRPr="009E6DB9">
        <w:rPr>
          <w:sz w:val="21"/>
          <w:szCs w:val="21"/>
          <w:lang w:val="en-US"/>
        </w:rPr>
        <w:t xml:space="preserve">a direct emission basis. The former method applies the tax to </w:t>
      </w:r>
      <w:proofErr w:type="gramStart"/>
      <w:r w:rsidRPr="009E6DB9">
        <w:rPr>
          <w:sz w:val="21"/>
          <w:szCs w:val="21"/>
          <w:lang w:val="en-US"/>
        </w:rPr>
        <w:t>particular fuels</w:t>
      </w:r>
      <w:proofErr w:type="gramEnd"/>
      <w:r w:rsidRPr="009E6DB9">
        <w:rPr>
          <w:sz w:val="21"/>
          <w:szCs w:val="21"/>
          <w:lang w:val="en-US"/>
        </w:rPr>
        <w:t xml:space="preserve"> depending upon their carbon content; the latter applies the tax to a particular business or installation based on its emissions. In either case a reduction </w:t>
      </w:r>
      <w:r w:rsidR="00BD3560" w:rsidRPr="009E6DB9">
        <w:rPr>
          <w:sz w:val="21"/>
          <w:szCs w:val="21"/>
          <w:lang w:val="en-US"/>
        </w:rPr>
        <w:t xml:space="preserve">in compliance obligations </w:t>
      </w:r>
      <w:r w:rsidRPr="009E6DB9">
        <w:rPr>
          <w:sz w:val="21"/>
          <w:szCs w:val="21"/>
          <w:lang w:val="en-US"/>
        </w:rPr>
        <w:t>can be</w:t>
      </w:r>
      <w:r w:rsidR="006C03E5" w:rsidRPr="009E6DB9">
        <w:rPr>
          <w:sz w:val="21"/>
          <w:szCs w:val="21"/>
          <w:lang w:val="en-US"/>
        </w:rPr>
        <w:t xml:space="preserve"> administered</w:t>
      </w:r>
      <w:r w:rsidRPr="009E6DB9">
        <w:rPr>
          <w:sz w:val="21"/>
          <w:szCs w:val="21"/>
          <w:lang w:val="en-US"/>
        </w:rPr>
        <w:t xml:space="preserve"> to support</w:t>
      </w:r>
      <w:r w:rsidRPr="009E6DB9">
        <w:rPr>
          <w:sz w:val="21"/>
          <w:szCs w:val="21"/>
        </w:rPr>
        <w:t xml:space="preserve"> </w:t>
      </w:r>
      <w:r w:rsidRPr="009E6DB9">
        <w:rPr>
          <w:sz w:val="21"/>
          <w:szCs w:val="21"/>
          <w:lang w:val="en-US"/>
        </w:rPr>
        <w:t>energy intensive trade exposed sectors (EITE) industries. This could consist of an exemption, a rebate of tax or a reduction.</w:t>
      </w:r>
    </w:p>
    <w:p w14:paraId="404F8D02" w14:textId="77777777" w:rsidR="00F34C26" w:rsidRPr="009E6DB9" w:rsidRDefault="00F34C26" w:rsidP="00123805">
      <w:pPr>
        <w:spacing w:after="0" w:line="240" w:lineRule="auto"/>
        <w:rPr>
          <w:sz w:val="21"/>
          <w:szCs w:val="21"/>
          <w:lang w:val="en-US"/>
        </w:rPr>
      </w:pPr>
    </w:p>
    <w:p w14:paraId="6D911C88" w14:textId="77777777" w:rsidR="00CB1653" w:rsidRPr="009E6DB9" w:rsidRDefault="00CB1653" w:rsidP="00746D5D">
      <w:pPr>
        <w:pStyle w:val="Heading4"/>
        <w:numPr>
          <w:ilvl w:val="0"/>
          <w:numId w:val="24"/>
        </w:numPr>
        <w:spacing w:after="0" w:line="240" w:lineRule="auto"/>
        <w:rPr>
          <w:sz w:val="21"/>
          <w:szCs w:val="21"/>
          <w:lang w:val="en-US"/>
        </w:rPr>
      </w:pPr>
      <w:r w:rsidRPr="009E6DB9">
        <w:rPr>
          <w:sz w:val="21"/>
          <w:szCs w:val="21"/>
        </w:rPr>
        <w:t xml:space="preserve">Output-Based Pricing System (OBPS) </w:t>
      </w:r>
    </w:p>
    <w:p w14:paraId="73006C7D" w14:textId="0517FDEF" w:rsidR="00CB1653" w:rsidRPr="009E6DB9" w:rsidRDefault="00166F15" w:rsidP="00123805">
      <w:pPr>
        <w:spacing w:after="0" w:line="240" w:lineRule="auto"/>
        <w:rPr>
          <w:sz w:val="21"/>
          <w:szCs w:val="21"/>
        </w:rPr>
      </w:pPr>
      <w:r w:rsidRPr="009E6DB9">
        <w:rPr>
          <w:sz w:val="21"/>
          <w:szCs w:val="21"/>
          <w:lang w:val="en-US"/>
        </w:rPr>
        <w:t xml:space="preserve">Canada </w:t>
      </w:r>
      <w:r w:rsidRPr="009E6DB9">
        <w:rPr>
          <w:sz w:val="21"/>
          <w:szCs w:val="21"/>
        </w:rPr>
        <w:t>provinces</w:t>
      </w:r>
      <w:r w:rsidR="00CB1653" w:rsidRPr="009E6DB9">
        <w:rPr>
          <w:sz w:val="21"/>
          <w:szCs w:val="21"/>
        </w:rPr>
        <w:t xml:space="preserve"> and territories have flexibility to develop their own carbon pricing systems </w:t>
      </w:r>
      <w:proofErr w:type="gramStart"/>
      <w:r w:rsidR="00CB1653" w:rsidRPr="009E6DB9">
        <w:rPr>
          <w:sz w:val="21"/>
          <w:szCs w:val="21"/>
        </w:rPr>
        <w:t>as long as</w:t>
      </w:r>
      <w:proofErr w:type="gramEnd"/>
      <w:r w:rsidR="00CB1653" w:rsidRPr="009E6DB9">
        <w:rPr>
          <w:sz w:val="21"/>
          <w:szCs w:val="21"/>
        </w:rPr>
        <w:t xml:space="preserve"> they meet the so </w:t>
      </w:r>
      <w:r w:rsidR="00F43BA3" w:rsidRPr="009E6DB9">
        <w:rPr>
          <w:sz w:val="21"/>
          <w:szCs w:val="21"/>
        </w:rPr>
        <w:t>called</w:t>
      </w:r>
      <w:r w:rsidR="00F43BA3">
        <w:rPr>
          <w:sz w:val="21"/>
          <w:szCs w:val="21"/>
        </w:rPr>
        <w:t xml:space="preserve"> “</w:t>
      </w:r>
      <w:r w:rsidR="00F43BA3" w:rsidRPr="009E6DB9">
        <w:rPr>
          <w:sz w:val="21"/>
          <w:szCs w:val="21"/>
        </w:rPr>
        <w:t>Federal</w:t>
      </w:r>
      <w:r w:rsidR="00CB1653" w:rsidRPr="009E6DB9">
        <w:rPr>
          <w:sz w:val="21"/>
          <w:szCs w:val="21"/>
        </w:rPr>
        <w:t xml:space="preserve"> Carbon Pollution Pricing Benchmark” - a set of minimum national stringency criteria</w:t>
      </w:r>
      <w:r w:rsidR="00AF6871" w:rsidRPr="009E6DB9">
        <w:rPr>
          <w:sz w:val="21"/>
          <w:szCs w:val="21"/>
        </w:rPr>
        <w:t xml:space="preserve"> (Government of Canada 2022; ICC, 2022)</w:t>
      </w:r>
      <w:r w:rsidR="00CB1653" w:rsidRPr="009E6DB9">
        <w:rPr>
          <w:sz w:val="21"/>
          <w:szCs w:val="21"/>
        </w:rPr>
        <w:t xml:space="preserve">. </w:t>
      </w:r>
    </w:p>
    <w:p w14:paraId="724EE494" w14:textId="7567BB90" w:rsidR="00CB1653" w:rsidRPr="009E6DB9" w:rsidRDefault="00CB1653" w:rsidP="00123805">
      <w:pPr>
        <w:spacing w:after="0" w:line="240" w:lineRule="auto"/>
        <w:rPr>
          <w:sz w:val="21"/>
          <w:szCs w:val="21"/>
          <w:lang w:val="en-US"/>
        </w:rPr>
      </w:pPr>
      <w:r w:rsidRPr="009E6DB9">
        <w:rPr>
          <w:sz w:val="21"/>
          <w:szCs w:val="21"/>
        </w:rPr>
        <w:t xml:space="preserve">The federal carbon pricing system applies </w:t>
      </w:r>
      <w:r w:rsidR="00B14EBD" w:rsidRPr="009E6DB9">
        <w:rPr>
          <w:sz w:val="21"/>
          <w:szCs w:val="21"/>
        </w:rPr>
        <w:t>as a “backstop”</w:t>
      </w:r>
      <w:r w:rsidRPr="009E6DB9">
        <w:rPr>
          <w:sz w:val="21"/>
          <w:szCs w:val="21"/>
        </w:rPr>
        <w:t xml:space="preserve"> in provinces/territories that </w:t>
      </w:r>
      <w:r w:rsidR="004E47E4" w:rsidRPr="009E6DB9">
        <w:rPr>
          <w:sz w:val="21"/>
          <w:szCs w:val="21"/>
        </w:rPr>
        <w:t xml:space="preserve">either </w:t>
      </w:r>
      <w:r w:rsidRPr="009E6DB9">
        <w:rPr>
          <w:sz w:val="21"/>
          <w:szCs w:val="21"/>
        </w:rPr>
        <w:t xml:space="preserve">request it or </w:t>
      </w:r>
      <w:r w:rsidR="00166F15" w:rsidRPr="009E6DB9">
        <w:rPr>
          <w:sz w:val="21"/>
          <w:szCs w:val="21"/>
        </w:rPr>
        <w:t xml:space="preserve">that </w:t>
      </w:r>
      <w:r w:rsidR="009E6DB9" w:rsidRPr="009E6DB9">
        <w:rPr>
          <w:sz w:val="21"/>
          <w:szCs w:val="21"/>
        </w:rPr>
        <w:t>design a</w:t>
      </w:r>
      <w:r w:rsidRPr="009E6DB9">
        <w:rPr>
          <w:sz w:val="21"/>
          <w:szCs w:val="21"/>
        </w:rPr>
        <w:t xml:space="preserve"> system that </w:t>
      </w:r>
      <w:r w:rsidR="00487E71" w:rsidRPr="009E6DB9">
        <w:rPr>
          <w:sz w:val="21"/>
          <w:szCs w:val="21"/>
        </w:rPr>
        <w:t xml:space="preserve">fails to </w:t>
      </w:r>
      <w:r w:rsidRPr="009E6DB9">
        <w:rPr>
          <w:sz w:val="21"/>
          <w:szCs w:val="21"/>
        </w:rPr>
        <w:t>meet the minimum stringency requirements. A Federal carbon pricing backstop provides a</w:t>
      </w:r>
      <w:r w:rsidR="001E4B3D" w:rsidRPr="009E6DB9">
        <w:rPr>
          <w:sz w:val="21"/>
          <w:szCs w:val="21"/>
        </w:rPr>
        <w:t xml:space="preserve"> minimum level of ambition</w:t>
      </w:r>
      <w:r w:rsidRPr="009E6DB9">
        <w:rPr>
          <w:sz w:val="21"/>
          <w:szCs w:val="21"/>
        </w:rPr>
        <w:t xml:space="preserve"> that applies in any province or territory that does not have a carbon pricing system that meets the benchmark criteria</w:t>
      </w:r>
      <w:r w:rsidR="00464D5C" w:rsidRPr="009E6DB9">
        <w:rPr>
          <w:sz w:val="21"/>
          <w:szCs w:val="21"/>
        </w:rPr>
        <w:t xml:space="preserve"> (Government of Canada, 2023; ICC, 2022)</w:t>
      </w:r>
      <w:proofErr w:type="gramStart"/>
      <w:r w:rsidRPr="009E6DB9">
        <w:rPr>
          <w:sz w:val="21"/>
          <w:szCs w:val="21"/>
        </w:rPr>
        <w:t xml:space="preserve">.  </w:t>
      </w:r>
      <w:proofErr w:type="gramEnd"/>
      <w:r w:rsidRPr="009E6DB9">
        <w:rPr>
          <w:sz w:val="21"/>
          <w:szCs w:val="21"/>
        </w:rPr>
        <w:t>A</w:t>
      </w:r>
      <w:r w:rsidRPr="009E6DB9">
        <w:rPr>
          <w:sz w:val="21"/>
          <w:szCs w:val="21"/>
          <w:lang w:val="en-US"/>
        </w:rPr>
        <w:t xml:space="preserve"> province may also choose to apply this rather than introduce its own rules. </w:t>
      </w:r>
    </w:p>
    <w:p w14:paraId="4E8C55D0" w14:textId="77777777" w:rsidR="00F34C26" w:rsidRPr="009E6DB9" w:rsidRDefault="00F34C26" w:rsidP="00123805">
      <w:pPr>
        <w:spacing w:after="0" w:line="240" w:lineRule="auto"/>
        <w:rPr>
          <w:sz w:val="21"/>
          <w:szCs w:val="21"/>
          <w:lang w:val="en-US"/>
        </w:rPr>
      </w:pPr>
    </w:p>
    <w:p w14:paraId="57A3F4A1" w14:textId="5CF06153" w:rsidR="00CB1653" w:rsidRPr="009E6DB9" w:rsidRDefault="00CB1653" w:rsidP="00123805">
      <w:pPr>
        <w:spacing w:after="0" w:line="240" w:lineRule="auto"/>
        <w:rPr>
          <w:sz w:val="21"/>
          <w:szCs w:val="21"/>
          <w:lang w:val="en-US"/>
        </w:rPr>
      </w:pPr>
      <w:r w:rsidRPr="009E6DB9">
        <w:rPr>
          <w:sz w:val="21"/>
          <w:szCs w:val="21"/>
          <w:lang w:val="en-US"/>
        </w:rPr>
        <w:t xml:space="preserve">Part of the </w:t>
      </w:r>
      <w:r w:rsidR="00AB577F" w:rsidRPr="009E6DB9">
        <w:rPr>
          <w:sz w:val="21"/>
          <w:szCs w:val="21"/>
          <w:lang w:val="en-US"/>
        </w:rPr>
        <w:t xml:space="preserve">Carbon Pollution Pricing Benchmark </w:t>
      </w:r>
      <w:r w:rsidRPr="009E6DB9">
        <w:rPr>
          <w:sz w:val="21"/>
          <w:szCs w:val="21"/>
          <w:lang w:val="en-US"/>
        </w:rPr>
        <w:t>is a performance-based system for</w:t>
      </w:r>
      <w:r w:rsidR="00AB577F" w:rsidRPr="009E6DB9">
        <w:rPr>
          <w:sz w:val="21"/>
          <w:szCs w:val="21"/>
          <w:lang w:val="en-US"/>
        </w:rPr>
        <w:t xml:space="preserve"> </w:t>
      </w:r>
      <w:r w:rsidR="00166F15" w:rsidRPr="009E6DB9">
        <w:rPr>
          <w:sz w:val="21"/>
          <w:szCs w:val="21"/>
          <w:lang w:val="en-US"/>
        </w:rPr>
        <w:t>industry,</w:t>
      </w:r>
      <w:r w:rsidRPr="009E6DB9">
        <w:rPr>
          <w:sz w:val="21"/>
          <w:szCs w:val="21"/>
          <w:lang w:val="en-US"/>
        </w:rPr>
        <w:t xml:space="preserve"> known as the federal Output-Based Pricing System (OBPS). This system is designed to maintain the carbon price signal for industrial emitters to reduce their GHG </w:t>
      </w:r>
      <w:r w:rsidR="009E6DB9" w:rsidRPr="009E6DB9">
        <w:rPr>
          <w:sz w:val="21"/>
          <w:szCs w:val="21"/>
          <w:lang w:val="en-US"/>
        </w:rPr>
        <w:t>emissions</w:t>
      </w:r>
      <w:r w:rsidR="00166F15" w:rsidRPr="009E6DB9">
        <w:rPr>
          <w:sz w:val="21"/>
          <w:szCs w:val="21"/>
          <w:lang w:val="en-US"/>
        </w:rPr>
        <w:t>,</w:t>
      </w:r>
      <w:r w:rsidR="00FB5CC5" w:rsidRPr="009E6DB9">
        <w:rPr>
          <w:sz w:val="21"/>
          <w:szCs w:val="21"/>
          <w:lang w:val="en-US"/>
        </w:rPr>
        <w:t xml:space="preserve"> while setting output-based emissions standards for various products based on</w:t>
      </w:r>
      <w:r w:rsidR="00FB5CC5" w:rsidRPr="009E6DB9">
        <w:rPr>
          <w:sz w:val="21"/>
          <w:szCs w:val="21"/>
        </w:rPr>
        <w:t xml:space="preserve"> </w:t>
      </w:r>
      <w:r w:rsidRPr="009E6DB9">
        <w:rPr>
          <w:sz w:val="21"/>
          <w:szCs w:val="21"/>
          <w:lang w:val="en-US"/>
        </w:rPr>
        <w:t>the risk of carbon leakage and competitiveness impacts.</w:t>
      </w:r>
    </w:p>
    <w:p w14:paraId="47ECAFDC" w14:textId="7C3B08A7" w:rsidR="00CB1653" w:rsidRPr="009E6DB9" w:rsidRDefault="00CB1653" w:rsidP="00123805">
      <w:pPr>
        <w:spacing w:after="0" w:line="240" w:lineRule="auto"/>
        <w:rPr>
          <w:sz w:val="21"/>
          <w:szCs w:val="21"/>
          <w:lang w:val="en-US"/>
        </w:rPr>
      </w:pPr>
      <w:r w:rsidRPr="009E6DB9">
        <w:rPr>
          <w:sz w:val="21"/>
          <w:szCs w:val="21"/>
          <w:lang w:val="en-US"/>
        </w:rPr>
        <w:t xml:space="preserve">The </w:t>
      </w:r>
      <w:r w:rsidR="008A5838" w:rsidRPr="009E6DB9">
        <w:rPr>
          <w:sz w:val="21"/>
          <w:szCs w:val="21"/>
          <w:lang w:val="en-US"/>
        </w:rPr>
        <w:t>Federal</w:t>
      </w:r>
      <w:r w:rsidRPr="009E6DB9">
        <w:rPr>
          <w:sz w:val="21"/>
          <w:szCs w:val="21"/>
          <w:lang w:val="en-US"/>
        </w:rPr>
        <w:t xml:space="preserve"> OBPS applies to facilities in the emissions-intensive and trade-exposed industrial and electricity sectors that </w:t>
      </w:r>
      <w:r w:rsidR="0034604F" w:rsidRPr="009E6DB9">
        <w:rPr>
          <w:sz w:val="21"/>
          <w:szCs w:val="21"/>
          <w:lang w:val="en-US"/>
        </w:rPr>
        <w:t>emit 50,000</w:t>
      </w:r>
      <w:r w:rsidRPr="009E6DB9">
        <w:rPr>
          <w:sz w:val="21"/>
          <w:szCs w:val="21"/>
          <w:lang w:val="en-US"/>
        </w:rPr>
        <w:t xml:space="preserve"> tCO</w:t>
      </w:r>
      <w:r w:rsidR="00337F1E" w:rsidRPr="009E6DB9">
        <w:rPr>
          <w:sz w:val="21"/>
          <w:szCs w:val="21"/>
          <w:lang w:val="en-US"/>
        </w:rPr>
        <w:t>2</w:t>
      </w:r>
      <w:r w:rsidRPr="009E6DB9">
        <w:rPr>
          <w:sz w:val="21"/>
          <w:szCs w:val="21"/>
          <w:lang w:val="en-US"/>
        </w:rPr>
        <w:t xml:space="preserve"> e</w:t>
      </w:r>
      <w:r w:rsidR="00337F1E" w:rsidRPr="009E6DB9">
        <w:rPr>
          <w:sz w:val="21"/>
          <w:szCs w:val="21"/>
          <w:lang w:val="en-US"/>
        </w:rPr>
        <w:t xml:space="preserve"> annually</w:t>
      </w:r>
      <w:r w:rsidR="0053540B" w:rsidRPr="009E6DB9">
        <w:rPr>
          <w:sz w:val="21"/>
          <w:szCs w:val="21"/>
          <w:lang w:val="en-US"/>
        </w:rPr>
        <w:t xml:space="preserve"> or more.</w:t>
      </w:r>
      <w:r w:rsidRPr="009E6DB9">
        <w:rPr>
          <w:sz w:val="21"/>
          <w:szCs w:val="21"/>
          <w:lang w:val="en-US"/>
        </w:rPr>
        <w:t xml:space="preserve"> Smaller facilities with annual emissions 10,000 tCO</w:t>
      </w:r>
      <w:r w:rsidRPr="009E6DB9">
        <w:rPr>
          <w:rFonts w:ascii="Cambria Math" w:hAnsi="Cambria Math" w:cs="Cambria Math"/>
          <w:sz w:val="21"/>
          <w:szCs w:val="21"/>
          <w:lang w:val="en-US"/>
        </w:rPr>
        <w:t>₂</w:t>
      </w:r>
      <w:r w:rsidRPr="009E6DB9">
        <w:rPr>
          <w:sz w:val="21"/>
          <w:szCs w:val="21"/>
          <w:lang w:val="en-US"/>
        </w:rPr>
        <w:t xml:space="preserve">e </w:t>
      </w:r>
      <w:r w:rsidR="00C3793D" w:rsidRPr="009E6DB9">
        <w:rPr>
          <w:sz w:val="21"/>
          <w:szCs w:val="21"/>
          <w:lang w:val="en-US"/>
        </w:rPr>
        <w:t xml:space="preserve">or more </w:t>
      </w:r>
      <w:r w:rsidRPr="009E6DB9">
        <w:rPr>
          <w:sz w:val="21"/>
          <w:szCs w:val="21"/>
          <w:lang w:val="en-US"/>
        </w:rPr>
        <w:t>from sectors at risk of carbon leakage and adverse competitiveness impacts can apply to participate voluntarily</w:t>
      </w:r>
      <w:r w:rsidR="000963EB" w:rsidRPr="009E6DB9">
        <w:rPr>
          <w:sz w:val="21"/>
          <w:szCs w:val="21"/>
          <w:lang w:val="en-US"/>
        </w:rPr>
        <w:t xml:space="preserve"> (International Carbon Action Partnership, n.</w:t>
      </w:r>
      <w:r w:rsidR="00B019D1" w:rsidRPr="009E6DB9">
        <w:rPr>
          <w:sz w:val="21"/>
          <w:szCs w:val="21"/>
          <w:lang w:val="en-US"/>
        </w:rPr>
        <w:t>d</w:t>
      </w:r>
      <w:r w:rsidR="0034604F" w:rsidRPr="009E6DB9">
        <w:rPr>
          <w:sz w:val="21"/>
          <w:szCs w:val="21"/>
          <w:lang w:val="en-US"/>
        </w:rPr>
        <w:t>). Several</w:t>
      </w:r>
      <w:r w:rsidR="000E4219" w:rsidRPr="009E6DB9">
        <w:rPr>
          <w:sz w:val="21"/>
          <w:szCs w:val="21"/>
          <w:lang w:val="en-US"/>
        </w:rPr>
        <w:t xml:space="preserve"> Canadian jurisdictions have also implemented their own OBPS. </w:t>
      </w:r>
    </w:p>
    <w:p w14:paraId="1843A4D9" w14:textId="77777777" w:rsidR="00CB1653" w:rsidRPr="009E6DB9" w:rsidRDefault="00CB1653" w:rsidP="00123805">
      <w:pPr>
        <w:spacing w:after="0" w:line="240" w:lineRule="auto"/>
        <w:rPr>
          <w:sz w:val="21"/>
          <w:szCs w:val="21"/>
          <w:lang w:val="en-US"/>
        </w:rPr>
      </w:pPr>
    </w:p>
    <w:p w14:paraId="491D1221" w14:textId="1B56F049" w:rsidR="00F34C26" w:rsidRDefault="004F7BAE" w:rsidP="00F1315D">
      <w:pPr>
        <w:pStyle w:val="Heading1"/>
        <w:numPr>
          <w:ilvl w:val="0"/>
          <w:numId w:val="0"/>
        </w:numPr>
        <w:spacing w:before="0" w:line="240" w:lineRule="auto"/>
        <w:rPr>
          <w:sz w:val="21"/>
          <w:szCs w:val="21"/>
          <w:u w:val="single"/>
        </w:rPr>
      </w:pPr>
      <w:r w:rsidRPr="009E6DB9">
        <w:rPr>
          <w:color w:val="auto"/>
          <w:sz w:val="21"/>
          <w:szCs w:val="21"/>
          <w:u w:val="single"/>
        </w:rPr>
        <w:t xml:space="preserve">Additional </w:t>
      </w:r>
      <w:r w:rsidR="00F34C26" w:rsidRPr="009E6DB9">
        <w:rPr>
          <w:sz w:val="21"/>
          <w:szCs w:val="21"/>
          <w:u w:val="single"/>
        </w:rPr>
        <w:t>literature/studies for consideration:</w:t>
      </w:r>
    </w:p>
    <w:p w14:paraId="4D4C3D2B" w14:textId="77777777" w:rsidR="00C4406D" w:rsidRPr="009019FF" w:rsidRDefault="00C4406D" w:rsidP="009019FF"/>
    <w:p w14:paraId="7B4D46D7" w14:textId="77777777" w:rsidR="00F34C26" w:rsidRPr="009E6DB9" w:rsidRDefault="00F34C26" w:rsidP="00157B8D">
      <w:pPr>
        <w:numPr>
          <w:ilvl w:val="0"/>
          <w:numId w:val="14"/>
        </w:numPr>
        <w:spacing w:after="0" w:line="240" w:lineRule="auto"/>
        <w:contextualSpacing/>
        <w:rPr>
          <w:rFonts w:eastAsia="Calibri" w:cs="Times New Roman"/>
          <w:sz w:val="21"/>
          <w:szCs w:val="21"/>
          <w:lang w:eastAsia="en-US"/>
        </w:rPr>
      </w:pPr>
      <w:r w:rsidRPr="009E6DB9">
        <w:rPr>
          <w:rFonts w:eastAsia="Calibri" w:cs="Times New Roman"/>
          <w:sz w:val="21"/>
          <w:szCs w:val="21"/>
          <w:lang w:eastAsia="en-US"/>
        </w:rPr>
        <w:t xml:space="preserve">Directorate General for External Policies of the Union (2020) Briefing: Economic assessment of Carbon Leakage and Carbon Border Adjustment </w:t>
      </w:r>
      <w:hyperlink r:id="rId53" w:history="1">
        <w:r w:rsidRPr="009E6DB9">
          <w:rPr>
            <w:rFonts w:eastAsia="Calibri" w:cs="Times New Roman"/>
            <w:color w:val="0000FF"/>
            <w:sz w:val="21"/>
            <w:szCs w:val="21"/>
            <w:u w:val="single"/>
            <w:lang w:eastAsia="en-US"/>
          </w:rPr>
          <w:t>https://www.europarl.europa.eu/RegData/etudes/BRIE/2020/603501/EXPO_BRI(2020)603501_EN.pdf</w:t>
        </w:r>
      </w:hyperlink>
    </w:p>
    <w:p w14:paraId="5EA3918D" w14:textId="77777777" w:rsidR="00F34C26" w:rsidRPr="009E6DB9" w:rsidRDefault="00F34C26" w:rsidP="00157B8D">
      <w:pPr>
        <w:numPr>
          <w:ilvl w:val="0"/>
          <w:numId w:val="14"/>
        </w:numPr>
        <w:spacing w:after="0" w:line="240" w:lineRule="auto"/>
        <w:contextualSpacing/>
        <w:rPr>
          <w:rFonts w:eastAsia="Calibri" w:cs="Helvetica"/>
          <w:sz w:val="21"/>
          <w:szCs w:val="21"/>
          <w:lang w:eastAsia="en-US"/>
        </w:rPr>
      </w:pPr>
      <w:r w:rsidRPr="009E6DB9">
        <w:rPr>
          <w:rFonts w:eastAsia="Calibri" w:cs="Helvetica"/>
          <w:sz w:val="21"/>
          <w:szCs w:val="21"/>
          <w:lang w:eastAsia="en-US"/>
        </w:rPr>
        <w:lastRenderedPageBreak/>
        <w:t xml:space="preserve">Fournier Gabela, J.G., Freund, F (2023), Potential carbon leakage risk: a cross-sector cross-country assessment in the OECD area. Climatic Change 176, 65 </w:t>
      </w:r>
      <w:hyperlink r:id="rId54" w:history="1">
        <w:r w:rsidRPr="009E6DB9">
          <w:rPr>
            <w:rFonts w:eastAsia="Calibri" w:cs="Helvetica"/>
            <w:color w:val="0000FF"/>
            <w:sz w:val="21"/>
            <w:szCs w:val="21"/>
            <w:u w:val="single"/>
            <w:lang w:eastAsia="en-US"/>
          </w:rPr>
          <w:t>https://doi.org/10.1007/s10584-023-03544-x</w:t>
        </w:r>
      </w:hyperlink>
    </w:p>
    <w:p w14:paraId="4413BA58" w14:textId="77777777" w:rsidR="00F34C26" w:rsidRPr="009E6DB9" w:rsidRDefault="00F34C26" w:rsidP="00157B8D">
      <w:pPr>
        <w:numPr>
          <w:ilvl w:val="0"/>
          <w:numId w:val="14"/>
        </w:numPr>
        <w:spacing w:after="0" w:line="240" w:lineRule="auto"/>
        <w:contextualSpacing/>
        <w:rPr>
          <w:rFonts w:eastAsia="Calibri" w:cs="Helvetica"/>
          <w:sz w:val="21"/>
          <w:szCs w:val="21"/>
          <w:lang w:eastAsia="en-US"/>
        </w:rPr>
      </w:pPr>
      <w:r w:rsidRPr="009E6DB9">
        <w:rPr>
          <w:rFonts w:eastAsia="Calibri" w:cs="Helvetica"/>
          <w:sz w:val="21"/>
          <w:szCs w:val="21"/>
          <w:lang w:eastAsia="en-US"/>
        </w:rPr>
        <w:t>Grubb, M. et al. (2022)</w:t>
      </w:r>
      <w:r w:rsidRPr="009E6DB9">
        <w:rPr>
          <w:rFonts w:eastAsia="Calibri" w:cs="Times New Roman"/>
          <w:sz w:val="21"/>
          <w:szCs w:val="21"/>
          <w:lang w:eastAsia="en-US"/>
        </w:rPr>
        <w:t xml:space="preserve"> </w:t>
      </w:r>
      <w:r w:rsidRPr="009E6DB9">
        <w:rPr>
          <w:rFonts w:eastAsia="Calibri" w:cs="Helvetica"/>
          <w:sz w:val="21"/>
          <w:szCs w:val="21"/>
          <w:lang w:eastAsia="en-US"/>
        </w:rPr>
        <w:t xml:space="preserve">Carbon Leakage, Consumption, and Trade, in Annual Review of Environment and Resources 2022 47:1 </w:t>
      </w:r>
      <w:hyperlink r:id="rId55" w:history="1">
        <w:r w:rsidRPr="009E6DB9">
          <w:rPr>
            <w:rFonts w:eastAsia="Calibri" w:cs="Helvetica"/>
            <w:color w:val="0000FF"/>
            <w:sz w:val="21"/>
            <w:szCs w:val="21"/>
            <w:u w:val="single"/>
            <w:lang w:eastAsia="en-US"/>
          </w:rPr>
          <w:t>https://www.lse.ac.uk/granthaminstitute/publication/carbon-leakage-consumption-and-trade/</w:t>
        </w:r>
      </w:hyperlink>
    </w:p>
    <w:p w14:paraId="43E09FEE" w14:textId="77777777" w:rsidR="00F34C26" w:rsidRPr="009E6DB9" w:rsidRDefault="00F34C26" w:rsidP="00157B8D">
      <w:pPr>
        <w:numPr>
          <w:ilvl w:val="0"/>
          <w:numId w:val="14"/>
        </w:numPr>
        <w:spacing w:after="0" w:line="240" w:lineRule="auto"/>
        <w:contextualSpacing/>
        <w:rPr>
          <w:rFonts w:eastAsia="Calibri" w:cs="Times New Roman"/>
          <w:sz w:val="21"/>
          <w:szCs w:val="21"/>
          <w:lang w:eastAsia="en-US"/>
        </w:rPr>
      </w:pPr>
      <w:r w:rsidRPr="009E6DB9">
        <w:rPr>
          <w:rFonts w:eastAsia="Calibri" w:cs="Times New Roman"/>
          <w:sz w:val="21"/>
          <w:szCs w:val="21"/>
          <w:lang w:eastAsia="en-US"/>
        </w:rPr>
        <w:t xml:space="preserve">Marcu, A. et al. (2013) Carbon Leakage: An overview, CEPS Special Report No. 79 </w:t>
      </w:r>
      <w:hyperlink r:id="rId56" w:history="1">
        <w:r w:rsidRPr="009E6DB9">
          <w:rPr>
            <w:rFonts w:eastAsia="Calibri" w:cs="Times New Roman"/>
            <w:color w:val="0000FF"/>
            <w:sz w:val="21"/>
            <w:szCs w:val="21"/>
            <w:u w:val="single"/>
            <w:lang w:eastAsia="en-US"/>
          </w:rPr>
          <w:t>https://www.ceps.eu/ceps-publications/carbon-leakage-overview/</w:t>
        </w:r>
      </w:hyperlink>
    </w:p>
    <w:p w14:paraId="1B643EC3" w14:textId="77777777" w:rsidR="00F34C26" w:rsidRPr="009E6DB9" w:rsidRDefault="00F34C26" w:rsidP="00157B8D">
      <w:pPr>
        <w:numPr>
          <w:ilvl w:val="0"/>
          <w:numId w:val="14"/>
        </w:numPr>
        <w:spacing w:after="0" w:line="240" w:lineRule="auto"/>
        <w:contextualSpacing/>
        <w:rPr>
          <w:rFonts w:eastAsia="Calibri" w:cs="Helvetica"/>
          <w:sz w:val="21"/>
          <w:szCs w:val="21"/>
          <w:lang w:eastAsia="en-US"/>
        </w:rPr>
      </w:pPr>
      <w:r w:rsidRPr="009E6DB9">
        <w:rPr>
          <w:rFonts w:eastAsia="Calibri" w:cs="Times New Roman"/>
          <w:color w:val="2A2A2A"/>
          <w:sz w:val="21"/>
          <w:szCs w:val="21"/>
          <w:shd w:val="clear" w:color="auto" w:fill="FFFFFF"/>
          <w:lang w:eastAsia="en-US"/>
        </w:rPr>
        <w:t>Mehling</w:t>
      </w:r>
      <w:r w:rsidRPr="009E6DB9">
        <w:rPr>
          <w:rFonts w:eastAsia="Calibri" w:cs="Times New Roman"/>
          <w:color w:val="2A2A2A"/>
          <w:sz w:val="21"/>
          <w:szCs w:val="21"/>
          <w:bdr w:val="none" w:sz="0" w:space="0" w:color="auto" w:frame="1"/>
          <w:shd w:val="clear" w:color="auto" w:fill="FFFFFF"/>
          <w:lang w:eastAsia="en-US"/>
        </w:rPr>
        <w:t>, M.A., </w:t>
      </w:r>
      <w:r w:rsidRPr="009E6DB9">
        <w:rPr>
          <w:rFonts w:eastAsia="Calibri" w:cs="Times New Roman"/>
          <w:color w:val="2A2A2A"/>
          <w:sz w:val="21"/>
          <w:szCs w:val="21"/>
          <w:shd w:val="clear" w:color="auto" w:fill="FFFFFF"/>
          <w:lang w:eastAsia="en-US"/>
        </w:rPr>
        <w:t>Ritz, R.A. (2023) From theory to practice: determining emissions in traded goods under a border carbon adjustment, </w:t>
      </w:r>
      <w:r w:rsidRPr="009E6DB9">
        <w:rPr>
          <w:rFonts w:eastAsia="Calibri" w:cs="Times New Roman"/>
          <w:i/>
          <w:iCs/>
          <w:color w:val="2A2A2A"/>
          <w:sz w:val="21"/>
          <w:szCs w:val="21"/>
          <w:bdr w:val="none" w:sz="0" w:space="0" w:color="auto" w:frame="1"/>
          <w:shd w:val="clear" w:color="auto" w:fill="FFFFFF"/>
          <w:lang w:eastAsia="en-US"/>
        </w:rPr>
        <w:t>Oxford Review of Economic Policy</w:t>
      </w:r>
      <w:r w:rsidRPr="009E6DB9">
        <w:rPr>
          <w:rFonts w:eastAsia="Calibri" w:cs="Times New Roman"/>
          <w:color w:val="2A2A2A"/>
          <w:sz w:val="21"/>
          <w:szCs w:val="21"/>
          <w:shd w:val="clear" w:color="auto" w:fill="FFFFFF"/>
          <w:lang w:eastAsia="en-US"/>
        </w:rPr>
        <w:t>, Volume 39, Issue 1, Spring 2023, </w:t>
      </w:r>
      <w:hyperlink r:id="rId57" w:history="1">
        <w:r w:rsidRPr="009E6DB9">
          <w:rPr>
            <w:rFonts w:eastAsia="Calibri" w:cs="Times New Roman"/>
            <w:color w:val="006FB7"/>
            <w:sz w:val="21"/>
            <w:szCs w:val="21"/>
            <w:u w:val="single"/>
            <w:bdr w:val="none" w:sz="0" w:space="0" w:color="auto" w:frame="1"/>
            <w:shd w:val="clear" w:color="auto" w:fill="FFFFFF"/>
            <w:lang w:eastAsia="en-US"/>
          </w:rPr>
          <w:t>https://doi.org/10.1093/oxrep/grac043</w:t>
        </w:r>
      </w:hyperlink>
    </w:p>
    <w:p w14:paraId="6FC87563" w14:textId="77777777" w:rsidR="00F34C26" w:rsidRPr="009E6DB9" w:rsidRDefault="00F34C26" w:rsidP="00157B8D">
      <w:pPr>
        <w:numPr>
          <w:ilvl w:val="0"/>
          <w:numId w:val="14"/>
        </w:numPr>
        <w:spacing w:after="0" w:line="240" w:lineRule="auto"/>
        <w:contextualSpacing/>
        <w:rPr>
          <w:rFonts w:eastAsia="Calibri" w:cs="Helvetica"/>
          <w:sz w:val="21"/>
          <w:szCs w:val="21"/>
          <w:lang w:eastAsia="en-US"/>
        </w:rPr>
      </w:pPr>
      <w:r w:rsidRPr="009E6DB9">
        <w:rPr>
          <w:rFonts w:eastAsia="Calibri" w:cs="Times New Roman"/>
          <w:sz w:val="21"/>
          <w:szCs w:val="21"/>
          <w:lang w:eastAsia="en-US"/>
        </w:rPr>
        <w:t>Partnership for Market Readiness (2015), “Carbon Leakage: Theory, Evidence, and Policy”, PMR Technical Note 11. World Bank, Washington, DC., https://doi.org/10.1596/K8516</w:t>
      </w:r>
    </w:p>
    <w:p w14:paraId="784C39CB" w14:textId="77777777" w:rsidR="00F34C26" w:rsidRPr="009E6DB9" w:rsidRDefault="00F34C26" w:rsidP="00157B8D">
      <w:pPr>
        <w:numPr>
          <w:ilvl w:val="0"/>
          <w:numId w:val="14"/>
        </w:numPr>
        <w:spacing w:after="0" w:line="240" w:lineRule="auto"/>
        <w:contextualSpacing/>
        <w:rPr>
          <w:rFonts w:eastAsia="Calibri" w:cs="Times New Roman"/>
          <w:sz w:val="21"/>
          <w:szCs w:val="21"/>
          <w:lang w:eastAsia="en-US"/>
        </w:rPr>
      </w:pPr>
      <w:r w:rsidRPr="009E6DB9">
        <w:rPr>
          <w:rFonts w:eastAsia="Calibri" w:cs="Times New Roman"/>
          <w:sz w:val="21"/>
          <w:szCs w:val="21"/>
          <w:lang w:eastAsia="en-US"/>
        </w:rPr>
        <w:t xml:space="preserve">PMR and ICAP (2021) Emissions Trading in Practice: A Handbook on Design and Implementation. Second edition. Washington, DC: Partnership for Market Readiness and International Carbon Action Partnership, World Bank. </w:t>
      </w:r>
      <w:hyperlink r:id="rId58" w:history="1">
        <w:r w:rsidRPr="009E6DB9">
          <w:rPr>
            <w:rFonts w:eastAsia="Calibri" w:cs="Times New Roman"/>
            <w:color w:val="0000FF"/>
            <w:sz w:val="21"/>
            <w:szCs w:val="21"/>
            <w:u w:val="single"/>
            <w:lang w:eastAsia="en-US"/>
          </w:rPr>
          <w:t>https://openknowledge.worldbank.org/handle/10986/35413</w:t>
        </w:r>
      </w:hyperlink>
      <w:r w:rsidRPr="009E6DB9">
        <w:rPr>
          <w:rFonts w:eastAsia="Calibri" w:cs="Times New Roman"/>
          <w:sz w:val="21"/>
          <w:szCs w:val="21"/>
          <w:lang w:eastAsia="en-US"/>
        </w:rPr>
        <w:t>.</w:t>
      </w:r>
    </w:p>
    <w:p w14:paraId="1F521111" w14:textId="77777777" w:rsidR="00F34C26" w:rsidRPr="009E6DB9" w:rsidRDefault="00F34C26" w:rsidP="00157B8D">
      <w:pPr>
        <w:numPr>
          <w:ilvl w:val="0"/>
          <w:numId w:val="14"/>
        </w:numPr>
        <w:spacing w:after="0" w:line="240" w:lineRule="auto"/>
        <w:contextualSpacing/>
        <w:rPr>
          <w:rFonts w:eastAsia="Calibri" w:cs="Helvetica"/>
          <w:sz w:val="21"/>
          <w:szCs w:val="21"/>
          <w:lang w:eastAsia="en-US"/>
        </w:rPr>
      </w:pPr>
      <w:r w:rsidRPr="009E6DB9">
        <w:rPr>
          <w:rFonts w:eastAsia="Calibri" w:cs="Helvetica"/>
          <w:sz w:val="21"/>
          <w:szCs w:val="21"/>
          <w:lang w:eastAsia="en-US"/>
        </w:rPr>
        <w:t>Weisbach, D.A. (2023),</w:t>
      </w:r>
      <w:r w:rsidRPr="009E6DB9">
        <w:rPr>
          <w:rFonts w:eastAsia="Calibri" w:cs="Times New Roman"/>
          <w:sz w:val="21"/>
          <w:szCs w:val="21"/>
          <w:lang w:eastAsia="en-US"/>
        </w:rPr>
        <w:t xml:space="preserve"> </w:t>
      </w:r>
      <w:r w:rsidRPr="009E6DB9">
        <w:rPr>
          <w:rFonts w:eastAsia="Calibri" w:cs="Helvetica"/>
          <w:sz w:val="21"/>
          <w:szCs w:val="21"/>
          <w:lang w:eastAsia="en-US"/>
        </w:rPr>
        <w:t xml:space="preserve">Trade, Leakage, and the Design of a Carbon Tax, in University of Chicago Coase-Sandor Institute for Law &amp; Economics Research Paper No. 970 </w:t>
      </w:r>
      <w:hyperlink r:id="rId59" w:history="1">
        <w:r w:rsidRPr="009E6DB9">
          <w:rPr>
            <w:rFonts w:eastAsia="Calibri" w:cs="Helvetica"/>
            <w:color w:val="0000FF"/>
            <w:sz w:val="21"/>
            <w:szCs w:val="21"/>
            <w:u w:val="single"/>
            <w:lang w:eastAsia="en-US"/>
          </w:rPr>
          <w:t>https://www.journals.uchicago.edu/doi/abs/10.1086/722673</w:t>
        </w:r>
      </w:hyperlink>
    </w:p>
    <w:p w14:paraId="179FC3B8" w14:textId="43B2A0A4" w:rsidR="00EF19C1" w:rsidRPr="009E6DB9" w:rsidRDefault="00EF19C1" w:rsidP="00157B8D">
      <w:pPr>
        <w:numPr>
          <w:ilvl w:val="0"/>
          <w:numId w:val="14"/>
        </w:numPr>
        <w:spacing w:after="0" w:line="240" w:lineRule="auto"/>
        <w:contextualSpacing/>
        <w:rPr>
          <w:rFonts w:eastAsia="Calibri" w:cs="Helvetica"/>
          <w:sz w:val="21"/>
          <w:szCs w:val="21"/>
          <w:lang w:eastAsia="en-US"/>
        </w:rPr>
      </w:pPr>
      <w:r w:rsidRPr="009E6DB9">
        <w:rPr>
          <w:rFonts w:eastAsia="Calibri" w:cs="Helvetica"/>
          <w:sz w:val="21"/>
          <w:szCs w:val="21"/>
          <w:lang w:eastAsia="en-US"/>
        </w:rPr>
        <w:t xml:space="preserve">World Bank: Carbon Tax Guide: A Handbook for Policymakers: </w:t>
      </w:r>
      <w:r w:rsidR="006C6F62" w:rsidRPr="009E6DB9">
        <w:rPr>
          <w:rFonts w:eastAsia="Calibri" w:cs="Helvetica"/>
          <w:sz w:val="21"/>
          <w:szCs w:val="21"/>
          <w:lang w:eastAsia="en-US"/>
        </w:rPr>
        <w:t>https://openknowledge.worldbank.org/entities/publication/c31d9298-30bf-55fb-acad-ad0605b06e9c</w:t>
      </w:r>
    </w:p>
    <w:p w14:paraId="32C97589" w14:textId="33FDC44C" w:rsidR="00EF19C1" w:rsidRPr="009E6DB9" w:rsidRDefault="00EF19C1" w:rsidP="006C6F62">
      <w:pPr>
        <w:spacing w:after="0" w:line="240" w:lineRule="auto"/>
        <w:ind w:left="720"/>
        <w:contextualSpacing/>
        <w:rPr>
          <w:rFonts w:eastAsia="Calibri" w:cs="Helvetica"/>
          <w:sz w:val="21"/>
          <w:szCs w:val="21"/>
          <w:lang w:eastAsia="en-US"/>
        </w:rPr>
      </w:pPr>
    </w:p>
    <w:p w14:paraId="60519E7A" w14:textId="77777777" w:rsidR="00004A9A" w:rsidRPr="009E6DB9" w:rsidRDefault="00004A9A" w:rsidP="00123805">
      <w:pPr>
        <w:spacing w:after="0" w:line="240" w:lineRule="auto"/>
        <w:rPr>
          <w:rStyle w:val="Hyperlink"/>
          <w:sz w:val="21"/>
          <w:szCs w:val="21"/>
        </w:rPr>
      </w:pPr>
    </w:p>
    <w:p w14:paraId="0D7245A6" w14:textId="0EA6B36E" w:rsidR="00495178" w:rsidRPr="009E6DB9" w:rsidRDefault="00495178" w:rsidP="00123805">
      <w:pPr>
        <w:spacing w:after="0" w:line="240" w:lineRule="auto"/>
        <w:rPr>
          <w:sz w:val="21"/>
          <w:szCs w:val="21"/>
        </w:rPr>
      </w:pPr>
    </w:p>
    <w:p w14:paraId="25612FDC" w14:textId="77777777" w:rsidR="00436BE6" w:rsidRPr="009E6DB9" w:rsidRDefault="00436BE6" w:rsidP="00123805">
      <w:pPr>
        <w:spacing w:after="0" w:line="240" w:lineRule="auto"/>
        <w:rPr>
          <w:sz w:val="21"/>
          <w:szCs w:val="21"/>
        </w:rPr>
        <w:sectPr w:rsidR="00436BE6" w:rsidRPr="009E6DB9">
          <w:pgSz w:w="11906" w:h="16838"/>
          <w:pgMar w:top="1417" w:right="1417" w:bottom="1417" w:left="1417" w:header="720" w:footer="720" w:gutter="0"/>
          <w:cols w:space="720"/>
          <w:docGrid w:linePitch="360"/>
        </w:sectPr>
      </w:pPr>
    </w:p>
    <w:p w14:paraId="30F778FC" w14:textId="11E1F4D5" w:rsidR="007A73E2" w:rsidRPr="00476926" w:rsidRDefault="007A73E2" w:rsidP="007A73E2">
      <w:pPr>
        <w:pStyle w:val="Heading1"/>
        <w:numPr>
          <w:ilvl w:val="0"/>
          <w:numId w:val="0"/>
        </w:numPr>
        <w:spacing w:before="0" w:line="240" w:lineRule="auto"/>
        <w:rPr>
          <w:sz w:val="21"/>
          <w:szCs w:val="21"/>
        </w:rPr>
      </w:pPr>
      <w:r w:rsidRPr="00476926">
        <w:rPr>
          <w:sz w:val="21"/>
          <w:szCs w:val="21"/>
        </w:rPr>
        <w:lastRenderedPageBreak/>
        <w:t>Annex II</w:t>
      </w:r>
      <w:r w:rsidR="00C366DF" w:rsidRPr="00476926">
        <w:rPr>
          <w:sz w:val="21"/>
          <w:szCs w:val="21"/>
        </w:rPr>
        <w:t xml:space="preserve"> </w:t>
      </w:r>
    </w:p>
    <w:p w14:paraId="138102D4" w14:textId="77777777" w:rsidR="00E03B6F" w:rsidRPr="00476926" w:rsidRDefault="00E03B6F" w:rsidP="00906ED3">
      <w:pPr>
        <w:spacing w:after="0" w:line="240" w:lineRule="auto"/>
        <w:rPr>
          <w:sz w:val="21"/>
          <w:szCs w:val="21"/>
          <w:lang w:val="en-US"/>
        </w:rPr>
      </w:pPr>
    </w:p>
    <w:p w14:paraId="57563DE1" w14:textId="047577A5" w:rsidR="00E03B6F" w:rsidRPr="00476926" w:rsidRDefault="00E03B6F" w:rsidP="00906ED3">
      <w:pPr>
        <w:pStyle w:val="Heading1"/>
        <w:numPr>
          <w:ilvl w:val="0"/>
          <w:numId w:val="0"/>
        </w:numPr>
        <w:spacing w:before="0" w:line="240" w:lineRule="auto"/>
        <w:rPr>
          <w:color w:val="auto"/>
          <w:sz w:val="21"/>
          <w:szCs w:val="21"/>
          <w:u w:val="single"/>
        </w:rPr>
      </w:pPr>
      <w:r w:rsidRPr="00476926">
        <w:rPr>
          <w:color w:val="auto"/>
          <w:sz w:val="21"/>
          <w:szCs w:val="21"/>
          <w:u w:val="single"/>
        </w:rPr>
        <w:t xml:space="preserve">Comparison of Core Features of Carbon Market </w:t>
      </w:r>
      <w:r w:rsidR="009507B1">
        <w:rPr>
          <w:color w:val="auto"/>
          <w:sz w:val="21"/>
          <w:szCs w:val="21"/>
          <w:u w:val="single"/>
        </w:rPr>
        <w:t>Mechanisms</w:t>
      </w:r>
      <w:r w:rsidRPr="00476926">
        <w:rPr>
          <w:color w:val="auto"/>
          <w:sz w:val="21"/>
          <w:szCs w:val="21"/>
          <w:u w:val="single"/>
        </w:rPr>
        <w:t xml:space="preserve">  </w:t>
      </w:r>
    </w:p>
    <w:p w14:paraId="2290C9CA" w14:textId="33E78F91" w:rsidR="00E03B6F" w:rsidRPr="00476926" w:rsidRDefault="00E03B6F" w:rsidP="00906ED3">
      <w:pPr>
        <w:spacing w:after="0" w:line="240" w:lineRule="auto"/>
        <w:rPr>
          <w:sz w:val="21"/>
          <w:szCs w:val="21"/>
        </w:rPr>
      </w:pPr>
    </w:p>
    <w:tbl>
      <w:tblPr>
        <w:tblStyle w:val="GridTable1Light"/>
        <w:tblW w:w="11739" w:type="dxa"/>
        <w:tblInd w:w="595" w:type="dxa"/>
        <w:tblLook w:val="04A0" w:firstRow="1" w:lastRow="0" w:firstColumn="1" w:lastColumn="0" w:noHBand="0" w:noVBand="1"/>
      </w:tblPr>
      <w:tblGrid>
        <w:gridCol w:w="3814"/>
        <w:gridCol w:w="3253"/>
        <w:gridCol w:w="2342"/>
        <w:gridCol w:w="2330"/>
      </w:tblGrid>
      <w:tr w:rsidR="00E03B6F" w:rsidRPr="00476926" w14:paraId="1BE5E00E" w14:textId="77777777" w:rsidTr="00E03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79A1730" w14:textId="77777777" w:rsidR="00E03B6F" w:rsidRPr="00476926" w:rsidDel="00BF70DF" w:rsidRDefault="00E03B6F" w:rsidP="00906ED3">
            <w:pPr>
              <w:rPr>
                <w:sz w:val="21"/>
                <w:szCs w:val="21"/>
              </w:rPr>
            </w:pPr>
          </w:p>
        </w:tc>
        <w:tc>
          <w:tcPr>
            <w:tcW w:w="0" w:type="dxa"/>
          </w:tcPr>
          <w:p w14:paraId="5D7846E1" w14:textId="77777777" w:rsidR="00E03B6F" w:rsidRPr="00476926" w:rsidRDefault="00E03B6F" w:rsidP="00906ED3">
            <w:pPr>
              <w:pStyle w:val="ListParagraph"/>
              <w:ind w:left="0"/>
              <w:cnfStyle w:val="100000000000" w:firstRow="1" w:lastRow="0" w:firstColumn="0" w:lastColumn="0" w:oddVBand="0" w:evenVBand="0" w:oddHBand="0" w:evenHBand="0" w:firstRowFirstColumn="0" w:firstRowLastColumn="0" w:lastRowFirstColumn="0" w:lastRowLastColumn="0"/>
              <w:rPr>
                <w:b w:val="0"/>
                <w:bCs w:val="0"/>
                <w:sz w:val="21"/>
                <w:szCs w:val="21"/>
                <w:lang w:val="fr-FR"/>
              </w:rPr>
            </w:pPr>
            <w:r w:rsidRPr="00476926">
              <w:rPr>
                <w:sz w:val="21"/>
                <w:szCs w:val="21"/>
                <w:lang w:val="fr-FR"/>
              </w:rPr>
              <w:t>National/Sub-national Compliance Mechanisms</w:t>
            </w:r>
          </w:p>
          <w:p w14:paraId="6A4419A6" w14:textId="77777777" w:rsidR="00E03B6F" w:rsidRPr="00476926" w:rsidRDefault="00E03B6F" w:rsidP="00906ED3">
            <w:pPr>
              <w:pStyle w:val="ListParagraph"/>
              <w:ind w:left="0"/>
              <w:cnfStyle w:val="100000000000" w:firstRow="1" w:lastRow="0" w:firstColumn="0" w:lastColumn="0" w:oddVBand="0" w:evenVBand="0" w:oddHBand="0" w:evenHBand="0" w:firstRowFirstColumn="0" w:firstRowLastColumn="0" w:lastRowFirstColumn="0" w:lastRowLastColumn="0"/>
              <w:rPr>
                <w:sz w:val="21"/>
                <w:szCs w:val="21"/>
                <w:lang w:val="fr-FR"/>
              </w:rPr>
            </w:pPr>
          </w:p>
        </w:tc>
        <w:tc>
          <w:tcPr>
            <w:tcW w:w="0" w:type="dxa"/>
          </w:tcPr>
          <w:p w14:paraId="5198F56E" w14:textId="77777777" w:rsidR="00E03B6F" w:rsidRPr="00476926" w:rsidRDefault="00E03B6F" w:rsidP="00906ED3">
            <w:pPr>
              <w:pStyle w:val="ListParagraph"/>
              <w:ind w:left="0"/>
              <w:cnfStyle w:val="100000000000" w:firstRow="1" w:lastRow="0" w:firstColumn="0" w:lastColumn="0" w:oddVBand="0" w:evenVBand="0" w:oddHBand="0" w:evenHBand="0" w:firstRowFirstColumn="0" w:firstRowLastColumn="0" w:lastRowFirstColumn="0" w:lastRowLastColumn="0"/>
              <w:rPr>
                <w:sz w:val="21"/>
                <w:szCs w:val="21"/>
              </w:rPr>
            </w:pPr>
            <w:r w:rsidRPr="00476926">
              <w:rPr>
                <w:sz w:val="21"/>
                <w:szCs w:val="21"/>
              </w:rPr>
              <w:t>Voluntary Carbon Market Mechanisms</w:t>
            </w:r>
            <w:r w:rsidRPr="00476926">
              <w:rPr>
                <w:sz w:val="21"/>
                <w:szCs w:val="21"/>
                <w:lang w:val="fr-FR"/>
              </w:rPr>
              <w:t xml:space="preserve"> </w:t>
            </w:r>
          </w:p>
        </w:tc>
        <w:tc>
          <w:tcPr>
            <w:tcW w:w="0" w:type="dxa"/>
          </w:tcPr>
          <w:p w14:paraId="740C6E06" w14:textId="77777777" w:rsidR="00E03B6F" w:rsidRPr="00476926" w:rsidRDefault="00E03B6F" w:rsidP="00906ED3">
            <w:pPr>
              <w:pStyle w:val="ListParagraph"/>
              <w:ind w:left="0"/>
              <w:cnfStyle w:val="100000000000" w:firstRow="1" w:lastRow="0" w:firstColumn="0" w:lastColumn="0" w:oddVBand="0" w:evenVBand="0" w:oddHBand="0" w:evenHBand="0" w:firstRowFirstColumn="0" w:firstRowLastColumn="0" w:lastRowFirstColumn="0" w:lastRowLastColumn="0"/>
              <w:rPr>
                <w:sz w:val="21"/>
                <w:szCs w:val="21"/>
              </w:rPr>
            </w:pPr>
            <w:r w:rsidRPr="00476926">
              <w:rPr>
                <w:sz w:val="21"/>
                <w:szCs w:val="21"/>
              </w:rPr>
              <w:t xml:space="preserve">International Mechanisms, Paris Agreement, Article 6 </w:t>
            </w:r>
          </w:p>
        </w:tc>
      </w:tr>
      <w:tr w:rsidR="00E03B6F" w:rsidRPr="00476926" w14:paraId="4E37F562"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5CD146EF" w14:textId="77777777" w:rsidR="00E03B6F" w:rsidRPr="00476926" w:rsidDel="00BF70DF" w:rsidRDefault="00E03B6F" w:rsidP="00906ED3">
            <w:pPr>
              <w:rPr>
                <w:rFonts w:cstheme="minorHAnsi"/>
                <w:sz w:val="21"/>
                <w:szCs w:val="21"/>
              </w:rPr>
            </w:pPr>
            <w:r w:rsidRPr="00476926">
              <w:rPr>
                <w:rFonts w:cstheme="minorHAnsi"/>
                <w:sz w:val="21"/>
                <w:szCs w:val="21"/>
              </w:rPr>
              <w:t>Legal Basis</w:t>
            </w:r>
          </w:p>
        </w:tc>
        <w:tc>
          <w:tcPr>
            <w:tcW w:w="0" w:type="dxa"/>
          </w:tcPr>
          <w:p w14:paraId="639B3476" w14:textId="77777777" w:rsidR="00E03B6F" w:rsidRPr="00476926" w:rsidRDefault="00E03B6F"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r w:rsidRPr="007150F0">
              <w:rPr>
                <w:rFonts w:ascii="Gellix" w:hAnsi="Gellix" w:cstheme="minorHAnsi"/>
                <w:sz w:val="21"/>
                <w:szCs w:val="21"/>
              </w:rPr>
              <w:t xml:space="preserve">Domestic law, national or local government regulation </w:t>
            </w:r>
          </w:p>
        </w:tc>
        <w:tc>
          <w:tcPr>
            <w:tcW w:w="0" w:type="dxa"/>
          </w:tcPr>
          <w:p w14:paraId="54387373" w14:textId="7777777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 xml:space="preserve">Private international law, contract </w:t>
            </w:r>
          </w:p>
        </w:tc>
        <w:tc>
          <w:tcPr>
            <w:tcW w:w="0" w:type="dxa"/>
          </w:tcPr>
          <w:p w14:paraId="14B1E1CA" w14:textId="77777777" w:rsidR="00E03B6F" w:rsidRPr="00476926" w:rsidRDefault="00E03B6F" w:rsidP="00906ED3">
            <w:pPr>
              <w:pStyle w:val="ListParagraph"/>
              <w:cnfStyle w:val="000000000000" w:firstRow="0" w:lastRow="0" w:firstColumn="0" w:lastColumn="0" w:oddVBand="0" w:evenVBand="0" w:oddHBand="0" w:evenHBand="0" w:firstRowFirstColumn="0" w:firstRowLastColumn="0" w:lastRowFirstColumn="0" w:lastRowLastColumn="0"/>
              <w:rPr>
                <w:sz w:val="21"/>
                <w:szCs w:val="21"/>
              </w:rPr>
            </w:pPr>
          </w:p>
          <w:p w14:paraId="072FC227" w14:textId="7777777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International law, Paris Agreement, Article 6</w:t>
            </w:r>
          </w:p>
        </w:tc>
      </w:tr>
      <w:tr w:rsidR="008849F4" w:rsidRPr="00476926" w14:paraId="0AEFF0F8"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48D048C8" w14:textId="2C3E9F66" w:rsidR="008849F4" w:rsidRPr="00476926" w:rsidRDefault="008849F4" w:rsidP="00906ED3">
            <w:pPr>
              <w:rPr>
                <w:rFonts w:cstheme="minorHAnsi"/>
                <w:sz w:val="21"/>
                <w:szCs w:val="21"/>
              </w:rPr>
            </w:pPr>
            <w:r w:rsidRPr="00476926">
              <w:rPr>
                <w:rFonts w:cstheme="minorHAnsi"/>
                <w:sz w:val="21"/>
                <w:szCs w:val="21"/>
              </w:rPr>
              <w:t>Definitions</w:t>
            </w:r>
          </w:p>
        </w:tc>
        <w:tc>
          <w:tcPr>
            <w:tcW w:w="0" w:type="dxa"/>
          </w:tcPr>
          <w:p w14:paraId="7984EC1B" w14:textId="311809BA" w:rsidR="008849F4" w:rsidRPr="007150F0" w:rsidRDefault="008849F4"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r w:rsidRPr="007150F0">
              <w:rPr>
                <w:rFonts w:ascii="Gellix" w:hAnsi="Gellix" w:cstheme="minorHAnsi"/>
                <w:sz w:val="21"/>
                <w:szCs w:val="21"/>
              </w:rPr>
              <w:t>Required by law to reduce emissions</w:t>
            </w:r>
          </w:p>
        </w:tc>
        <w:tc>
          <w:tcPr>
            <w:tcW w:w="0" w:type="dxa"/>
          </w:tcPr>
          <w:p w14:paraId="7B62C4A3" w14:textId="76F319A6" w:rsidR="008849F4" w:rsidRPr="00476926" w:rsidRDefault="00E31E71"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Volunteers to offset emissions</w:t>
            </w:r>
          </w:p>
        </w:tc>
        <w:tc>
          <w:tcPr>
            <w:tcW w:w="0" w:type="dxa"/>
          </w:tcPr>
          <w:p w14:paraId="171E92BC" w14:textId="38695296" w:rsidR="008849F4" w:rsidRPr="00476926" w:rsidRDefault="00551CE1"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The Paris Agreement’s carbon trading clause</w:t>
            </w:r>
          </w:p>
        </w:tc>
      </w:tr>
      <w:tr w:rsidR="008813B2" w:rsidRPr="00476926" w14:paraId="00FFB3C9"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7366C995" w14:textId="117C3D8F" w:rsidR="008813B2" w:rsidRPr="00476926" w:rsidRDefault="008813B2" w:rsidP="00906ED3">
            <w:pPr>
              <w:rPr>
                <w:rFonts w:cstheme="minorHAnsi"/>
                <w:sz w:val="21"/>
                <w:szCs w:val="21"/>
              </w:rPr>
            </w:pPr>
            <w:r w:rsidRPr="00476926">
              <w:rPr>
                <w:rFonts w:cstheme="minorHAnsi"/>
                <w:sz w:val="21"/>
                <w:szCs w:val="21"/>
              </w:rPr>
              <w:t>Motivations</w:t>
            </w:r>
          </w:p>
        </w:tc>
        <w:tc>
          <w:tcPr>
            <w:tcW w:w="0" w:type="dxa"/>
          </w:tcPr>
          <w:p w14:paraId="49504480" w14:textId="2E20446A" w:rsidR="008813B2" w:rsidRPr="00476926" w:rsidRDefault="008813B2"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lang w:val="fr-FR"/>
              </w:rPr>
            </w:pPr>
            <w:r w:rsidRPr="00476926">
              <w:rPr>
                <w:rFonts w:ascii="Gellix" w:hAnsi="Gellix" w:cstheme="minorHAnsi"/>
                <w:sz w:val="21"/>
                <w:szCs w:val="21"/>
                <w:lang w:val="fr-FR"/>
              </w:rPr>
              <w:t>Regulations (cap)</w:t>
            </w:r>
          </w:p>
        </w:tc>
        <w:tc>
          <w:tcPr>
            <w:tcW w:w="0" w:type="dxa"/>
          </w:tcPr>
          <w:p w14:paraId="2760C795" w14:textId="759EDCF2" w:rsidR="008813B2" w:rsidRPr="00476926" w:rsidRDefault="003B5739"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Pre-compliance (CSR)</w:t>
            </w:r>
          </w:p>
        </w:tc>
        <w:tc>
          <w:tcPr>
            <w:tcW w:w="0" w:type="dxa"/>
          </w:tcPr>
          <w:p w14:paraId="46D553E1" w14:textId="249FFCD6" w:rsidR="008813B2" w:rsidRPr="00476926" w:rsidRDefault="007E758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Encourage cross-border carbon trading</w:t>
            </w:r>
          </w:p>
        </w:tc>
      </w:tr>
      <w:tr w:rsidR="0063059A" w:rsidRPr="00476926" w14:paraId="5FFFA24A"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3A416FCE" w14:textId="6541710C" w:rsidR="0063059A" w:rsidRPr="00476926" w:rsidRDefault="0063059A" w:rsidP="00906ED3">
            <w:pPr>
              <w:rPr>
                <w:rFonts w:cstheme="minorHAnsi"/>
                <w:sz w:val="21"/>
                <w:szCs w:val="21"/>
              </w:rPr>
            </w:pPr>
            <w:r w:rsidRPr="00476926">
              <w:rPr>
                <w:rFonts w:cstheme="minorHAnsi"/>
                <w:sz w:val="21"/>
                <w:szCs w:val="21"/>
              </w:rPr>
              <w:t>Types</w:t>
            </w:r>
          </w:p>
        </w:tc>
        <w:tc>
          <w:tcPr>
            <w:tcW w:w="0" w:type="dxa"/>
          </w:tcPr>
          <w:p w14:paraId="7B6B0767" w14:textId="1921EE6E" w:rsidR="0063059A" w:rsidRPr="00476926" w:rsidRDefault="003F4003"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lang w:val="fr-FR"/>
              </w:rPr>
            </w:pPr>
            <w:r w:rsidRPr="00476926">
              <w:rPr>
                <w:rFonts w:ascii="Gellix" w:hAnsi="Gellix" w:cstheme="minorHAnsi"/>
                <w:sz w:val="21"/>
                <w:szCs w:val="21"/>
                <w:lang w:val="fr-FR"/>
              </w:rPr>
              <w:t>Specific sectors/methodologies</w:t>
            </w:r>
          </w:p>
        </w:tc>
        <w:tc>
          <w:tcPr>
            <w:tcW w:w="0" w:type="dxa"/>
          </w:tcPr>
          <w:p w14:paraId="5407E4E4" w14:textId="59F92063" w:rsidR="0063059A" w:rsidRPr="00476926" w:rsidRDefault="00870C3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Scope much broader</w:t>
            </w:r>
          </w:p>
        </w:tc>
        <w:tc>
          <w:tcPr>
            <w:tcW w:w="0" w:type="dxa"/>
          </w:tcPr>
          <w:p w14:paraId="4DE4DD03" w14:textId="2325F8D3" w:rsidR="0063059A" w:rsidRPr="00476926" w:rsidRDefault="00836B2D"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Country-specific scope</w:t>
            </w:r>
          </w:p>
        </w:tc>
      </w:tr>
      <w:tr w:rsidR="00F40134" w:rsidRPr="00476926" w14:paraId="3560CF7E"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2E0B97B8" w14:textId="58E55E4E" w:rsidR="00F40134" w:rsidRPr="00476926" w:rsidRDefault="00F40134" w:rsidP="00906ED3">
            <w:pPr>
              <w:rPr>
                <w:rFonts w:cstheme="minorHAnsi"/>
                <w:sz w:val="21"/>
                <w:szCs w:val="21"/>
              </w:rPr>
            </w:pPr>
            <w:r w:rsidRPr="00476926">
              <w:rPr>
                <w:rFonts w:cstheme="minorHAnsi"/>
                <w:sz w:val="21"/>
                <w:szCs w:val="21"/>
              </w:rPr>
              <w:t>Location</w:t>
            </w:r>
          </w:p>
        </w:tc>
        <w:tc>
          <w:tcPr>
            <w:tcW w:w="0" w:type="dxa"/>
          </w:tcPr>
          <w:p w14:paraId="0DC849B6" w14:textId="202B72E2" w:rsidR="00F40134" w:rsidRPr="00476926" w:rsidRDefault="00C91875"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lang w:val="fr-FR"/>
              </w:rPr>
            </w:pPr>
            <w:r w:rsidRPr="00476926">
              <w:rPr>
                <w:rFonts w:ascii="Gellix" w:hAnsi="Gellix" w:cstheme="minorHAnsi"/>
                <w:sz w:val="21"/>
                <w:szCs w:val="21"/>
                <w:lang w:val="fr-FR"/>
              </w:rPr>
              <w:t>Regional/national</w:t>
            </w:r>
          </w:p>
        </w:tc>
        <w:tc>
          <w:tcPr>
            <w:tcW w:w="0" w:type="dxa"/>
          </w:tcPr>
          <w:p w14:paraId="57C072C1" w14:textId="323683AD" w:rsidR="00F40134" w:rsidRPr="00476926" w:rsidRDefault="00F577C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G</w:t>
            </w:r>
            <w:r w:rsidR="00C91875" w:rsidRPr="00476926">
              <w:rPr>
                <w:sz w:val="21"/>
                <w:szCs w:val="21"/>
              </w:rPr>
              <w:t>lobal</w:t>
            </w:r>
          </w:p>
        </w:tc>
        <w:tc>
          <w:tcPr>
            <w:tcW w:w="0" w:type="dxa"/>
          </w:tcPr>
          <w:p w14:paraId="0CFF3354" w14:textId="1ADD13B9" w:rsidR="00F40134" w:rsidRPr="00476926" w:rsidRDefault="00D716EE"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G2G or G2B</w:t>
            </w:r>
          </w:p>
        </w:tc>
      </w:tr>
      <w:tr w:rsidR="004335A5" w:rsidRPr="00476926" w14:paraId="69DBD5DB"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77ACC300" w14:textId="05E5BCC2" w:rsidR="004335A5" w:rsidRPr="00476926" w:rsidRDefault="004335A5" w:rsidP="00906ED3">
            <w:pPr>
              <w:rPr>
                <w:rFonts w:cstheme="minorHAnsi"/>
                <w:sz w:val="21"/>
                <w:szCs w:val="21"/>
              </w:rPr>
            </w:pPr>
            <w:r w:rsidRPr="00476926">
              <w:rPr>
                <w:rFonts w:cstheme="minorHAnsi"/>
                <w:sz w:val="21"/>
                <w:szCs w:val="21"/>
              </w:rPr>
              <w:t>Price</w:t>
            </w:r>
          </w:p>
        </w:tc>
        <w:tc>
          <w:tcPr>
            <w:tcW w:w="0" w:type="dxa"/>
          </w:tcPr>
          <w:p w14:paraId="39C1D5DB" w14:textId="731E24EC" w:rsidR="004335A5" w:rsidRPr="007150F0" w:rsidRDefault="00E1186D"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r w:rsidRPr="007150F0">
              <w:rPr>
                <w:rFonts w:ascii="Gellix" w:hAnsi="Gellix" w:cstheme="minorHAnsi"/>
                <w:sz w:val="21"/>
                <w:szCs w:val="21"/>
              </w:rPr>
              <w:t>Convergence to compliance price target</w:t>
            </w:r>
          </w:p>
        </w:tc>
        <w:tc>
          <w:tcPr>
            <w:tcW w:w="0" w:type="dxa"/>
          </w:tcPr>
          <w:p w14:paraId="5C35F9F7" w14:textId="70722E26" w:rsidR="004335A5" w:rsidRPr="00476926" w:rsidRDefault="005B4543"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Pre-compliance CSR</w:t>
            </w:r>
          </w:p>
        </w:tc>
        <w:tc>
          <w:tcPr>
            <w:tcW w:w="0" w:type="dxa"/>
          </w:tcPr>
          <w:p w14:paraId="1DC3568B" w14:textId="0EAC653B" w:rsidR="004335A5" w:rsidRPr="00476926" w:rsidRDefault="00733EF8"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Price dependent on country’s circumstances</w:t>
            </w:r>
          </w:p>
        </w:tc>
      </w:tr>
      <w:tr w:rsidR="006655B7" w:rsidRPr="00476926" w14:paraId="1FB9D052"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126C81F3" w14:textId="1D1C8893" w:rsidR="006655B7" w:rsidRPr="00476926" w:rsidRDefault="006655B7" w:rsidP="00906ED3">
            <w:pPr>
              <w:rPr>
                <w:rFonts w:cstheme="minorHAnsi"/>
                <w:sz w:val="21"/>
                <w:szCs w:val="21"/>
              </w:rPr>
            </w:pPr>
            <w:r w:rsidRPr="00476926">
              <w:rPr>
                <w:rFonts w:cstheme="minorHAnsi"/>
                <w:sz w:val="21"/>
                <w:szCs w:val="21"/>
              </w:rPr>
              <w:t>Examples</w:t>
            </w:r>
          </w:p>
        </w:tc>
        <w:tc>
          <w:tcPr>
            <w:tcW w:w="0" w:type="dxa"/>
          </w:tcPr>
          <w:p w14:paraId="67C20F0E" w14:textId="574622F5" w:rsidR="006655B7" w:rsidRPr="00476926" w:rsidRDefault="006655B7"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lang w:val="fr-FR"/>
              </w:rPr>
            </w:pPr>
            <w:r w:rsidRPr="00476926">
              <w:rPr>
                <w:rFonts w:ascii="Gellix" w:hAnsi="Gellix" w:cstheme="minorHAnsi"/>
                <w:sz w:val="21"/>
                <w:szCs w:val="21"/>
                <w:lang w:val="fr-FR"/>
              </w:rPr>
              <w:t>EU ETS, Singapore carbon tax, Canada carbon pricing</w:t>
            </w:r>
          </w:p>
        </w:tc>
        <w:tc>
          <w:tcPr>
            <w:tcW w:w="0" w:type="dxa"/>
          </w:tcPr>
          <w:p w14:paraId="1AC88CBE" w14:textId="52F7E975" w:rsidR="006655B7" w:rsidRPr="00476926" w:rsidRDefault="001B4D42"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VCMI, Verra</w:t>
            </w:r>
          </w:p>
        </w:tc>
        <w:tc>
          <w:tcPr>
            <w:tcW w:w="0" w:type="dxa"/>
          </w:tcPr>
          <w:p w14:paraId="1ACC03C8" w14:textId="088325FA" w:rsidR="006655B7" w:rsidRPr="00476926" w:rsidRDefault="00D3470C"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Switzerland-Ghana Article 6 trade</w:t>
            </w:r>
          </w:p>
        </w:tc>
      </w:tr>
      <w:tr w:rsidR="00E03B6F" w:rsidRPr="00476926" w14:paraId="47D5A410"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53CD98AD" w14:textId="77777777" w:rsidR="00E03B6F" w:rsidRPr="00476926" w:rsidRDefault="00E03B6F" w:rsidP="00906ED3">
            <w:pPr>
              <w:rPr>
                <w:rFonts w:cstheme="minorHAnsi"/>
                <w:sz w:val="21"/>
                <w:szCs w:val="21"/>
              </w:rPr>
            </w:pPr>
            <w:r w:rsidRPr="00476926">
              <w:rPr>
                <w:rFonts w:cstheme="minorHAnsi"/>
                <w:sz w:val="21"/>
                <w:szCs w:val="21"/>
              </w:rPr>
              <w:t>Regulator</w:t>
            </w:r>
          </w:p>
        </w:tc>
        <w:tc>
          <w:tcPr>
            <w:tcW w:w="0" w:type="dxa"/>
          </w:tcPr>
          <w:p w14:paraId="11670A27" w14:textId="77777777" w:rsidR="00E03B6F" w:rsidRPr="00476926" w:rsidRDefault="00E03B6F"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lang w:val="fr-FR"/>
              </w:rPr>
            </w:pPr>
            <w:r w:rsidRPr="00476926">
              <w:rPr>
                <w:rFonts w:ascii="Gellix" w:hAnsi="Gellix" w:cstheme="minorHAnsi"/>
                <w:sz w:val="21"/>
                <w:szCs w:val="21"/>
                <w:lang w:val="fr-FR"/>
              </w:rPr>
              <w:t>National/local government regulator</w:t>
            </w:r>
          </w:p>
        </w:tc>
        <w:tc>
          <w:tcPr>
            <w:tcW w:w="0" w:type="dxa"/>
          </w:tcPr>
          <w:p w14:paraId="38FD43D3" w14:textId="7777777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Industry body (ICVCM?)</w:t>
            </w:r>
          </w:p>
        </w:tc>
        <w:tc>
          <w:tcPr>
            <w:tcW w:w="0" w:type="dxa"/>
          </w:tcPr>
          <w:p w14:paraId="671FBE55"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 xml:space="preserve">Approval &amp; authorization, validation, registration, </w:t>
            </w:r>
            <w:r w:rsidRPr="00476926">
              <w:rPr>
                <w:sz w:val="21"/>
                <w:szCs w:val="21"/>
              </w:rPr>
              <w:lastRenderedPageBreak/>
              <w:t xml:space="preserve">monitoring, </w:t>
            </w:r>
            <w:proofErr w:type="gramStart"/>
            <w:r w:rsidRPr="00476926">
              <w:rPr>
                <w:sz w:val="21"/>
                <w:szCs w:val="21"/>
              </w:rPr>
              <w:t>verification</w:t>
            </w:r>
            <w:proofErr w:type="gramEnd"/>
            <w:r w:rsidRPr="00476926">
              <w:rPr>
                <w:sz w:val="21"/>
                <w:szCs w:val="21"/>
              </w:rPr>
              <w:t xml:space="preserve"> and issuance in accordance with the relevant requirements adopted by the Supervisory Body</w:t>
            </w:r>
          </w:p>
        </w:tc>
      </w:tr>
      <w:tr w:rsidR="00E03B6F" w:rsidRPr="00476926" w14:paraId="6F258C54"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6A03C3D7" w14:textId="77777777" w:rsidR="00E03B6F" w:rsidRPr="00476926" w:rsidRDefault="00E03B6F" w:rsidP="00906ED3">
            <w:pPr>
              <w:rPr>
                <w:rFonts w:cstheme="minorHAnsi"/>
                <w:sz w:val="21"/>
                <w:szCs w:val="21"/>
              </w:rPr>
            </w:pPr>
            <w:r w:rsidRPr="00476926">
              <w:rPr>
                <w:rFonts w:cstheme="minorHAnsi"/>
                <w:sz w:val="21"/>
                <w:szCs w:val="21"/>
              </w:rPr>
              <w:lastRenderedPageBreak/>
              <w:t>Form</w:t>
            </w:r>
          </w:p>
        </w:tc>
        <w:tc>
          <w:tcPr>
            <w:tcW w:w="0" w:type="dxa"/>
          </w:tcPr>
          <w:p w14:paraId="2D7CFAA1" w14:textId="77777777" w:rsidR="00E03B6F" w:rsidRPr="00476926" w:rsidRDefault="00E03B6F"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r w:rsidRPr="007150F0">
              <w:rPr>
                <w:rFonts w:ascii="Gellix" w:hAnsi="Gellix" w:cstheme="minorHAnsi"/>
                <w:sz w:val="21"/>
                <w:szCs w:val="21"/>
              </w:rPr>
              <w:t xml:space="preserve">Penalty market-based emission </w:t>
            </w:r>
            <w:r w:rsidRPr="00476926">
              <w:rPr>
                <w:rFonts w:ascii="Gellix" w:hAnsi="Gellix" w:cstheme="minorHAnsi"/>
                <w:sz w:val="21"/>
                <w:szCs w:val="21"/>
              </w:rPr>
              <w:t>allowances/permits subject to cap and trade schemes (ETS).</w:t>
            </w:r>
          </w:p>
          <w:p w14:paraId="2EA7BF11" w14:textId="77777777" w:rsidR="00E03B6F" w:rsidRPr="00476926" w:rsidRDefault="00E03B6F"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r w:rsidRPr="00476926">
              <w:rPr>
                <w:rFonts w:ascii="Gellix" w:hAnsi="Gellix" w:cstheme="minorHAnsi"/>
                <w:sz w:val="21"/>
                <w:szCs w:val="21"/>
              </w:rPr>
              <w:t xml:space="preserve">Penalty static mechanisms (carbon tax). </w:t>
            </w:r>
          </w:p>
          <w:p w14:paraId="7459BB13" w14:textId="77777777" w:rsidR="00E03B6F" w:rsidRPr="00476926" w:rsidRDefault="00E03B6F"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lang w:val="fr-FR"/>
              </w:rPr>
            </w:pPr>
            <w:r w:rsidRPr="00476926">
              <w:rPr>
                <w:rFonts w:ascii="Gellix" w:hAnsi="Gellix" w:cstheme="minorHAnsi"/>
                <w:sz w:val="21"/>
                <w:szCs w:val="21"/>
              </w:rPr>
              <w:t>Subsidies/incentives</w:t>
            </w:r>
          </w:p>
        </w:tc>
        <w:tc>
          <w:tcPr>
            <w:tcW w:w="0" w:type="dxa"/>
          </w:tcPr>
          <w:p w14:paraId="316AC82E" w14:textId="1722E6C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 xml:space="preserve">Voluntary carbon credit generated from activites or assets that reduce or remove emsissions (eg </w:t>
            </w:r>
            <w:r w:rsidR="00D96E0D" w:rsidRPr="00476926">
              <w:rPr>
                <w:sz w:val="21"/>
                <w:szCs w:val="21"/>
              </w:rPr>
              <w:t>nature-based</w:t>
            </w:r>
            <w:r w:rsidRPr="00476926">
              <w:rPr>
                <w:sz w:val="21"/>
                <w:szCs w:val="21"/>
              </w:rPr>
              <w:t xml:space="preserve"> solutions)</w:t>
            </w:r>
          </w:p>
        </w:tc>
        <w:tc>
          <w:tcPr>
            <w:tcW w:w="0" w:type="dxa"/>
          </w:tcPr>
          <w:p w14:paraId="688E6559" w14:textId="7777777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b/>
                <w:bCs/>
                <w:sz w:val="21"/>
                <w:szCs w:val="21"/>
              </w:rPr>
            </w:pPr>
          </w:p>
          <w:p w14:paraId="39D302F7" w14:textId="7777777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Compliance-based internationally transferred mitigation outcomes</w:t>
            </w:r>
          </w:p>
        </w:tc>
      </w:tr>
      <w:tr w:rsidR="00E03B6F" w:rsidRPr="00476926" w14:paraId="09C94B35"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0E85611D" w14:textId="77777777" w:rsidR="00E03B6F" w:rsidRPr="00476926" w:rsidRDefault="00E03B6F" w:rsidP="00906ED3">
            <w:pPr>
              <w:rPr>
                <w:rFonts w:cstheme="minorHAnsi"/>
                <w:sz w:val="21"/>
                <w:szCs w:val="21"/>
              </w:rPr>
            </w:pPr>
            <w:r w:rsidRPr="00476926">
              <w:rPr>
                <w:rFonts w:cstheme="minorHAnsi"/>
                <w:sz w:val="21"/>
                <w:szCs w:val="21"/>
              </w:rPr>
              <w:t>Registry</w:t>
            </w:r>
          </w:p>
        </w:tc>
        <w:tc>
          <w:tcPr>
            <w:tcW w:w="0" w:type="dxa"/>
          </w:tcPr>
          <w:p w14:paraId="2DEB4CE9" w14:textId="77777777" w:rsidR="00E03B6F" w:rsidRPr="007150F0" w:rsidRDefault="00E03B6F"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r w:rsidRPr="007150F0">
              <w:rPr>
                <w:rFonts w:ascii="Gellix" w:hAnsi="Gellix" w:cstheme="minorHAnsi"/>
                <w:sz w:val="21"/>
                <w:szCs w:val="21"/>
              </w:rPr>
              <w:t>ETS regulatory registry (eg EU ETS Union Registry)</w:t>
            </w:r>
          </w:p>
        </w:tc>
        <w:tc>
          <w:tcPr>
            <w:tcW w:w="0" w:type="dxa"/>
          </w:tcPr>
          <w:p w14:paraId="36F2430A" w14:textId="7777777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Industry body (Verra, Gold Standard?)</w:t>
            </w:r>
          </w:p>
        </w:tc>
        <w:tc>
          <w:tcPr>
            <w:tcW w:w="0" w:type="dxa"/>
          </w:tcPr>
          <w:p w14:paraId="0702998C" w14:textId="7777777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b/>
                <w:bCs/>
                <w:sz w:val="21"/>
                <w:szCs w:val="21"/>
              </w:rPr>
            </w:pPr>
          </w:p>
        </w:tc>
      </w:tr>
      <w:tr w:rsidR="00E03B6F" w:rsidRPr="00476926" w14:paraId="28B4D7E4"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0A56DE57" w14:textId="77777777" w:rsidR="00E03B6F" w:rsidRPr="00476926" w:rsidRDefault="00E03B6F" w:rsidP="00906ED3">
            <w:pPr>
              <w:rPr>
                <w:rFonts w:cstheme="minorHAnsi"/>
                <w:b w:val="0"/>
                <w:bCs w:val="0"/>
                <w:sz w:val="21"/>
                <w:szCs w:val="21"/>
              </w:rPr>
            </w:pPr>
            <w:r w:rsidRPr="00476926">
              <w:rPr>
                <w:rFonts w:cstheme="minorHAnsi"/>
                <w:sz w:val="21"/>
                <w:szCs w:val="21"/>
              </w:rPr>
              <w:t xml:space="preserve">Origin </w:t>
            </w:r>
          </w:p>
          <w:p w14:paraId="419C57EB" w14:textId="77777777" w:rsidR="00E03B6F" w:rsidRPr="00476926" w:rsidRDefault="00E03B6F" w:rsidP="00906ED3">
            <w:pPr>
              <w:rPr>
                <w:b w:val="0"/>
                <w:bCs w:val="0"/>
                <w:sz w:val="21"/>
                <w:szCs w:val="21"/>
              </w:rPr>
            </w:pPr>
            <w:r w:rsidRPr="00476926">
              <w:rPr>
                <w:rFonts w:cstheme="minorHAnsi"/>
                <w:b w:val="0"/>
                <w:bCs w:val="0"/>
                <w:sz w:val="21"/>
                <w:szCs w:val="21"/>
              </w:rPr>
              <w:t xml:space="preserve">ICC Principle </w:t>
            </w:r>
            <w:r w:rsidRPr="00476926">
              <w:rPr>
                <w:b w:val="0"/>
                <w:bCs w:val="0"/>
                <w:sz w:val="21"/>
                <w:szCs w:val="21"/>
              </w:rPr>
              <w:t xml:space="preserve">2: Create a reliable, predictable overall framework: </w:t>
            </w:r>
          </w:p>
          <w:p w14:paraId="25E5A192" w14:textId="77777777" w:rsidR="00E03B6F" w:rsidRPr="00476926" w:rsidRDefault="00E03B6F" w:rsidP="00906ED3">
            <w:pPr>
              <w:rPr>
                <w:rFonts w:cstheme="minorHAnsi"/>
                <w:sz w:val="21"/>
                <w:szCs w:val="21"/>
              </w:rPr>
            </w:pPr>
          </w:p>
        </w:tc>
        <w:tc>
          <w:tcPr>
            <w:tcW w:w="0" w:type="dxa"/>
          </w:tcPr>
          <w:p w14:paraId="757437A6" w14:textId="77777777" w:rsidR="00E03B6F" w:rsidRPr="007150F0" w:rsidRDefault="00E03B6F"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r w:rsidRPr="007150F0">
              <w:rPr>
                <w:rFonts w:ascii="Gellix" w:hAnsi="Gellix" w:cstheme="minorHAnsi"/>
                <w:sz w:val="21"/>
                <w:szCs w:val="21"/>
              </w:rPr>
              <w:t>Free allocation or auction by regulator</w:t>
            </w:r>
          </w:p>
        </w:tc>
        <w:tc>
          <w:tcPr>
            <w:tcW w:w="0" w:type="dxa"/>
          </w:tcPr>
          <w:p w14:paraId="0687E4CD"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b/>
                <w:bCs/>
                <w:sz w:val="21"/>
                <w:szCs w:val="21"/>
              </w:rPr>
              <w:t>Additionality</w:t>
            </w:r>
            <w:r w:rsidRPr="00476926">
              <w:rPr>
                <w:sz w:val="21"/>
                <w:szCs w:val="21"/>
              </w:rPr>
              <w:t>: The greenhouse gas (GHG) emission reductions or removals from the mitigation activity shall be additional, i.e., they would not have occurred in the absence of the incentive created by carbon credit revenues.</w:t>
            </w:r>
          </w:p>
          <w:p w14:paraId="26614BF0"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b/>
                <w:bCs/>
                <w:sz w:val="21"/>
                <w:szCs w:val="21"/>
              </w:rPr>
              <w:lastRenderedPageBreak/>
              <w:t>Permanence:</w:t>
            </w:r>
            <w:r w:rsidRPr="00476926">
              <w:rPr>
                <w:sz w:val="21"/>
                <w:szCs w:val="21"/>
              </w:rPr>
              <w:t xml:space="preserve"> The GHG emission reductions or removals from the mitigation activity shall be permanent or, where there is a risk of reversal, there shall be measures in place to address those risks and compensate reversals.</w:t>
            </w:r>
          </w:p>
        </w:tc>
        <w:tc>
          <w:tcPr>
            <w:tcW w:w="0" w:type="dxa"/>
          </w:tcPr>
          <w:p w14:paraId="7DAB0A41"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b/>
                <w:bCs/>
                <w:sz w:val="21"/>
                <w:szCs w:val="21"/>
              </w:rPr>
              <w:lastRenderedPageBreak/>
              <w:t>ITMO: Authorized</w:t>
            </w:r>
            <w:r w:rsidRPr="00476926">
              <w:rPr>
                <w:sz w:val="21"/>
                <w:szCs w:val="21"/>
              </w:rPr>
              <w:t xml:space="preserve"> transfer for use: a) towards an NDC; b) for other international purpose.</w:t>
            </w:r>
          </w:p>
          <w:p w14:paraId="25B5582D"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Real, verified, and additional.</w:t>
            </w:r>
          </w:p>
          <w:p w14:paraId="390473DD"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 xml:space="preserve">Activity: shall </w:t>
            </w:r>
            <w:proofErr w:type="gramStart"/>
            <w:r w:rsidRPr="00476926">
              <w:rPr>
                <w:sz w:val="21"/>
                <w:szCs w:val="21"/>
              </w:rPr>
              <w:t>be designed</w:t>
            </w:r>
            <w:proofErr w:type="gramEnd"/>
            <w:r w:rsidRPr="00476926">
              <w:rPr>
                <w:sz w:val="21"/>
                <w:szCs w:val="21"/>
              </w:rPr>
              <w:t xml:space="preserve"> to achieve mitigation of GHG emissions that is additional, including reducing emissions, </w:t>
            </w:r>
            <w:r w:rsidRPr="00476926">
              <w:rPr>
                <w:sz w:val="21"/>
                <w:szCs w:val="21"/>
              </w:rPr>
              <w:lastRenderedPageBreak/>
              <w:t>increasing removals and mitigation co-benefits of adaptation actions and/or economic diversification plans (hereinafter collectively referred to as emission reductions), and not lead to an increase in global emissions</w:t>
            </w:r>
          </w:p>
          <w:p w14:paraId="7ADDC3FE"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Transition of clean development mechanism activities: CDM activities (projects and POAs) would transition to the Art 6.4 under certain deadlines</w:t>
            </w:r>
          </w:p>
        </w:tc>
      </w:tr>
      <w:tr w:rsidR="00E03B6F" w:rsidRPr="00476926" w14:paraId="25688E29"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3CCB1FF8" w14:textId="77777777" w:rsidR="00E03B6F" w:rsidRPr="00476926" w:rsidRDefault="00E03B6F" w:rsidP="00906ED3">
            <w:pPr>
              <w:rPr>
                <w:rFonts w:cstheme="minorHAnsi"/>
                <w:b w:val="0"/>
                <w:bCs w:val="0"/>
                <w:sz w:val="21"/>
                <w:szCs w:val="21"/>
              </w:rPr>
            </w:pPr>
            <w:r w:rsidRPr="00476926">
              <w:rPr>
                <w:rFonts w:cstheme="minorHAnsi"/>
                <w:sz w:val="21"/>
                <w:szCs w:val="21"/>
              </w:rPr>
              <w:lastRenderedPageBreak/>
              <w:t xml:space="preserve">Use </w:t>
            </w:r>
          </w:p>
          <w:p w14:paraId="57963446" w14:textId="77777777" w:rsidR="00E03B6F" w:rsidRPr="00476926" w:rsidRDefault="00E03B6F" w:rsidP="00906ED3">
            <w:pPr>
              <w:rPr>
                <w:b w:val="0"/>
                <w:bCs w:val="0"/>
                <w:sz w:val="21"/>
                <w:szCs w:val="21"/>
              </w:rPr>
            </w:pPr>
            <w:r w:rsidRPr="00476926">
              <w:rPr>
                <w:rFonts w:cstheme="minorHAnsi"/>
                <w:b w:val="0"/>
                <w:bCs w:val="0"/>
                <w:sz w:val="21"/>
                <w:szCs w:val="21"/>
              </w:rPr>
              <w:t xml:space="preserve">ICC Principle </w:t>
            </w:r>
            <w:r w:rsidRPr="00476926">
              <w:rPr>
                <w:b w:val="0"/>
                <w:bCs w:val="0"/>
                <w:sz w:val="21"/>
                <w:szCs w:val="21"/>
              </w:rPr>
              <w:t xml:space="preserve">2: Create a reliable, predictable overall framework: </w:t>
            </w:r>
          </w:p>
          <w:p w14:paraId="386050B3" w14:textId="77777777" w:rsidR="00E03B6F" w:rsidRPr="00476926" w:rsidRDefault="00E03B6F" w:rsidP="00906ED3">
            <w:pPr>
              <w:rPr>
                <w:rFonts w:cstheme="minorHAnsi"/>
                <w:sz w:val="21"/>
                <w:szCs w:val="21"/>
              </w:rPr>
            </w:pPr>
          </w:p>
        </w:tc>
        <w:tc>
          <w:tcPr>
            <w:tcW w:w="0" w:type="dxa"/>
          </w:tcPr>
          <w:p w14:paraId="6204B2C0" w14:textId="77C6EC36" w:rsidR="00E03B6F" w:rsidRPr="007150F0" w:rsidRDefault="00D96E0D"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r w:rsidRPr="007150F0">
              <w:rPr>
                <w:rFonts w:ascii="Gellix" w:hAnsi="Gellix" w:cstheme="minorHAnsi"/>
                <w:sz w:val="21"/>
                <w:szCs w:val="21"/>
              </w:rPr>
              <w:t>Limited, defined industry</w:t>
            </w:r>
            <w:r w:rsidR="00E03B6F" w:rsidRPr="007150F0">
              <w:rPr>
                <w:rFonts w:ascii="Gellix" w:hAnsi="Gellix" w:cstheme="minorHAnsi"/>
                <w:sz w:val="21"/>
                <w:szCs w:val="21"/>
              </w:rPr>
              <w:t xml:space="preserve"> sectors (e.g., energy generation or industry)</w:t>
            </w:r>
          </w:p>
        </w:tc>
        <w:tc>
          <w:tcPr>
            <w:tcW w:w="0" w:type="dxa"/>
          </w:tcPr>
          <w:p w14:paraId="694A53C7"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b/>
                <w:bCs/>
                <w:sz w:val="21"/>
                <w:szCs w:val="21"/>
              </w:rPr>
            </w:pPr>
            <w:r w:rsidRPr="00476926">
              <w:rPr>
                <w:b/>
                <w:bCs/>
                <w:sz w:val="21"/>
                <w:szCs w:val="21"/>
              </w:rPr>
              <w:t>VCMI Rules – ADD</w:t>
            </w:r>
          </w:p>
          <w:p w14:paraId="637CE5F0"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b/>
                <w:bCs/>
                <w:sz w:val="21"/>
                <w:szCs w:val="21"/>
              </w:rPr>
            </w:pPr>
            <w:r w:rsidRPr="00476926">
              <w:rPr>
                <w:b/>
                <w:bCs/>
                <w:sz w:val="21"/>
                <w:szCs w:val="21"/>
              </w:rPr>
              <w:t>No double counting:</w:t>
            </w:r>
            <w:r w:rsidRPr="00476926">
              <w:rPr>
                <w:sz w:val="21"/>
                <w:szCs w:val="21"/>
              </w:rPr>
              <w:t xml:space="preserve"> The GHG emission reductions or removals from the mitigation activity shall not </w:t>
            </w:r>
            <w:proofErr w:type="gramStart"/>
            <w:r w:rsidRPr="00476926">
              <w:rPr>
                <w:sz w:val="21"/>
                <w:szCs w:val="21"/>
              </w:rPr>
              <w:t>be double counted</w:t>
            </w:r>
            <w:proofErr w:type="gramEnd"/>
            <w:r w:rsidRPr="00476926">
              <w:rPr>
                <w:sz w:val="21"/>
                <w:szCs w:val="21"/>
              </w:rPr>
              <w:t xml:space="preserve">, i.e., they shall only be counted once towards </w:t>
            </w:r>
            <w:r w:rsidRPr="00476926">
              <w:rPr>
                <w:sz w:val="21"/>
                <w:szCs w:val="21"/>
              </w:rPr>
              <w:lastRenderedPageBreak/>
              <w:t>achieving mitigation targets or goals</w:t>
            </w:r>
          </w:p>
        </w:tc>
        <w:tc>
          <w:tcPr>
            <w:tcW w:w="0" w:type="dxa"/>
          </w:tcPr>
          <w:p w14:paraId="498E1090"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b/>
                <w:bCs/>
                <w:sz w:val="21"/>
                <w:szCs w:val="21"/>
              </w:rPr>
              <w:lastRenderedPageBreak/>
              <w:t>“</w:t>
            </w:r>
            <w:r w:rsidRPr="00476926">
              <w:rPr>
                <w:sz w:val="21"/>
                <w:szCs w:val="21"/>
              </w:rPr>
              <w:t>Each participating Party shall ensure that its participation contributes to the implementation of its NDC and long-term”</w:t>
            </w:r>
          </w:p>
          <w:p w14:paraId="6A1E3F20"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b/>
                <w:bCs/>
                <w:sz w:val="21"/>
                <w:szCs w:val="21"/>
              </w:rPr>
            </w:pPr>
            <w:r w:rsidRPr="00476926">
              <w:rPr>
                <w:sz w:val="21"/>
                <w:szCs w:val="21"/>
              </w:rPr>
              <w:t xml:space="preserve">“Each participating Party shall apply corresponding adjustments in a </w:t>
            </w:r>
            <w:r w:rsidRPr="00476926">
              <w:rPr>
                <w:sz w:val="21"/>
                <w:szCs w:val="21"/>
              </w:rPr>
              <w:lastRenderedPageBreak/>
              <w:t xml:space="preserve">manner that ensures transparency, accuracy, completeness, comparability and consistency.” </w:t>
            </w:r>
          </w:p>
        </w:tc>
      </w:tr>
      <w:tr w:rsidR="00E03B6F" w:rsidRPr="00476926" w14:paraId="46758155"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37228513" w14:textId="77777777" w:rsidR="00E03B6F" w:rsidRPr="00476926" w:rsidRDefault="00E03B6F" w:rsidP="00906ED3">
            <w:pPr>
              <w:rPr>
                <w:rFonts w:cstheme="minorHAnsi"/>
                <w:b w:val="0"/>
                <w:bCs w:val="0"/>
                <w:sz w:val="21"/>
                <w:szCs w:val="21"/>
              </w:rPr>
            </w:pPr>
            <w:r w:rsidRPr="00476926">
              <w:rPr>
                <w:rFonts w:cstheme="minorHAnsi"/>
                <w:sz w:val="21"/>
                <w:szCs w:val="21"/>
              </w:rPr>
              <w:lastRenderedPageBreak/>
              <w:t>Governance</w:t>
            </w:r>
          </w:p>
          <w:p w14:paraId="4257FCFF" w14:textId="77777777" w:rsidR="00E03B6F" w:rsidRPr="00476926" w:rsidRDefault="00E03B6F" w:rsidP="00906ED3">
            <w:pPr>
              <w:rPr>
                <w:b w:val="0"/>
                <w:bCs w:val="0"/>
                <w:sz w:val="21"/>
                <w:szCs w:val="21"/>
              </w:rPr>
            </w:pPr>
            <w:r w:rsidRPr="00476926">
              <w:rPr>
                <w:rFonts w:cstheme="minorHAnsi"/>
                <w:b w:val="0"/>
                <w:bCs w:val="0"/>
                <w:sz w:val="21"/>
                <w:szCs w:val="21"/>
              </w:rPr>
              <w:t xml:space="preserve">ICC Principle </w:t>
            </w:r>
            <w:r w:rsidRPr="00476926">
              <w:rPr>
                <w:sz w:val="21"/>
                <w:szCs w:val="21"/>
              </w:rPr>
              <w:t xml:space="preserve">2: Create a reliable, predictable overall framework: </w:t>
            </w:r>
          </w:p>
          <w:p w14:paraId="4491AD56" w14:textId="77777777" w:rsidR="00E03B6F" w:rsidRPr="00476926" w:rsidRDefault="00E03B6F" w:rsidP="00906ED3">
            <w:pPr>
              <w:rPr>
                <w:b w:val="0"/>
                <w:bCs w:val="0"/>
                <w:sz w:val="21"/>
                <w:szCs w:val="21"/>
              </w:rPr>
            </w:pPr>
            <w:r w:rsidRPr="00476926">
              <w:rPr>
                <w:b w:val="0"/>
                <w:bCs w:val="0"/>
                <w:sz w:val="21"/>
                <w:szCs w:val="21"/>
              </w:rPr>
              <w:t xml:space="preserve">ICC Principle </w:t>
            </w:r>
            <w:r w:rsidRPr="00476926">
              <w:rPr>
                <w:sz w:val="21"/>
                <w:szCs w:val="21"/>
              </w:rPr>
              <w:t xml:space="preserve">3: Promote consistency between climate, energy, </w:t>
            </w:r>
            <w:proofErr w:type="gramStart"/>
            <w:r w:rsidRPr="00476926">
              <w:rPr>
                <w:sz w:val="21"/>
                <w:szCs w:val="21"/>
              </w:rPr>
              <w:t>trade</w:t>
            </w:r>
            <w:proofErr w:type="gramEnd"/>
            <w:r w:rsidRPr="00476926">
              <w:rPr>
                <w:sz w:val="21"/>
                <w:szCs w:val="21"/>
              </w:rPr>
              <w:t xml:space="preserve"> and taxation policies: </w:t>
            </w:r>
          </w:p>
          <w:p w14:paraId="23B388E5" w14:textId="77777777" w:rsidR="00E03B6F" w:rsidRPr="00476926" w:rsidRDefault="00E03B6F" w:rsidP="00906ED3">
            <w:pPr>
              <w:rPr>
                <w:rFonts w:cstheme="minorHAnsi"/>
                <w:sz w:val="21"/>
                <w:szCs w:val="21"/>
              </w:rPr>
            </w:pPr>
            <w:r w:rsidRPr="00476926">
              <w:rPr>
                <w:b w:val="0"/>
                <w:bCs w:val="0"/>
                <w:sz w:val="21"/>
                <w:szCs w:val="21"/>
              </w:rPr>
              <w:t xml:space="preserve">ICC Principle </w:t>
            </w:r>
            <w:r w:rsidRPr="00476926">
              <w:rPr>
                <w:sz w:val="21"/>
                <w:szCs w:val="21"/>
              </w:rPr>
              <w:t>4: Create a clear and robust transparency framework</w:t>
            </w:r>
          </w:p>
        </w:tc>
        <w:tc>
          <w:tcPr>
            <w:tcW w:w="0" w:type="dxa"/>
          </w:tcPr>
          <w:p w14:paraId="39978C10" w14:textId="77777777" w:rsidR="00E03B6F" w:rsidRPr="007150F0" w:rsidRDefault="00E03B6F"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p>
        </w:tc>
        <w:tc>
          <w:tcPr>
            <w:tcW w:w="0" w:type="dxa"/>
          </w:tcPr>
          <w:p w14:paraId="05E5179C"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b/>
                <w:bCs/>
                <w:sz w:val="21"/>
                <w:szCs w:val="21"/>
              </w:rPr>
              <w:t>Effective governance</w:t>
            </w:r>
            <w:r w:rsidRPr="00476926">
              <w:rPr>
                <w:sz w:val="21"/>
                <w:szCs w:val="21"/>
              </w:rPr>
              <w:t xml:space="preserve">: The carbon-crediting program shall have effective program governance to ensure transparency, accountability, continuous </w:t>
            </w:r>
            <w:proofErr w:type="gramStart"/>
            <w:r w:rsidRPr="00476926">
              <w:rPr>
                <w:sz w:val="21"/>
                <w:szCs w:val="21"/>
              </w:rPr>
              <w:t>improvement</w:t>
            </w:r>
            <w:proofErr w:type="gramEnd"/>
            <w:r w:rsidRPr="00476926">
              <w:rPr>
                <w:sz w:val="21"/>
                <w:szCs w:val="21"/>
              </w:rPr>
              <w:t xml:space="preserve"> and the overall quality of carbon credits.</w:t>
            </w:r>
          </w:p>
          <w:p w14:paraId="40C76E53"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b/>
                <w:bCs/>
                <w:sz w:val="21"/>
                <w:szCs w:val="21"/>
              </w:rPr>
              <w:t>Tracking:</w:t>
            </w:r>
            <w:r w:rsidRPr="00476926">
              <w:rPr>
                <w:sz w:val="21"/>
                <w:szCs w:val="21"/>
              </w:rPr>
              <w:t xml:space="preserve"> The carbon-crediting program shall operate or make use of a registry to uniquely identify, record and track mitigation activities and carbon credits issued to ensure credits can </w:t>
            </w:r>
            <w:proofErr w:type="gramStart"/>
            <w:r w:rsidRPr="00476926">
              <w:rPr>
                <w:sz w:val="21"/>
                <w:szCs w:val="21"/>
              </w:rPr>
              <w:t>be identified</w:t>
            </w:r>
            <w:proofErr w:type="gramEnd"/>
            <w:r w:rsidRPr="00476926">
              <w:rPr>
                <w:sz w:val="21"/>
                <w:szCs w:val="21"/>
              </w:rPr>
              <w:t xml:space="preserve"> securely and unambiguously.</w:t>
            </w:r>
          </w:p>
          <w:p w14:paraId="3DE037E6"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b/>
                <w:bCs/>
                <w:sz w:val="21"/>
                <w:szCs w:val="21"/>
              </w:rPr>
              <w:lastRenderedPageBreak/>
              <w:t>Transparency:</w:t>
            </w:r>
            <w:r w:rsidRPr="00476926">
              <w:rPr>
                <w:sz w:val="21"/>
                <w:szCs w:val="21"/>
              </w:rPr>
              <w:t xml:space="preserve"> The carbon-crediting program shall provide comprehensive and transparent information on all credited mitigation activities. The information shall be publicly available in electronic format and shall be accessible to non-specialised audiences, to enable scrutiny of mitigation activities.</w:t>
            </w:r>
          </w:p>
          <w:p w14:paraId="5DCD52E9"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b/>
                <w:bCs/>
                <w:sz w:val="21"/>
                <w:szCs w:val="21"/>
              </w:rPr>
              <w:t>Robust independent third-party validation and verification:</w:t>
            </w:r>
            <w:r w:rsidRPr="00476926">
              <w:rPr>
                <w:sz w:val="21"/>
                <w:szCs w:val="21"/>
              </w:rPr>
              <w:t xml:space="preserve"> The carbon-crediting program shall have program-level requirements for robust independent third-party validation and verification of mitigation activities.</w:t>
            </w:r>
          </w:p>
        </w:tc>
        <w:tc>
          <w:tcPr>
            <w:tcW w:w="0" w:type="dxa"/>
          </w:tcPr>
          <w:p w14:paraId="28F2A51D"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lastRenderedPageBreak/>
              <w:t xml:space="preserve">Mechanism methodologies shall encourage ambition over time; encourage broad participation; be real, transparent, conservative, credible, below ‘business as usual’; avoid leakage, where applicable; recognize suppressed demand; align to the long-term temperature goal of the Paris Agreement, contribute to the equitable sharing of mitigation benefits between the participating Parties; and, in respect of each participating Party, contribute to reducing emission </w:t>
            </w:r>
            <w:r w:rsidRPr="00476926">
              <w:rPr>
                <w:sz w:val="21"/>
                <w:szCs w:val="21"/>
              </w:rPr>
              <w:lastRenderedPageBreak/>
              <w:t>levels in the host Party; and align with its NDC, if applicable, its long- term low GHG emission development strategy if it has submitted one and the long-term goals of the Paris Agreement.</w:t>
            </w:r>
          </w:p>
          <w:p w14:paraId="7FB515A9"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w:t>
            </w:r>
          </w:p>
          <w:p w14:paraId="610CE336"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 xml:space="preserve">the request for transition by project participants </w:t>
            </w:r>
            <w:proofErr w:type="gramStart"/>
            <w:r w:rsidRPr="00476926">
              <w:rPr>
                <w:sz w:val="21"/>
                <w:szCs w:val="21"/>
              </w:rPr>
              <w:t>has to</w:t>
            </w:r>
            <w:proofErr w:type="gramEnd"/>
            <w:r w:rsidRPr="00476926">
              <w:rPr>
                <w:sz w:val="21"/>
                <w:szCs w:val="21"/>
              </w:rPr>
              <w:t xml:space="preserve"> take place before 2023; the approval by the Supervisory Board has to take place by 2025 and methodologies could be used for a certain period.</w:t>
            </w:r>
          </w:p>
        </w:tc>
      </w:tr>
      <w:tr w:rsidR="00E03B6F" w:rsidRPr="00476926" w14:paraId="622B32E2"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24EF773E" w14:textId="77777777" w:rsidR="00E03B6F" w:rsidRPr="00476926" w:rsidRDefault="00E03B6F" w:rsidP="00906ED3">
            <w:pPr>
              <w:rPr>
                <w:rFonts w:cstheme="minorHAnsi"/>
                <w:b w:val="0"/>
                <w:bCs w:val="0"/>
                <w:sz w:val="21"/>
                <w:szCs w:val="21"/>
              </w:rPr>
            </w:pPr>
            <w:r w:rsidRPr="00476926">
              <w:rPr>
                <w:rFonts w:cstheme="minorHAnsi"/>
                <w:sz w:val="21"/>
                <w:szCs w:val="21"/>
              </w:rPr>
              <w:lastRenderedPageBreak/>
              <w:t>Effectiveness</w:t>
            </w:r>
          </w:p>
          <w:p w14:paraId="11BE4571" w14:textId="77777777" w:rsidR="00E03B6F" w:rsidRPr="00476926" w:rsidRDefault="00E03B6F" w:rsidP="00906ED3">
            <w:pPr>
              <w:rPr>
                <w:rFonts w:cstheme="minorHAnsi"/>
                <w:b w:val="0"/>
                <w:bCs w:val="0"/>
                <w:sz w:val="21"/>
                <w:szCs w:val="21"/>
              </w:rPr>
            </w:pPr>
            <w:r w:rsidRPr="00476926">
              <w:rPr>
                <w:b w:val="0"/>
                <w:bCs w:val="0"/>
                <w:sz w:val="21"/>
                <w:szCs w:val="21"/>
              </w:rPr>
              <w:t xml:space="preserve">ICC Principle </w:t>
            </w:r>
            <w:r w:rsidRPr="00476926">
              <w:rPr>
                <w:sz w:val="21"/>
                <w:szCs w:val="21"/>
              </w:rPr>
              <w:t xml:space="preserve">1: Focus on GHG emissions reduction as prime target, </w:t>
            </w:r>
            <w:r w:rsidRPr="00476926">
              <w:rPr>
                <w:sz w:val="21"/>
                <w:szCs w:val="21"/>
              </w:rPr>
              <w:lastRenderedPageBreak/>
              <w:t>including the prevention of GHG leakage</w:t>
            </w:r>
          </w:p>
        </w:tc>
        <w:tc>
          <w:tcPr>
            <w:tcW w:w="0" w:type="dxa"/>
          </w:tcPr>
          <w:p w14:paraId="4B7AB134" w14:textId="77777777" w:rsidR="00E03B6F" w:rsidRPr="007150F0" w:rsidRDefault="00E03B6F"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p>
        </w:tc>
        <w:tc>
          <w:tcPr>
            <w:tcW w:w="0" w:type="dxa"/>
          </w:tcPr>
          <w:p w14:paraId="3CECF7B9" w14:textId="7777777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b/>
                <w:bCs/>
                <w:sz w:val="21"/>
                <w:szCs w:val="21"/>
              </w:rPr>
              <w:t xml:space="preserve">Robust quantification of emission reductions and </w:t>
            </w:r>
            <w:r w:rsidRPr="00476926">
              <w:rPr>
                <w:b/>
                <w:bCs/>
                <w:sz w:val="21"/>
                <w:szCs w:val="21"/>
              </w:rPr>
              <w:lastRenderedPageBreak/>
              <w:t>removals:</w:t>
            </w:r>
            <w:r w:rsidRPr="00476926">
              <w:rPr>
                <w:sz w:val="21"/>
                <w:szCs w:val="21"/>
              </w:rPr>
              <w:t xml:space="preserve"> The GHG emission reductions or removals from the mitigation activity shall be robustly quantified, based on conservative approaches, </w:t>
            </w:r>
            <w:proofErr w:type="gramStart"/>
            <w:r w:rsidRPr="00476926">
              <w:rPr>
                <w:sz w:val="21"/>
                <w:szCs w:val="21"/>
              </w:rPr>
              <w:t>completeness</w:t>
            </w:r>
            <w:proofErr w:type="gramEnd"/>
            <w:r w:rsidRPr="00476926">
              <w:rPr>
                <w:sz w:val="21"/>
                <w:szCs w:val="21"/>
              </w:rPr>
              <w:t xml:space="preserve"> and sound scientific methods</w:t>
            </w:r>
          </w:p>
          <w:p w14:paraId="69E85A42" w14:textId="7777777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Contribution to net zero transition</w:t>
            </w:r>
          </w:p>
        </w:tc>
        <w:tc>
          <w:tcPr>
            <w:tcW w:w="0" w:type="dxa"/>
          </w:tcPr>
          <w:p w14:paraId="11DB7EF4"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b/>
                <w:bCs/>
                <w:sz w:val="21"/>
                <w:szCs w:val="21"/>
              </w:rPr>
              <w:lastRenderedPageBreak/>
              <w:t xml:space="preserve">Corresponding Adjustments (CA): </w:t>
            </w:r>
            <w:r w:rsidRPr="00476926">
              <w:rPr>
                <w:sz w:val="21"/>
                <w:szCs w:val="21"/>
              </w:rPr>
              <w:t xml:space="preserve">When an </w:t>
            </w:r>
            <w:r w:rsidRPr="00476926">
              <w:rPr>
                <w:sz w:val="21"/>
                <w:szCs w:val="21"/>
              </w:rPr>
              <w:lastRenderedPageBreak/>
              <w:t xml:space="preserve">international transfer </w:t>
            </w:r>
            <w:proofErr w:type="gramStart"/>
            <w:r w:rsidRPr="00476926">
              <w:rPr>
                <w:sz w:val="21"/>
                <w:szCs w:val="21"/>
              </w:rPr>
              <w:t>is authorized</w:t>
            </w:r>
            <w:proofErr w:type="gramEnd"/>
            <w:r w:rsidRPr="00476926">
              <w:rPr>
                <w:sz w:val="21"/>
                <w:szCs w:val="21"/>
              </w:rPr>
              <w:t xml:space="preserve"> for these uses, it then requires that a corresponding adjustment be undertaken. Transfers that </w:t>
            </w:r>
            <w:proofErr w:type="gramStart"/>
            <w:r w:rsidRPr="00476926">
              <w:rPr>
                <w:sz w:val="21"/>
                <w:szCs w:val="21"/>
              </w:rPr>
              <w:t>are not authorized</w:t>
            </w:r>
            <w:proofErr w:type="gramEnd"/>
            <w:r w:rsidRPr="00476926">
              <w:rPr>
                <w:sz w:val="21"/>
                <w:szCs w:val="21"/>
              </w:rPr>
              <w:t xml:space="preserve"> could potentially be used for domestic purposes, results-based finance, or voluntary corporate targets.</w:t>
            </w:r>
          </w:p>
          <w:p w14:paraId="2CA21C7A"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 xml:space="preserve">Delivery of overall mitigation in global emissions shall </w:t>
            </w:r>
            <w:proofErr w:type="gramStart"/>
            <w:r w:rsidRPr="00476926">
              <w:rPr>
                <w:sz w:val="21"/>
                <w:szCs w:val="21"/>
              </w:rPr>
              <w:t>be enhanced</w:t>
            </w:r>
            <w:proofErr w:type="gramEnd"/>
            <w:r w:rsidRPr="00476926">
              <w:rPr>
                <w:sz w:val="21"/>
                <w:szCs w:val="21"/>
              </w:rPr>
              <w:t xml:space="preserve"> through mandatory cancellation of A6.4ERs that are also accounted for </w:t>
            </w:r>
          </w:p>
        </w:tc>
      </w:tr>
      <w:tr w:rsidR="00E03B6F" w:rsidRPr="00476926" w14:paraId="65EB80AD"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2E4BFBA4" w14:textId="77777777" w:rsidR="00E03B6F" w:rsidRPr="00476926" w:rsidRDefault="00E03B6F" w:rsidP="00906ED3">
            <w:pPr>
              <w:rPr>
                <w:rFonts w:cstheme="minorHAnsi"/>
                <w:b w:val="0"/>
                <w:bCs w:val="0"/>
                <w:sz w:val="21"/>
                <w:szCs w:val="21"/>
              </w:rPr>
            </w:pPr>
            <w:r w:rsidRPr="00476926">
              <w:rPr>
                <w:rFonts w:cstheme="minorHAnsi"/>
                <w:sz w:val="21"/>
                <w:szCs w:val="21"/>
              </w:rPr>
              <w:lastRenderedPageBreak/>
              <w:t>Collateral Benefits</w:t>
            </w:r>
          </w:p>
          <w:p w14:paraId="34019FDD" w14:textId="77777777" w:rsidR="00E03B6F" w:rsidRPr="00476926" w:rsidRDefault="00E03B6F" w:rsidP="00906ED3">
            <w:pPr>
              <w:rPr>
                <w:b w:val="0"/>
                <w:bCs w:val="0"/>
                <w:sz w:val="21"/>
                <w:szCs w:val="21"/>
              </w:rPr>
            </w:pPr>
            <w:r w:rsidRPr="00476926">
              <w:rPr>
                <w:rFonts w:cstheme="minorHAnsi"/>
                <w:b w:val="0"/>
                <w:bCs w:val="0"/>
                <w:sz w:val="21"/>
                <w:szCs w:val="21"/>
              </w:rPr>
              <w:t xml:space="preserve">ICC Principle </w:t>
            </w:r>
            <w:r w:rsidRPr="00476926">
              <w:rPr>
                <w:sz w:val="21"/>
                <w:szCs w:val="21"/>
              </w:rPr>
              <w:t>5: Maintain accessibility to and affordability of low-carbon and clean energy sources</w:t>
            </w:r>
          </w:p>
          <w:p w14:paraId="3D5EC098" w14:textId="77777777" w:rsidR="00E03B6F" w:rsidRPr="00476926" w:rsidRDefault="00E03B6F" w:rsidP="00906ED3">
            <w:pPr>
              <w:rPr>
                <w:b w:val="0"/>
                <w:bCs w:val="0"/>
                <w:sz w:val="21"/>
                <w:szCs w:val="21"/>
              </w:rPr>
            </w:pPr>
            <w:r w:rsidRPr="00476926">
              <w:rPr>
                <w:b w:val="0"/>
                <w:bCs w:val="0"/>
                <w:sz w:val="21"/>
                <w:szCs w:val="21"/>
              </w:rPr>
              <w:lastRenderedPageBreak/>
              <w:t xml:space="preserve">ICC Principle </w:t>
            </w:r>
            <w:r w:rsidRPr="00476926">
              <w:rPr>
                <w:sz w:val="21"/>
                <w:szCs w:val="21"/>
              </w:rPr>
              <w:t>8: Couple carbon pricing with climate change mitigation and adaptation</w:t>
            </w:r>
          </w:p>
          <w:p w14:paraId="770F62DA" w14:textId="77777777" w:rsidR="00E03B6F" w:rsidRPr="00476926" w:rsidRDefault="00E03B6F" w:rsidP="00906ED3">
            <w:pPr>
              <w:rPr>
                <w:rFonts w:cstheme="minorHAnsi"/>
                <w:sz w:val="21"/>
                <w:szCs w:val="21"/>
              </w:rPr>
            </w:pPr>
          </w:p>
        </w:tc>
        <w:tc>
          <w:tcPr>
            <w:tcW w:w="0" w:type="dxa"/>
          </w:tcPr>
          <w:p w14:paraId="24504B05" w14:textId="77777777" w:rsidR="00E03B6F" w:rsidRPr="00B136BA" w:rsidRDefault="00E03B6F"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p>
        </w:tc>
        <w:tc>
          <w:tcPr>
            <w:tcW w:w="0" w:type="dxa"/>
          </w:tcPr>
          <w:p w14:paraId="375AC22E" w14:textId="7777777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Sustainable development benefits and safeguards</w:t>
            </w:r>
          </w:p>
        </w:tc>
        <w:tc>
          <w:tcPr>
            <w:tcW w:w="0" w:type="dxa"/>
          </w:tcPr>
          <w:p w14:paraId="2FD81D81"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Levy of share of proceeds for adaptation and administrative expenses</w:t>
            </w:r>
          </w:p>
          <w:p w14:paraId="10F09996"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 xml:space="preserve">“The share of proceeds to assist </w:t>
            </w:r>
            <w:r w:rsidRPr="00476926">
              <w:rPr>
                <w:sz w:val="21"/>
                <w:szCs w:val="21"/>
              </w:rPr>
              <w:lastRenderedPageBreak/>
              <w:t>developing country Parties that are particularly vulnerable to the adverse effects of climate change to meet the costs of adaptation shall be comprised of a levy of 5 per cent of A6.4ERs at issuance”</w:t>
            </w:r>
          </w:p>
          <w:p w14:paraId="7940BA0C"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Share of Proceeds (</w:t>
            </w:r>
            <w:proofErr w:type="gramStart"/>
            <w:r w:rsidRPr="00476926">
              <w:rPr>
                <w:sz w:val="21"/>
                <w:szCs w:val="21"/>
              </w:rPr>
              <w:t>similar to</w:t>
            </w:r>
            <w:proofErr w:type="gramEnd"/>
            <w:r w:rsidRPr="00476926">
              <w:rPr>
                <w:sz w:val="21"/>
                <w:szCs w:val="21"/>
              </w:rPr>
              <w:t xml:space="preserve"> Article 6.4 provisions) and Overall Mitigation of Global Emissions </w:t>
            </w:r>
          </w:p>
          <w:p w14:paraId="432E6528"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 xml:space="preserve">“Participating Parties and stakeholders using cooperative approaches are strongly encouraged to commit to contribute resources for adaptation, </w:t>
            </w:r>
            <w:proofErr w:type="gramStart"/>
            <w:r w:rsidRPr="00476926">
              <w:rPr>
                <w:sz w:val="21"/>
                <w:szCs w:val="21"/>
              </w:rPr>
              <w:t>in particular through</w:t>
            </w:r>
            <w:proofErr w:type="gramEnd"/>
            <w:r w:rsidRPr="00476926">
              <w:rPr>
                <w:sz w:val="21"/>
                <w:szCs w:val="21"/>
              </w:rPr>
              <w:t xml:space="preserve"> contributions to the Adaptation Fund. […] and to </w:t>
            </w:r>
            <w:proofErr w:type="gramStart"/>
            <w:r w:rsidRPr="00476926">
              <w:rPr>
                <w:sz w:val="21"/>
                <w:szCs w:val="21"/>
              </w:rPr>
              <w:t>take into account</w:t>
            </w:r>
            <w:proofErr w:type="gramEnd"/>
            <w:r w:rsidRPr="00476926">
              <w:rPr>
                <w:sz w:val="21"/>
                <w:szCs w:val="21"/>
              </w:rPr>
              <w:t xml:space="preserve"> the delivery of overall mitigation </w:t>
            </w:r>
            <w:r w:rsidRPr="00476926">
              <w:rPr>
                <w:sz w:val="21"/>
                <w:szCs w:val="21"/>
              </w:rPr>
              <w:lastRenderedPageBreak/>
              <w:t>in global emissions under the mechanism established by Article 6, paragraph 4”</w:t>
            </w:r>
          </w:p>
        </w:tc>
      </w:tr>
      <w:tr w:rsidR="00E03B6F" w:rsidRPr="00476926" w14:paraId="490C681E"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16B46230" w14:textId="77777777" w:rsidR="00E03B6F" w:rsidRPr="00476926" w:rsidRDefault="00E03B6F" w:rsidP="00906ED3">
            <w:pPr>
              <w:rPr>
                <w:rFonts w:cstheme="minorHAnsi"/>
                <w:sz w:val="21"/>
                <w:szCs w:val="21"/>
              </w:rPr>
            </w:pPr>
            <w:r w:rsidRPr="00476926">
              <w:rPr>
                <w:rFonts w:cstheme="minorHAnsi"/>
                <w:sz w:val="21"/>
                <w:szCs w:val="21"/>
              </w:rPr>
              <w:lastRenderedPageBreak/>
              <w:t>Cooperation Scope</w:t>
            </w:r>
          </w:p>
          <w:p w14:paraId="21279026" w14:textId="77777777" w:rsidR="00E03B6F" w:rsidRPr="00476926" w:rsidRDefault="00E03B6F" w:rsidP="00906ED3">
            <w:pPr>
              <w:rPr>
                <w:b w:val="0"/>
                <w:bCs w:val="0"/>
                <w:sz w:val="21"/>
                <w:szCs w:val="21"/>
              </w:rPr>
            </w:pPr>
            <w:r w:rsidRPr="00476926">
              <w:rPr>
                <w:rFonts w:cstheme="minorHAnsi"/>
                <w:sz w:val="21"/>
                <w:szCs w:val="21"/>
              </w:rPr>
              <w:t xml:space="preserve">ICC Principle </w:t>
            </w:r>
            <w:r w:rsidRPr="00476926">
              <w:rPr>
                <w:sz w:val="21"/>
                <w:szCs w:val="21"/>
              </w:rPr>
              <w:t>6: Promote international linking of carbon pricing instruments</w:t>
            </w:r>
          </w:p>
          <w:p w14:paraId="05D1CAF0" w14:textId="77777777" w:rsidR="00E03B6F" w:rsidRPr="00476926" w:rsidRDefault="00E03B6F" w:rsidP="00906ED3">
            <w:pPr>
              <w:rPr>
                <w:b w:val="0"/>
                <w:bCs w:val="0"/>
                <w:sz w:val="21"/>
                <w:szCs w:val="21"/>
              </w:rPr>
            </w:pPr>
            <w:r w:rsidRPr="00476926">
              <w:rPr>
                <w:sz w:val="21"/>
                <w:szCs w:val="21"/>
              </w:rPr>
              <w:t>ICC Principle 9: Ensure international cooperation for greater consistency globally</w:t>
            </w:r>
          </w:p>
        </w:tc>
        <w:tc>
          <w:tcPr>
            <w:tcW w:w="0" w:type="dxa"/>
          </w:tcPr>
          <w:p w14:paraId="5C631774" w14:textId="77777777" w:rsidR="00E03B6F" w:rsidRPr="00B136BA" w:rsidRDefault="00E03B6F" w:rsidP="00906ED3">
            <w:pPr>
              <w:pStyle w:val="NormalWeb"/>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ellix" w:hAnsi="Gellix" w:cstheme="minorHAnsi"/>
                <w:sz w:val="21"/>
                <w:szCs w:val="21"/>
              </w:rPr>
            </w:pPr>
          </w:p>
        </w:tc>
        <w:tc>
          <w:tcPr>
            <w:tcW w:w="0" w:type="dxa"/>
          </w:tcPr>
          <w:p w14:paraId="608794CE" w14:textId="77777777" w:rsidR="00E03B6F" w:rsidRPr="00476926" w:rsidRDefault="00E03B6F" w:rsidP="00906ED3">
            <w:pPr>
              <w:pStyle w:val="ListParagraph"/>
              <w:ind w:left="0"/>
              <w:cnfStyle w:val="000000000000" w:firstRow="0" w:lastRow="0" w:firstColumn="0" w:lastColumn="0" w:oddVBand="0" w:evenVBand="0" w:oddHBand="0" w:evenHBand="0" w:firstRowFirstColumn="0" w:firstRowLastColumn="0" w:lastRowFirstColumn="0" w:lastRowLastColumn="0"/>
              <w:rPr>
                <w:sz w:val="21"/>
                <w:szCs w:val="21"/>
              </w:rPr>
            </w:pPr>
          </w:p>
        </w:tc>
        <w:tc>
          <w:tcPr>
            <w:tcW w:w="0" w:type="dxa"/>
          </w:tcPr>
          <w:p w14:paraId="4C64909B" w14:textId="77777777" w:rsidR="00E03B6F" w:rsidRPr="00476926" w:rsidRDefault="00E03B6F" w:rsidP="00906ED3">
            <w:pPr>
              <w:pStyle w:val="ListParagraph"/>
              <w:snapToGrid w:val="0"/>
              <w:ind w:left="0"/>
              <w:contextualSpacing w:val="0"/>
              <w:cnfStyle w:val="000000000000" w:firstRow="0" w:lastRow="0" w:firstColumn="0" w:lastColumn="0" w:oddVBand="0" w:evenVBand="0" w:oddHBand="0" w:evenHBand="0" w:firstRowFirstColumn="0" w:firstRowLastColumn="0" w:lastRowFirstColumn="0" w:lastRowLastColumn="0"/>
              <w:rPr>
                <w:sz w:val="21"/>
                <w:szCs w:val="21"/>
              </w:rPr>
            </w:pPr>
            <w:r w:rsidRPr="00476926">
              <w:rPr>
                <w:sz w:val="21"/>
                <w:szCs w:val="21"/>
              </w:rPr>
              <w:t>Guidance on cooperative approaches referred to in Article 6.2 low-emission development strategy, if it has submitted one, and the long-term goals of the Paris Agreement.</w:t>
            </w:r>
          </w:p>
        </w:tc>
      </w:tr>
      <w:tr w:rsidR="00E03B6F" w:rsidRPr="00476926" w14:paraId="310FD84A"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7C03309E" w14:textId="272755DA" w:rsidR="00E03B6F" w:rsidRPr="00476926" w:rsidRDefault="008E7773" w:rsidP="00906ED3">
            <w:pPr>
              <w:rPr>
                <w:b w:val="0"/>
                <w:bCs w:val="0"/>
                <w:sz w:val="21"/>
                <w:szCs w:val="21"/>
              </w:rPr>
            </w:pPr>
            <w:r w:rsidRPr="00476926">
              <w:rPr>
                <w:sz w:val="21"/>
                <w:szCs w:val="21"/>
              </w:rPr>
              <w:t>Consultatio</w:t>
            </w:r>
            <w:r w:rsidRPr="00476926">
              <w:rPr>
                <w:b w:val="0"/>
                <w:bCs w:val="0"/>
                <w:sz w:val="21"/>
                <w:szCs w:val="21"/>
              </w:rPr>
              <w:t>n</w:t>
            </w:r>
            <w:r w:rsidR="00E03B6F" w:rsidRPr="00476926">
              <w:rPr>
                <w:sz w:val="21"/>
                <w:szCs w:val="21"/>
              </w:rPr>
              <w:t>/collaboration</w:t>
            </w:r>
          </w:p>
          <w:p w14:paraId="216D28EB" w14:textId="77777777" w:rsidR="00E03B6F" w:rsidRPr="00476926" w:rsidRDefault="00E03B6F" w:rsidP="00906ED3">
            <w:pPr>
              <w:rPr>
                <w:b w:val="0"/>
                <w:bCs w:val="0"/>
                <w:sz w:val="21"/>
                <w:szCs w:val="21"/>
              </w:rPr>
            </w:pPr>
            <w:r w:rsidRPr="00476926">
              <w:rPr>
                <w:b w:val="0"/>
                <w:bCs w:val="0"/>
                <w:sz w:val="21"/>
                <w:szCs w:val="21"/>
              </w:rPr>
              <w:t xml:space="preserve">ICC Principle </w:t>
            </w:r>
            <w:r w:rsidRPr="00476926">
              <w:rPr>
                <w:sz w:val="21"/>
                <w:szCs w:val="21"/>
              </w:rPr>
              <w:t>10: Develop mechanisms through inclusive and transparent consultation with business and other key stakeholders</w:t>
            </w:r>
          </w:p>
        </w:tc>
        <w:tc>
          <w:tcPr>
            <w:tcW w:w="0" w:type="dxa"/>
          </w:tcPr>
          <w:p w14:paraId="73C77B3C"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p>
        </w:tc>
        <w:tc>
          <w:tcPr>
            <w:tcW w:w="0" w:type="dxa"/>
          </w:tcPr>
          <w:p w14:paraId="46CFB205"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p>
        </w:tc>
        <w:tc>
          <w:tcPr>
            <w:tcW w:w="0" w:type="dxa"/>
          </w:tcPr>
          <w:p w14:paraId="28ED4229" w14:textId="77777777" w:rsidR="00E03B6F" w:rsidRPr="00476926"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p>
        </w:tc>
      </w:tr>
      <w:tr w:rsidR="00E03B6F" w:rsidRPr="00906ED3" w14:paraId="4C0E0FCD" w14:textId="77777777" w:rsidTr="00E03B6F">
        <w:tc>
          <w:tcPr>
            <w:cnfStyle w:val="001000000000" w:firstRow="0" w:lastRow="0" w:firstColumn="1" w:lastColumn="0" w:oddVBand="0" w:evenVBand="0" w:oddHBand="0" w:evenHBand="0" w:firstRowFirstColumn="0" w:firstRowLastColumn="0" w:lastRowFirstColumn="0" w:lastRowLastColumn="0"/>
            <w:tcW w:w="0" w:type="dxa"/>
          </w:tcPr>
          <w:p w14:paraId="47E96DF7" w14:textId="77777777" w:rsidR="00E03B6F" w:rsidRPr="00476926" w:rsidRDefault="00E03B6F" w:rsidP="00906ED3">
            <w:pPr>
              <w:rPr>
                <w:b w:val="0"/>
                <w:bCs w:val="0"/>
                <w:sz w:val="21"/>
                <w:szCs w:val="21"/>
              </w:rPr>
            </w:pPr>
            <w:r w:rsidRPr="00476926">
              <w:rPr>
                <w:sz w:val="21"/>
                <w:szCs w:val="21"/>
              </w:rPr>
              <w:t>Flexibility</w:t>
            </w:r>
          </w:p>
          <w:p w14:paraId="612C89D3" w14:textId="77777777" w:rsidR="00E03B6F" w:rsidRPr="00906ED3" w:rsidRDefault="00E03B6F" w:rsidP="00906ED3">
            <w:pPr>
              <w:rPr>
                <w:b w:val="0"/>
                <w:bCs w:val="0"/>
                <w:sz w:val="21"/>
                <w:szCs w:val="21"/>
              </w:rPr>
            </w:pPr>
            <w:r w:rsidRPr="00476926">
              <w:rPr>
                <w:b w:val="0"/>
                <w:bCs w:val="0"/>
                <w:sz w:val="21"/>
                <w:szCs w:val="21"/>
              </w:rPr>
              <w:t xml:space="preserve">ICC Principle </w:t>
            </w:r>
            <w:r w:rsidRPr="00476926">
              <w:rPr>
                <w:sz w:val="21"/>
                <w:szCs w:val="21"/>
              </w:rPr>
              <w:t>7: Recognise that there is no “one-size-fits-all” single instrument</w:t>
            </w:r>
          </w:p>
        </w:tc>
        <w:tc>
          <w:tcPr>
            <w:tcW w:w="0" w:type="dxa"/>
          </w:tcPr>
          <w:p w14:paraId="04B04F7A" w14:textId="77777777" w:rsidR="00E03B6F" w:rsidRPr="00906ED3" w:rsidRDefault="00E03B6F" w:rsidP="00906ED3">
            <w:pPr>
              <w:pStyle w:val="ListParagraph"/>
              <w:cnfStyle w:val="000000000000" w:firstRow="0" w:lastRow="0" w:firstColumn="0" w:lastColumn="0" w:oddVBand="0" w:evenVBand="0" w:oddHBand="0" w:evenHBand="0" w:firstRowFirstColumn="0" w:firstRowLastColumn="0" w:lastRowFirstColumn="0" w:lastRowLastColumn="0"/>
              <w:rPr>
                <w:sz w:val="21"/>
                <w:szCs w:val="21"/>
              </w:rPr>
            </w:pPr>
          </w:p>
        </w:tc>
        <w:tc>
          <w:tcPr>
            <w:tcW w:w="0" w:type="dxa"/>
          </w:tcPr>
          <w:p w14:paraId="7AE5BD67" w14:textId="77777777" w:rsidR="00E03B6F" w:rsidRPr="00906ED3" w:rsidRDefault="00E03B6F" w:rsidP="00906ED3">
            <w:pPr>
              <w:pStyle w:val="ListParagraph"/>
              <w:cnfStyle w:val="000000000000" w:firstRow="0" w:lastRow="0" w:firstColumn="0" w:lastColumn="0" w:oddVBand="0" w:evenVBand="0" w:oddHBand="0" w:evenHBand="0" w:firstRowFirstColumn="0" w:firstRowLastColumn="0" w:lastRowFirstColumn="0" w:lastRowLastColumn="0"/>
              <w:rPr>
                <w:sz w:val="21"/>
                <w:szCs w:val="21"/>
              </w:rPr>
            </w:pPr>
          </w:p>
        </w:tc>
        <w:tc>
          <w:tcPr>
            <w:tcW w:w="0" w:type="dxa"/>
          </w:tcPr>
          <w:p w14:paraId="5AA02090" w14:textId="77777777" w:rsidR="00E03B6F" w:rsidRPr="00906ED3" w:rsidRDefault="00E03B6F" w:rsidP="00906ED3">
            <w:pPr>
              <w:cnfStyle w:val="000000000000" w:firstRow="0" w:lastRow="0" w:firstColumn="0" w:lastColumn="0" w:oddVBand="0" w:evenVBand="0" w:oddHBand="0" w:evenHBand="0" w:firstRowFirstColumn="0" w:firstRowLastColumn="0" w:lastRowFirstColumn="0" w:lastRowLastColumn="0"/>
              <w:rPr>
                <w:sz w:val="21"/>
                <w:szCs w:val="21"/>
              </w:rPr>
            </w:pPr>
          </w:p>
        </w:tc>
      </w:tr>
    </w:tbl>
    <w:p w14:paraId="0B58F735" w14:textId="79509136" w:rsidR="00100661" w:rsidRPr="00906ED3" w:rsidRDefault="00100661" w:rsidP="00906ED3">
      <w:pPr>
        <w:spacing w:after="0" w:line="240" w:lineRule="auto"/>
        <w:rPr>
          <w:sz w:val="21"/>
          <w:szCs w:val="21"/>
        </w:rPr>
      </w:pPr>
    </w:p>
    <w:sectPr w:rsidR="00100661" w:rsidRPr="00906ED3" w:rsidSect="00436BE6">
      <w:pgSz w:w="16838" w:h="11906" w:orient="landscape"/>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0F17" w14:textId="77777777" w:rsidR="00E37160" w:rsidRDefault="00E37160" w:rsidP="005E03BD">
      <w:r>
        <w:separator/>
      </w:r>
    </w:p>
  </w:endnote>
  <w:endnote w:type="continuationSeparator" w:id="0">
    <w:p w14:paraId="06EBCBAC" w14:textId="77777777" w:rsidR="00E37160" w:rsidRDefault="00E37160" w:rsidP="005E03BD">
      <w:r>
        <w:continuationSeparator/>
      </w:r>
    </w:p>
  </w:endnote>
  <w:endnote w:type="continuationNotice" w:id="1">
    <w:p w14:paraId="24E9E0A6" w14:textId="77777777" w:rsidR="00E37160" w:rsidRDefault="00E37160" w:rsidP="005E0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llix">
    <w:altName w:val="Calibri"/>
    <w:panose1 w:val="00000000000000000000"/>
    <w:charset w:val="00"/>
    <w:family w:val="modern"/>
    <w:notTrueType/>
    <w:pitch w:val="variable"/>
    <w:sig w:usb0="A10000EF" w:usb1="0000207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alibri"/>
    <w:charset w:val="00"/>
    <w:family w:val="auto"/>
    <w:pitch w:val="variable"/>
    <w:sig w:usb0="00000001"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F35E" w14:textId="77777777" w:rsidR="002D5145" w:rsidRDefault="002D5145" w:rsidP="005E03BD">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3B4154" w14:textId="77777777" w:rsidR="002D5145" w:rsidRDefault="002D5145" w:rsidP="005E03BD">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4607BC" w14:textId="77777777" w:rsidR="002D5145" w:rsidRDefault="002D5145" w:rsidP="005E03BD"/>
  <w:p w14:paraId="65A3976E" w14:textId="77777777" w:rsidR="002D5145" w:rsidRDefault="002D5145" w:rsidP="005E03BD"/>
  <w:p w14:paraId="4FF53286" w14:textId="77777777" w:rsidR="002D5145" w:rsidRDefault="002D5145" w:rsidP="005E03BD"/>
  <w:p w14:paraId="0CA0172C" w14:textId="77777777" w:rsidR="002D5145" w:rsidRDefault="002D5145" w:rsidP="005E03BD"/>
  <w:p w14:paraId="74A5BA50" w14:textId="77777777" w:rsidR="002D5145" w:rsidRDefault="002D5145" w:rsidP="005E03BD"/>
  <w:p w14:paraId="14E98C45" w14:textId="77777777" w:rsidR="002D5145" w:rsidRDefault="002D5145" w:rsidP="005E03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9183" w14:textId="77777777" w:rsidR="002D5145" w:rsidRDefault="002D5145" w:rsidP="005E03BD">
    <w:r w:rsidRPr="000804A3">
      <w:rPr>
        <w:noProof/>
        <w:color w:val="2B579A"/>
        <w:shd w:val="clear" w:color="auto" w:fill="E6E6E6"/>
      </w:rPr>
      <mc:AlternateContent>
        <mc:Choice Requires="wps">
          <w:drawing>
            <wp:anchor distT="0" distB="0" distL="114300" distR="114300" simplePos="0" relativeHeight="251658240" behindDoc="1" locked="0" layoutInCell="1" allowOverlap="0" wp14:anchorId="53A27DF5" wp14:editId="1BC6F87F">
              <wp:simplePos x="0" y="0"/>
              <wp:positionH relativeFrom="page">
                <wp:posOffset>742950</wp:posOffset>
              </wp:positionH>
              <wp:positionV relativeFrom="page">
                <wp:posOffset>10045700</wp:posOffset>
              </wp:positionV>
              <wp:extent cx="6058800" cy="127710"/>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56F5" w14:textId="6D540744" w:rsidR="002D5145" w:rsidRPr="00BC4006" w:rsidRDefault="00420CEE" w:rsidP="005E03BD">
                          <w:pPr>
                            <w:pStyle w:val="zFooter"/>
                          </w:pPr>
                          <w:r>
                            <w:t>November</w:t>
                          </w:r>
                          <w:r w:rsidR="002D5145">
                            <w:t xml:space="preserve"> 2023</w:t>
                          </w:r>
                          <w:r w:rsidR="002D5145" w:rsidRPr="00BC4006">
                            <w:t xml:space="preserve"> | </w:t>
                          </w:r>
                          <w:r w:rsidR="00247E92">
                            <w:t>ICC Proposals for Effective Carbon Pricing</w:t>
                          </w:r>
                          <w:r w:rsidR="002D5145" w:rsidRPr="00BC4006">
                            <w:t xml:space="preserve"> | </w:t>
                          </w:r>
                          <w:r w:rsidR="002D5145" w:rsidRPr="00BE6229">
                            <w:rPr>
                              <w:b/>
                              <w:color w:val="2B579A"/>
                              <w:shd w:val="clear" w:color="auto" w:fill="E6E6E6"/>
                            </w:rPr>
                            <w:fldChar w:fldCharType="begin"/>
                          </w:r>
                          <w:r w:rsidR="002D5145" w:rsidRPr="00BE6229">
                            <w:rPr>
                              <w:b/>
                              <w:bCs/>
                            </w:rPr>
                            <w:instrText xml:space="preserve"> PAGE </w:instrText>
                          </w:r>
                          <w:r w:rsidR="002D5145" w:rsidRPr="00BE6229">
                            <w:rPr>
                              <w:b/>
                              <w:color w:val="2B579A"/>
                              <w:shd w:val="clear" w:color="auto" w:fill="E6E6E6"/>
                            </w:rPr>
                            <w:fldChar w:fldCharType="separate"/>
                          </w:r>
                          <w:r w:rsidR="002D5145">
                            <w:rPr>
                              <w:b/>
                              <w:bCs/>
                            </w:rPr>
                            <w:t>2</w:t>
                          </w:r>
                          <w:r w:rsidR="002D5145" w:rsidRPr="00BE6229">
                            <w:rPr>
                              <w:b/>
                              <w:color w:val="2B579A"/>
                              <w:shd w:val="clear" w:color="auto" w:fill="E6E6E6"/>
                            </w:rPr>
                            <w:fldChar w:fldCharType="end"/>
                          </w:r>
                        </w:p>
                        <w:p w14:paraId="5115C28E" w14:textId="77777777" w:rsidR="002D5145" w:rsidRPr="00BC4006" w:rsidRDefault="002D5145" w:rsidP="005E03BD">
                          <w:pPr>
                            <w:pStyle w:val="zFooter"/>
                          </w:pPr>
                        </w:p>
                        <w:p w14:paraId="4AD59B5A" w14:textId="77777777" w:rsidR="002D5145" w:rsidRPr="00BC4006" w:rsidRDefault="002D5145" w:rsidP="005E03BD">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27DF5" id="_x0000_t202" coordsize="21600,21600" o:spt="202" path="m,l,21600r21600,l21600,xe">
              <v:stroke joinstyle="miter"/>
              <v:path gradientshapeok="t" o:connecttype="rect"/>
            </v:shapetype>
            <v:shape id="Text Box 1" o:spid="_x0000_s1026" type="#_x0000_t202" style="position:absolute;margin-left:58.5pt;margin-top:791pt;width:477.0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1AF556F5" w14:textId="6D540744" w:rsidR="002D5145" w:rsidRPr="00BC4006" w:rsidRDefault="00420CEE" w:rsidP="005E03BD">
                    <w:pPr>
                      <w:pStyle w:val="zFooter"/>
                    </w:pPr>
                    <w:r>
                      <w:t>November</w:t>
                    </w:r>
                    <w:r w:rsidR="002D5145">
                      <w:t xml:space="preserve"> 2023</w:t>
                    </w:r>
                    <w:r w:rsidR="002D5145" w:rsidRPr="00BC4006">
                      <w:t xml:space="preserve"> | </w:t>
                    </w:r>
                    <w:r w:rsidR="00247E92">
                      <w:t>ICC Proposals for Effective Carbon Pricing</w:t>
                    </w:r>
                    <w:r w:rsidR="002D5145" w:rsidRPr="00BC4006">
                      <w:t xml:space="preserve"> | </w:t>
                    </w:r>
                    <w:r w:rsidR="002D5145" w:rsidRPr="00BE6229">
                      <w:rPr>
                        <w:b/>
                        <w:color w:val="2B579A"/>
                        <w:shd w:val="clear" w:color="auto" w:fill="E6E6E6"/>
                      </w:rPr>
                      <w:fldChar w:fldCharType="begin"/>
                    </w:r>
                    <w:r w:rsidR="002D5145" w:rsidRPr="00BE6229">
                      <w:rPr>
                        <w:b/>
                        <w:bCs/>
                      </w:rPr>
                      <w:instrText xml:space="preserve"> PAGE </w:instrText>
                    </w:r>
                    <w:r w:rsidR="002D5145" w:rsidRPr="00BE6229">
                      <w:rPr>
                        <w:b/>
                        <w:color w:val="2B579A"/>
                        <w:shd w:val="clear" w:color="auto" w:fill="E6E6E6"/>
                      </w:rPr>
                      <w:fldChar w:fldCharType="separate"/>
                    </w:r>
                    <w:r w:rsidR="002D5145">
                      <w:rPr>
                        <w:b/>
                        <w:bCs/>
                      </w:rPr>
                      <w:t>2</w:t>
                    </w:r>
                    <w:r w:rsidR="002D5145" w:rsidRPr="00BE6229">
                      <w:rPr>
                        <w:b/>
                        <w:color w:val="2B579A"/>
                        <w:shd w:val="clear" w:color="auto" w:fill="E6E6E6"/>
                      </w:rPr>
                      <w:fldChar w:fldCharType="end"/>
                    </w:r>
                  </w:p>
                  <w:p w14:paraId="5115C28E" w14:textId="77777777" w:rsidR="002D5145" w:rsidRPr="00BC4006" w:rsidRDefault="002D5145" w:rsidP="005E03BD">
                    <w:pPr>
                      <w:pStyle w:val="zFooter"/>
                    </w:pPr>
                  </w:p>
                  <w:p w14:paraId="4AD59B5A" w14:textId="77777777" w:rsidR="002D5145" w:rsidRPr="00BC4006" w:rsidRDefault="002D5145" w:rsidP="005E03BD">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A536" w14:textId="77777777" w:rsidR="002D5145" w:rsidRDefault="002D5145" w:rsidP="005E03BD">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p w14:paraId="2CFF0334" w14:textId="77777777" w:rsidR="002D5145" w:rsidRPr="003A4365" w:rsidRDefault="002D5145" w:rsidP="005E03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90EC" w14:textId="77777777" w:rsidR="00E37160" w:rsidRDefault="00E37160" w:rsidP="005E03BD">
      <w:r>
        <w:separator/>
      </w:r>
    </w:p>
  </w:footnote>
  <w:footnote w:type="continuationSeparator" w:id="0">
    <w:p w14:paraId="4D1BE836" w14:textId="77777777" w:rsidR="00E37160" w:rsidRDefault="00E37160" w:rsidP="005E03BD">
      <w:r>
        <w:continuationSeparator/>
      </w:r>
    </w:p>
  </w:footnote>
  <w:footnote w:type="continuationNotice" w:id="1">
    <w:p w14:paraId="4D23B2FB" w14:textId="77777777" w:rsidR="00E37160" w:rsidRDefault="00E37160" w:rsidP="005E03BD"/>
  </w:footnote>
  <w:footnote w:id="2">
    <w:p w14:paraId="0E1083D9" w14:textId="77777777" w:rsidR="00EC268B" w:rsidRPr="00DA1BD1" w:rsidRDefault="00FE7900" w:rsidP="00EC268B">
      <w:pPr>
        <w:pStyle w:val="FootnoteText"/>
        <w:rPr>
          <w:sz w:val="18"/>
          <w:szCs w:val="18"/>
        </w:rPr>
      </w:pPr>
      <w:r w:rsidRPr="00DA1BD1">
        <w:rPr>
          <w:rStyle w:val="FootnoteReference"/>
          <w:sz w:val="18"/>
          <w:szCs w:val="18"/>
        </w:rPr>
        <w:footnoteRef/>
      </w:r>
      <w:r w:rsidRPr="00DA1BD1">
        <w:rPr>
          <w:sz w:val="18"/>
          <w:szCs w:val="18"/>
        </w:rPr>
        <w:t xml:space="preserve"> </w:t>
      </w:r>
      <w:r w:rsidR="00EC268B" w:rsidRPr="00DA1BD1">
        <w:rPr>
          <w:sz w:val="18"/>
          <w:szCs w:val="18"/>
        </w:rPr>
        <w:t>According to latest studies, 80% of countries that signed up to the Paris Agreement have signalled their intention to use international market mechanisms or broad international support to meet their</w:t>
      </w:r>
    </w:p>
    <w:p w14:paraId="062D7A6C" w14:textId="7141E2CA" w:rsidR="00FE7900" w:rsidRPr="00FD2AC5" w:rsidRDefault="00EC268B" w:rsidP="00EC268B">
      <w:pPr>
        <w:pStyle w:val="FootnoteText"/>
        <w:rPr>
          <w:sz w:val="18"/>
          <w:szCs w:val="18"/>
        </w:rPr>
      </w:pPr>
      <w:r w:rsidRPr="00DA1BD1">
        <w:rPr>
          <w:sz w:val="18"/>
          <w:szCs w:val="18"/>
        </w:rPr>
        <w:t xml:space="preserve">NDCs or increase ambition, while over 20% of countries have already actively engaged in at least one cooperative approach through bilateral agreements, </w:t>
      </w:r>
      <w:proofErr w:type="gramStart"/>
      <w:r w:rsidRPr="00DA1BD1">
        <w:rPr>
          <w:sz w:val="18"/>
          <w:szCs w:val="18"/>
        </w:rPr>
        <w:t>MOUs</w:t>
      </w:r>
      <w:proofErr w:type="gramEnd"/>
      <w:r w:rsidRPr="00DA1BD1">
        <w:rPr>
          <w:sz w:val="18"/>
          <w:szCs w:val="18"/>
        </w:rPr>
        <w:t xml:space="preserve"> or participation in pilot projects. See </w:t>
      </w:r>
      <w:hyperlink r:id="rId1" w:history="1">
        <w:r w:rsidR="00FD2AC5" w:rsidRPr="00F93D14">
          <w:rPr>
            <w:rStyle w:val="Hyperlink"/>
            <w:sz w:val="18"/>
            <w:szCs w:val="18"/>
          </w:rPr>
          <w:t>https://mcusercontent.com/a56b93cff5b695d2a902de8d0/files/72816d4a-47f6-f223-2580-35bbbdee1add/IETA_Pre_COP27_Briefing.01.pdf</w:t>
        </w:r>
      </w:hyperlink>
    </w:p>
  </w:footnote>
  <w:footnote w:id="3">
    <w:p w14:paraId="27A3F836" w14:textId="6EB50DA7" w:rsidR="00475BB3" w:rsidRPr="00CF4F49" w:rsidRDefault="00475BB3" w:rsidP="00475BB3">
      <w:pPr>
        <w:pStyle w:val="FootnoteText"/>
        <w:rPr>
          <w:sz w:val="18"/>
          <w:szCs w:val="18"/>
        </w:rPr>
      </w:pPr>
      <w:r w:rsidRPr="008C7C31">
        <w:rPr>
          <w:rStyle w:val="FootnoteReference"/>
          <w:sz w:val="18"/>
          <w:szCs w:val="18"/>
        </w:rPr>
        <w:footnoteRef/>
      </w:r>
      <w:r w:rsidR="00760866">
        <w:rPr>
          <w:sz w:val="18"/>
          <w:szCs w:val="18"/>
        </w:rPr>
        <w:t xml:space="preserve"> </w:t>
      </w:r>
      <w:r w:rsidR="00A65FA4">
        <w:rPr>
          <w:sz w:val="18"/>
          <w:szCs w:val="18"/>
        </w:rPr>
        <w:t>IPCC</w:t>
      </w:r>
      <w:r w:rsidR="00014C6B">
        <w:rPr>
          <w:sz w:val="18"/>
          <w:szCs w:val="18"/>
        </w:rPr>
        <w:t>,</w:t>
      </w:r>
      <w:r w:rsidR="00595CFC">
        <w:rPr>
          <w:sz w:val="18"/>
          <w:szCs w:val="18"/>
        </w:rPr>
        <w:t xml:space="preserve"> (2023)</w:t>
      </w:r>
      <w:r w:rsidR="00EA339C">
        <w:rPr>
          <w:sz w:val="18"/>
          <w:szCs w:val="18"/>
        </w:rPr>
        <w:t>, ‘</w:t>
      </w:r>
      <w:r w:rsidR="00800A9F">
        <w:rPr>
          <w:sz w:val="18"/>
          <w:szCs w:val="18"/>
        </w:rPr>
        <w:t>AR6 Synthesis Report: Climate Change 2023</w:t>
      </w:r>
      <w:r w:rsidR="00EA339C">
        <w:rPr>
          <w:sz w:val="18"/>
          <w:szCs w:val="18"/>
        </w:rPr>
        <w:t>’,</w:t>
      </w:r>
      <w:r w:rsidR="00800A9F">
        <w:rPr>
          <w:sz w:val="18"/>
          <w:szCs w:val="18"/>
        </w:rPr>
        <w:t xml:space="preserve"> </w:t>
      </w:r>
      <w:r w:rsidRPr="008C7C31">
        <w:rPr>
          <w:sz w:val="18"/>
          <w:szCs w:val="18"/>
        </w:rPr>
        <w:t xml:space="preserve"> </w:t>
      </w:r>
      <w:hyperlink r:id="rId2" w:history="1">
        <w:r w:rsidR="00FD2AC5" w:rsidRPr="00F93D14">
          <w:rPr>
            <w:rStyle w:val="Hyperlink"/>
            <w:sz w:val="18"/>
            <w:szCs w:val="18"/>
          </w:rPr>
          <w:t>https://www.ipcc.ch/report/sixth-assessment-report-cycle/</w:t>
        </w:r>
      </w:hyperlink>
    </w:p>
  </w:footnote>
  <w:footnote w:id="4">
    <w:p w14:paraId="2244DCCD" w14:textId="5A55FCE4" w:rsidR="00FD2AC5" w:rsidRDefault="00BB0A9A">
      <w:pPr>
        <w:pStyle w:val="FootnoteText"/>
        <w:rPr>
          <w:sz w:val="18"/>
          <w:szCs w:val="18"/>
        </w:rPr>
      </w:pPr>
      <w:r w:rsidRPr="008C7C31">
        <w:rPr>
          <w:rStyle w:val="FootnoteReference"/>
          <w:sz w:val="18"/>
          <w:szCs w:val="18"/>
        </w:rPr>
        <w:footnoteRef/>
      </w:r>
      <w:r w:rsidRPr="008C7C31">
        <w:rPr>
          <w:sz w:val="18"/>
          <w:szCs w:val="18"/>
        </w:rPr>
        <w:t xml:space="preserve"> </w:t>
      </w:r>
      <w:r w:rsidR="00810644">
        <w:rPr>
          <w:sz w:val="18"/>
          <w:szCs w:val="18"/>
        </w:rPr>
        <w:t>UNFCCC</w:t>
      </w:r>
      <w:r w:rsidR="00A47C2D">
        <w:rPr>
          <w:sz w:val="18"/>
          <w:szCs w:val="18"/>
        </w:rPr>
        <w:t>, (2023)</w:t>
      </w:r>
      <w:r w:rsidR="00EA339C">
        <w:rPr>
          <w:sz w:val="18"/>
          <w:szCs w:val="18"/>
        </w:rPr>
        <w:t xml:space="preserve">, ‘Technical dialogue of the first global </w:t>
      </w:r>
      <w:r w:rsidR="000B28EF">
        <w:rPr>
          <w:sz w:val="18"/>
          <w:szCs w:val="18"/>
        </w:rPr>
        <w:t>stock</w:t>
      </w:r>
      <w:r w:rsidR="000C5B0B">
        <w:rPr>
          <w:sz w:val="18"/>
          <w:szCs w:val="18"/>
        </w:rPr>
        <w:t xml:space="preserve">take </w:t>
      </w:r>
      <w:r w:rsidR="00CF4F49">
        <w:rPr>
          <w:sz w:val="18"/>
          <w:szCs w:val="18"/>
        </w:rPr>
        <w:t>– Synthesis report by the co-facilitators on technical dialogue</w:t>
      </w:r>
      <w:r w:rsidR="00A47C2D">
        <w:rPr>
          <w:sz w:val="18"/>
          <w:szCs w:val="18"/>
        </w:rPr>
        <w:t xml:space="preserve"> </w:t>
      </w:r>
      <w:hyperlink r:id="rId3" w:history="1">
        <w:r w:rsidR="00020FFA" w:rsidRPr="00046F21">
          <w:rPr>
            <w:rStyle w:val="Hyperlink"/>
            <w:sz w:val="18"/>
            <w:szCs w:val="18"/>
          </w:rPr>
          <w:t>https://unfccc.int/sites/default/files/resource/sb2023_09_adv.pdf</w:t>
        </w:r>
      </w:hyperlink>
    </w:p>
    <w:p w14:paraId="4F6EC982" w14:textId="3A027A0B" w:rsidR="00EF0478" w:rsidRDefault="00EF0478">
      <w:pPr>
        <w:pStyle w:val="FootnoteText"/>
        <w:rPr>
          <w:lang w:val="en-US"/>
        </w:rPr>
      </w:pPr>
    </w:p>
    <w:p w14:paraId="6198C7A5" w14:textId="0CBFDA93" w:rsidR="00BB0A9A" w:rsidRPr="00FD2AC5" w:rsidRDefault="00BB0A9A">
      <w:pPr>
        <w:pStyle w:val="FootnoteText"/>
        <w:rPr>
          <w:sz w:val="18"/>
          <w:szCs w:val="18"/>
        </w:rPr>
      </w:pPr>
    </w:p>
  </w:footnote>
  <w:footnote w:id="5">
    <w:p w14:paraId="0E0C844E" w14:textId="77777777" w:rsidR="00DA28AB" w:rsidRPr="00623986" w:rsidRDefault="00DA28AB" w:rsidP="00DA28AB">
      <w:pPr>
        <w:pStyle w:val="FootnoteText"/>
        <w:rPr>
          <w:rFonts w:cs="Arial"/>
        </w:rPr>
      </w:pPr>
      <w:r w:rsidRPr="009019FF">
        <w:rPr>
          <w:rStyle w:val="FootnoteReference"/>
          <w:rFonts w:cstheme="minorHAnsi"/>
          <w:sz w:val="22"/>
          <w:szCs w:val="22"/>
        </w:rPr>
        <w:footnoteRef/>
      </w:r>
      <w:r w:rsidRPr="009019FF">
        <w:rPr>
          <w:sz w:val="22"/>
          <w:szCs w:val="22"/>
        </w:rPr>
        <w:t xml:space="preserve"> </w:t>
      </w:r>
      <w:r w:rsidRPr="009019FF">
        <w:rPr>
          <w:sz w:val="18"/>
          <w:szCs w:val="18"/>
        </w:rPr>
        <w:t>The General Agreement on Tariffs and Trade is a multilateral legal framework directed to the substantial reduction of tariffs and other barriers to trade and to the elimination of discriminatory treatment in international commerce.</w:t>
      </w:r>
    </w:p>
  </w:footnote>
  <w:footnote w:id="6">
    <w:p w14:paraId="42ED5780" w14:textId="25C7932A" w:rsidR="007D4A87" w:rsidRPr="002F23B2" w:rsidRDefault="007D4A87">
      <w:pPr>
        <w:pStyle w:val="FootnoteText"/>
        <w:rPr>
          <w:sz w:val="18"/>
          <w:szCs w:val="18"/>
        </w:rPr>
      </w:pPr>
      <w:r w:rsidRPr="002F23B2">
        <w:rPr>
          <w:rStyle w:val="FootnoteReference"/>
          <w:sz w:val="18"/>
          <w:szCs w:val="18"/>
        </w:rPr>
        <w:footnoteRef/>
      </w:r>
      <w:r w:rsidRPr="002F23B2">
        <w:rPr>
          <w:sz w:val="18"/>
          <w:szCs w:val="18"/>
        </w:rPr>
        <w:t xml:space="preserve"> </w:t>
      </w:r>
      <w:r w:rsidR="00957F3C" w:rsidRPr="002F23B2">
        <w:rPr>
          <w:sz w:val="18"/>
          <w:szCs w:val="18"/>
        </w:rPr>
        <w:t>ICVCM (</w:t>
      </w:r>
      <w:r w:rsidR="00EC009F" w:rsidRPr="002F23B2">
        <w:rPr>
          <w:sz w:val="18"/>
          <w:szCs w:val="18"/>
        </w:rPr>
        <w:t>2023)</w:t>
      </w:r>
      <w:r w:rsidR="00891B61" w:rsidRPr="002F23B2">
        <w:rPr>
          <w:sz w:val="18"/>
          <w:szCs w:val="18"/>
        </w:rPr>
        <w:t xml:space="preserve"> ‘</w:t>
      </w:r>
      <w:r w:rsidR="00886CC6" w:rsidRPr="002F23B2">
        <w:rPr>
          <w:sz w:val="18"/>
          <w:szCs w:val="18"/>
        </w:rPr>
        <w:t>Core Carbon Principles, Assessment Framework and Assessment Procedure</w:t>
      </w:r>
      <w:r w:rsidR="00A95A5F" w:rsidRPr="002F23B2">
        <w:rPr>
          <w:sz w:val="18"/>
          <w:szCs w:val="18"/>
        </w:rPr>
        <w:t>’</w:t>
      </w:r>
      <w:r w:rsidR="006411B8" w:rsidRPr="002F23B2">
        <w:rPr>
          <w:sz w:val="18"/>
          <w:szCs w:val="18"/>
        </w:rPr>
        <w:t xml:space="preserve"> </w:t>
      </w:r>
      <w:hyperlink r:id="rId4" w:history="1">
        <w:r w:rsidR="00A95A5F" w:rsidRPr="002F23B2">
          <w:rPr>
            <w:rStyle w:val="Hyperlink"/>
            <w:sz w:val="18"/>
            <w:szCs w:val="18"/>
          </w:rPr>
          <w:t>https://icvcm.org/wp-content/uploads/2023/07/CCP-Book-R2-FINAL-26Jul23.pdf</w:t>
        </w:r>
      </w:hyperlink>
      <w:r w:rsidR="00A95A5F" w:rsidRPr="002F23B2">
        <w:rPr>
          <w:sz w:val="18"/>
          <w:szCs w:val="18"/>
        </w:rPr>
        <w:t xml:space="preserve"> </w:t>
      </w:r>
      <w:r w:rsidR="00EC149F" w:rsidRPr="002F23B2">
        <w:rPr>
          <w:sz w:val="18"/>
          <w:szCs w:val="18"/>
        </w:rPr>
        <w:t xml:space="preserve"> </w:t>
      </w:r>
    </w:p>
  </w:footnote>
  <w:footnote w:id="7">
    <w:p w14:paraId="7DA9B75A" w14:textId="48B1C6C6" w:rsidR="006F19B2" w:rsidRPr="002F23B2" w:rsidRDefault="006F19B2">
      <w:pPr>
        <w:pStyle w:val="FootnoteText"/>
        <w:rPr>
          <w:sz w:val="18"/>
          <w:szCs w:val="18"/>
        </w:rPr>
      </w:pPr>
      <w:r w:rsidRPr="002F23B2">
        <w:rPr>
          <w:rStyle w:val="FootnoteReference"/>
          <w:sz w:val="18"/>
          <w:szCs w:val="18"/>
        </w:rPr>
        <w:footnoteRef/>
      </w:r>
      <w:r w:rsidRPr="002F23B2">
        <w:rPr>
          <w:sz w:val="18"/>
          <w:szCs w:val="18"/>
        </w:rPr>
        <w:t xml:space="preserve"> VCMI (2023) ‘</w:t>
      </w:r>
      <w:r w:rsidR="00C80414" w:rsidRPr="002F23B2">
        <w:rPr>
          <w:sz w:val="18"/>
          <w:szCs w:val="18"/>
        </w:rPr>
        <w:t xml:space="preserve">Claims Code of Practice’ </w:t>
      </w:r>
      <w:hyperlink r:id="rId5" w:history="1">
        <w:r w:rsidR="008919D2" w:rsidRPr="002F23B2">
          <w:rPr>
            <w:rStyle w:val="Hyperlink"/>
            <w:sz w:val="18"/>
            <w:szCs w:val="18"/>
          </w:rPr>
          <w:t>https://vcmintegrity.org/wp-content/uploads/2023/06/VCMI-Claims-Code-of-Practice.pdf</w:t>
        </w:r>
      </w:hyperlink>
      <w:r w:rsidR="008919D2" w:rsidRPr="002F23B2">
        <w:rPr>
          <w:sz w:val="18"/>
          <w:szCs w:val="18"/>
        </w:rPr>
        <w:t xml:space="preserve"> </w:t>
      </w:r>
    </w:p>
  </w:footnote>
  <w:footnote w:id="8">
    <w:p w14:paraId="5FDCDB99" w14:textId="2084E27B" w:rsidR="00DF29AB" w:rsidRPr="00910C2B" w:rsidRDefault="00DF29AB" w:rsidP="00DF29AB">
      <w:pPr>
        <w:pStyle w:val="FootnoteText"/>
        <w:rPr>
          <w:sz w:val="18"/>
          <w:szCs w:val="18"/>
          <w:lang w:val="en-US"/>
        </w:rPr>
      </w:pPr>
      <w:r w:rsidRPr="00910C2B">
        <w:rPr>
          <w:rStyle w:val="FootnoteReference"/>
          <w:sz w:val="18"/>
          <w:szCs w:val="18"/>
        </w:rPr>
        <w:footnoteRef/>
      </w:r>
      <w:r w:rsidRPr="00910C2B">
        <w:rPr>
          <w:sz w:val="18"/>
          <w:szCs w:val="18"/>
        </w:rPr>
        <w:t xml:space="preserve"> We understand environmental integrity to mean that the use of carbon pricing mechanism and emissions trading does not result in higher global GHG emissions than if the NDC targets had </w:t>
      </w:r>
      <w:proofErr w:type="gramStart"/>
      <w:r w:rsidRPr="00910C2B">
        <w:rPr>
          <w:sz w:val="18"/>
          <w:szCs w:val="18"/>
        </w:rPr>
        <w:t>been achieved</w:t>
      </w:r>
      <w:proofErr w:type="gramEnd"/>
      <w:r w:rsidRPr="00910C2B">
        <w:rPr>
          <w:sz w:val="18"/>
          <w:szCs w:val="18"/>
        </w:rPr>
        <w:t xml:space="preserve"> only through domestic mitigation action, without international emissions trading.</w:t>
      </w:r>
    </w:p>
  </w:footnote>
  <w:footnote w:id="9">
    <w:p w14:paraId="1A9E4EFC" w14:textId="2376C216" w:rsidR="00AF1D79" w:rsidRPr="00130BD8" w:rsidRDefault="00AF1D79" w:rsidP="00130BD8">
      <w:pPr>
        <w:spacing w:after="0"/>
        <w:rPr>
          <w:rFonts w:ascii="Calibri" w:hAnsi="Calibri"/>
          <w:sz w:val="18"/>
          <w:szCs w:val="18"/>
          <w:lang w:val="en-US"/>
        </w:rPr>
      </w:pPr>
      <w:r w:rsidRPr="00130BD8">
        <w:rPr>
          <w:rStyle w:val="FootnoteReference"/>
          <w:sz w:val="18"/>
          <w:szCs w:val="18"/>
        </w:rPr>
        <w:footnoteRef/>
      </w:r>
      <w:r w:rsidRPr="00696E69">
        <w:rPr>
          <w:lang w:val="en-US"/>
        </w:rPr>
        <w:t xml:space="preserve"> </w:t>
      </w:r>
      <w:r w:rsidRPr="00696E69">
        <w:rPr>
          <w:sz w:val="18"/>
          <w:szCs w:val="18"/>
          <w:lang w:val="en-US"/>
        </w:rPr>
        <w:t>IETA</w:t>
      </w:r>
      <w:r w:rsidR="00696E69" w:rsidRPr="00696E69">
        <w:rPr>
          <w:sz w:val="18"/>
          <w:szCs w:val="18"/>
          <w:lang w:val="en-US"/>
        </w:rPr>
        <w:t xml:space="preserve"> (2023)</w:t>
      </w:r>
      <w:r w:rsidRPr="00696E69">
        <w:rPr>
          <w:sz w:val="18"/>
          <w:szCs w:val="18"/>
          <w:lang w:val="en-US"/>
        </w:rPr>
        <w:t xml:space="preserve"> </w:t>
      </w:r>
      <w:r w:rsidR="00696E69" w:rsidRPr="00696E69">
        <w:rPr>
          <w:sz w:val="18"/>
          <w:szCs w:val="18"/>
          <w:lang w:val="en-US"/>
        </w:rPr>
        <w:t xml:space="preserve">‘The </w:t>
      </w:r>
      <w:r w:rsidR="00696E69">
        <w:rPr>
          <w:sz w:val="18"/>
          <w:szCs w:val="18"/>
          <w:lang w:val="en-US"/>
        </w:rPr>
        <w:t xml:space="preserve">Article 6 Opportunity for Canada: Blueprint to International Carbon Market Cooperation’ </w:t>
      </w:r>
      <w:hyperlink r:id="rId6" w:history="1">
        <w:r w:rsidR="00696E69" w:rsidRPr="00696E69">
          <w:rPr>
            <w:rStyle w:val="Hyperlink"/>
            <w:sz w:val="18"/>
            <w:szCs w:val="18"/>
            <w:lang w:val="en-US"/>
          </w:rPr>
          <w:t>https://www.ieta.org/resources/papers/the-article-6-opportunity-for-canada-blueprint-to-international-carbon-market-cooperation/</w:t>
        </w:r>
      </w:hyperlink>
    </w:p>
  </w:footnote>
  <w:footnote w:id="10">
    <w:p w14:paraId="6BC0BF10" w14:textId="45359321" w:rsidR="00AF1D79" w:rsidRPr="00130BD8" w:rsidRDefault="00AF1D79" w:rsidP="00130BD8">
      <w:pPr>
        <w:spacing w:after="0"/>
        <w:rPr>
          <w:rFonts w:ascii="Calibri" w:hAnsi="Calibri"/>
          <w:sz w:val="18"/>
          <w:szCs w:val="18"/>
          <w:lang w:val="fr-FR"/>
        </w:rPr>
      </w:pPr>
      <w:r w:rsidRPr="00130BD8">
        <w:rPr>
          <w:rStyle w:val="FootnoteReference"/>
          <w:sz w:val="18"/>
          <w:szCs w:val="18"/>
        </w:rPr>
        <w:footnoteRef/>
      </w:r>
      <w:r w:rsidRPr="00C30B1F">
        <w:t xml:space="preserve"> </w:t>
      </w:r>
      <w:r w:rsidRPr="00C30B1F">
        <w:rPr>
          <w:sz w:val="18"/>
          <w:szCs w:val="18"/>
        </w:rPr>
        <w:t>IETA</w:t>
      </w:r>
      <w:r w:rsidR="00F80EDC" w:rsidRPr="00C30B1F">
        <w:rPr>
          <w:sz w:val="18"/>
          <w:szCs w:val="18"/>
        </w:rPr>
        <w:t xml:space="preserve"> (</w:t>
      </w:r>
      <w:r w:rsidR="00C140D7" w:rsidRPr="00C30B1F">
        <w:rPr>
          <w:sz w:val="18"/>
          <w:szCs w:val="18"/>
        </w:rPr>
        <w:t>2022), ‘How Govern</w:t>
      </w:r>
      <w:r w:rsidR="00C30B1F" w:rsidRPr="00C30B1F">
        <w:rPr>
          <w:sz w:val="18"/>
          <w:szCs w:val="18"/>
        </w:rPr>
        <w:t xml:space="preserve">ments Can Implement NDCs Cooperatively and Encourage Private Sector </w:t>
      </w:r>
      <w:r w:rsidR="00E57B45" w:rsidRPr="00C30B1F">
        <w:rPr>
          <w:sz w:val="18"/>
          <w:szCs w:val="18"/>
        </w:rPr>
        <w:t>Investment</w:t>
      </w:r>
      <w:r w:rsidR="00C30B1F" w:rsidRPr="00C30B1F">
        <w:rPr>
          <w:sz w:val="18"/>
          <w:szCs w:val="18"/>
        </w:rPr>
        <w:t xml:space="preserve">’ </w:t>
      </w:r>
      <w:hyperlink r:id="rId7" w:history="1">
        <w:r w:rsidR="00C30B1F" w:rsidRPr="00C30B1F">
          <w:rPr>
            <w:rStyle w:val="Hyperlink"/>
            <w:sz w:val="18"/>
            <w:szCs w:val="18"/>
          </w:rPr>
          <w:t>https://www.ieta.org/resources/papers/ieta-article-6-discussion-paper-how-governments-can-implement-ndcs-cooperatively-and-encourage-private-sector-inveestment/</w:t>
        </w:r>
      </w:hyperlink>
    </w:p>
    <w:p w14:paraId="54D7B409" w14:textId="5C6EC02C" w:rsidR="00AF1D79" w:rsidRPr="00654834" w:rsidRDefault="00AF1D79">
      <w:pPr>
        <w:pStyle w:val="FootnoteText"/>
        <w:rPr>
          <w:lang w:val="fr-FR"/>
        </w:rPr>
      </w:pPr>
    </w:p>
  </w:footnote>
  <w:footnote w:id="11">
    <w:p w14:paraId="1D11FE74" w14:textId="0DF9483A" w:rsidR="00416F2D" w:rsidRPr="00654834" w:rsidRDefault="00726689" w:rsidP="00726689">
      <w:pPr>
        <w:pStyle w:val="FootnoteText"/>
        <w:rPr>
          <w:sz w:val="18"/>
          <w:szCs w:val="18"/>
          <w:lang w:val="fr-FR"/>
        </w:rPr>
      </w:pPr>
      <w:r w:rsidRPr="00654834">
        <w:rPr>
          <w:rStyle w:val="FootnoteReference"/>
          <w:rFonts w:cstheme="minorHAnsi"/>
          <w:sz w:val="18"/>
          <w:szCs w:val="18"/>
        </w:rPr>
        <w:footnoteRef/>
      </w:r>
      <w:r w:rsidRPr="00654834">
        <w:rPr>
          <w:rFonts w:cstheme="minorHAnsi"/>
          <w:sz w:val="18"/>
          <w:szCs w:val="18"/>
          <w:lang w:val="fr-FR"/>
        </w:rPr>
        <w:t xml:space="preserve"> </w:t>
      </w:r>
      <w:r w:rsidR="00D96E42" w:rsidRPr="00654834">
        <w:rPr>
          <w:sz w:val="18"/>
          <w:szCs w:val="18"/>
          <w:lang w:val="fr-FR"/>
        </w:rPr>
        <w:t>European Commission</w:t>
      </w:r>
      <w:r w:rsidR="00990C7F" w:rsidRPr="00654834">
        <w:rPr>
          <w:sz w:val="18"/>
          <w:szCs w:val="18"/>
          <w:lang w:val="fr-FR"/>
        </w:rPr>
        <w:t xml:space="preserve"> (2021), ‘Carbon Leak</w:t>
      </w:r>
      <w:r w:rsidR="000B5C6C" w:rsidRPr="00654834">
        <w:rPr>
          <w:sz w:val="18"/>
          <w:szCs w:val="18"/>
          <w:lang w:val="fr-FR"/>
        </w:rPr>
        <w:t>age’</w:t>
      </w:r>
      <w:r w:rsidR="0040692A" w:rsidRPr="00654834">
        <w:rPr>
          <w:sz w:val="18"/>
          <w:szCs w:val="18"/>
          <w:lang w:val="fr-FR"/>
        </w:rPr>
        <w:t xml:space="preserve"> Energy, Climate Change, Environment</w:t>
      </w:r>
      <w:r w:rsidR="000B5C6C" w:rsidRPr="00654834">
        <w:rPr>
          <w:sz w:val="18"/>
          <w:szCs w:val="18"/>
          <w:lang w:val="fr-FR"/>
        </w:rPr>
        <w:t xml:space="preserve"> </w:t>
      </w:r>
      <w:hyperlink r:id="rId8" w:history="1">
        <w:r w:rsidR="00416F2D" w:rsidRPr="00654834">
          <w:rPr>
            <w:rStyle w:val="Hyperlink"/>
            <w:sz w:val="18"/>
            <w:szCs w:val="18"/>
            <w:lang w:val="fr-FR"/>
          </w:rPr>
          <w:t>https://climate.ec.europa.eu/eu-action/eu-emissions-trading-system-eu-ets/free-allocation/carbon-leakage_en</w:t>
        </w:r>
      </w:hyperlink>
    </w:p>
  </w:footnote>
  <w:footnote w:id="12">
    <w:p w14:paraId="30C185CF" w14:textId="0E17EBA3" w:rsidR="000275C8" w:rsidRPr="006F766E" w:rsidRDefault="000275C8" w:rsidP="009019FF">
      <w:pPr>
        <w:spacing w:after="180" w:line="240" w:lineRule="auto"/>
        <w:rPr>
          <w:color w:val="00B050"/>
          <w:sz w:val="18"/>
          <w:szCs w:val="18"/>
        </w:rPr>
      </w:pPr>
      <w:r w:rsidRPr="00654834">
        <w:rPr>
          <w:rStyle w:val="FootnoteReference"/>
          <w:sz w:val="18"/>
          <w:szCs w:val="18"/>
        </w:rPr>
        <w:footnoteRef/>
      </w:r>
      <w:r w:rsidRPr="00654834">
        <w:rPr>
          <w:sz w:val="18"/>
          <w:szCs w:val="18"/>
        </w:rPr>
        <w:t xml:space="preserve"> </w:t>
      </w:r>
      <w:r w:rsidR="00F94EA7" w:rsidRPr="000130E7">
        <w:rPr>
          <w:rFonts w:cstheme="minorHAnsi"/>
          <w:sz w:val="18"/>
          <w:szCs w:val="18"/>
        </w:rPr>
        <w:t>Florian</w:t>
      </w:r>
      <w:r w:rsidRPr="000130E7">
        <w:rPr>
          <w:rFonts w:cstheme="minorHAnsi"/>
          <w:sz w:val="18"/>
          <w:szCs w:val="18"/>
        </w:rPr>
        <w:t xml:space="preserve"> Misch</w:t>
      </w:r>
      <w:r w:rsidR="008F2A74" w:rsidRPr="000130E7">
        <w:rPr>
          <w:rFonts w:cstheme="minorHAnsi"/>
          <w:sz w:val="18"/>
          <w:szCs w:val="18"/>
        </w:rPr>
        <w:t>,</w:t>
      </w:r>
      <w:r w:rsidRPr="000130E7">
        <w:rPr>
          <w:rFonts w:cstheme="minorHAnsi"/>
          <w:sz w:val="18"/>
          <w:szCs w:val="18"/>
        </w:rPr>
        <w:t xml:space="preserve"> </w:t>
      </w:r>
      <w:r w:rsidR="00F94EA7" w:rsidRPr="000130E7">
        <w:rPr>
          <w:rFonts w:cstheme="minorHAnsi"/>
          <w:sz w:val="18"/>
          <w:szCs w:val="18"/>
        </w:rPr>
        <w:t>Philippe Wingender</w:t>
      </w:r>
      <w:r w:rsidR="008F2A74" w:rsidRPr="000130E7">
        <w:rPr>
          <w:rFonts w:cstheme="minorHAnsi"/>
          <w:sz w:val="18"/>
          <w:szCs w:val="18"/>
        </w:rPr>
        <w:t xml:space="preserve"> </w:t>
      </w:r>
      <w:r w:rsidRPr="000130E7">
        <w:rPr>
          <w:rFonts w:cstheme="minorHAnsi"/>
          <w:sz w:val="18"/>
          <w:szCs w:val="18"/>
        </w:rPr>
        <w:t xml:space="preserve">(2021), </w:t>
      </w:r>
      <w:r w:rsidR="008F2A74" w:rsidRPr="000130E7">
        <w:rPr>
          <w:rFonts w:cstheme="minorHAnsi"/>
          <w:sz w:val="18"/>
          <w:szCs w:val="18"/>
        </w:rPr>
        <w:t>‘</w:t>
      </w:r>
      <w:r w:rsidRPr="000130E7">
        <w:rPr>
          <w:rFonts w:cstheme="minorHAnsi"/>
          <w:sz w:val="18"/>
          <w:szCs w:val="18"/>
        </w:rPr>
        <w:t xml:space="preserve">Revisiting Carbon </w:t>
      </w:r>
      <w:r w:rsidR="008F2A74" w:rsidRPr="000130E7">
        <w:rPr>
          <w:rFonts w:cstheme="minorHAnsi"/>
          <w:sz w:val="18"/>
          <w:szCs w:val="18"/>
        </w:rPr>
        <w:t>Leakage’</w:t>
      </w:r>
      <w:r w:rsidR="007E3E3B">
        <w:rPr>
          <w:rFonts w:cstheme="minorHAnsi"/>
          <w:sz w:val="18"/>
          <w:szCs w:val="18"/>
        </w:rPr>
        <w:t xml:space="preserve"> </w:t>
      </w:r>
      <w:hyperlink r:id="rId9" w:history="1">
        <w:r w:rsidR="007E3E3B" w:rsidRPr="00DE7386">
          <w:rPr>
            <w:rStyle w:val="Hyperlink"/>
            <w:rFonts w:cstheme="minorHAnsi"/>
            <w:sz w:val="18"/>
            <w:szCs w:val="18"/>
          </w:rPr>
          <w:t>https://www.imf.org/en/Publications/WP/Issues/2021/08/06/Revisiting-Carbon-Leakage-462148</w:t>
        </w:r>
      </w:hyperlink>
    </w:p>
  </w:footnote>
  <w:footnote w:id="13">
    <w:p w14:paraId="4AE13595" w14:textId="18CCC262" w:rsidR="003E01B1" w:rsidRPr="00654834" w:rsidRDefault="003E01B1" w:rsidP="003E01B1">
      <w:pPr>
        <w:pStyle w:val="FootnoteText"/>
        <w:rPr>
          <w:rFonts w:cstheme="minorHAnsi"/>
          <w:sz w:val="18"/>
          <w:szCs w:val="18"/>
        </w:rPr>
      </w:pPr>
      <w:r w:rsidRPr="00654834">
        <w:rPr>
          <w:rStyle w:val="FootnoteReference"/>
          <w:rFonts w:cstheme="minorHAnsi"/>
          <w:sz w:val="18"/>
          <w:szCs w:val="18"/>
        </w:rPr>
        <w:footnoteRef/>
      </w:r>
      <w:r w:rsidRPr="00654834">
        <w:rPr>
          <w:rFonts w:cstheme="minorHAnsi"/>
          <w:sz w:val="18"/>
          <w:szCs w:val="18"/>
        </w:rPr>
        <w:t xml:space="preserve"> </w:t>
      </w:r>
      <w:r w:rsidR="008F2A74">
        <w:rPr>
          <w:rFonts w:cstheme="minorHAnsi"/>
          <w:sz w:val="18"/>
          <w:szCs w:val="18"/>
        </w:rPr>
        <w:t>Ibid.</w:t>
      </w:r>
    </w:p>
  </w:footnote>
  <w:footnote w:id="14">
    <w:p w14:paraId="3CD17DA8" w14:textId="77777777" w:rsidR="003E01B1" w:rsidRPr="00654834" w:rsidRDefault="003E01B1" w:rsidP="003E01B1">
      <w:pPr>
        <w:pStyle w:val="FootnoteText"/>
        <w:rPr>
          <w:rFonts w:cstheme="minorHAnsi"/>
          <w:sz w:val="18"/>
          <w:szCs w:val="18"/>
          <w:lang w:val="en-US"/>
        </w:rPr>
      </w:pPr>
      <w:r w:rsidRPr="00654834">
        <w:rPr>
          <w:rStyle w:val="FootnoteReference"/>
          <w:rFonts w:cstheme="minorHAnsi"/>
          <w:sz w:val="18"/>
          <w:szCs w:val="18"/>
        </w:rPr>
        <w:footnoteRef/>
      </w:r>
      <w:r w:rsidRPr="00654834">
        <w:rPr>
          <w:rFonts w:cstheme="minorHAnsi"/>
          <w:sz w:val="18"/>
          <w:szCs w:val="18"/>
        </w:rPr>
        <w:t xml:space="preserve"> Gabela &amp; Freund, (2022) ‘Potential carbon leakage risk: A cross-sector cross-country assessment in the OECD area’ </w:t>
      </w:r>
      <w:hyperlink r:id="rId10" w:history="1">
        <w:r w:rsidRPr="00654834">
          <w:rPr>
            <w:rStyle w:val="Hyperlink"/>
            <w:rFonts w:cstheme="minorHAnsi"/>
            <w:sz w:val="18"/>
            <w:szCs w:val="18"/>
          </w:rPr>
          <w:t>https://ideas.repec.org/p/ags/pugtwp/333468.html</w:t>
        </w:r>
      </w:hyperlink>
    </w:p>
  </w:footnote>
  <w:footnote w:id="15">
    <w:p w14:paraId="4BCE586B" w14:textId="77777777" w:rsidR="003E01B1" w:rsidRPr="00654834" w:rsidRDefault="003E01B1" w:rsidP="003E01B1">
      <w:pPr>
        <w:pStyle w:val="FootnoteText"/>
        <w:rPr>
          <w:rFonts w:cstheme="minorHAnsi"/>
          <w:sz w:val="18"/>
          <w:szCs w:val="18"/>
          <w:lang w:val="en-US"/>
        </w:rPr>
      </w:pPr>
      <w:r w:rsidRPr="00654834">
        <w:rPr>
          <w:rStyle w:val="FootnoteReference"/>
          <w:rFonts w:cstheme="minorHAnsi"/>
          <w:sz w:val="18"/>
          <w:szCs w:val="18"/>
        </w:rPr>
        <w:footnoteRef/>
      </w:r>
      <w:r w:rsidRPr="00654834">
        <w:rPr>
          <w:rFonts w:cstheme="minorHAnsi"/>
          <w:sz w:val="18"/>
          <w:szCs w:val="18"/>
        </w:rPr>
        <w:t xml:space="preserve"> </w:t>
      </w:r>
      <w:r w:rsidRPr="00654834">
        <w:rPr>
          <w:rStyle w:val="cf01"/>
          <w:rFonts w:ascii="Gellix" w:hAnsi="Gellix" w:cstheme="minorHAnsi"/>
          <w:sz w:val="18"/>
          <w:szCs w:val="18"/>
        </w:rPr>
        <w:t xml:space="preserve">Carbone, J. and N. Rivers (2017), “The Impacts of Unilateral Climate Policy on Competitiveness: Evidence From Computable General Equilibrium Models”, Review of Environmental Economics and Policy, Vol. 11/1, pp. 24-42, </w:t>
      </w:r>
      <w:hyperlink r:id="rId11" w:history="1">
        <w:r w:rsidRPr="00654834">
          <w:rPr>
            <w:rStyle w:val="Hyperlink"/>
            <w:rFonts w:cstheme="minorHAnsi"/>
            <w:sz w:val="18"/>
            <w:szCs w:val="18"/>
          </w:rPr>
          <w:t>http://dx.doi.org/10.1093/reep/rew025</w:t>
        </w:r>
      </w:hyperlink>
    </w:p>
  </w:footnote>
  <w:footnote w:id="16">
    <w:p w14:paraId="4622D82A" w14:textId="77777777" w:rsidR="003E01B1" w:rsidRPr="00654834" w:rsidRDefault="003E01B1" w:rsidP="003E01B1">
      <w:pPr>
        <w:spacing w:after="0" w:line="240" w:lineRule="auto"/>
        <w:rPr>
          <w:rFonts w:cstheme="minorHAnsi"/>
          <w:sz w:val="18"/>
          <w:szCs w:val="18"/>
        </w:rPr>
      </w:pPr>
      <w:r w:rsidRPr="00654834">
        <w:rPr>
          <w:rStyle w:val="FootnoteReference"/>
          <w:rFonts w:cstheme="minorHAnsi"/>
          <w:sz w:val="18"/>
          <w:szCs w:val="18"/>
        </w:rPr>
        <w:footnoteRef/>
      </w:r>
      <w:r w:rsidRPr="00654834">
        <w:rPr>
          <w:rFonts w:cstheme="minorHAnsi"/>
          <w:sz w:val="18"/>
          <w:szCs w:val="18"/>
        </w:rPr>
        <w:t>OECD (2020) ‘</w:t>
      </w:r>
      <w:r w:rsidRPr="00654834">
        <w:rPr>
          <w:rFonts w:cstheme="minorHAnsi"/>
          <w:color w:val="000000"/>
          <w:sz w:val="18"/>
          <w:szCs w:val="18"/>
          <w:shd w:val="clear" w:color="auto" w:fill="FFFFFF"/>
        </w:rPr>
        <w:t>Climate Policy Leadership in an Interconnected World: What Role for Border Carbon Adjustments?’,  </w:t>
      </w:r>
      <w:hyperlink r:id="rId12" w:history="1">
        <w:r w:rsidRPr="00654834">
          <w:rPr>
            <w:rStyle w:val="Hyperlink"/>
            <w:rFonts w:cstheme="minorHAnsi"/>
            <w:color w:val="0068B6"/>
            <w:sz w:val="18"/>
            <w:szCs w:val="18"/>
            <w:shd w:val="clear" w:color="auto" w:fill="FFFFFF"/>
          </w:rPr>
          <w:t>https://doi.org/10.1787/8008e7f4-en</w:t>
        </w:r>
      </w:hyperlink>
    </w:p>
  </w:footnote>
  <w:footnote w:id="17">
    <w:p w14:paraId="3ABAB9A7" w14:textId="5B629DDA" w:rsidR="00E7122C" w:rsidRPr="00E7122C" w:rsidRDefault="00E7122C">
      <w:pPr>
        <w:pStyle w:val="FootnoteText"/>
      </w:pPr>
      <w:r>
        <w:rPr>
          <w:rStyle w:val="FootnoteReference"/>
        </w:rPr>
        <w:footnoteRef/>
      </w:r>
      <w:r>
        <w:t xml:space="preserve"> </w:t>
      </w:r>
      <w:r w:rsidR="00DF20D1" w:rsidRPr="00533D0D">
        <w:rPr>
          <w:rFonts w:hint="eastAsia"/>
          <w:sz w:val="18"/>
          <w:szCs w:val="18"/>
        </w:rPr>
        <w:t xml:space="preserve">OECD (2022), </w:t>
      </w:r>
      <w:r w:rsidR="00DF20D1" w:rsidRPr="00533D0D">
        <w:rPr>
          <w:rFonts w:hint="eastAsia"/>
          <w:sz w:val="18"/>
          <w:szCs w:val="18"/>
        </w:rPr>
        <w:t>‘</w:t>
      </w:r>
      <w:r w:rsidR="00DF20D1" w:rsidRPr="00533D0D">
        <w:rPr>
          <w:rFonts w:hint="eastAsia"/>
          <w:sz w:val="18"/>
          <w:szCs w:val="18"/>
        </w:rPr>
        <w:t>Pricing Greenhouse Gas Emissions: Turning Climate Targets into Climate Action</w:t>
      </w:r>
      <w:r w:rsidR="00DF20D1" w:rsidRPr="00533D0D">
        <w:rPr>
          <w:rFonts w:hint="eastAsia"/>
          <w:sz w:val="18"/>
          <w:szCs w:val="18"/>
        </w:rPr>
        <w:t>’</w:t>
      </w:r>
      <w:r w:rsidR="00DF20D1" w:rsidRPr="00533D0D">
        <w:rPr>
          <w:rFonts w:hint="eastAsia"/>
          <w:sz w:val="18"/>
          <w:szCs w:val="18"/>
        </w:rPr>
        <w:t xml:space="preserve"> </w:t>
      </w:r>
      <w:hyperlink r:id="rId13" w:history="1">
        <w:r w:rsidR="00DF20D1" w:rsidRPr="00533D0D">
          <w:rPr>
            <w:rStyle w:val="Hyperlink"/>
            <w:rFonts w:hint="eastAsia"/>
            <w:sz w:val="18"/>
            <w:szCs w:val="18"/>
          </w:rPr>
          <w:t>https://www.oecd.org/g20/topics/international-taxation/pricing-greenhouse-gas-emissions-turning-climate-targets-into-climate-action.htm</w:t>
        </w:r>
      </w:hyperlink>
    </w:p>
  </w:footnote>
  <w:footnote w:id="18">
    <w:p w14:paraId="1D6B57D7" w14:textId="3FD1A3FF" w:rsidR="005F027B" w:rsidRPr="0035709F" w:rsidRDefault="005F027B">
      <w:pPr>
        <w:pStyle w:val="FootnoteText"/>
        <w:rPr>
          <w:sz w:val="18"/>
          <w:szCs w:val="18"/>
        </w:rPr>
      </w:pPr>
      <w:r>
        <w:rPr>
          <w:rStyle w:val="FootnoteReference"/>
        </w:rPr>
        <w:footnoteRef/>
      </w:r>
      <w:r>
        <w:t xml:space="preserve"> </w:t>
      </w:r>
      <w:r w:rsidR="00055D82">
        <w:rPr>
          <w:sz w:val="18"/>
          <w:szCs w:val="18"/>
        </w:rPr>
        <w:t>Florian Misch, Philippe Wingender</w:t>
      </w:r>
      <w:r w:rsidR="00CC73DC">
        <w:rPr>
          <w:sz w:val="18"/>
          <w:szCs w:val="18"/>
        </w:rPr>
        <w:t xml:space="preserve"> (2021), ‘Revisiting Carbon Leakage’ </w:t>
      </w:r>
      <w:hyperlink r:id="rId14" w:history="1">
        <w:r w:rsidR="0035709F" w:rsidRPr="00DE7386">
          <w:rPr>
            <w:rStyle w:val="Hyperlink"/>
            <w:sz w:val="18"/>
            <w:szCs w:val="18"/>
          </w:rPr>
          <w:t>https://www.imf.org/en/Publications/WP/Issues/2021/08/06/Revisiting-Carbon-Leakage-462148</w:t>
        </w:r>
      </w:hyperlink>
      <w:r w:rsidR="00DF20D1">
        <w:t xml:space="preserve"> </w:t>
      </w:r>
    </w:p>
  </w:footnote>
  <w:footnote w:id="19">
    <w:p w14:paraId="33E3CEFB" w14:textId="1430D40F" w:rsidR="00240090" w:rsidRDefault="00240090">
      <w:pPr>
        <w:pStyle w:val="FootnoteText"/>
      </w:pPr>
      <w:r>
        <w:rPr>
          <w:rStyle w:val="FootnoteReference"/>
        </w:rPr>
        <w:footnoteRef/>
      </w:r>
      <w:r>
        <w:t xml:space="preserve"> </w:t>
      </w:r>
      <w:hyperlink r:id="rId15" w:history="1">
        <w:r w:rsidR="002D53EB" w:rsidRPr="000130E7">
          <w:rPr>
            <w:rStyle w:val="Hyperlink"/>
            <w:rFonts w:cstheme="minorHAnsi"/>
            <w:sz w:val="18"/>
            <w:szCs w:val="18"/>
          </w:rPr>
          <w:t>https://www.imf.org/en/Publications/WP/Issues/2021/08/06/Revisiting-Carbon-Leakage-462148</w:t>
        </w:r>
      </w:hyperlink>
    </w:p>
  </w:footnote>
  <w:footnote w:id="20">
    <w:p w14:paraId="4C974984" w14:textId="06C10692" w:rsidR="003333F5" w:rsidRPr="00654834" w:rsidRDefault="003333F5">
      <w:pPr>
        <w:pStyle w:val="FootnoteText"/>
        <w:rPr>
          <w:sz w:val="18"/>
          <w:szCs w:val="18"/>
        </w:rPr>
      </w:pPr>
      <w:r w:rsidRPr="00654834">
        <w:rPr>
          <w:rStyle w:val="FootnoteReference"/>
          <w:sz w:val="18"/>
          <w:szCs w:val="18"/>
        </w:rPr>
        <w:footnoteRef/>
      </w:r>
      <w:r w:rsidRPr="00654834">
        <w:rPr>
          <w:sz w:val="18"/>
          <w:szCs w:val="18"/>
        </w:rPr>
        <w:t xml:space="preserve"> </w:t>
      </w:r>
      <w:r w:rsidR="003635B8" w:rsidRPr="00654834">
        <w:rPr>
          <w:sz w:val="18"/>
          <w:szCs w:val="18"/>
        </w:rPr>
        <w:t>Christoph Böhringer</w:t>
      </w:r>
      <w:r w:rsidR="004A6174" w:rsidRPr="00654834">
        <w:rPr>
          <w:sz w:val="18"/>
          <w:szCs w:val="18"/>
        </w:rPr>
        <w:t>,</w:t>
      </w:r>
      <w:r w:rsidR="00525D25">
        <w:rPr>
          <w:sz w:val="18"/>
          <w:szCs w:val="18"/>
        </w:rPr>
        <w:t xml:space="preserve"> et al., </w:t>
      </w:r>
      <w:r w:rsidR="004A6174" w:rsidRPr="00654834">
        <w:rPr>
          <w:sz w:val="18"/>
          <w:szCs w:val="18"/>
        </w:rPr>
        <w:t xml:space="preserve">(2022), </w:t>
      </w:r>
      <w:r w:rsidR="008F778D" w:rsidRPr="00654834">
        <w:rPr>
          <w:sz w:val="18"/>
          <w:szCs w:val="18"/>
        </w:rPr>
        <w:t>‘</w:t>
      </w:r>
      <w:r w:rsidR="004A6174" w:rsidRPr="00654834">
        <w:rPr>
          <w:rFonts w:cs="Segoe UI"/>
          <w:sz w:val="18"/>
          <w:szCs w:val="18"/>
        </w:rPr>
        <w:t xml:space="preserve">The incidence of Carbon Pricing: from input-output via microsimulation to General Equilibrium' </w:t>
      </w:r>
      <w:hyperlink r:id="rId16" w:history="1">
        <w:r w:rsidR="004A6174" w:rsidRPr="00654834">
          <w:rPr>
            <w:rFonts w:cs="Segoe UI"/>
            <w:color w:val="0000FF"/>
            <w:sz w:val="18"/>
            <w:szCs w:val="18"/>
            <w:u w:val="single"/>
          </w:rPr>
          <w:t>https://www.econstor.eu/bitstream/10419/264067/1/vfs-2022-pid-70008.pdf</w:t>
        </w:r>
      </w:hyperlink>
    </w:p>
  </w:footnote>
  <w:footnote w:id="21">
    <w:p w14:paraId="5DB5A440" w14:textId="635304F2" w:rsidR="00291990" w:rsidRPr="00654834" w:rsidRDefault="004D1928">
      <w:pPr>
        <w:pStyle w:val="FootnoteText"/>
        <w:rPr>
          <w:sz w:val="18"/>
          <w:szCs w:val="18"/>
        </w:rPr>
      </w:pPr>
      <w:r w:rsidRPr="00654834">
        <w:rPr>
          <w:rStyle w:val="FootnoteReference"/>
          <w:sz w:val="18"/>
          <w:szCs w:val="18"/>
        </w:rPr>
        <w:footnoteRef/>
      </w:r>
      <w:r w:rsidRPr="00654834">
        <w:rPr>
          <w:sz w:val="18"/>
          <w:szCs w:val="18"/>
        </w:rPr>
        <w:t xml:space="preserve"> </w:t>
      </w:r>
      <w:r w:rsidR="00A421FE" w:rsidRPr="0083481C">
        <w:rPr>
          <w:sz w:val="18"/>
          <w:szCs w:val="18"/>
        </w:rPr>
        <w:t xml:space="preserve">Eddy Bekkers, </w:t>
      </w:r>
      <w:r w:rsidR="009E1482" w:rsidRPr="0083481C">
        <w:rPr>
          <w:sz w:val="18"/>
          <w:szCs w:val="18"/>
        </w:rPr>
        <w:t>Gianmarco Cariola (2022),’Compar</w:t>
      </w:r>
      <w:r w:rsidR="009E1482" w:rsidRPr="00654834">
        <w:rPr>
          <w:sz w:val="18"/>
          <w:szCs w:val="18"/>
        </w:rPr>
        <w:t xml:space="preserve">ing different </w:t>
      </w:r>
      <w:r w:rsidR="0083481C" w:rsidRPr="00654834">
        <w:rPr>
          <w:sz w:val="18"/>
          <w:szCs w:val="18"/>
        </w:rPr>
        <w:t xml:space="preserve">approaches </w:t>
      </w:r>
      <w:r w:rsidR="0083481C">
        <w:rPr>
          <w:sz w:val="18"/>
          <w:szCs w:val="18"/>
        </w:rPr>
        <w:t xml:space="preserve">to tackle the challenges of global carbon pricing’ </w:t>
      </w:r>
      <w:hyperlink r:id="rId17" w:history="1">
        <w:r w:rsidR="00291990" w:rsidRPr="00510CCA">
          <w:rPr>
            <w:rStyle w:val="Hyperlink"/>
            <w:sz w:val="18"/>
            <w:szCs w:val="18"/>
          </w:rPr>
          <w:t>https://www.wto-ilibrary.org/content/papers/10.30875/25189808-2022-10</w:t>
        </w:r>
      </w:hyperlink>
    </w:p>
  </w:footnote>
  <w:footnote w:id="22">
    <w:p w14:paraId="2ED88457" w14:textId="3EB6C985" w:rsidR="00717D12" w:rsidRPr="00E337D8" w:rsidRDefault="00717D12" w:rsidP="00E337D8">
      <w:pPr>
        <w:spacing w:after="0" w:line="240" w:lineRule="auto"/>
        <w:rPr>
          <w:sz w:val="18"/>
          <w:szCs w:val="18"/>
        </w:rPr>
      </w:pPr>
      <w:r w:rsidRPr="00717D12">
        <w:rPr>
          <w:rStyle w:val="FootnoteReference"/>
          <w:sz w:val="18"/>
          <w:szCs w:val="18"/>
        </w:rPr>
        <w:footnoteRef/>
      </w:r>
      <w:r w:rsidRPr="00717D12">
        <w:rPr>
          <w:sz w:val="18"/>
          <w:szCs w:val="18"/>
        </w:rPr>
        <w:t xml:space="preserve"> AFEP, (2022): ‘Trade and Climate Change Quantitative Assessment of the Best Policy Tools to Achieve Climate Neutrality and Competitiveness’ </w:t>
      </w:r>
      <w:r w:rsidR="00E337D8">
        <w:rPr>
          <w:sz w:val="18"/>
          <w:szCs w:val="18"/>
        </w:rPr>
        <w:t xml:space="preserve"> </w:t>
      </w:r>
      <w:hyperlink r:id="rId18" w:history="1">
        <w:r w:rsidRPr="00717D12">
          <w:rPr>
            <w:rStyle w:val="Hyperlink"/>
            <w:sz w:val="18"/>
            <w:szCs w:val="18"/>
          </w:rPr>
          <w:t>https://afep.com/wp-content/uploads/2021/01/Trade-and-Climate-Change-Quantitative-Assessment-of-the-Best-Policy-Tools.pdf</w:t>
        </w:r>
      </w:hyperlink>
    </w:p>
  </w:footnote>
  <w:footnote w:id="23">
    <w:p w14:paraId="2C6EF254" w14:textId="77777777" w:rsidR="00710262" w:rsidRPr="001815F5" w:rsidRDefault="00710262" w:rsidP="00710262">
      <w:pPr>
        <w:pStyle w:val="FootnoteText"/>
        <w:rPr>
          <w:sz w:val="16"/>
          <w:szCs w:val="16"/>
          <w:lang w:val="en-US"/>
        </w:rPr>
      </w:pPr>
      <w:r w:rsidRPr="009019FF">
        <w:rPr>
          <w:rStyle w:val="FootnoteReference"/>
          <w:sz w:val="18"/>
          <w:szCs w:val="18"/>
        </w:rPr>
        <w:footnoteRef/>
      </w:r>
      <w:r w:rsidRPr="009019FF">
        <w:rPr>
          <w:sz w:val="18"/>
          <w:szCs w:val="18"/>
        </w:rPr>
        <w:t xml:space="preserve"> </w:t>
      </w:r>
      <w:r w:rsidRPr="009019FF">
        <w:rPr>
          <w:sz w:val="18"/>
          <w:szCs w:val="18"/>
          <w:lang w:val="en-US"/>
        </w:rPr>
        <w:t xml:space="preserve">World Bank (2017) ‘Carbon Tax Guide: A Handbook for Policymakers’ (Table 22, pg 107: Overview of Measures to Address Leakage and Distributional Risks) </w:t>
      </w:r>
      <w:hyperlink r:id="rId19" w:history="1">
        <w:r w:rsidRPr="009019FF">
          <w:rPr>
            <w:rStyle w:val="Hyperlink"/>
            <w:sz w:val="18"/>
            <w:szCs w:val="18"/>
            <w:lang w:val="en-US"/>
          </w:rPr>
          <w:t>https://openknowledge.worldbank.org/entities/publication/c31d9298-30bf-55fb-acad-ad0605b06e9c</w:t>
        </w:r>
      </w:hyperlink>
    </w:p>
  </w:footnote>
  <w:footnote w:id="24">
    <w:p w14:paraId="72610296" w14:textId="76BC7FF7" w:rsidR="00A46D46" w:rsidRPr="009019FF" w:rsidRDefault="00953EBA" w:rsidP="00953EBA">
      <w:pPr>
        <w:pStyle w:val="FootnoteText"/>
        <w:rPr>
          <w:rFonts w:cstheme="minorHAnsi"/>
          <w:sz w:val="18"/>
          <w:szCs w:val="18"/>
        </w:rPr>
      </w:pPr>
      <w:r w:rsidRPr="009019FF">
        <w:rPr>
          <w:rStyle w:val="FootnoteReference"/>
          <w:rFonts w:cstheme="minorHAnsi"/>
          <w:sz w:val="18"/>
          <w:szCs w:val="18"/>
        </w:rPr>
        <w:footnoteRef/>
      </w:r>
      <w:r w:rsidRPr="009019FF">
        <w:rPr>
          <w:rFonts w:cstheme="minorHAnsi"/>
          <w:sz w:val="18"/>
          <w:szCs w:val="18"/>
        </w:rPr>
        <w:t xml:space="preserve"> See Joint Statement issued at the BRICS High-level Meeting on Climate Change</w:t>
      </w:r>
      <w:r w:rsidR="00A46D46" w:rsidRPr="009019FF">
        <w:rPr>
          <w:rFonts w:cstheme="minorHAnsi"/>
          <w:sz w:val="18"/>
          <w:szCs w:val="18"/>
        </w:rPr>
        <w:t xml:space="preserve"> </w:t>
      </w:r>
      <w:r w:rsidR="00144706" w:rsidRPr="009019FF">
        <w:rPr>
          <w:rFonts w:cstheme="minorHAnsi"/>
          <w:sz w:val="18"/>
          <w:szCs w:val="18"/>
        </w:rPr>
        <w:t xml:space="preserve">(2022) </w:t>
      </w:r>
      <w:hyperlink r:id="rId20" w:history="1">
        <w:r w:rsidR="00144706" w:rsidRPr="009019FF">
          <w:rPr>
            <w:rStyle w:val="Hyperlink"/>
            <w:rFonts w:cstheme="minorHAnsi"/>
            <w:sz w:val="18"/>
            <w:szCs w:val="18"/>
          </w:rPr>
          <w:t>http://brics2022.mfa.gov.cn/eng/hywj/ODMM/202205/t20220529_10694182.html</w:t>
        </w:r>
      </w:hyperlink>
    </w:p>
  </w:footnote>
  <w:footnote w:id="25">
    <w:p w14:paraId="0434FE23" w14:textId="1BD47819" w:rsidR="00953EBA" w:rsidRPr="009019FF" w:rsidRDefault="00953EBA" w:rsidP="00953EBA">
      <w:pPr>
        <w:pStyle w:val="FootnoteText"/>
        <w:rPr>
          <w:rFonts w:asciiTheme="minorHAnsi" w:hAnsiTheme="minorHAnsi" w:cstheme="minorHAnsi"/>
          <w:color w:val="000000"/>
          <w:sz w:val="18"/>
          <w:szCs w:val="18"/>
          <w:shd w:val="clear" w:color="auto" w:fill="FFFFFF"/>
        </w:rPr>
      </w:pPr>
      <w:r w:rsidRPr="009019FF">
        <w:rPr>
          <w:rStyle w:val="FootnoteReference"/>
          <w:rFonts w:cstheme="minorHAnsi"/>
          <w:sz w:val="18"/>
          <w:szCs w:val="18"/>
        </w:rPr>
        <w:footnoteRef/>
      </w:r>
      <w:r w:rsidRPr="009019FF">
        <w:rPr>
          <w:rFonts w:cstheme="minorHAnsi"/>
          <w:sz w:val="18"/>
          <w:szCs w:val="18"/>
        </w:rPr>
        <w:t xml:space="preserve"> In March 2023 at the WTO Committee on Trade and Environment (CTE) meeting, China </w:t>
      </w:r>
      <w:r w:rsidRPr="009019FF">
        <w:rPr>
          <w:rFonts w:cstheme="minorHAnsi"/>
          <w:color w:val="000000"/>
          <w:sz w:val="18"/>
          <w:szCs w:val="18"/>
          <w:shd w:val="clear" w:color="auto" w:fill="FFFFFF"/>
        </w:rPr>
        <w:t>introduced </w:t>
      </w:r>
      <w:r w:rsidRPr="009019FF">
        <w:rPr>
          <w:rFonts w:cstheme="minorHAnsi"/>
          <w:sz w:val="18"/>
          <w:szCs w:val="18"/>
        </w:rPr>
        <w:t>a proposal</w:t>
      </w:r>
      <w:r w:rsidRPr="009019FF">
        <w:rPr>
          <w:rFonts w:cstheme="minorHAnsi"/>
          <w:color w:val="000000"/>
          <w:sz w:val="18"/>
          <w:szCs w:val="18"/>
          <w:shd w:val="clear" w:color="auto" w:fill="FFFFFF"/>
        </w:rPr>
        <w:t> to deepen multilateral discussions on the trade aspects and implications of environmental measures, suggesting starting with discussions on the European Union's Carbon Border Adjustment Mechanism</w:t>
      </w:r>
      <w:r w:rsidR="00EC1723" w:rsidRPr="009019FF">
        <w:rPr>
          <w:rFonts w:cstheme="minorHAnsi"/>
          <w:color w:val="000000"/>
          <w:sz w:val="18"/>
          <w:szCs w:val="18"/>
          <w:shd w:val="clear" w:color="auto" w:fill="FFFFFF"/>
        </w:rPr>
        <w:t xml:space="preserve"> (2023), </w:t>
      </w:r>
      <w:r w:rsidRPr="009019FF">
        <w:rPr>
          <w:rFonts w:cstheme="minorHAnsi"/>
          <w:color w:val="000000"/>
          <w:sz w:val="18"/>
          <w:szCs w:val="18"/>
          <w:shd w:val="clear" w:color="auto" w:fill="FFFFFF"/>
        </w:rPr>
        <w:t>India presented a paper on the increasing use of environmental measures, such as carbon border measures as protectionist non-tariff measures</w:t>
      </w:r>
      <w:r w:rsidRPr="009019FF">
        <w:rPr>
          <w:rFonts w:asciiTheme="minorHAnsi" w:hAnsiTheme="minorHAnsi" w:cstheme="minorHAnsi"/>
          <w:color w:val="000000"/>
          <w:sz w:val="18"/>
          <w:szCs w:val="18"/>
          <w:shd w:val="clear" w:color="auto" w:fill="FFFFFF"/>
        </w:rPr>
        <w:t>.</w:t>
      </w:r>
      <w:r w:rsidR="00CD3E9A" w:rsidRPr="009019FF">
        <w:rPr>
          <w:rFonts w:asciiTheme="minorHAnsi" w:hAnsiTheme="minorHAnsi" w:cstheme="minorHAnsi"/>
          <w:color w:val="000000"/>
          <w:sz w:val="18"/>
          <w:szCs w:val="18"/>
          <w:shd w:val="clear" w:color="auto" w:fill="FFFFFF"/>
        </w:rPr>
        <w:t xml:space="preserve"> See </w:t>
      </w:r>
      <w:hyperlink r:id="rId21" w:history="1">
        <w:r w:rsidR="00CD3E9A" w:rsidRPr="009019FF">
          <w:rPr>
            <w:rStyle w:val="Hyperlink"/>
            <w:rFonts w:asciiTheme="minorHAnsi" w:hAnsiTheme="minorHAnsi" w:cstheme="minorHAnsi"/>
            <w:sz w:val="18"/>
            <w:szCs w:val="18"/>
            <w:shd w:val="clear" w:color="auto" w:fill="FFFFFF"/>
          </w:rPr>
          <w:t>https://docs.wto.org/dol2fe/Pages/SS/directdoc.aspx?filename=q:/WT/CTE/W251.pdf&amp;Open=True</w:t>
        </w:r>
      </w:hyperlink>
    </w:p>
    <w:p w14:paraId="5E7D8F52" w14:textId="7D235AA3" w:rsidR="00CD3E9A" w:rsidRPr="00A20AC4" w:rsidRDefault="00F47108" w:rsidP="00953EBA">
      <w:pPr>
        <w:pStyle w:val="FootnoteText"/>
      </w:pPr>
      <w:r w:rsidRPr="009019FF">
        <w:rPr>
          <w:rFonts w:asciiTheme="minorHAnsi" w:hAnsiTheme="minorHAnsi" w:cstheme="minorHAnsi"/>
          <w:color w:val="000000"/>
          <w:sz w:val="18"/>
          <w:szCs w:val="18"/>
          <w:shd w:val="clear" w:color="auto" w:fill="FFFFFF"/>
        </w:rPr>
        <w:t>.</w:t>
      </w:r>
    </w:p>
  </w:footnote>
  <w:footnote w:id="26">
    <w:p w14:paraId="046396CB" w14:textId="00FCAEA1" w:rsidR="00CE3F3C" w:rsidRPr="00CE3F3C" w:rsidRDefault="00CE3F3C">
      <w:pPr>
        <w:pStyle w:val="FootnoteText"/>
      </w:pPr>
    </w:p>
  </w:footnote>
  <w:footnote w:id="27">
    <w:p w14:paraId="08B4A6B2" w14:textId="62325106" w:rsidR="00C100FD" w:rsidRPr="00C100FD" w:rsidRDefault="00C100FD">
      <w:pPr>
        <w:pStyle w:val="FootnoteText"/>
      </w:pPr>
      <w:r>
        <w:rPr>
          <w:rStyle w:val="FootnoteReference"/>
        </w:rPr>
        <w:footnoteRef/>
      </w:r>
      <w:r>
        <w:t xml:space="preserve"> ICC</w:t>
      </w:r>
      <w:r w:rsidR="00696AD5">
        <w:t>, (2021), ‘Rec</w:t>
      </w:r>
      <w:r w:rsidR="00A26814">
        <w:t xml:space="preserve">ommendations to the European Commission on the implementation of the Carbon Border Adjustment Mechanism’ </w:t>
      </w:r>
      <w:hyperlink r:id="rId22" w:history="1">
        <w:r w:rsidR="00275413" w:rsidRPr="00DE7386">
          <w:rPr>
            <w:rStyle w:val="Hyperlink"/>
          </w:rPr>
          <w:t>https://iccwbo.org/news-publications/policies-reports/icc-recommendations-to-the-european-commission-on-the-implementation-of-the-carbon-border-adjustment-mechanism/</w:t>
        </w:r>
      </w:hyperlink>
    </w:p>
  </w:footnote>
  <w:footnote w:id="28">
    <w:p w14:paraId="2EDE2C34" w14:textId="21784A5C" w:rsidR="00910C2B" w:rsidRPr="009019FF" w:rsidRDefault="00910C2B" w:rsidP="00910C2B">
      <w:pPr>
        <w:pStyle w:val="FootnoteText"/>
        <w:rPr>
          <w:sz w:val="18"/>
          <w:szCs w:val="18"/>
        </w:rPr>
      </w:pPr>
      <w:r w:rsidRPr="009019FF">
        <w:rPr>
          <w:rStyle w:val="FootnoteReference"/>
          <w:sz w:val="18"/>
          <w:szCs w:val="18"/>
        </w:rPr>
        <w:footnoteRef/>
      </w:r>
      <w:r w:rsidRPr="009019FF">
        <w:rPr>
          <w:sz w:val="18"/>
          <w:szCs w:val="18"/>
        </w:rPr>
        <w:t xml:space="preserve">  Linking can </w:t>
      </w:r>
      <w:proofErr w:type="gramStart"/>
      <w:r w:rsidRPr="009019FF">
        <w:rPr>
          <w:sz w:val="18"/>
          <w:szCs w:val="18"/>
        </w:rPr>
        <w:t>be done</w:t>
      </w:r>
      <w:proofErr w:type="gramEnd"/>
      <w:r w:rsidRPr="009019FF">
        <w:rPr>
          <w:sz w:val="18"/>
          <w:szCs w:val="18"/>
        </w:rPr>
        <w:t xml:space="preserve"> either directly or indirectly and can lead to price convergence, thus offering efficiency gains. In a direct linking, emission allowances in one system can </w:t>
      </w:r>
      <w:proofErr w:type="gramStart"/>
      <w:r w:rsidRPr="009019FF">
        <w:rPr>
          <w:sz w:val="18"/>
          <w:szCs w:val="18"/>
        </w:rPr>
        <w:t>be used</w:t>
      </w:r>
      <w:proofErr w:type="gramEnd"/>
      <w:r w:rsidRPr="009019FF">
        <w:rPr>
          <w:sz w:val="18"/>
          <w:szCs w:val="18"/>
        </w:rPr>
        <w:t xml:space="preserve"> in another. The direct linking can be bilateral (two-way link), when allowances of both schemes can </w:t>
      </w:r>
      <w:proofErr w:type="gramStart"/>
      <w:r w:rsidRPr="009019FF">
        <w:rPr>
          <w:sz w:val="18"/>
          <w:szCs w:val="18"/>
        </w:rPr>
        <w:t>be used</w:t>
      </w:r>
      <w:proofErr w:type="gramEnd"/>
      <w:r w:rsidRPr="009019FF">
        <w:rPr>
          <w:sz w:val="18"/>
          <w:szCs w:val="18"/>
        </w:rPr>
        <w:t xml:space="preserve"> in either systems in both directions, or unilaterally (one-way link) if this is only the case for one system and the flow of allowances only operates in one direction. In indirect linking, two or more systems </w:t>
      </w:r>
      <w:proofErr w:type="gramStart"/>
      <w:r w:rsidRPr="009019FF">
        <w:rPr>
          <w:sz w:val="18"/>
          <w:szCs w:val="18"/>
        </w:rPr>
        <w:t>are linked</w:t>
      </w:r>
      <w:proofErr w:type="gramEnd"/>
      <w:r w:rsidRPr="009019FF">
        <w:rPr>
          <w:sz w:val="18"/>
          <w:szCs w:val="18"/>
        </w:rPr>
        <w:t xml:space="preserve"> to a common third system, for example, if both ETSs are linked to the same offset crediting system such as the Clean Development Mechanism (CDM) or potentially the new UNFCCC 6.4 mechanism under the Paris Agreement. Several examples for successful linking exist</w:t>
      </w:r>
      <w:proofErr w:type="gramStart"/>
      <w:r w:rsidRPr="009019FF">
        <w:rPr>
          <w:sz w:val="18"/>
          <w:szCs w:val="18"/>
        </w:rPr>
        <w:t xml:space="preserve">.  </w:t>
      </w:r>
      <w:proofErr w:type="gramEnd"/>
      <w:r w:rsidR="008E6D63" w:rsidRPr="009019FF">
        <w:rPr>
          <w:sz w:val="18"/>
          <w:szCs w:val="18"/>
        </w:rPr>
        <w:t xml:space="preserve">For example, in 2012, the European Commission and Australia agreed to start linking the </w:t>
      </w:r>
      <w:r w:rsidR="00781681" w:rsidRPr="009019FF">
        <w:rPr>
          <w:sz w:val="18"/>
          <w:szCs w:val="18"/>
        </w:rPr>
        <w:t>newly introduced</w:t>
      </w:r>
      <w:r w:rsidR="008E6D63" w:rsidRPr="009019FF">
        <w:rPr>
          <w:sz w:val="18"/>
          <w:szCs w:val="18"/>
        </w:rPr>
        <w:t xml:space="preserve"> Australian carbon price and the EU ETS from 2015 and to achieve full linking by 2018.</w:t>
      </w:r>
    </w:p>
  </w:footnote>
  <w:footnote w:id="29">
    <w:p w14:paraId="3EB87B70" w14:textId="610A8B28" w:rsidR="00C16382" w:rsidRPr="009019FF" w:rsidRDefault="00B83721">
      <w:pPr>
        <w:pStyle w:val="FootnoteText"/>
        <w:rPr>
          <w:sz w:val="18"/>
          <w:szCs w:val="18"/>
          <w:lang w:val="en-US"/>
        </w:rPr>
      </w:pPr>
      <w:r w:rsidRPr="009019FF">
        <w:rPr>
          <w:rStyle w:val="FootnoteReference"/>
          <w:sz w:val="18"/>
          <w:szCs w:val="18"/>
        </w:rPr>
        <w:footnoteRef/>
      </w:r>
      <w:r w:rsidR="00711266" w:rsidRPr="009019FF">
        <w:rPr>
          <w:sz w:val="18"/>
          <w:szCs w:val="18"/>
          <w:lang w:val="en-US"/>
        </w:rPr>
        <w:t>IETA</w:t>
      </w:r>
      <w:r w:rsidR="00A040E7" w:rsidRPr="009019FF">
        <w:rPr>
          <w:sz w:val="18"/>
          <w:szCs w:val="18"/>
          <w:lang w:val="en-US"/>
        </w:rPr>
        <w:t xml:space="preserve"> </w:t>
      </w:r>
      <w:r w:rsidR="00AB3645" w:rsidRPr="009019FF">
        <w:rPr>
          <w:sz w:val="18"/>
          <w:szCs w:val="18"/>
          <w:lang w:val="en-US"/>
        </w:rPr>
        <w:t>Article 6 Discussion Pap</w:t>
      </w:r>
      <w:r w:rsidR="00711266" w:rsidRPr="009019FF">
        <w:rPr>
          <w:sz w:val="18"/>
          <w:szCs w:val="18"/>
          <w:lang w:val="en-US"/>
        </w:rPr>
        <w:t>er</w:t>
      </w:r>
      <w:r w:rsidR="00E35446" w:rsidRPr="009019FF">
        <w:rPr>
          <w:sz w:val="18"/>
          <w:szCs w:val="18"/>
          <w:lang w:val="en-US"/>
        </w:rPr>
        <w:t xml:space="preserve"> (2022) ‘</w:t>
      </w:r>
      <w:r w:rsidR="00711266" w:rsidRPr="009019FF">
        <w:rPr>
          <w:sz w:val="18"/>
          <w:szCs w:val="18"/>
          <w:lang w:val="en-US"/>
        </w:rPr>
        <w:t>How Governments can Implement NDCs cooperatively and encourage private sector investment</w:t>
      </w:r>
      <w:r w:rsidR="00E35446" w:rsidRPr="009019FF">
        <w:rPr>
          <w:sz w:val="18"/>
          <w:szCs w:val="18"/>
          <w:lang w:val="en-US"/>
        </w:rPr>
        <w:t xml:space="preserve">’ </w:t>
      </w:r>
      <w:hyperlink r:id="rId23" w:history="1">
        <w:r w:rsidR="00C16382" w:rsidRPr="009019FF">
          <w:rPr>
            <w:rStyle w:val="Hyperlink"/>
            <w:sz w:val="18"/>
            <w:szCs w:val="18"/>
            <w:lang w:val="en-US"/>
          </w:rPr>
          <w:t>https://k5x2e9z8.rocketcdn.me/wp-content/uploads/2023/09/IETA_DiscussionPaper_Article6_June2022.pdf</w:t>
        </w:r>
      </w:hyperlink>
    </w:p>
    <w:p w14:paraId="72C97729" w14:textId="77777777" w:rsidR="00C16382" w:rsidRPr="00B83721" w:rsidRDefault="00C16382">
      <w:pPr>
        <w:pStyle w:val="FootnoteText"/>
        <w:rPr>
          <w:lang w:val="en-US"/>
        </w:rPr>
      </w:pPr>
    </w:p>
  </w:footnote>
  <w:footnote w:id="30">
    <w:p w14:paraId="0339859E" w14:textId="44F659F4" w:rsidR="00AB4450" w:rsidRDefault="00910C2B">
      <w:pPr>
        <w:pStyle w:val="FootnoteText"/>
      </w:pPr>
      <w:r>
        <w:rPr>
          <w:rStyle w:val="FootnoteReference"/>
        </w:rPr>
        <w:footnoteRef/>
      </w:r>
      <w:r>
        <w:t xml:space="preserve"> </w:t>
      </w:r>
      <w:r w:rsidR="00A02C8E" w:rsidRPr="009019FF">
        <w:rPr>
          <w:sz w:val="18"/>
          <w:szCs w:val="18"/>
        </w:rPr>
        <w:t>V</w:t>
      </w:r>
      <w:r w:rsidR="00285264">
        <w:rPr>
          <w:sz w:val="18"/>
          <w:szCs w:val="18"/>
        </w:rPr>
        <w:t>CMI</w:t>
      </w:r>
      <w:r w:rsidR="00352900" w:rsidRPr="009019FF">
        <w:rPr>
          <w:sz w:val="18"/>
          <w:szCs w:val="18"/>
        </w:rPr>
        <w:t xml:space="preserve"> (2023), ‘Claims Code of Practice’ </w:t>
      </w:r>
      <w:hyperlink r:id="rId24" w:history="1">
        <w:r w:rsidR="00AB4450" w:rsidRPr="009019FF">
          <w:rPr>
            <w:rStyle w:val="Hyperlink"/>
            <w:sz w:val="18"/>
            <w:szCs w:val="18"/>
          </w:rPr>
          <w:t>https://vcmintegrity.org/vcmi-claims-code-of-practice/</w:t>
        </w:r>
      </w:hyperlink>
    </w:p>
  </w:footnote>
  <w:footnote w:id="31">
    <w:p w14:paraId="5B26A96D" w14:textId="3A8B3FE3" w:rsidR="00F32F10" w:rsidRPr="00654834" w:rsidRDefault="00F32F10" w:rsidP="00654834">
      <w:pPr>
        <w:spacing w:after="180" w:line="240" w:lineRule="auto"/>
        <w:rPr>
          <w:sz w:val="21"/>
          <w:szCs w:val="21"/>
        </w:rPr>
      </w:pPr>
      <w:r>
        <w:rPr>
          <w:rStyle w:val="FootnoteReference"/>
        </w:rPr>
        <w:footnoteRef/>
      </w:r>
      <w:r>
        <w:t xml:space="preserve"> </w:t>
      </w:r>
      <w:r w:rsidR="005D103B" w:rsidRPr="00533D0D">
        <w:rPr>
          <w:sz w:val="18"/>
          <w:szCs w:val="18"/>
        </w:rPr>
        <w:t xml:space="preserve">ICC (2021b), Article 6 Business Brief </w:t>
      </w:r>
      <w:hyperlink r:id="rId25" w:history="1">
        <w:r w:rsidR="005D103B" w:rsidRPr="00533D0D">
          <w:rPr>
            <w:rStyle w:val="Hyperlink"/>
            <w:sz w:val="18"/>
            <w:szCs w:val="18"/>
          </w:rPr>
          <w:t>https://iccwbo.org/news-publications/policies-reports/article-6-business-brief/</w:t>
        </w:r>
      </w:hyperlink>
    </w:p>
  </w:footnote>
  <w:footnote w:id="32">
    <w:p w14:paraId="4CFC16CC" w14:textId="36802246" w:rsidR="00F32F10" w:rsidRDefault="00F32F10">
      <w:pPr>
        <w:pStyle w:val="FootnoteText"/>
      </w:pPr>
      <w:r>
        <w:rPr>
          <w:rStyle w:val="FootnoteReference"/>
        </w:rPr>
        <w:footnoteRef/>
      </w:r>
      <w:r>
        <w:t xml:space="preserve"> </w:t>
      </w:r>
      <w:r w:rsidR="003D216B" w:rsidRPr="00533D0D">
        <w:rPr>
          <w:sz w:val="18"/>
          <w:szCs w:val="18"/>
        </w:rPr>
        <w:t xml:space="preserve">ICC (2021c), Carbon Pricing Principles </w:t>
      </w:r>
      <w:hyperlink r:id="rId26" w:history="1">
        <w:r w:rsidR="003D216B" w:rsidRPr="00533D0D">
          <w:rPr>
            <w:rStyle w:val="Hyperlink"/>
            <w:sz w:val="18"/>
            <w:szCs w:val="18"/>
          </w:rPr>
          <w:t>https://iccwbo.org/publication/icc-carbon-pricing-principles/</w:t>
        </w:r>
      </w:hyperlink>
    </w:p>
  </w:footnote>
  <w:footnote w:id="33">
    <w:p w14:paraId="7017C969" w14:textId="77777777" w:rsidR="0039188E" w:rsidRPr="009019FF" w:rsidRDefault="0039188E" w:rsidP="0039188E">
      <w:pPr>
        <w:pStyle w:val="FootnoteText"/>
        <w:rPr>
          <w:color w:val="00B050"/>
          <w:sz w:val="18"/>
          <w:szCs w:val="18"/>
          <w:u w:val="single"/>
        </w:rPr>
      </w:pPr>
      <w:r w:rsidRPr="009019FF">
        <w:rPr>
          <w:rStyle w:val="FootnoteReference"/>
          <w:sz w:val="18"/>
          <w:szCs w:val="18"/>
        </w:rPr>
        <w:footnoteRef/>
      </w:r>
      <w:r w:rsidRPr="009019FF">
        <w:rPr>
          <w:sz w:val="18"/>
          <w:szCs w:val="18"/>
        </w:rPr>
        <w:t xml:space="preserve"> Recent research has shown that cooperation through Article 6 has the potential to reduce the total cost of climate action by more than half and generate additional financing from $300 billion per year in 2030 up to $1 trillion per year in 2050. Re-investing these funds in new climate efforts, Article 6 could enable additional emission cuts and could contribute to the enhancement of ambition in countries’ NDCs.</w:t>
      </w:r>
    </w:p>
  </w:footnote>
  <w:footnote w:id="34">
    <w:p w14:paraId="72510520" w14:textId="37A8464E" w:rsidR="00910C2B" w:rsidRPr="00557E60" w:rsidRDefault="00910C2B" w:rsidP="00910C2B">
      <w:pPr>
        <w:pStyle w:val="FootnoteText"/>
        <w:rPr>
          <w:sz w:val="16"/>
          <w:szCs w:val="16"/>
        </w:rPr>
      </w:pPr>
      <w:r w:rsidRPr="00557E60">
        <w:rPr>
          <w:rStyle w:val="FootnoteReference"/>
          <w:sz w:val="16"/>
          <w:szCs w:val="16"/>
        </w:rPr>
        <w:footnoteRef/>
      </w:r>
      <w:r w:rsidRPr="00557E60">
        <w:rPr>
          <w:sz w:val="16"/>
          <w:szCs w:val="16"/>
        </w:rPr>
        <w:t xml:space="preserve"> </w:t>
      </w:r>
      <w:r w:rsidR="00E8243A" w:rsidRPr="00B251D1">
        <w:rPr>
          <w:sz w:val="18"/>
          <w:szCs w:val="18"/>
        </w:rPr>
        <w:t xml:space="preserve">VMCI, (2023), </w:t>
      </w:r>
      <w:r w:rsidR="00E8243A">
        <w:rPr>
          <w:sz w:val="18"/>
          <w:szCs w:val="18"/>
        </w:rPr>
        <w:t>op. cit.</w:t>
      </w:r>
    </w:p>
  </w:footnote>
  <w:footnote w:id="35">
    <w:p w14:paraId="7DBAA1F1" w14:textId="455CB938" w:rsidR="00275413" w:rsidRPr="00275413" w:rsidRDefault="00275413">
      <w:pPr>
        <w:pStyle w:val="FootnoteText"/>
        <w:rPr>
          <w:lang w:val="en-US"/>
        </w:rPr>
      </w:pPr>
      <w:r>
        <w:rPr>
          <w:rStyle w:val="FootnoteReference"/>
        </w:rPr>
        <w:footnoteRef/>
      </w:r>
      <w:r>
        <w:t xml:space="preserve"> </w:t>
      </w:r>
      <w:r w:rsidRPr="00654834">
        <w:rPr>
          <w:sz w:val="18"/>
          <w:szCs w:val="18"/>
        </w:rPr>
        <w:t xml:space="preserve">World Bank (2023), ‘State and Trends of Carbon Pricing’ </w:t>
      </w:r>
      <w:hyperlink r:id="rId27" w:history="1">
        <w:r w:rsidRPr="00654834">
          <w:rPr>
            <w:rStyle w:val="Hyperlink"/>
            <w:sz w:val="18"/>
            <w:szCs w:val="18"/>
          </w:rPr>
          <w:t>https://openknowledge.worldbank.org/entities/publication/58f2a409-9bb7-4ee6-899d-be47835c838f</w:t>
        </w:r>
      </w:hyperlink>
    </w:p>
  </w:footnote>
  <w:footnote w:id="36">
    <w:p w14:paraId="1F5EBD24" w14:textId="77777777" w:rsidR="004645C9" w:rsidRPr="002B2380" w:rsidRDefault="004645C9" w:rsidP="004645C9">
      <w:pPr>
        <w:pStyle w:val="FootnoteText"/>
        <w:rPr>
          <w:sz w:val="18"/>
          <w:szCs w:val="18"/>
          <w:lang w:val="en-US"/>
        </w:rPr>
      </w:pPr>
      <w:r w:rsidRPr="002B2380">
        <w:rPr>
          <w:rStyle w:val="FootnoteReference"/>
          <w:sz w:val="18"/>
          <w:szCs w:val="18"/>
        </w:rPr>
        <w:footnoteRef/>
      </w:r>
      <w:r w:rsidRPr="002B2380">
        <w:rPr>
          <w:sz w:val="18"/>
          <w:szCs w:val="18"/>
        </w:rPr>
        <w:t xml:space="preserve"> CSIS: Voluntary Carbon Markets: A Review of Global Initiatives and Evolving Models: https://www.csis.org/analysis/voluntary-carbon-markets-review-global-initiatives-and-evolving-models</w:t>
      </w:r>
    </w:p>
  </w:footnote>
  <w:footnote w:id="37">
    <w:p w14:paraId="10395BEA" w14:textId="6ECA3B02" w:rsidR="00651B20" w:rsidRPr="00211A07" w:rsidRDefault="00211A07">
      <w:pPr>
        <w:pStyle w:val="FootnoteText"/>
      </w:pPr>
      <w:r>
        <w:rPr>
          <w:rStyle w:val="FootnoteReference"/>
        </w:rPr>
        <w:footnoteRef/>
      </w:r>
      <w:r>
        <w:t xml:space="preserve"> </w:t>
      </w:r>
      <w:r w:rsidR="00A22899">
        <w:t xml:space="preserve">European Commission (2021), ‘Proposal for a Regulation of the European Parliament and of the Council establishing a carbon border </w:t>
      </w:r>
      <w:r w:rsidR="008E7773">
        <w:t>adjustment</w:t>
      </w:r>
      <w:r w:rsidR="00A22899">
        <w:t xml:space="preserve"> mechanism’ </w:t>
      </w:r>
      <w:hyperlink r:id="rId28" w:history="1">
        <w:r w:rsidR="00651B20" w:rsidRPr="00046F21">
          <w:rPr>
            <w:rStyle w:val="Hyperlink"/>
          </w:rPr>
          <w:t>https://eur-lex.europa.eu/legal-content/en/TXT/?uri=CELEX%3A52021PC0564</w:t>
        </w:r>
      </w:hyperlink>
    </w:p>
  </w:footnote>
  <w:footnote w:id="38">
    <w:p w14:paraId="365D509F" w14:textId="39E5BBE2" w:rsidR="00E44E34" w:rsidRPr="009019FF" w:rsidRDefault="00CB1653" w:rsidP="00CB1653">
      <w:pPr>
        <w:pStyle w:val="FootnoteText"/>
        <w:rPr>
          <w:sz w:val="18"/>
          <w:szCs w:val="18"/>
        </w:rPr>
      </w:pPr>
      <w:r w:rsidRPr="009019FF">
        <w:rPr>
          <w:rStyle w:val="FootnoteReference"/>
          <w:sz w:val="18"/>
          <w:szCs w:val="18"/>
        </w:rPr>
        <w:footnoteRef/>
      </w:r>
      <w:r w:rsidRPr="009019FF">
        <w:rPr>
          <w:sz w:val="18"/>
          <w:szCs w:val="18"/>
        </w:rPr>
        <w:t xml:space="preserve"> </w:t>
      </w:r>
      <w:r w:rsidR="00C90BC1" w:rsidRPr="009019FF">
        <w:rPr>
          <w:sz w:val="18"/>
          <w:szCs w:val="18"/>
        </w:rPr>
        <w:t>European Commission,</w:t>
      </w:r>
      <w:r w:rsidR="00A67F29" w:rsidRPr="009019FF">
        <w:rPr>
          <w:sz w:val="18"/>
          <w:szCs w:val="18"/>
        </w:rPr>
        <w:t xml:space="preserve"> (2023),</w:t>
      </w:r>
      <w:r w:rsidR="00C90BC1" w:rsidRPr="009019FF">
        <w:rPr>
          <w:sz w:val="18"/>
          <w:szCs w:val="18"/>
        </w:rPr>
        <w:t xml:space="preserve"> </w:t>
      </w:r>
      <w:r w:rsidR="00A67F29" w:rsidRPr="009019FF">
        <w:rPr>
          <w:sz w:val="18"/>
          <w:szCs w:val="18"/>
        </w:rPr>
        <w:t>‘</w:t>
      </w:r>
      <w:r w:rsidR="00C90BC1" w:rsidRPr="009019FF">
        <w:rPr>
          <w:sz w:val="18"/>
          <w:szCs w:val="18"/>
        </w:rPr>
        <w:t>Carbon Border Adjustment</w:t>
      </w:r>
      <w:r w:rsidR="00A67F29" w:rsidRPr="009019FF">
        <w:rPr>
          <w:sz w:val="18"/>
          <w:szCs w:val="18"/>
        </w:rPr>
        <w:t xml:space="preserve">’, </w:t>
      </w:r>
      <w:r w:rsidR="00563F2B" w:rsidRPr="009019FF">
        <w:rPr>
          <w:sz w:val="18"/>
          <w:szCs w:val="18"/>
        </w:rPr>
        <w:t>Taxation and Customs Union</w:t>
      </w:r>
      <w:r w:rsidR="00E44E34" w:rsidRPr="009019FF">
        <w:rPr>
          <w:sz w:val="18"/>
          <w:szCs w:val="18"/>
        </w:rPr>
        <w:t xml:space="preserve"> </w:t>
      </w:r>
      <w:hyperlink r:id="rId29" w:history="1">
        <w:r w:rsidR="00E44E34" w:rsidRPr="009019FF">
          <w:rPr>
            <w:rStyle w:val="Hyperlink"/>
            <w:sz w:val="18"/>
            <w:szCs w:val="18"/>
          </w:rPr>
          <w:t>https://taxation-customs.ec.europa.eu/carbon-border-adjustment-mechanism_en</w:t>
        </w:r>
      </w:hyperlink>
    </w:p>
  </w:footnote>
  <w:footnote w:id="39">
    <w:p w14:paraId="024BB687" w14:textId="1A9904D2" w:rsidR="00AD5F7C" w:rsidRPr="005668BD" w:rsidRDefault="00AD5F7C" w:rsidP="005668BD">
      <w:pPr>
        <w:spacing w:after="180" w:line="240" w:lineRule="auto"/>
        <w:rPr>
          <w:sz w:val="21"/>
          <w:szCs w:val="21"/>
        </w:rPr>
      </w:pPr>
      <w:r>
        <w:rPr>
          <w:rStyle w:val="FootnoteReference"/>
        </w:rPr>
        <w:footnoteRef/>
      </w:r>
      <w:r w:rsidRPr="005668BD">
        <w:rPr>
          <w:sz w:val="18"/>
          <w:szCs w:val="18"/>
        </w:rPr>
        <w:t xml:space="preserve"> </w:t>
      </w:r>
      <w:r w:rsidR="00F9586C" w:rsidRPr="005668BD">
        <w:rPr>
          <w:sz w:val="18"/>
          <w:szCs w:val="18"/>
        </w:rPr>
        <w:t xml:space="preserve">Neil Campbell, A., Gordner, T. and Page, L. (2023) The EU’s New Carbon Border Adjustment Mechanism in Action: Impacts on Canada and Beyond, Mcmilan International Trade Bulletin </w:t>
      </w:r>
      <w:hyperlink r:id="rId30" w:history="1">
        <w:r w:rsidR="00F9586C" w:rsidRPr="005668BD">
          <w:rPr>
            <w:rStyle w:val="Hyperlink"/>
            <w:sz w:val="18"/>
            <w:szCs w:val="18"/>
          </w:rPr>
          <w:t>https://mcmillan.ca/insights/publications/the-eus-new-carbon-border-adjustment-mechanism-in-action-impacts-on-canada-and-beyond/</w:t>
        </w:r>
      </w:hyperlink>
    </w:p>
  </w:footnote>
  <w:footnote w:id="40">
    <w:p w14:paraId="08C83EC3" w14:textId="1013A223" w:rsidR="00136C70" w:rsidRPr="009019FF" w:rsidRDefault="002075AB">
      <w:pPr>
        <w:pStyle w:val="FootnoteText"/>
        <w:rPr>
          <w:sz w:val="18"/>
          <w:szCs w:val="18"/>
        </w:rPr>
      </w:pPr>
      <w:r w:rsidRPr="009019FF">
        <w:rPr>
          <w:rStyle w:val="FootnoteReference"/>
          <w:sz w:val="18"/>
          <w:szCs w:val="18"/>
        </w:rPr>
        <w:footnoteRef/>
      </w:r>
      <w:r w:rsidRPr="009019FF">
        <w:rPr>
          <w:sz w:val="18"/>
          <w:szCs w:val="18"/>
        </w:rPr>
        <w:t xml:space="preserve"> </w:t>
      </w:r>
      <w:r w:rsidR="00DD0FC6" w:rsidRPr="009019FF">
        <w:rPr>
          <w:sz w:val="18"/>
          <w:szCs w:val="18"/>
        </w:rPr>
        <w:t xml:space="preserve">European Commission, (2021), ‘Allocation to industrial installations’ </w:t>
      </w:r>
      <w:r w:rsidR="00136C70" w:rsidRPr="009019FF">
        <w:rPr>
          <w:sz w:val="18"/>
          <w:szCs w:val="18"/>
        </w:rPr>
        <w:t xml:space="preserve">Energy, Climate Change Environment. </w:t>
      </w:r>
      <w:hyperlink r:id="rId31" w:history="1">
        <w:r w:rsidR="00136C70" w:rsidRPr="009019FF">
          <w:rPr>
            <w:rStyle w:val="Hyperlink"/>
            <w:sz w:val="18"/>
            <w:szCs w:val="18"/>
          </w:rPr>
          <w:t>https://climate.ec.europa.eu/eu-action/eu-emissions-trading-system-eu-ets/free-allocation/allocation-industrial-installations_en</w:t>
        </w:r>
      </w:hyperlink>
    </w:p>
  </w:footnote>
  <w:footnote w:id="41">
    <w:p w14:paraId="3B26BA42" w14:textId="3647EA99" w:rsidR="00582D47" w:rsidRPr="009019FF" w:rsidRDefault="00582D47">
      <w:pPr>
        <w:pStyle w:val="FootnoteText"/>
        <w:rPr>
          <w:sz w:val="18"/>
          <w:szCs w:val="18"/>
          <w:lang w:val="en-US"/>
        </w:rPr>
      </w:pPr>
      <w:r w:rsidRPr="009019FF">
        <w:rPr>
          <w:rStyle w:val="FootnoteReference"/>
          <w:sz w:val="18"/>
          <w:szCs w:val="18"/>
        </w:rPr>
        <w:footnoteRef/>
      </w:r>
      <w:r w:rsidRPr="009019FF">
        <w:rPr>
          <w:sz w:val="18"/>
          <w:szCs w:val="18"/>
        </w:rPr>
        <w:t xml:space="preserve"> </w:t>
      </w:r>
      <w:r w:rsidRPr="009019FF">
        <w:rPr>
          <w:sz w:val="18"/>
          <w:szCs w:val="18"/>
          <w:lang w:val="en-US"/>
        </w:rPr>
        <w:t>European Commission (</w:t>
      </w:r>
      <w:r w:rsidR="0025034B" w:rsidRPr="009019FF">
        <w:rPr>
          <w:sz w:val="18"/>
          <w:szCs w:val="18"/>
          <w:lang w:val="en-US"/>
        </w:rPr>
        <w:t xml:space="preserve">2019), ‘Delegated Decision supplementing Directive 2003/87/EC of the European Parliament and the Council concerning the determination </w:t>
      </w:r>
      <w:r w:rsidR="00B4442E" w:rsidRPr="009019FF">
        <w:rPr>
          <w:sz w:val="18"/>
          <w:szCs w:val="18"/>
          <w:lang w:val="en-US"/>
        </w:rPr>
        <w:t xml:space="preserve">of sectors and subsectors deemed at risk of carbon leakage for the period 2021 to 2030’ </w:t>
      </w:r>
      <w:hyperlink r:id="rId32" w:history="1">
        <w:r w:rsidR="00B4442E" w:rsidRPr="009019FF">
          <w:rPr>
            <w:rStyle w:val="Hyperlink"/>
            <w:sz w:val="18"/>
            <w:szCs w:val="18"/>
            <w:lang w:val="en-US"/>
          </w:rPr>
          <w:t>https://eur-lex.europa.eu/legal-content/EN/TXT/PDF/?uri=CELEX:32019D0708&amp;from=EN</w:t>
        </w:r>
      </w:hyperlink>
    </w:p>
    <w:p w14:paraId="1799AA45" w14:textId="77777777" w:rsidR="00B4442E" w:rsidRPr="00592812" w:rsidRDefault="00B4442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A490" w14:textId="77777777" w:rsidR="002D5145" w:rsidRDefault="002D5145" w:rsidP="005E03BD">
    <w:pPr>
      <w:pStyle w:val="Header"/>
    </w:pPr>
  </w:p>
  <w:p w14:paraId="61511C86" w14:textId="77777777" w:rsidR="002D5145" w:rsidRDefault="002D5145" w:rsidP="005E03BD"/>
  <w:p w14:paraId="7FC03663" w14:textId="77777777" w:rsidR="002D5145" w:rsidRDefault="002D5145" w:rsidP="005E03BD"/>
  <w:p w14:paraId="0BF381E2" w14:textId="77777777" w:rsidR="002D5145" w:rsidRDefault="002D5145" w:rsidP="005E03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4AA9" w14:textId="77777777" w:rsidR="002D5145" w:rsidRDefault="002D5145" w:rsidP="005E03BD">
    <w:pPr>
      <w:pStyle w:val="Header"/>
    </w:pPr>
  </w:p>
  <w:p w14:paraId="19A9EA12" w14:textId="77777777" w:rsidR="002D5145" w:rsidRDefault="002D5145" w:rsidP="005E03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in;height:20in" o:bullet="t">
        <v:imagedata r:id="rId1" o:title="green-arrow[1]"/>
      </v:shape>
    </w:pict>
  </w:numPicBullet>
  <w:numPicBullet w:numPicBulletId="1">
    <w:pict>
      <v:shape id="_x0000_i1027" type="#_x0000_t75" style="width:34.1pt;height:26.55pt" o:bullet="t">
        <v:imagedata r:id="rId2" o:title="pitr-green-double-arrows-set-1[1]"/>
      </v:shape>
    </w:pict>
  </w:numPicBullet>
  <w:abstractNum w:abstractNumId="0" w15:restartNumberingAfterBreak="0">
    <w:nsid w:val="080D7CD4"/>
    <w:multiLevelType w:val="hybridMultilevel"/>
    <w:tmpl w:val="6B865208"/>
    <w:lvl w:ilvl="0" w:tplc="BC4426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A5768"/>
    <w:multiLevelType w:val="hybridMultilevel"/>
    <w:tmpl w:val="F75E5FB6"/>
    <w:lvl w:ilvl="0" w:tplc="3CFE3AEC">
      <w:start w:val="1"/>
      <w:numFmt w:val="bullet"/>
      <w:lvlText w:val=""/>
      <w:lvlJc w:val="left"/>
      <w:pPr>
        <w:ind w:left="1080" w:hanging="360"/>
      </w:pPr>
      <w:rPr>
        <w:rFonts w:ascii="Symbol" w:hAnsi="Symbol"/>
      </w:rPr>
    </w:lvl>
    <w:lvl w:ilvl="1" w:tplc="CCA0CE9A">
      <w:start w:val="1"/>
      <w:numFmt w:val="bullet"/>
      <w:lvlText w:val=""/>
      <w:lvlJc w:val="left"/>
      <w:pPr>
        <w:ind w:left="1080" w:hanging="360"/>
      </w:pPr>
      <w:rPr>
        <w:rFonts w:ascii="Symbol" w:hAnsi="Symbol"/>
      </w:rPr>
    </w:lvl>
    <w:lvl w:ilvl="2" w:tplc="75721216">
      <w:start w:val="1"/>
      <w:numFmt w:val="bullet"/>
      <w:lvlText w:val=""/>
      <w:lvlJc w:val="left"/>
      <w:pPr>
        <w:ind w:left="1080" w:hanging="360"/>
      </w:pPr>
      <w:rPr>
        <w:rFonts w:ascii="Symbol" w:hAnsi="Symbol"/>
      </w:rPr>
    </w:lvl>
    <w:lvl w:ilvl="3" w:tplc="54709F56">
      <w:start w:val="1"/>
      <w:numFmt w:val="bullet"/>
      <w:lvlText w:val=""/>
      <w:lvlJc w:val="left"/>
      <w:pPr>
        <w:ind w:left="1080" w:hanging="360"/>
      </w:pPr>
      <w:rPr>
        <w:rFonts w:ascii="Symbol" w:hAnsi="Symbol"/>
      </w:rPr>
    </w:lvl>
    <w:lvl w:ilvl="4" w:tplc="16309760">
      <w:start w:val="1"/>
      <w:numFmt w:val="bullet"/>
      <w:lvlText w:val=""/>
      <w:lvlJc w:val="left"/>
      <w:pPr>
        <w:ind w:left="1080" w:hanging="360"/>
      </w:pPr>
      <w:rPr>
        <w:rFonts w:ascii="Symbol" w:hAnsi="Symbol"/>
      </w:rPr>
    </w:lvl>
    <w:lvl w:ilvl="5" w:tplc="E4ECF3AC">
      <w:start w:val="1"/>
      <w:numFmt w:val="bullet"/>
      <w:lvlText w:val=""/>
      <w:lvlJc w:val="left"/>
      <w:pPr>
        <w:ind w:left="1080" w:hanging="360"/>
      </w:pPr>
      <w:rPr>
        <w:rFonts w:ascii="Symbol" w:hAnsi="Symbol"/>
      </w:rPr>
    </w:lvl>
    <w:lvl w:ilvl="6" w:tplc="CA0CE100">
      <w:start w:val="1"/>
      <w:numFmt w:val="bullet"/>
      <w:lvlText w:val=""/>
      <w:lvlJc w:val="left"/>
      <w:pPr>
        <w:ind w:left="1080" w:hanging="360"/>
      </w:pPr>
      <w:rPr>
        <w:rFonts w:ascii="Symbol" w:hAnsi="Symbol"/>
      </w:rPr>
    </w:lvl>
    <w:lvl w:ilvl="7" w:tplc="4FA251B4">
      <w:start w:val="1"/>
      <w:numFmt w:val="bullet"/>
      <w:lvlText w:val=""/>
      <w:lvlJc w:val="left"/>
      <w:pPr>
        <w:ind w:left="1080" w:hanging="360"/>
      </w:pPr>
      <w:rPr>
        <w:rFonts w:ascii="Symbol" w:hAnsi="Symbol"/>
      </w:rPr>
    </w:lvl>
    <w:lvl w:ilvl="8" w:tplc="D924DF50">
      <w:start w:val="1"/>
      <w:numFmt w:val="bullet"/>
      <w:lvlText w:val=""/>
      <w:lvlJc w:val="left"/>
      <w:pPr>
        <w:ind w:left="1080" w:hanging="360"/>
      </w:pPr>
      <w:rPr>
        <w:rFonts w:ascii="Symbol" w:hAnsi="Symbol"/>
      </w:rPr>
    </w:lvl>
  </w:abstractNum>
  <w:abstractNum w:abstractNumId="2" w15:restartNumberingAfterBreak="0">
    <w:nsid w:val="0BB42F2C"/>
    <w:multiLevelType w:val="hybridMultilevel"/>
    <w:tmpl w:val="C164B4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C6119A6"/>
    <w:multiLevelType w:val="hybridMultilevel"/>
    <w:tmpl w:val="4E5209B0"/>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F65A3E"/>
    <w:multiLevelType w:val="hybridMultilevel"/>
    <w:tmpl w:val="27C640B6"/>
    <w:lvl w:ilvl="0" w:tplc="FAFC2AEA">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9CC6C87"/>
    <w:multiLevelType w:val="hybridMultilevel"/>
    <w:tmpl w:val="15CA2B60"/>
    <w:lvl w:ilvl="0" w:tplc="FFFFFFFF">
      <w:start w:val="1"/>
      <w:numFmt w:val="upperRoman"/>
      <w:lvlText w:val="%1."/>
      <w:lvlJc w:val="left"/>
      <w:pPr>
        <w:ind w:left="1080" w:hanging="720"/>
      </w:pPr>
      <w:rPr>
        <w:rFonts w:hint="default"/>
        <w:color w:val="007DFF"/>
        <w:sz w:val="28"/>
      </w:rPr>
    </w:lvl>
    <w:lvl w:ilvl="1" w:tplc="040C000F">
      <w:start w:val="1"/>
      <w:numFmt w:val="decimal"/>
      <w:lvlText w:val="%2."/>
      <w:lvlJc w:val="lef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E2AFB"/>
    <w:multiLevelType w:val="hybridMultilevel"/>
    <w:tmpl w:val="BF70E4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0AED9BA">
      <w:start w:val="2"/>
      <w:numFmt w:val="bullet"/>
      <w:lvlText w:val="-"/>
      <w:lvlJc w:val="left"/>
      <w:pPr>
        <w:ind w:left="2160" w:hanging="360"/>
      </w:pPr>
      <w:rPr>
        <w:rFonts w:ascii="Gellix" w:eastAsiaTheme="minorEastAsia" w:hAnsi="Gellix"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A6FB6"/>
    <w:multiLevelType w:val="hybridMultilevel"/>
    <w:tmpl w:val="CDDC1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13E4D"/>
    <w:multiLevelType w:val="hybridMultilevel"/>
    <w:tmpl w:val="A62C8F7E"/>
    <w:lvl w:ilvl="0" w:tplc="9698D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0289B"/>
    <w:multiLevelType w:val="hybridMultilevel"/>
    <w:tmpl w:val="1EBC8F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04E79"/>
    <w:multiLevelType w:val="hybridMultilevel"/>
    <w:tmpl w:val="D0DC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E2A5E"/>
    <w:multiLevelType w:val="hybridMultilevel"/>
    <w:tmpl w:val="2E06FDF8"/>
    <w:lvl w:ilvl="0" w:tplc="634AA3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85E6755"/>
    <w:multiLevelType w:val="hybridMultilevel"/>
    <w:tmpl w:val="8F68F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C1B59"/>
    <w:multiLevelType w:val="hybridMultilevel"/>
    <w:tmpl w:val="D8B41F7A"/>
    <w:lvl w:ilvl="0" w:tplc="549C399E">
      <w:start w:val="3"/>
      <w:numFmt w:val="bullet"/>
      <w:lvlText w:val="-"/>
      <w:lvlJc w:val="left"/>
      <w:pPr>
        <w:ind w:left="720" w:hanging="360"/>
      </w:pPr>
      <w:rPr>
        <w:rFonts w:ascii="Gellix" w:eastAsiaTheme="minorEastAsia" w:hAnsi="Gellix"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44D6A"/>
    <w:multiLevelType w:val="hybridMultilevel"/>
    <w:tmpl w:val="C5640E20"/>
    <w:lvl w:ilvl="0" w:tplc="FFFFFFFF">
      <w:numFmt w:val="bullet"/>
      <w:lvlText w:val=""/>
      <w:lvlJc w:val="left"/>
      <w:pPr>
        <w:ind w:left="360" w:hanging="360"/>
      </w:pPr>
      <w:rPr>
        <w:rFonts w:ascii="Symbol" w:eastAsiaTheme="minorEastAsia" w:hAnsi="Symbol" w:cstheme="minorBidi" w:hint="default"/>
      </w:rPr>
    </w:lvl>
    <w:lvl w:ilvl="1" w:tplc="DEE0C814">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AB28EA"/>
    <w:multiLevelType w:val="hybridMultilevel"/>
    <w:tmpl w:val="C0CE26B4"/>
    <w:lvl w:ilvl="0" w:tplc="9698D6A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FA3581"/>
    <w:multiLevelType w:val="hybridMultilevel"/>
    <w:tmpl w:val="959CE842"/>
    <w:lvl w:ilvl="0" w:tplc="EE26C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C5140"/>
    <w:multiLevelType w:val="hybridMultilevel"/>
    <w:tmpl w:val="6C20734A"/>
    <w:lvl w:ilvl="0" w:tplc="F774CF7A">
      <w:start w:val="1"/>
      <w:numFmt w:val="decimal"/>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8263C5"/>
    <w:multiLevelType w:val="hybridMultilevel"/>
    <w:tmpl w:val="76F288A6"/>
    <w:lvl w:ilvl="0" w:tplc="E690BDFA">
      <w:start w:val="1"/>
      <w:numFmt w:val="bullet"/>
      <w:lvlText w:val=""/>
      <w:lvlJc w:val="left"/>
      <w:pPr>
        <w:ind w:left="720" w:hanging="360"/>
      </w:pPr>
      <w:rPr>
        <w:rFonts w:ascii="Symbol" w:hAnsi="Symbol"/>
      </w:rPr>
    </w:lvl>
    <w:lvl w:ilvl="1" w:tplc="97C86ED8">
      <w:start w:val="1"/>
      <w:numFmt w:val="bullet"/>
      <w:lvlText w:val=""/>
      <w:lvlJc w:val="left"/>
      <w:pPr>
        <w:ind w:left="720" w:hanging="360"/>
      </w:pPr>
      <w:rPr>
        <w:rFonts w:ascii="Symbol" w:hAnsi="Symbol"/>
      </w:rPr>
    </w:lvl>
    <w:lvl w:ilvl="2" w:tplc="E67E1A38">
      <w:start w:val="1"/>
      <w:numFmt w:val="bullet"/>
      <w:lvlText w:val=""/>
      <w:lvlJc w:val="left"/>
      <w:pPr>
        <w:ind w:left="720" w:hanging="360"/>
      </w:pPr>
      <w:rPr>
        <w:rFonts w:ascii="Symbol" w:hAnsi="Symbol"/>
      </w:rPr>
    </w:lvl>
    <w:lvl w:ilvl="3" w:tplc="40FA02B4">
      <w:start w:val="1"/>
      <w:numFmt w:val="bullet"/>
      <w:lvlText w:val=""/>
      <w:lvlJc w:val="left"/>
      <w:pPr>
        <w:ind w:left="720" w:hanging="360"/>
      </w:pPr>
      <w:rPr>
        <w:rFonts w:ascii="Symbol" w:hAnsi="Symbol"/>
      </w:rPr>
    </w:lvl>
    <w:lvl w:ilvl="4" w:tplc="EBD03C3A">
      <w:start w:val="1"/>
      <w:numFmt w:val="bullet"/>
      <w:lvlText w:val=""/>
      <w:lvlJc w:val="left"/>
      <w:pPr>
        <w:ind w:left="720" w:hanging="360"/>
      </w:pPr>
      <w:rPr>
        <w:rFonts w:ascii="Symbol" w:hAnsi="Symbol"/>
      </w:rPr>
    </w:lvl>
    <w:lvl w:ilvl="5" w:tplc="D6A88BF8">
      <w:start w:val="1"/>
      <w:numFmt w:val="bullet"/>
      <w:lvlText w:val=""/>
      <w:lvlJc w:val="left"/>
      <w:pPr>
        <w:ind w:left="720" w:hanging="360"/>
      </w:pPr>
      <w:rPr>
        <w:rFonts w:ascii="Symbol" w:hAnsi="Symbol"/>
      </w:rPr>
    </w:lvl>
    <w:lvl w:ilvl="6" w:tplc="51685A12">
      <w:start w:val="1"/>
      <w:numFmt w:val="bullet"/>
      <w:lvlText w:val=""/>
      <w:lvlJc w:val="left"/>
      <w:pPr>
        <w:ind w:left="720" w:hanging="360"/>
      </w:pPr>
      <w:rPr>
        <w:rFonts w:ascii="Symbol" w:hAnsi="Symbol"/>
      </w:rPr>
    </w:lvl>
    <w:lvl w:ilvl="7" w:tplc="EA78C684">
      <w:start w:val="1"/>
      <w:numFmt w:val="bullet"/>
      <w:lvlText w:val=""/>
      <w:lvlJc w:val="left"/>
      <w:pPr>
        <w:ind w:left="720" w:hanging="360"/>
      </w:pPr>
      <w:rPr>
        <w:rFonts w:ascii="Symbol" w:hAnsi="Symbol"/>
      </w:rPr>
    </w:lvl>
    <w:lvl w:ilvl="8" w:tplc="52D8886C">
      <w:start w:val="1"/>
      <w:numFmt w:val="bullet"/>
      <w:lvlText w:val=""/>
      <w:lvlJc w:val="left"/>
      <w:pPr>
        <w:ind w:left="720" w:hanging="360"/>
      </w:pPr>
      <w:rPr>
        <w:rFonts w:ascii="Symbol" w:hAnsi="Symbol"/>
      </w:rPr>
    </w:lvl>
  </w:abstractNum>
  <w:abstractNum w:abstractNumId="19" w15:restartNumberingAfterBreak="0">
    <w:nsid w:val="39F6537D"/>
    <w:multiLevelType w:val="hybridMultilevel"/>
    <w:tmpl w:val="57A2594E"/>
    <w:lvl w:ilvl="0" w:tplc="9698D6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66B2D"/>
    <w:multiLevelType w:val="hybridMultilevel"/>
    <w:tmpl w:val="E042E42C"/>
    <w:lvl w:ilvl="0" w:tplc="FFFFFFFF">
      <w:numFmt w:val="bullet"/>
      <w:lvlText w:val=""/>
      <w:lvlJc w:val="left"/>
      <w:pPr>
        <w:ind w:left="360" w:hanging="360"/>
      </w:pPr>
      <w:rPr>
        <w:rFonts w:ascii="Symbol" w:eastAsiaTheme="minorEastAsia" w:hAnsi="Symbol" w:cstheme="minorBidi" w:hint="default"/>
      </w:rPr>
    </w:lvl>
    <w:lvl w:ilvl="1" w:tplc="67CC56D2">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BF26F51"/>
    <w:multiLevelType w:val="hybridMultilevel"/>
    <w:tmpl w:val="346458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E35D68"/>
    <w:multiLevelType w:val="hybridMultilevel"/>
    <w:tmpl w:val="24FEA658"/>
    <w:lvl w:ilvl="0" w:tplc="106EB306">
      <w:numFmt w:val="bullet"/>
      <w:lvlText w:val=""/>
      <w:lvlJc w:val="left"/>
      <w:pPr>
        <w:ind w:left="360" w:hanging="360"/>
      </w:pPr>
      <w:rPr>
        <w:rFonts w:ascii="Symbol" w:eastAsiaTheme="minorEastAsia" w:hAnsi="Symbol" w:cstheme="minorBidi" w:hint="default"/>
      </w:rPr>
    </w:lvl>
    <w:lvl w:ilvl="1" w:tplc="040C0003">
      <w:start w:val="1"/>
      <w:numFmt w:val="bullet"/>
      <w:lvlText w:val="o"/>
      <w:lvlJc w:val="left"/>
      <w:pPr>
        <w:ind w:left="99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2061246"/>
    <w:multiLevelType w:val="hybridMultilevel"/>
    <w:tmpl w:val="233070BA"/>
    <w:lvl w:ilvl="0" w:tplc="FFFFFFFF">
      <w:numFmt w:val="bullet"/>
      <w:lvlText w:val=""/>
      <w:lvlJc w:val="left"/>
      <w:pPr>
        <w:ind w:left="360" w:hanging="360"/>
      </w:pPr>
      <w:rPr>
        <w:rFonts w:ascii="Symbol" w:eastAsiaTheme="minorEastAsia" w:hAnsi="Symbol" w:cstheme="minorBidi" w:hint="default"/>
      </w:rPr>
    </w:lvl>
    <w:lvl w:ilvl="1" w:tplc="DEE0C814">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4647480"/>
    <w:multiLevelType w:val="hybridMultilevel"/>
    <w:tmpl w:val="2676C55E"/>
    <w:lvl w:ilvl="0" w:tplc="05669B72">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B1959"/>
    <w:multiLevelType w:val="hybridMultilevel"/>
    <w:tmpl w:val="7B1A0480"/>
    <w:lvl w:ilvl="0" w:tplc="106EB306">
      <w:numFmt w:val="bullet"/>
      <w:lvlText w:val=""/>
      <w:lvlJc w:val="left"/>
      <w:pPr>
        <w:ind w:left="360" w:hanging="360"/>
      </w:pPr>
      <w:rPr>
        <w:rFonts w:ascii="Symbol" w:eastAsiaTheme="minorEastAsia" w:hAnsi="Symbol"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CC32CCD"/>
    <w:multiLevelType w:val="hybridMultilevel"/>
    <w:tmpl w:val="6C32337A"/>
    <w:lvl w:ilvl="0" w:tplc="57908DDE">
      <w:start w:val="3"/>
      <w:numFmt w:val="upperRoman"/>
      <w:lvlText w:val="%1."/>
      <w:lvlJc w:val="left"/>
      <w:pPr>
        <w:ind w:left="720" w:hanging="720"/>
      </w:pPr>
      <w:rPr>
        <w:rFonts w:hint="default"/>
        <w:color w:val="003594" w:themeColor="accen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1C77F8"/>
    <w:multiLevelType w:val="hybridMultilevel"/>
    <w:tmpl w:val="C4D47B8C"/>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4E555E94"/>
    <w:multiLevelType w:val="hybridMultilevel"/>
    <w:tmpl w:val="2760F678"/>
    <w:lvl w:ilvl="0" w:tplc="10BEAD50">
      <w:start w:val="1"/>
      <w:numFmt w:val="bullet"/>
      <w:lvlText w:val=""/>
      <w:lvlJc w:val="left"/>
      <w:pPr>
        <w:ind w:left="1440" w:hanging="360"/>
      </w:pPr>
      <w:rPr>
        <w:rFonts w:ascii="Symbol" w:hAnsi="Symbol"/>
      </w:rPr>
    </w:lvl>
    <w:lvl w:ilvl="1" w:tplc="68E4713C">
      <w:start w:val="1"/>
      <w:numFmt w:val="bullet"/>
      <w:lvlText w:val=""/>
      <w:lvlJc w:val="left"/>
      <w:pPr>
        <w:ind w:left="1440" w:hanging="360"/>
      </w:pPr>
      <w:rPr>
        <w:rFonts w:ascii="Symbol" w:hAnsi="Symbol"/>
      </w:rPr>
    </w:lvl>
    <w:lvl w:ilvl="2" w:tplc="A28A376C">
      <w:start w:val="1"/>
      <w:numFmt w:val="bullet"/>
      <w:lvlText w:val=""/>
      <w:lvlJc w:val="left"/>
      <w:pPr>
        <w:ind w:left="1440" w:hanging="360"/>
      </w:pPr>
      <w:rPr>
        <w:rFonts w:ascii="Symbol" w:hAnsi="Symbol"/>
      </w:rPr>
    </w:lvl>
    <w:lvl w:ilvl="3" w:tplc="75384216">
      <w:start w:val="1"/>
      <w:numFmt w:val="bullet"/>
      <w:lvlText w:val=""/>
      <w:lvlJc w:val="left"/>
      <w:pPr>
        <w:ind w:left="1440" w:hanging="360"/>
      </w:pPr>
      <w:rPr>
        <w:rFonts w:ascii="Symbol" w:hAnsi="Symbol"/>
      </w:rPr>
    </w:lvl>
    <w:lvl w:ilvl="4" w:tplc="B82AB860">
      <w:start w:val="1"/>
      <w:numFmt w:val="bullet"/>
      <w:lvlText w:val=""/>
      <w:lvlJc w:val="left"/>
      <w:pPr>
        <w:ind w:left="1440" w:hanging="360"/>
      </w:pPr>
      <w:rPr>
        <w:rFonts w:ascii="Symbol" w:hAnsi="Symbol"/>
      </w:rPr>
    </w:lvl>
    <w:lvl w:ilvl="5" w:tplc="F144740E">
      <w:start w:val="1"/>
      <w:numFmt w:val="bullet"/>
      <w:lvlText w:val=""/>
      <w:lvlJc w:val="left"/>
      <w:pPr>
        <w:ind w:left="1440" w:hanging="360"/>
      </w:pPr>
      <w:rPr>
        <w:rFonts w:ascii="Symbol" w:hAnsi="Symbol"/>
      </w:rPr>
    </w:lvl>
    <w:lvl w:ilvl="6" w:tplc="D5A8473A">
      <w:start w:val="1"/>
      <w:numFmt w:val="bullet"/>
      <w:lvlText w:val=""/>
      <w:lvlJc w:val="left"/>
      <w:pPr>
        <w:ind w:left="1440" w:hanging="360"/>
      </w:pPr>
      <w:rPr>
        <w:rFonts w:ascii="Symbol" w:hAnsi="Symbol"/>
      </w:rPr>
    </w:lvl>
    <w:lvl w:ilvl="7" w:tplc="FC7EF95E">
      <w:start w:val="1"/>
      <w:numFmt w:val="bullet"/>
      <w:lvlText w:val=""/>
      <w:lvlJc w:val="left"/>
      <w:pPr>
        <w:ind w:left="1440" w:hanging="360"/>
      </w:pPr>
      <w:rPr>
        <w:rFonts w:ascii="Symbol" w:hAnsi="Symbol"/>
      </w:rPr>
    </w:lvl>
    <w:lvl w:ilvl="8" w:tplc="4B0A46FA">
      <w:start w:val="1"/>
      <w:numFmt w:val="bullet"/>
      <w:lvlText w:val=""/>
      <w:lvlJc w:val="left"/>
      <w:pPr>
        <w:ind w:left="1440" w:hanging="360"/>
      </w:pPr>
      <w:rPr>
        <w:rFonts w:ascii="Symbol" w:hAnsi="Symbol"/>
      </w:rPr>
    </w:lvl>
  </w:abstractNum>
  <w:abstractNum w:abstractNumId="29" w15:restartNumberingAfterBreak="0">
    <w:nsid w:val="51404F46"/>
    <w:multiLevelType w:val="hybridMultilevel"/>
    <w:tmpl w:val="F7ECA4F4"/>
    <w:lvl w:ilvl="0" w:tplc="CCD6D2B6">
      <w:start w:val="1"/>
      <w:numFmt w:val="lowerRoman"/>
      <w:pStyle w:val="Heading4"/>
      <w:lvlText w:val="%1."/>
      <w:lvlJc w:val="right"/>
      <w:pPr>
        <w:ind w:left="1776" w:hanging="360"/>
      </w:p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0" w15:restartNumberingAfterBreak="0">
    <w:nsid w:val="54477EB2"/>
    <w:multiLevelType w:val="hybridMultilevel"/>
    <w:tmpl w:val="78E44A4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2" w15:restartNumberingAfterBreak="0">
    <w:nsid w:val="5A791ABA"/>
    <w:multiLevelType w:val="hybridMultilevel"/>
    <w:tmpl w:val="190C6AEA"/>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1E718C6"/>
    <w:multiLevelType w:val="hybridMultilevel"/>
    <w:tmpl w:val="26F8483C"/>
    <w:lvl w:ilvl="0" w:tplc="A5ECEAE0">
      <w:start w:val="1"/>
      <w:numFmt w:val="upperRoman"/>
      <w:pStyle w:val="Heading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47494E"/>
    <w:multiLevelType w:val="hybridMultilevel"/>
    <w:tmpl w:val="FB2A2D3A"/>
    <w:lvl w:ilvl="0" w:tplc="8FE02480">
      <w:start w:val="1"/>
      <w:numFmt w:val="upperLetter"/>
      <w:pStyle w:val="Heading2"/>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68456E09"/>
    <w:multiLevelType w:val="hybridMultilevel"/>
    <w:tmpl w:val="2DB6FDE6"/>
    <w:lvl w:ilvl="0" w:tplc="26865B6E">
      <w:start w:val="1"/>
      <w:numFmt w:val="bullet"/>
      <w:lvlText w:val=""/>
      <w:lvlJc w:val="left"/>
      <w:pPr>
        <w:ind w:left="1080" w:hanging="360"/>
      </w:pPr>
      <w:rPr>
        <w:rFonts w:ascii="Symbol" w:hAnsi="Symbol"/>
      </w:rPr>
    </w:lvl>
    <w:lvl w:ilvl="1" w:tplc="23A0082E">
      <w:start w:val="1"/>
      <w:numFmt w:val="bullet"/>
      <w:lvlText w:val=""/>
      <w:lvlJc w:val="left"/>
      <w:pPr>
        <w:ind w:left="1080" w:hanging="360"/>
      </w:pPr>
      <w:rPr>
        <w:rFonts w:ascii="Symbol" w:hAnsi="Symbol"/>
      </w:rPr>
    </w:lvl>
    <w:lvl w:ilvl="2" w:tplc="43384AE0">
      <w:start w:val="1"/>
      <w:numFmt w:val="bullet"/>
      <w:lvlText w:val=""/>
      <w:lvlJc w:val="left"/>
      <w:pPr>
        <w:ind w:left="1080" w:hanging="360"/>
      </w:pPr>
      <w:rPr>
        <w:rFonts w:ascii="Symbol" w:hAnsi="Symbol"/>
      </w:rPr>
    </w:lvl>
    <w:lvl w:ilvl="3" w:tplc="C5E8FED2">
      <w:start w:val="1"/>
      <w:numFmt w:val="bullet"/>
      <w:lvlText w:val=""/>
      <w:lvlJc w:val="left"/>
      <w:pPr>
        <w:ind w:left="1080" w:hanging="360"/>
      </w:pPr>
      <w:rPr>
        <w:rFonts w:ascii="Symbol" w:hAnsi="Symbol"/>
      </w:rPr>
    </w:lvl>
    <w:lvl w:ilvl="4" w:tplc="7A2EBD14">
      <w:start w:val="1"/>
      <w:numFmt w:val="bullet"/>
      <w:lvlText w:val=""/>
      <w:lvlJc w:val="left"/>
      <w:pPr>
        <w:ind w:left="1080" w:hanging="360"/>
      </w:pPr>
      <w:rPr>
        <w:rFonts w:ascii="Symbol" w:hAnsi="Symbol"/>
      </w:rPr>
    </w:lvl>
    <w:lvl w:ilvl="5" w:tplc="52642C86">
      <w:start w:val="1"/>
      <w:numFmt w:val="bullet"/>
      <w:lvlText w:val=""/>
      <w:lvlJc w:val="left"/>
      <w:pPr>
        <w:ind w:left="1080" w:hanging="360"/>
      </w:pPr>
      <w:rPr>
        <w:rFonts w:ascii="Symbol" w:hAnsi="Symbol"/>
      </w:rPr>
    </w:lvl>
    <w:lvl w:ilvl="6" w:tplc="8BC800E0">
      <w:start w:val="1"/>
      <w:numFmt w:val="bullet"/>
      <w:lvlText w:val=""/>
      <w:lvlJc w:val="left"/>
      <w:pPr>
        <w:ind w:left="1080" w:hanging="360"/>
      </w:pPr>
      <w:rPr>
        <w:rFonts w:ascii="Symbol" w:hAnsi="Symbol"/>
      </w:rPr>
    </w:lvl>
    <w:lvl w:ilvl="7" w:tplc="F79A84DA">
      <w:start w:val="1"/>
      <w:numFmt w:val="bullet"/>
      <w:lvlText w:val=""/>
      <w:lvlJc w:val="left"/>
      <w:pPr>
        <w:ind w:left="1080" w:hanging="360"/>
      </w:pPr>
      <w:rPr>
        <w:rFonts w:ascii="Symbol" w:hAnsi="Symbol"/>
      </w:rPr>
    </w:lvl>
    <w:lvl w:ilvl="8" w:tplc="33C8ED66">
      <w:start w:val="1"/>
      <w:numFmt w:val="bullet"/>
      <w:lvlText w:val=""/>
      <w:lvlJc w:val="left"/>
      <w:pPr>
        <w:ind w:left="1080" w:hanging="360"/>
      </w:pPr>
      <w:rPr>
        <w:rFonts w:ascii="Symbol" w:hAnsi="Symbol"/>
      </w:rPr>
    </w:lvl>
  </w:abstractNum>
  <w:abstractNum w:abstractNumId="36" w15:restartNumberingAfterBreak="0">
    <w:nsid w:val="6B5F6B25"/>
    <w:multiLevelType w:val="hybridMultilevel"/>
    <w:tmpl w:val="2188E6BC"/>
    <w:lvl w:ilvl="0" w:tplc="4D46F352">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2447128"/>
    <w:multiLevelType w:val="hybridMultilevel"/>
    <w:tmpl w:val="97DA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E3717"/>
    <w:multiLevelType w:val="hybridMultilevel"/>
    <w:tmpl w:val="217C0C4A"/>
    <w:lvl w:ilvl="0" w:tplc="3F5033F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39E50B2"/>
    <w:multiLevelType w:val="hybridMultilevel"/>
    <w:tmpl w:val="1304D0AE"/>
    <w:lvl w:ilvl="0" w:tplc="BCE66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520BF5"/>
    <w:multiLevelType w:val="hybridMultilevel"/>
    <w:tmpl w:val="1B54E01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9266810"/>
    <w:multiLevelType w:val="hybridMultilevel"/>
    <w:tmpl w:val="AE20929A"/>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A153B5C"/>
    <w:multiLevelType w:val="hybridMultilevel"/>
    <w:tmpl w:val="44909408"/>
    <w:lvl w:ilvl="0" w:tplc="FFFFFFFF">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EB66F8F"/>
    <w:multiLevelType w:val="hybridMultilevel"/>
    <w:tmpl w:val="33746104"/>
    <w:lvl w:ilvl="0" w:tplc="04090003">
      <w:start w:val="1"/>
      <w:numFmt w:val="bullet"/>
      <w:lvlText w:val="o"/>
      <w:lvlJc w:val="left"/>
      <w:pPr>
        <w:ind w:left="786" w:hanging="360"/>
      </w:pPr>
      <w:rPr>
        <w:rFonts w:ascii="Courier New" w:hAnsi="Courier New" w:cs="Courier New"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884870952">
    <w:abstractNumId w:val="31"/>
  </w:num>
  <w:num w:numId="2" w16cid:durableId="724455444">
    <w:abstractNumId w:val="25"/>
  </w:num>
  <w:num w:numId="3" w16cid:durableId="1269656122">
    <w:abstractNumId w:val="22"/>
  </w:num>
  <w:num w:numId="4" w16cid:durableId="1246495017">
    <w:abstractNumId w:val="17"/>
  </w:num>
  <w:num w:numId="5" w16cid:durableId="662271347">
    <w:abstractNumId w:val="3"/>
  </w:num>
  <w:num w:numId="6" w16cid:durableId="1184826131">
    <w:abstractNumId w:val="11"/>
  </w:num>
  <w:num w:numId="7" w16cid:durableId="1264847792">
    <w:abstractNumId w:val="5"/>
  </w:num>
  <w:num w:numId="8" w16cid:durableId="1954052376">
    <w:abstractNumId w:val="32"/>
  </w:num>
  <w:num w:numId="9" w16cid:durableId="1359623110">
    <w:abstractNumId w:val="33"/>
  </w:num>
  <w:num w:numId="10" w16cid:durableId="1878465711">
    <w:abstractNumId w:val="36"/>
    <w:lvlOverride w:ilvl="0">
      <w:startOverride w:val="1"/>
    </w:lvlOverride>
  </w:num>
  <w:num w:numId="11" w16cid:durableId="1438520849">
    <w:abstractNumId w:val="29"/>
  </w:num>
  <w:num w:numId="12" w16cid:durableId="1243025754">
    <w:abstractNumId w:val="34"/>
  </w:num>
  <w:num w:numId="13" w16cid:durableId="277301738">
    <w:abstractNumId w:val="29"/>
    <w:lvlOverride w:ilvl="0">
      <w:startOverride w:val="1"/>
    </w:lvlOverride>
  </w:num>
  <w:num w:numId="14" w16cid:durableId="1315063025">
    <w:abstractNumId w:val="10"/>
  </w:num>
  <w:num w:numId="15" w16cid:durableId="1996764467">
    <w:abstractNumId w:val="13"/>
  </w:num>
  <w:num w:numId="16" w16cid:durableId="1606185248">
    <w:abstractNumId w:val="6"/>
  </w:num>
  <w:num w:numId="17" w16cid:durableId="1456363582">
    <w:abstractNumId w:val="29"/>
    <w:lvlOverride w:ilvl="0">
      <w:startOverride w:val="1"/>
    </w:lvlOverride>
  </w:num>
  <w:num w:numId="18" w16cid:durableId="770861087">
    <w:abstractNumId w:val="26"/>
  </w:num>
  <w:num w:numId="19" w16cid:durableId="263265406">
    <w:abstractNumId w:val="19"/>
  </w:num>
  <w:num w:numId="20" w16cid:durableId="1759131498">
    <w:abstractNumId w:val="8"/>
  </w:num>
  <w:num w:numId="21" w16cid:durableId="1462764582">
    <w:abstractNumId w:val="15"/>
  </w:num>
  <w:num w:numId="22" w16cid:durableId="428357845">
    <w:abstractNumId w:val="42"/>
  </w:num>
  <w:num w:numId="23" w16cid:durableId="944772994">
    <w:abstractNumId w:val="41"/>
  </w:num>
  <w:num w:numId="24" w16cid:durableId="863980335">
    <w:abstractNumId w:val="0"/>
  </w:num>
  <w:num w:numId="25" w16cid:durableId="307446020">
    <w:abstractNumId w:val="40"/>
  </w:num>
  <w:num w:numId="26" w16cid:durableId="1549029773">
    <w:abstractNumId w:val="27"/>
  </w:num>
  <w:num w:numId="27" w16cid:durableId="2247363">
    <w:abstractNumId w:val="39"/>
  </w:num>
  <w:num w:numId="28" w16cid:durableId="383142837">
    <w:abstractNumId w:val="38"/>
  </w:num>
  <w:num w:numId="29" w16cid:durableId="566652271">
    <w:abstractNumId w:val="4"/>
  </w:num>
  <w:num w:numId="30" w16cid:durableId="1243028304">
    <w:abstractNumId w:val="37"/>
  </w:num>
  <w:num w:numId="31" w16cid:durableId="1459296283">
    <w:abstractNumId w:val="34"/>
    <w:lvlOverride w:ilvl="0">
      <w:startOverride w:val="1"/>
    </w:lvlOverride>
  </w:num>
  <w:num w:numId="32" w16cid:durableId="1340040940">
    <w:abstractNumId w:val="43"/>
  </w:num>
  <w:num w:numId="33" w16cid:durableId="294216199">
    <w:abstractNumId w:val="16"/>
  </w:num>
  <w:num w:numId="34" w16cid:durableId="916549406">
    <w:abstractNumId w:val="36"/>
  </w:num>
  <w:num w:numId="35" w16cid:durableId="1994408658">
    <w:abstractNumId w:val="12"/>
  </w:num>
  <w:num w:numId="36" w16cid:durableId="313267016">
    <w:abstractNumId w:val="14"/>
  </w:num>
  <w:num w:numId="37" w16cid:durableId="876891674">
    <w:abstractNumId w:val="23"/>
  </w:num>
  <w:num w:numId="38" w16cid:durableId="1876968408">
    <w:abstractNumId w:val="20"/>
  </w:num>
  <w:num w:numId="39" w16cid:durableId="501969146">
    <w:abstractNumId w:val="7"/>
  </w:num>
  <w:num w:numId="40" w16cid:durableId="1850555449">
    <w:abstractNumId w:val="9"/>
  </w:num>
  <w:num w:numId="41" w16cid:durableId="402607731">
    <w:abstractNumId w:val="30"/>
  </w:num>
  <w:num w:numId="42" w16cid:durableId="449478619">
    <w:abstractNumId w:val="21"/>
  </w:num>
  <w:num w:numId="43" w16cid:durableId="1537086543">
    <w:abstractNumId w:val="24"/>
  </w:num>
  <w:num w:numId="44" w16cid:durableId="519126356">
    <w:abstractNumId w:val="2"/>
  </w:num>
  <w:num w:numId="45" w16cid:durableId="1314217675">
    <w:abstractNumId w:val="1"/>
  </w:num>
  <w:num w:numId="46" w16cid:durableId="2031685461">
    <w:abstractNumId w:val="35"/>
  </w:num>
  <w:num w:numId="47" w16cid:durableId="472721369">
    <w:abstractNumId w:val="28"/>
  </w:num>
  <w:num w:numId="48" w16cid:durableId="5829071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94"/>
    <w:rsid w:val="0000055A"/>
    <w:rsid w:val="00000AEA"/>
    <w:rsid w:val="000011D1"/>
    <w:rsid w:val="000011EB"/>
    <w:rsid w:val="00002434"/>
    <w:rsid w:val="00002789"/>
    <w:rsid w:val="000027B4"/>
    <w:rsid w:val="00002A6B"/>
    <w:rsid w:val="00002A87"/>
    <w:rsid w:val="00002D4E"/>
    <w:rsid w:val="0000305B"/>
    <w:rsid w:val="000041A5"/>
    <w:rsid w:val="00004576"/>
    <w:rsid w:val="00004630"/>
    <w:rsid w:val="00004A9A"/>
    <w:rsid w:val="00004BDE"/>
    <w:rsid w:val="000054F5"/>
    <w:rsid w:val="00005734"/>
    <w:rsid w:val="00005D9B"/>
    <w:rsid w:val="00005E9B"/>
    <w:rsid w:val="0000601E"/>
    <w:rsid w:val="00006F6A"/>
    <w:rsid w:val="00007263"/>
    <w:rsid w:val="0000729F"/>
    <w:rsid w:val="0000754F"/>
    <w:rsid w:val="00007564"/>
    <w:rsid w:val="000101F3"/>
    <w:rsid w:val="00010219"/>
    <w:rsid w:val="00010B4F"/>
    <w:rsid w:val="00010CFF"/>
    <w:rsid w:val="000112B1"/>
    <w:rsid w:val="00012053"/>
    <w:rsid w:val="00012315"/>
    <w:rsid w:val="000124BA"/>
    <w:rsid w:val="0001280B"/>
    <w:rsid w:val="000137FD"/>
    <w:rsid w:val="000138DA"/>
    <w:rsid w:val="000138F1"/>
    <w:rsid w:val="000140FF"/>
    <w:rsid w:val="0001410C"/>
    <w:rsid w:val="0001477C"/>
    <w:rsid w:val="0001479D"/>
    <w:rsid w:val="00014C6B"/>
    <w:rsid w:val="00014CFA"/>
    <w:rsid w:val="000150B2"/>
    <w:rsid w:val="0001539B"/>
    <w:rsid w:val="000154D9"/>
    <w:rsid w:val="00015AAF"/>
    <w:rsid w:val="0001648D"/>
    <w:rsid w:val="0001664D"/>
    <w:rsid w:val="0001789B"/>
    <w:rsid w:val="000200B9"/>
    <w:rsid w:val="000201B0"/>
    <w:rsid w:val="00020301"/>
    <w:rsid w:val="000208EA"/>
    <w:rsid w:val="0002092B"/>
    <w:rsid w:val="00020B75"/>
    <w:rsid w:val="00020DA4"/>
    <w:rsid w:val="00020FFA"/>
    <w:rsid w:val="00021245"/>
    <w:rsid w:val="00021331"/>
    <w:rsid w:val="00021459"/>
    <w:rsid w:val="00022D10"/>
    <w:rsid w:val="00022F0C"/>
    <w:rsid w:val="000233D9"/>
    <w:rsid w:val="00023ADF"/>
    <w:rsid w:val="00023DB2"/>
    <w:rsid w:val="00023E6D"/>
    <w:rsid w:val="00023F38"/>
    <w:rsid w:val="00024702"/>
    <w:rsid w:val="00024839"/>
    <w:rsid w:val="00024B91"/>
    <w:rsid w:val="00024C4B"/>
    <w:rsid w:val="0002517D"/>
    <w:rsid w:val="00025317"/>
    <w:rsid w:val="0002634D"/>
    <w:rsid w:val="00026A0D"/>
    <w:rsid w:val="00026B7F"/>
    <w:rsid w:val="000271E7"/>
    <w:rsid w:val="000275C8"/>
    <w:rsid w:val="0002769E"/>
    <w:rsid w:val="000277B7"/>
    <w:rsid w:val="00027FEA"/>
    <w:rsid w:val="00030021"/>
    <w:rsid w:val="0003079E"/>
    <w:rsid w:val="00030A20"/>
    <w:rsid w:val="00030FD5"/>
    <w:rsid w:val="00031109"/>
    <w:rsid w:val="00031B21"/>
    <w:rsid w:val="000323A4"/>
    <w:rsid w:val="000325E3"/>
    <w:rsid w:val="00032743"/>
    <w:rsid w:val="00032AF7"/>
    <w:rsid w:val="00033230"/>
    <w:rsid w:val="00033C19"/>
    <w:rsid w:val="0003403D"/>
    <w:rsid w:val="0003439E"/>
    <w:rsid w:val="000345AB"/>
    <w:rsid w:val="000349C0"/>
    <w:rsid w:val="00035463"/>
    <w:rsid w:val="00035AEB"/>
    <w:rsid w:val="00035D91"/>
    <w:rsid w:val="0003608C"/>
    <w:rsid w:val="00036122"/>
    <w:rsid w:val="000368EB"/>
    <w:rsid w:val="000376B4"/>
    <w:rsid w:val="000377E8"/>
    <w:rsid w:val="00037D0E"/>
    <w:rsid w:val="00040133"/>
    <w:rsid w:val="000401E0"/>
    <w:rsid w:val="000407CF"/>
    <w:rsid w:val="00040A5F"/>
    <w:rsid w:val="00040D84"/>
    <w:rsid w:val="00040F13"/>
    <w:rsid w:val="00041572"/>
    <w:rsid w:val="0004292E"/>
    <w:rsid w:val="00042BB0"/>
    <w:rsid w:val="00042F2A"/>
    <w:rsid w:val="000434D0"/>
    <w:rsid w:val="00044160"/>
    <w:rsid w:val="000442A1"/>
    <w:rsid w:val="000448BB"/>
    <w:rsid w:val="00044959"/>
    <w:rsid w:val="00044C4B"/>
    <w:rsid w:val="00044D12"/>
    <w:rsid w:val="00044E91"/>
    <w:rsid w:val="000452CD"/>
    <w:rsid w:val="00045393"/>
    <w:rsid w:val="00045A3B"/>
    <w:rsid w:val="0004607F"/>
    <w:rsid w:val="000461D0"/>
    <w:rsid w:val="00046238"/>
    <w:rsid w:val="0004663D"/>
    <w:rsid w:val="00046667"/>
    <w:rsid w:val="00046D7B"/>
    <w:rsid w:val="000474E2"/>
    <w:rsid w:val="00047C07"/>
    <w:rsid w:val="00050351"/>
    <w:rsid w:val="00050752"/>
    <w:rsid w:val="000508DA"/>
    <w:rsid w:val="000510F9"/>
    <w:rsid w:val="00051535"/>
    <w:rsid w:val="000521F0"/>
    <w:rsid w:val="000525D1"/>
    <w:rsid w:val="000525F3"/>
    <w:rsid w:val="0005263E"/>
    <w:rsid w:val="000534D0"/>
    <w:rsid w:val="00054CB6"/>
    <w:rsid w:val="00055437"/>
    <w:rsid w:val="000555A9"/>
    <w:rsid w:val="000556A5"/>
    <w:rsid w:val="00055906"/>
    <w:rsid w:val="00055A1C"/>
    <w:rsid w:val="00055D5F"/>
    <w:rsid w:val="00055D82"/>
    <w:rsid w:val="0005747A"/>
    <w:rsid w:val="00057A4A"/>
    <w:rsid w:val="00057EBA"/>
    <w:rsid w:val="0006034A"/>
    <w:rsid w:val="0006095B"/>
    <w:rsid w:val="00060B55"/>
    <w:rsid w:val="000612C0"/>
    <w:rsid w:val="000619E8"/>
    <w:rsid w:val="00061B81"/>
    <w:rsid w:val="00061BB5"/>
    <w:rsid w:val="00061EE2"/>
    <w:rsid w:val="000622BE"/>
    <w:rsid w:val="00062E88"/>
    <w:rsid w:val="00062E99"/>
    <w:rsid w:val="00063664"/>
    <w:rsid w:val="00063746"/>
    <w:rsid w:val="000639B4"/>
    <w:rsid w:val="00063F5A"/>
    <w:rsid w:val="00064E80"/>
    <w:rsid w:val="00065621"/>
    <w:rsid w:val="00066229"/>
    <w:rsid w:val="000662E7"/>
    <w:rsid w:val="00066331"/>
    <w:rsid w:val="000663D7"/>
    <w:rsid w:val="0006690D"/>
    <w:rsid w:val="00066983"/>
    <w:rsid w:val="00066C6E"/>
    <w:rsid w:val="00066F2B"/>
    <w:rsid w:val="0006781B"/>
    <w:rsid w:val="000708A9"/>
    <w:rsid w:val="00070968"/>
    <w:rsid w:val="000709FE"/>
    <w:rsid w:val="00070D4D"/>
    <w:rsid w:val="00070D81"/>
    <w:rsid w:val="000712F5"/>
    <w:rsid w:val="00071703"/>
    <w:rsid w:val="00071D4B"/>
    <w:rsid w:val="0007311C"/>
    <w:rsid w:val="00073F47"/>
    <w:rsid w:val="000741DD"/>
    <w:rsid w:val="00074543"/>
    <w:rsid w:val="00074B63"/>
    <w:rsid w:val="00075235"/>
    <w:rsid w:val="00075298"/>
    <w:rsid w:val="00075881"/>
    <w:rsid w:val="00075F2E"/>
    <w:rsid w:val="00076145"/>
    <w:rsid w:val="00076591"/>
    <w:rsid w:val="000768B5"/>
    <w:rsid w:val="000778F9"/>
    <w:rsid w:val="00077B0E"/>
    <w:rsid w:val="00080523"/>
    <w:rsid w:val="000805CC"/>
    <w:rsid w:val="000806C4"/>
    <w:rsid w:val="000809D4"/>
    <w:rsid w:val="00081A78"/>
    <w:rsid w:val="00081A8E"/>
    <w:rsid w:val="00081ACC"/>
    <w:rsid w:val="00081D7A"/>
    <w:rsid w:val="000824DA"/>
    <w:rsid w:val="00082BC3"/>
    <w:rsid w:val="00083391"/>
    <w:rsid w:val="00083AFE"/>
    <w:rsid w:val="00084021"/>
    <w:rsid w:val="00084264"/>
    <w:rsid w:val="000845A0"/>
    <w:rsid w:val="00084CFF"/>
    <w:rsid w:val="00085364"/>
    <w:rsid w:val="00085E82"/>
    <w:rsid w:val="00086009"/>
    <w:rsid w:val="0008605D"/>
    <w:rsid w:val="000866FE"/>
    <w:rsid w:val="00086BEB"/>
    <w:rsid w:val="00086ECE"/>
    <w:rsid w:val="000870AF"/>
    <w:rsid w:val="000872A8"/>
    <w:rsid w:val="000875EE"/>
    <w:rsid w:val="0008762D"/>
    <w:rsid w:val="0008781D"/>
    <w:rsid w:val="00090009"/>
    <w:rsid w:val="0009005D"/>
    <w:rsid w:val="000900AA"/>
    <w:rsid w:val="000915DF"/>
    <w:rsid w:val="000915FB"/>
    <w:rsid w:val="000917F0"/>
    <w:rsid w:val="00091EEF"/>
    <w:rsid w:val="000922D5"/>
    <w:rsid w:val="000922E4"/>
    <w:rsid w:val="00092C25"/>
    <w:rsid w:val="00093244"/>
    <w:rsid w:val="00093355"/>
    <w:rsid w:val="0009354B"/>
    <w:rsid w:val="000948FD"/>
    <w:rsid w:val="000950CF"/>
    <w:rsid w:val="00095702"/>
    <w:rsid w:val="000963EB"/>
    <w:rsid w:val="000968E5"/>
    <w:rsid w:val="000968FA"/>
    <w:rsid w:val="00096D9C"/>
    <w:rsid w:val="00097044"/>
    <w:rsid w:val="00097754"/>
    <w:rsid w:val="000A04B3"/>
    <w:rsid w:val="000A0531"/>
    <w:rsid w:val="000A06F9"/>
    <w:rsid w:val="000A0F79"/>
    <w:rsid w:val="000A113E"/>
    <w:rsid w:val="000A1247"/>
    <w:rsid w:val="000A1F09"/>
    <w:rsid w:val="000A215A"/>
    <w:rsid w:val="000A2815"/>
    <w:rsid w:val="000A3298"/>
    <w:rsid w:val="000A3AF8"/>
    <w:rsid w:val="000A3E2D"/>
    <w:rsid w:val="000A3EA3"/>
    <w:rsid w:val="000A4849"/>
    <w:rsid w:val="000A52D6"/>
    <w:rsid w:val="000A5907"/>
    <w:rsid w:val="000A620C"/>
    <w:rsid w:val="000A63EC"/>
    <w:rsid w:val="000A7600"/>
    <w:rsid w:val="000B08C4"/>
    <w:rsid w:val="000B175B"/>
    <w:rsid w:val="000B188A"/>
    <w:rsid w:val="000B28EF"/>
    <w:rsid w:val="000B2CAF"/>
    <w:rsid w:val="000B329F"/>
    <w:rsid w:val="000B32AF"/>
    <w:rsid w:val="000B3F3C"/>
    <w:rsid w:val="000B3F55"/>
    <w:rsid w:val="000B5052"/>
    <w:rsid w:val="000B51AC"/>
    <w:rsid w:val="000B5C6C"/>
    <w:rsid w:val="000B62E0"/>
    <w:rsid w:val="000B6B01"/>
    <w:rsid w:val="000B6C24"/>
    <w:rsid w:val="000B6C8B"/>
    <w:rsid w:val="000B751C"/>
    <w:rsid w:val="000B7866"/>
    <w:rsid w:val="000B7C83"/>
    <w:rsid w:val="000C011D"/>
    <w:rsid w:val="000C0258"/>
    <w:rsid w:val="000C08B7"/>
    <w:rsid w:val="000C0C55"/>
    <w:rsid w:val="000C1ABE"/>
    <w:rsid w:val="000C27B9"/>
    <w:rsid w:val="000C27D3"/>
    <w:rsid w:val="000C281A"/>
    <w:rsid w:val="000C2978"/>
    <w:rsid w:val="000C2A87"/>
    <w:rsid w:val="000C2FFA"/>
    <w:rsid w:val="000C39F2"/>
    <w:rsid w:val="000C3D19"/>
    <w:rsid w:val="000C3FC5"/>
    <w:rsid w:val="000C4288"/>
    <w:rsid w:val="000C4A41"/>
    <w:rsid w:val="000C4CFB"/>
    <w:rsid w:val="000C4DB0"/>
    <w:rsid w:val="000C52DD"/>
    <w:rsid w:val="000C5764"/>
    <w:rsid w:val="000C5AAF"/>
    <w:rsid w:val="000C5B0B"/>
    <w:rsid w:val="000C7075"/>
    <w:rsid w:val="000C7B0C"/>
    <w:rsid w:val="000D00D4"/>
    <w:rsid w:val="000D011D"/>
    <w:rsid w:val="000D0368"/>
    <w:rsid w:val="000D03BC"/>
    <w:rsid w:val="000D047A"/>
    <w:rsid w:val="000D081D"/>
    <w:rsid w:val="000D08AE"/>
    <w:rsid w:val="000D0DD5"/>
    <w:rsid w:val="000D2E23"/>
    <w:rsid w:val="000D3AD3"/>
    <w:rsid w:val="000D4239"/>
    <w:rsid w:val="000D44F3"/>
    <w:rsid w:val="000D46E6"/>
    <w:rsid w:val="000D4EFA"/>
    <w:rsid w:val="000D51EC"/>
    <w:rsid w:val="000D521F"/>
    <w:rsid w:val="000D57A2"/>
    <w:rsid w:val="000D57D9"/>
    <w:rsid w:val="000D5AA2"/>
    <w:rsid w:val="000D5CB5"/>
    <w:rsid w:val="000D5FB6"/>
    <w:rsid w:val="000D6ADA"/>
    <w:rsid w:val="000D6D4A"/>
    <w:rsid w:val="000D6E8C"/>
    <w:rsid w:val="000D74B2"/>
    <w:rsid w:val="000D76DD"/>
    <w:rsid w:val="000D7ACD"/>
    <w:rsid w:val="000E143F"/>
    <w:rsid w:val="000E14D5"/>
    <w:rsid w:val="000E1522"/>
    <w:rsid w:val="000E1B90"/>
    <w:rsid w:val="000E22C4"/>
    <w:rsid w:val="000E31D7"/>
    <w:rsid w:val="000E39E1"/>
    <w:rsid w:val="000E3C70"/>
    <w:rsid w:val="000E4219"/>
    <w:rsid w:val="000E45E6"/>
    <w:rsid w:val="000E4F2C"/>
    <w:rsid w:val="000E5383"/>
    <w:rsid w:val="000E5B19"/>
    <w:rsid w:val="000E5D76"/>
    <w:rsid w:val="000E6558"/>
    <w:rsid w:val="000E685D"/>
    <w:rsid w:val="000E690C"/>
    <w:rsid w:val="000E692A"/>
    <w:rsid w:val="000E7142"/>
    <w:rsid w:val="000E745B"/>
    <w:rsid w:val="000E78C5"/>
    <w:rsid w:val="000E7A39"/>
    <w:rsid w:val="000E7E5E"/>
    <w:rsid w:val="000F0BF2"/>
    <w:rsid w:val="000F0EC3"/>
    <w:rsid w:val="000F117F"/>
    <w:rsid w:val="000F15B7"/>
    <w:rsid w:val="000F1898"/>
    <w:rsid w:val="000F1A3A"/>
    <w:rsid w:val="000F220D"/>
    <w:rsid w:val="000F2487"/>
    <w:rsid w:val="000F2B79"/>
    <w:rsid w:val="000F2F6F"/>
    <w:rsid w:val="000F3233"/>
    <w:rsid w:val="000F3F68"/>
    <w:rsid w:val="000F516D"/>
    <w:rsid w:val="000F527D"/>
    <w:rsid w:val="000F53E7"/>
    <w:rsid w:val="000F5436"/>
    <w:rsid w:val="000F562D"/>
    <w:rsid w:val="000F6238"/>
    <w:rsid w:val="000F696C"/>
    <w:rsid w:val="000F6AF1"/>
    <w:rsid w:val="000F797F"/>
    <w:rsid w:val="000F7BAD"/>
    <w:rsid w:val="00100661"/>
    <w:rsid w:val="001014D4"/>
    <w:rsid w:val="00101708"/>
    <w:rsid w:val="00101772"/>
    <w:rsid w:val="0010182F"/>
    <w:rsid w:val="00101C75"/>
    <w:rsid w:val="00101C87"/>
    <w:rsid w:val="00101DE1"/>
    <w:rsid w:val="001021D2"/>
    <w:rsid w:val="001023E6"/>
    <w:rsid w:val="001024DE"/>
    <w:rsid w:val="00102F25"/>
    <w:rsid w:val="001030B4"/>
    <w:rsid w:val="00103845"/>
    <w:rsid w:val="001039B8"/>
    <w:rsid w:val="00104145"/>
    <w:rsid w:val="00104A73"/>
    <w:rsid w:val="00105AEC"/>
    <w:rsid w:val="00106119"/>
    <w:rsid w:val="00106662"/>
    <w:rsid w:val="00106CF0"/>
    <w:rsid w:val="00107228"/>
    <w:rsid w:val="001074B8"/>
    <w:rsid w:val="001079BD"/>
    <w:rsid w:val="0011008A"/>
    <w:rsid w:val="001103B0"/>
    <w:rsid w:val="001109CD"/>
    <w:rsid w:val="00111057"/>
    <w:rsid w:val="001114D0"/>
    <w:rsid w:val="00111B4B"/>
    <w:rsid w:val="001126CA"/>
    <w:rsid w:val="00112807"/>
    <w:rsid w:val="001132FA"/>
    <w:rsid w:val="00113BE4"/>
    <w:rsid w:val="00113E4A"/>
    <w:rsid w:val="001147D6"/>
    <w:rsid w:val="001150B0"/>
    <w:rsid w:val="0011534B"/>
    <w:rsid w:val="0011585A"/>
    <w:rsid w:val="0011610A"/>
    <w:rsid w:val="0011614E"/>
    <w:rsid w:val="00116333"/>
    <w:rsid w:val="00116538"/>
    <w:rsid w:val="00116EA7"/>
    <w:rsid w:val="00117745"/>
    <w:rsid w:val="001178FA"/>
    <w:rsid w:val="001179F0"/>
    <w:rsid w:val="00117A29"/>
    <w:rsid w:val="00117A8C"/>
    <w:rsid w:val="001201BE"/>
    <w:rsid w:val="00120200"/>
    <w:rsid w:val="001205AA"/>
    <w:rsid w:val="00120A36"/>
    <w:rsid w:val="00120A95"/>
    <w:rsid w:val="00122728"/>
    <w:rsid w:val="0012272C"/>
    <w:rsid w:val="001230FC"/>
    <w:rsid w:val="00123805"/>
    <w:rsid w:val="00123AED"/>
    <w:rsid w:val="0012497B"/>
    <w:rsid w:val="00124C35"/>
    <w:rsid w:val="001264BB"/>
    <w:rsid w:val="00126989"/>
    <w:rsid w:val="00126BFC"/>
    <w:rsid w:val="00126F89"/>
    <w:rsid w:val="00127BDD"/>
    <w:rsid w:val="00127D3A"/>
    <w:rsid w:val="00130328"/>
    <w:rsid w:val="001303BD"/>
    <w:rsid w:val="00130521"/>
    <w:rsid w:val="00130BD8"/>
    <w:rsid w:val="00130E93"/>
    <w:rsid w:val="001311F1"/>
    <w:rsid w:val="00131715"/>
    <w:rsid w:val="001319A8"/>
    <w:rsid w:val="00131BBF"/>
    <w:rsid w:val="001321B7"/>
    <w:rsid w:val="001334EB"/>
    <w:rsid w:val="00133C9B"/>
    <w:rsid w:val="00133FCE"/>
    <w:rsid w:val="00134263"/>
    <w:rsid w:val="00134466"/>
    <w:rsid w:val="001347A3"/>
    <w:rsid w:val="00134B16"/>
    <w:rsid w:val="00135809"/>
    <w:rsid w:val="00135DEA"/>
    <w:rsid w:val="0013615E"/>
    <w:rsid w:val="00136270"/>
    <w:rsid w:val="00136C70"/>
    <w:rsid w:val="00137625"/>
    <w:rsid w:val="0013784D"/>
    <w:rsid w:val="00137B88"/>
    <w:rsid w:val="00137E1B"/>
    <w:rsid w:val="001401B4"/>
    <w:rsid w:val="00140C87"/>
    <w:rsid w:val="0014174E"/>
    <w:rsid w:val="0014290F"/>
    <w:rsid w:val="00142C2D"/>
    <w:rsid w:val="00143955"/>
    <w:rsid w:val="00143B02"/>
    <w:rsid w:val="00143F63"/>
    <w:rsid w:val="00144224"/>
    <w:rsid w:val="00144250"/>
    <w:rsid w:val="001443FB"/>
    <w:rsid w:val="00144706"/>
    <w:rsid w:val="001449E5"/>
    <w:rsid w:val="00145777"/>
    <w:rsid w:val="00145A25"/>
    <w:rsid w:val="001467D3"/>
    <w:rsid w:val="00146872"/>
    <w:rsid w:val="00146D26"/>
    <w:rsid w:val="00150178"/>
    <w:rsid w:val="0015093B"/>
    <w:rsid w:val="001509BC"/>
    <w:rsid w:val="00150A8E"/>
    <w:rsid w:val="0015139F"/>
    <w:rsid w:val="00151603"/>
    <w:rsid w:val="001518BB"/>
    <w:rsid w:val="00151BA0"/>
    <w:rsid w:val="0015362A"/>
    <w:rsid w:val="0015417C"/>
    <w:rsid w:val="00154609"/>
    <w:rsid w:val="00154B58"/>
    <w:rsid w:val="00154BE7"/>
    <w:rsid w:val="00154E31"/>
    <w:rsid w:val="001550A8"/>
    <w:rsid w:val="00155395"/>
    <w:rsid w:val="0015566E"/>
    <w:rsid w:val="0015611E"/>
    <w:rsid w:val="0015614D"/>
    <w:rsid w:val="0015618E"/>
    <w:rsid w:val="00156402"/>
    <w:rsid w:val="00156799"/>
    <w:rsid w:val="00157380"/>
    <w:rsid w:val="00157601"/>
    <w:rsid w:val="00157A5A"/>
    <w:rsid w:val="00157B8D"/>
    <w:rsid w:val="0016011A"/>
    <w:rsid w:val="0016076C"/>
    <w:rsid w:val="0016084B"/>
    <w:rsid w:val="00160BEF"/>
    <w:rsid w:val="00161415"/>
    <w:rsid w:val="001619C6"/>
    <w:rsid w:val="0016252E"/>
    <w:rsid w:val="00162753"/>
    <w:rsid w:val="00163186"/>
    <w:rsid w:val="001633F1"/>
    <w:rsid w:val="0016372D"/>
    <w:rsid w:val="001638B2"/>
    <w:rsid w:val="001639D9"/>
    <w:rsid w:val="00164442"/>
    <w:rsid w:val="00164987"/>
    <w:rsid w:val="00164CAC"/>
    <w:rsid w:val="00164EDB"/>
    <w:rsid w:val="00165126"/>
    <w:rsid w:val="0016600A"/>
    <w:rsid w:val="001666FA"/>
    <w:rsid w:val="00166E6E"/>
    <w:rsid w:val="00166F15"/>
    <w:rsid w:val="00167324"/>
    <w:rsid w:val="0016744B"/>
    <w:rsid w:val="0016778E"/>
    <w:rsid w:val="001677A9"/>
    <w:rsid w:val="00167B8D"/>
    <w:rsid w:val="00167FA3"/>
    <w:rsid w:val="00171126"/>
    <w:rsid w:val="0017116A"/>
    <w:rsid w:val="00171B0E"/>
    <w:rsid w:val="00171BA2"/>
    <w:rsid w:val="00172535"/>
    <w:rsid w:val="001727E7"/>
    <w:rsid w:val="00172C86"/>
    <w:rsid w:val="00173EE2"/>
    <w:rsid w:val="001744B3"/>
    <w:rsid w:val="0017504E"/>
    <w:rsid w:val="00175B51"/>
    <w:rsid w:val="00175B60"/>
    <w:rsid w:val="00175C41"/>
    <w:rsid w:val="001762CA"/>
    <w:rsid w:val="001763B9"/>
    <w:rsid w:val="00176DD9"/>
    <w:rsid w:val="0017720E"/>
    <w:rsid w:val="001779AA"/>
    <w:rsid w:val="00177ADD"/>
    <w:rsid w:val="001806F0"/>
    <w:rsid w:val="0018135F"/>
    <w:rsid w:val="001815F5"/>
    <w:rsid w:val="0018176C"/>
    <w:rsid w:val="00181AF3"/>
    <w:rsid w:val="001829EE"/>
    <w:rsid w:val="00182FB5"/>
    <w:rsid w:val="00183381"/>
    <w:rsid w:val="001833E2"/>
    <w:rsid w:val="00183AF0"/>
    <w:rsid w:val="0018453D"/>
    <w:rsid w:val="001846B9"/>
    <w:rsid w:val="001849D0"/>
    <w:rsid w:val="00184A32"/>
    <w:rsid w:val="00184CC7"/>
    <w:rsid w:val="00184F2A"/>
    <w:rsid w:val="0018572E"/>
    <w:rsid w:val="00185805"/>
    <w:rsid w:val="00185861"/>
    <w:rsid w:val="00185CB7"/>
    <w:rsid w:val="00187170"/>
    <w:rsid w:val="00190CE8"/>
    <w:rsid w:val="00191FEC"/>
    <w:rsid w:val="001925AC"/>
    <w:rsid w:val="001926A6"/>
    <w:rsid w:val="00192739"/>
    <w:rsid w:val="0019289C"/>
    <w:rsid w:val="001942C9"/>
    <w:rsid w:val="0019496F"/>
    <w:rsid w:val="001951D9"/>
    <w:rsid w:val="001952FD"/>
    <w:rsid w:val="001953BD"/>
    <w:rsid w:val="0019569A"/>
    <w:rsid w:val="0019573C"/>
    <w:rsid w:val="00195BC7"/>
    <w:rsid w:val="00196C97"/>
    <w:rsid w:val="0019711E"/>
    <w:rsid w:val="001A00EC"/>
    <w:rsid w:val="001A0AA1"/>
    <w:rsid w:val="001A11E4"/>
    <w:rsid w:val="001A162A"/>
    <w:rsid w:val="001A1FA9"/>
    <w:rsid w:val="001A270D"/>
    <w:rsid w:val="001A279C"/>
    <w:rsid w:val="001A27D2"/>
    <w:rsid w:val="001A35E4"/>
    <w:rsid w:val="001A3728"/>
    <w:rsid w:val="001A3900"/>
    <w:rsid w:val="001A3FED"/>
    <w:rsid w:val="001A417E"/>
    <w:rsid w:val="001A4E0C"/>
    <w:rsid w:val="001A52B5"/>
    <w:rsid w:val="001A6215"/>
    <w:rsid w:val="001A65C0"/>
    <w:rsid w:val="001A6B94"/>
    <w:rsid w:val="001A7E1D"/>
    <w:rsid w:val="001A7E94"/>
    <w:rsid w:val="001B022F"/>
    <w:rsid w:val="001B06C7"/>
    <w:rsid w:val="001B0AC5"/>
    <w:rsid w:val="001B0ED6"/>
    <w:rsid w:val="001B0F05"/>
    <w:rsid w:val="001B10AF"/>
    <w:rsid w:val="001B1F87"/>
    <w:rsid w:val="001B2270"/>
    <w:rsid w:val="001B2367"/>
    <w:rsid w:val="001B273D"/>
    <w:rsid w:val="001B38C1"/>
    <w:rsid w:val="001B4D42"/>
    <w:rsid w:val="001B4D47"/>
    <w:rsid w:val="001B4DCB"/>
    <w:rsid w:val="001B5AD9"/>
    <w:rsid w:val="001B5BDB"/>
    <w:rsid w:val="001B5F7D"/>
    <w:rsid w:val="001B687F"/>
    <w:rsid w:val="001B7A78"/>
    <w:rsid w:val="001B7D6B"/>
    <w:rsid w:val="001C01BF"/>
    <w:rsid w:val="001C0E64"/>
    <w:rsid w:val="001C1C63"/>
    <w:rsid w:val="001C2067"/>
    <w:rsid w:val="001C2583"/>
    <w:rsid w:val="001C27BE"/>
    <w:rsid w:val="001C2F86"/>
    <w:rsid w:val="001C325F"/>
    <w:rsid w:val="001C33B4"/>
    <w:rsid w:val="001C3A13"/>
    <w:rsid w:val="001C414E"/>
    <w:rsid w:val="001C43CC"/>
    <w:rsid w:val="001C4BB4"/>
    <w:rsid w:val="001C4CB8"/>
    <w:rsid w:val="001C4D20"/>
    <w:rsid w:val="001C4D90"/>
    <w:rsid w:val="001C5605"/>
    <w:rsid w:val="001C5691"/>
    <w:rsid w:val="001C68AC"/>
    <w:rsid w:val="001C7225"/>
    <w:rsid w:val="001C7931"/>
    <w:rsid w:val="001D06A1"/>
    <w:rsid w:val="001D08A2"/>
    <w:rsid w:val="001D0EAA"/>
    <w:rsid w:val="001D0F82"/>
    <w:rsid w:val="001D1C90"/>
    <w:rsid w:val="001D28F8"/>
    <w:rsid w:val="001D294D"/>
    <w:rsid w:val="001D2FEB"/>
    <w:rsid w:val="001D301E"/>
    <w:rsid w:val="001D345F"/>
    <w:rsid w:val="001D3692"/>
    <w:rsid w:val="001D43F5"/>
    <w:rsid w:val="001D459A"/>
    <w:rsid w:val="001D4B77"/>
    <w:rsid w:val="001D4CD1"/>
    <w:rsid w:val="001D5044"/>
    <w:rsid w:val="001D50A6"/>
    <w:rsid w:val="001D51BF"/>
    <w:rsid w:val="001D549A"/>
    <w:rsid w:val="001D5CD2"/>
    <w:rsid w:val="001D5E25"/>
    <w:rsid w:val="001D6AD7"/>
    <w:rsid w:val="001D6AE9"/>
    <w:rsid w:val="001D6CC8"/>
    <w:rsid w:val="001D7430"/>
    <w:rsid w:val="001D7585"/>
    <w:rsid w:val="001D77EF"/>
    <w:rsid w:val="001E034E"/>
    <w:rsid w:val="001E075F"/>
    <w:rsid w:val="001E07FB"/>
    <w:rsid w:val="001E1ECF"/>
    <w:rsid w:val="001E2099"/>
    <w:rsid w:val="001E2C1D"/>
    <w:rsid w:val="001E301B"/>
    <w:rsid w:val="001E36BB"/>
    <w:rsid w:val="001E3826"/>
    <w:rsid w:val="001E3A45"/>
    <w:rsid w:val="001E42C1"/>
    <w:rsid w:val="001E45E7"/>
    <w:rsid w:val="001E4B31"/>
    <w:rsid w:val="001E4B3D"/>
    <w:rsid w:val="001E4E40"/>
    <w:rsid w:val="001E51E3"/>
    <w:rsid w:val="001E5F68"/>
    <w:rsid w:val="001E5F8A"/>
    <w:rsid w:val="001E61EF"/>
    <w:rsid w:val="001E63E8"/>
    <w:rsid w:val="001E6CC2"/>
    <w:rsid w:val="001E778B"/>
    <w:rsid w:val="001F00B4"/>
    <w:rsid w:val="001F047B"/>
    <w:rsid w:val="001F0BB6"/>
    <w:rsid w:val="001F1A15"/>
    <w:rsid w:val="001F1CD6"/>
    <w:rsid w:val="001F3623"/>
    <w:rsid w:val="001F380B"/>
    <w:rsid w:val="001F3A1E"/>
    <w:rsid w:val="001F4B92"/>
    <w:rsid w:val="001F4C26"/>
    <w:rsid w:val="001F5A60"/>
    <w:rsid w:val="001F5A92"/>
    <w:rsid w:val="001F5AE9"/>
    <w:rsid w:val="001F6236"/>
    <w:rsid w:val="001F676B"/>
    <w:rsid w:val="001F726B"/>
    <w:rsid w:val="001F744A"/>
    <w:rsid w:val="001F7CB5"/>
    <w:rsid w:val="0020039A"/>
    <w:rsid w:val="002008CD"/>
    <w:rsid w:val="00200A89"/>
    <w:rsid w:val="00201064"/>
    <w:rsid w:val="00201AF5"/>
    <w:rsid w:val="00201C73"/>
    <w:rsid w:val="00201E42"/>
    <w:rsid w:val="00202419"/>
    <w:rsid w:val="00202839"/>
    <w:rsid w:val="00202CF3"/>
    <w:rsid w:val="002031C7"/>
    <w:rsid w:val="0020406A"/>
    <w:rsid w:val="0020560C"/>
    <w:rsid w:val="002066C6"/>
    <w:rsid w:val="00207027"/>
    <w:rsid w:val="002075AB"/>
    <w:rsid w:val="00207B01"/>
    <w:rsid w:val="00207DB3"/>
    <w:rsid w:val="002108A2"/>
    <w:rsid w:val="00210D6C"/>
    <w:rsid w:val="00210F58"/>
    <w:rsid w:val="00211957"/>
    <w:rsid w:val="00211A07"/>
    <w:rsid w:val="00211B0C"/>
    <w:rsid w:val="00211F9E"/>
    <w:rsid w:val="00212A23"/>
    <w:rsid w:val="0021351D"/>
    <w:rsid w:val="002143D7"/>
    <w:rsid w:val="00214E6F"/>
    <w:rsid w:val="00214FB4"/>
    <w:rsid w:val="00215329"/>
    <w:rsid w:val="002153E0"/>
    <w:rsid w:val="00215596"/>
    <w:rsid w:val="00215607"/>
    <w:rsid w:val="00215CD7"/>
    <w:rsid w:val="00215DAF"/>
    <w:rsid w:val="00216ABB"/>
    <w:rsid w:val="00216DA1"/>
    <w:rsid w:val="00216EEE"/>
    <w:rsid w:val="00217C59"/>
    <w:rsid w:val="002206C3"/>
    <w:rsid w:val="00220947"/>
    <w:rsid w:val="00220A40"/>
    <w:rsid w:val="00220E12"/>
    <w:rsid w:val="00220FBF"/>
    <w:rsid w:val="00221D9E"/>
    <w:rsid w:val="00222AF3"/>
    <w:rsid w:val="00222BC8"/>
    <w:rsid w:val="00222D97"/>
    <w:rsid w:val="00222F90"/>
    <w:rsid w:val="00223F33"/>
    <w:rsid w:val="002242C1"/>
    <w:rsid w:val="0022441E"/>
    <w:rsid w:val="002244EE"/>
    <w:rsid w:val="00224BD0"/>
    <w:rsid w:val="00225310"/>
    <w:rsid w:val="0022532D"/>
    <w:rsid w:val="00225A59"/>
    <w:rsid w:val="00226651"/>
    <w:rsid w:val="002266FE"/>
    <w:rsid w:val="00226780"/>
    <w:rsid w:val="00226C2A"/>
    <w:rsid w:val="00227B2A"/>
    <w:rsid w:val="00227BEF"/>
    <w:rsid w:val="00227D10"/>
    <w:rsid w:val="00227F58"/>
    <w:rsid w:val="002303EE"/>
    <w:rsid w:val="00230449"/>
    <w:rsid w:val="0023096F"/>
    <w:rsid w:val="00230AE5"/>
    <w:rsid w:val="00230EC9"/>
    <w:rsid w:val="002320FD"/>
    <w:rsid w:val="00232E3B"/>
    <w:rsid w:val="002333C9"/>
    <w:rsid w:val="00235169"/>
    <w:rsid w:val="002353A9"/>
    <w:rsid w:val="0023543A"/>
    <w:rsid w:val="002357FD"/>
    <w:rsid w:val="002359BD"/>
    <w:rsid w:val="00235CF9"/>
    <w:rsid w:val="0023600B"/>
    <w:rsid w:val="002362B9"/>
    <w:rsid w:val="00236786"/>
    <w:rsid w:val="00236C7C"/>
    <w:rsid w:val="00237646"/>
    <w:rsid w:val="0023771D"/>
    <w:rsid w:val="00237820"/>
    <w:rsid w:val="002378A7"/>
    <w:rsid w:val="00240090"/>
    <w:rsid w:val="00240167"/>
    <w:rsid w:val="002410BA"/>
    <w:rsid w:val="00241C6F"/>
    <w:rsid w:val="00241EE6"/>
    <w:rsid w:val="0024243E"/>
    <w:rsid w:val="00242678"/>
    <w:rsid w:val="00242701"/>
    <w:rsid w:val="00242A48"/>
    <w:rsid w:val="00242AE9"/>
    <w:rsid w:val="00242D6B"/>
    <w:rsid w:val="002430AF"/>
    <w:rsid w:val="00243643"/>
    <w:rsid w:val="00243994"/>
    <w:rsid w:val="00244AC9"/>
    <w:rsid w:val="00244D16"/>
    <w:rsid w:val="00245397"/>
    <w:rsid w:val="0024544D"/>
    <w:rsid w:val="002475DD"/>
    <w:rsid w:val="00247E92"/>
    <w:rsid w:val="0025034B"/>
    <w:rsid w:val="00250549"/>
    <w:rsid w:val="00250A63"/>
    <w:rsid w:val="00250D4E"/>
    <w:rsid w:val="00250FA8"/>
    <w:rsid w:val="002512FE"/>
    <w:rsid w:val="00251851"/>
    <w:rsid w:val="00251EF6"/>
    <w:rsid w:val="00252008"/>
    <w:rsid w:val="00252843"/>
    <w:rsid w:val="00252D04"/>
    <w:rsid w:val="002532B8"/>
    <w:rsid w:val="00253801"/>
    <w:rsid w:val="00253E3D"/>
    <w:rsid w:val="00253E4B"/>
    <w:rsid w:val="00253EBE"/>
    <w:rsid w:val="002540ED"/>
    <w:rsid w:val="00254F11"/>
    <w:rsid w:val="002552DF"/>
    <w:rsid w:val="00255E70"/>
    <w:rsid w:val="00256473"/>
    <w:rsid w:val="0025688D"/>
    <w:rsid w:val="00256AAF"/>
    <w:rsid w:val="00256C7E"/>
    <w:rsid w:val="00256DE1"/>
    <w:rsid w:val="00257C8A"/>
    <w:rsid w:val="00257CCD"/>
    <w:rsid w:val="00257D97"/>
    <w:rsid w:val="00260378"/>
    <w:rsid w:val="002610C5"/>
    <w:rsid w:val="00262182"/>
    <w:rsid w:val="0026273E"/>
    <w:rsid w:val="00262CD2"/>
    <w:rsid w:val="00262D7A"/>
    <w:rsid w:val="00262E85"/>
    <w:rsid w:val="00263101"/>
    <w:rsid w:val="002634C9"/>
    <w:rsid w:val="002636E8"/>
    <w:rsid w:val="00264EED"/>
    <w:rsid w:val="00265478"/>
    <w:rsid w:val="00265623"/>
    <w:rsid w:val="0026625F"/>
    <w:rsid w:val="00266719"/>
    <w:rsid w:val="00266855"/>
    <w:rsid w:val="00266BEE"/>
    <w:rsid w:val="00266E8E"/>
    <w:rsid w:val="00266F46"/>
    <w:rsid w:val="002675A4"/>
    <w:rsid w:val="00267FE9"/>
    <w:rsid w:val="0027026D"/>
    <w:rsid w:val="002708C5"/>
    <w:rsid w:val="00270AB4"/>
    <w:rsid w:val="002712BC"/>
    <w:rsid w:val="002719C5"/>
    <w:rsid w:val="00272E0F"/>
    <w:rsid w:val="002730B0"/>
    <w:rsid w:val="002731C9"/>
    <w:rsid w:val="00273361"/>
    <w:rsid w:val="00273451"/>
    <w:rsid w:val="0027347B"/>
    <w:rsid w:val="0027394C"/>
    <w:rsid w:val="00273B18"/>
    <w:rsid w:val="002746F7"/>
    <w:rsid w:val="00275413"/>
    <w:rsid w:val="002758A9"/>
    <w:rsid w:val="00275A53"/>
    <w:rsid w:val="00276060"/>
    <w:rsid w:val="00276217"/>
    <w:rsid w:val="00276268"/>
    <w:rsid w:val="00277734"/>
    <w:rsid w:val="00277924"/>
    <w:rsid w:val="002779A4"/>
    <w:rsid w:val="0028024D"/>
    <w:rsid w:val="0028065F"/>
    <w:rsid w:val="00280985"/>
    <w:rsid w:val="0028110B"/>
    <w:rsid w:val="00281645"/>
    <w:rsid w:val="00281F74"/>
    <w:rsid w:val="00282752"/>
    <w:rsid w:val="00282974"/>
    <w:rsid w:val="00282BFB"/>
    <w:rsid w:val="00282DA8"/>
    <w:rsid w:val="00282DB5"/>
    <w:rsid w:val="00282E67"/>
    <w:rsid w:val="0028399F"/>
    <w:rsid w:val="00283EA7"/>
    <w:rsid w:val="00284034"/>
    <w:rsid w:val="00284121"/>
    <w:rsid w:val="0028429A"/>
    <w:rsid w:val="0028491F"/>
    <w:rsid w:val="00285264"/>
    <w:rsid w:val="00285583"/>
    <w:rsid w:val="00285A42"/>
    <w:rsid w:val="002868EA"/>
    <w:rsid w:val="00286D80"/>
    <w:rsid w:val="00286DBA"/>
    <w:rsid w:val="00287308"/>
    <w:rsid w:val="00287BAD"/>
    <w:rsid w:val="00290899"/>
    <w:rsid w:val="00291581"/>
    <w:rsid w:val="00291990"/>
    <w:rsid w:val="00291AE7"/>
    <w:rsid w:val="00291C10"/>
    <w:rsid w:val="002924A2"/>
    <w:rsid w:val="00292751"/>
    <w:rsid w:val="00292F6F"/>
    <w:rsid w:val="0029311F"/>
    <w:rsid w:val="00293B60"/>
    <w:rsid w:val="00293B71"/>
    <w:rsid w:val="0029421B"/>
    <w:rsid w:val="00294702"/>
    <w:rsid w:val="00294DE0"/>
    <w:rsid w:val="00294E39"/>
    <w:rsid w:val="0029567A"/>
    <w:rsid w:val="002956FB"/>
    <w:rsid w:val="00295F2A"/>
    <w:rsid w:val="0029635B"/>
    <w:rsid w:val="0029689E"/>
    <w:rsid w:val="00296ABB"/>
    <w:rsid w:val="00296ECE"/>
    <w:rsid w:val="002972EC"/>
    <w:rsid w:val="0029768E"/>
    <w:rsid w:val="00297919"/>
    <w:rsid w:val="00297B17"/>
    <w:rsid w:val="00297F9D"/>
    <w:rsid w:val="002A0010"/>
    <w:rsid w:val="002A04BE"/>
    <w:rsid w:val="002A078B"/>
    <w:rsid w:val="002A0D01"/>
    <w:rsid w:val="002A10F5"/>
    <w:rsid w:val="002A15A3"/>
    <w:rsid w:val="002A1717"/>
    <w:rsid w:val="002A22FF"/>
    <w:rsid w:val="002A28D7"/>
    <w:rsid w:val="002A2F2E"/>
    <w:rsid w:val="002A49D0"/>
    <w:rsid w:val="002A508A"/>
    <w:rsid w:val="002A5190"/>
    <w:rsid w:val="002A56F5"/>
    <w:rsid w:val="002A5864"/>
    <w:rsid w:val="002A5901"/>
    <w:rsid w:val="002A5AA5"/>
    <w:rsid w:val="002A5D78"/>
    <w:rsid w:val="002A5FBE"/>
    <w:rsid w:val="002A62B9"/>
    <w:rsid w:val="002A6F06"/>
    <w:rsid w:val="002A7C0F"/>
    <w:rsid w:val="002B0029"/>
    <w:rsid w:val="002B0D8A"/>
    <w:rsid w:val="002B0EB7"/>
    <w:rsid w:val="002B10A1"/>
    <w:rsid w:val="002B10B7"/>
    <w:rsid w:val="002B222E"/>
    <w:rsid w:val="002B2380"/>
    <w:rsid w:val="002B2C37"/>
    <w:rsid w:val="002B2D39"/>
    <w:rsid w:val="002B3030"/>
    <w:rsid w:val="002B34C7"/>
    <w:rsid w:val="002B375E"/>
    <w:rsid w:val="002B3C36"/>
    <w:rsid w:val="002B5190"/>
    <w:rsid w:val="002B5251"/>
    <w:rsid w:val="002B5A30"/>
    <w:rsid w:val="002B5EB8"/>
    <w:rsid w:val="002B5EE0"/>
    <w:rsid w:val="002B61B2"/>
    <w:rsid w:val="002B689C"/>
    <w:rsid w:val="002B7CF8"/>
    <w:rsid w:val="002C0483"/>
    <w:rsid w:val="002C0D4B"/>
    <w:rsid w:val="002C0E1C"/>
    <w:rsid w:val="002C1250"/>
    <w:rsid w:val="002C1522"/>
    <w:rsid w:val="002C1AAA"/>
    <w:rsid w:val="002C22DE"/>
    <w:rsid w:val="002C25D2"/>
    <w:rsid w:val="002C351E"/>
    <w:rsid w:val="002C3644"/>
    <w:rsid w:val="002C3835"/>
    <w:rsid w:val="002C424E"/>
    <w:rsid w:val="002C77EA"/>
    <w:rsid w:val="002C7CBC"/>
    <w:rsid w:val="002D0458"/>
    <w:rsid w:val="002D0B3A"/>
    <w:rsid w:val="002D0BFB"/>
    <w:rsid w:val="002D0C1D"/>
    <w:rsid w:val="002D0E68"/>
    <w:rsid w:val="002D1174"/>
    <w:rsid w:val="002D17A3"/>
    <w:rsid w:val="002D1C67"/>
    <w:rsid w:val="002D1D95"/>
    <w:rsid w:val="002D2333"/>
    <w:rsid w:val="002D2F77"/>
    <w:rsid w:val="002D2FAA"/>
    <w:rsid w:val="002D31D2"/>
    <w:rsid w:val="002D3265"/>
    <w:rsid w:val="002D3370"/>
    <w:rsid w:val="002D33A2"/>
    <w:rsid w:val="002D349C"/>
    <w:rsid w:val="002D375A"/>
    <w:rsid w:val="002D37B3"/>
    <w:rsid w:val="002D3D31"/>
    <w:rsid w:val="002D4B2E"/>
    <w:rsid w:val="002D513A"/>
    <w:rsid w:val="002D5145"/>
    <w:rsid w:val="002D51F0"/>
    <w:rsid w:val="002D5351"/>
    <w:rsid w:val="002D53EB"/>
    <w:rsid w:val="002D631F"/>
    <w:rsid w:val="002D649F"/>
    <w:rsid w:val="002D680B"/>
    <w:rsid w:val="002D68FC"/>
    <w:rsid w:val="002D7493"/>
    <w:rsid w:val="002D7612"/>
    <w:rsid w:val="002D7B18"/>
    <w:rsid w:val="002D7B53"/>
    <w:rsid w:val="002E0552"/>
    <w:rsid w:val="002E0AD3"/>
    <w:rsid w:val="002E0EAA"/>
    <w:rsid w:val="002E0EB6"/>
    <w:rsid w:val="002E1126"/>
    <w:rsid w:val="002E16EA"/>
    <w:rsid w:val="002E17A8"/>
    <w:rsid w:val="002E248A"/>
    <w:rsid w:val="002E28AA"/>
    <w:rsid w:val="002E2AB3"/>
    <w:rsid w:val="002E2C91"/>
    <w:rsid w:val="002E2F4D"/>
    <w:rsid w:val="002E3C9C"/>
    <w:rsid w:val="002E44E3"/>
    <w:rsid w:val="002E49C2"/>
    <w:rsid w:val="002E4FAE"/>
    <w:rsid w:val="002E5167"/>
    <w:rsid w:val="002E5428"/>
    <w:rsid w:val="002E5C4D"/>
    <w:rsid w:val="002E5CAC"/>
    <w:rsid w:val="002E678F"/>
    <w:rsid w:val="002E7190"/>
    <w:rsid w:val="002E73D9"/>
    <w:rsid w:val="002E7437"/>
    <w:rsid w:val="002E7841"/>
    <w:rsid w:val="002E7882"/>
    <w:rsid w:val="002E7E17"/>
    <w:rsid w:val="002F0742"/>
    <w:rsid w:val="002F098A"/>
    <w:rsid w:val="002F0E8B"/>
    <w:rsid w:val="002F102D"/>
    <w:rsid w:val="002F1271"/>
    <w:rsid w:val="002F1620"/>
    <w:rsid w:val="002F172C"/>
    <w:rsid w:val="002F2071"/>
    <w:rsid w:val="002F2117"/>
    <w:rsid w:val="002F23B2"/>
    <w:rsid w:val="002F24AC"/>
    <w:rsid w:val="002F26CA"/>
    <w:rsid w:val="002F2763"/>
    <w:rsid w:val="002F2E1A"/>
    <w:rsid w:val="002F3936"/>
    <w:rsid w:val="002F420A"/>
    <w:rsid w:val="002F4404"/>
    <w:rsid w:val="002F4726"/>
    <w:rsid w:val="002F4FCF"/>
    <w:rsid w:val="002F6285"/>
    <w:rsid w:val="002F66D7"/>
    <w:rsid w:val="002F6C3A"/>
    <w:rsid w:val="002F6F47"/>
    <w:rsid w:val="002F7124"/>
    <w:rsid w:val="002F7697"/>
    <w:rsid w:val="002F7AFD"/>
    <w:rsid w:val="003001C4"/>
    <w:rsid w:val="00300353"/>
    <w:rsid w:val="00301055"/>
    <w:rsid w:val="00301B18"/>
    <w:rsid w:val="0030225E"/>
    <w:rsid w:val="003028E4"/>
    <w:rsid w:val="003032C3"/>
    <w:rsid w:val="003033B6"/>
    <w:rsid w:val="00303786"/>
    <w:rsid w:val="00303ABE"/>
    <w:rsid w:val="00303B63"/>
    <w:rsid w:val="00303D18"/>
    <w:rsid w:val="003049CE"/>
    <w:rsid w:val="00304B99"/>
    <w:rsid w:val="00304BBF"/>
    <w:rsid w:val="00304D4A"/>
    <w:rsid w:val="003051F5"/>
    <w:rsid w:val="00305756"/>
    <w:rsid w:val="00305B9C"/>
    <w:rsid w:val="00306273"/>
    <w:rsid w:val="00306913"/>
    <w:rsid w:val="00306B41"/>
    <w:rsid w:val="00306D46"/>
    <w:rsid w:val="00307579"/>
    <w:rsid w:val="003076E7"/>
    <w:rsid w:val="00307EBD"/>
    <w:rsid w:val="00310459"/>
    <w:rsid w:val="00310596"/>
    <w:rsid w:val="003105A9"/>
    <w:rsid w:val="0031060E"/>
    <w:rsid w:val="00310762"/>
    <w:rsid w:val="003110CE"/>
    <w:rsid w:val="0031111A"/>
    <w:rsid w:val="00311516"/>
    <w:rsid w:val="00312352"/>
    <w:rsid w:val="00312DF6"/>
    <w:rsid w:val="00313B6E"/>
    <w:rsid w:val="00313DF8"/>
    <w:rsid w:val="00314DD0"/>
    <w:rsid w:val="00314FAD"/>
    <w:rsid w:val="00315EFA"/>
    <w:rsid w:val="00316824"/>
    <w:rsid w:val="00316B2C"/>
    <w:rsid w:val="003171EF"/>
    <w:rsid w:val="00317631"/>
    <w:rsid w:val="00317DE9"/>
    <w:rsid w:val="003207AB"/>
    <w:rsid w:val="00320894"/>
    <w:rsid w:val="00320A85"/>
    <w:rsid w:val="00320BF1"/>
    <w:rsid w:val="003214A8"/>
    <w:rsid w:val="00321AFD"/>
    <w:rsid w:val="00321D15"/>
    <w:rsid w:val="003222D6"/>
    <w:rsid w:val="003224FC"/>
    <w:rsid w:val="00322542"/>
    <w:rsid w:val="0032273A"/>
    <w:rsid w:val="0032290A"/>
    <w:rsid w:val="00322B2C"/>
    <w:rsid w:val="00323313"/>
    <w:rsid w:val="00323F90"/>
    <w:rsid w:val="00324653"/>
    <w:rsid w:val="00324E94"/>
    <w:rsid w:val="003255BC"/>
    <w:rsid w:val="003261C8"/>
    <w:rsid w:val="003262A8"/>
    <w:rsid w:val="00326518"/>
    <w:rsid w:val="00327672"/>
    <w:rsid w:val="00327826"/>
    <w:rsid w:val="003304C5"/>
    <w:rsid w:val="003306B7"/>
    <w:rsid w:val="00330A3A"/>
    <w:rsid w:val="00330E6B"/>
    <w:rsid w:val="00331083"/>
    <w:rsid w:val="00331D04"/>
    <w:rsid w:val="00332398"/>
    <w:rsid w:val="0033267E"/>
    <w:rsid w:val="003327F4"/>
    <w:rsid w:val="00332C60"/>
    <w:rsid w:val="003333F5"/>
    <w:rsid w:val="00334F3C"/>
    <w:rsid w:val="00335262"/>
    <w:rsid w:val="00335333"/>
    <w:rsid w:val="0033571B"/>
    <w:rsid w:val="00335C4E"/>
    <w:rsid w:val="00335EFA"/>
    <w:rsid w:val="0033668B"/>
    <w:rsid w:val="00336EEE"/>
    <w:rsid w:val="00337381"/>
    <w:rsid w:val="00337622"/>
    <w:rsid w:val="00337AF6"/>
    <w:rsid w:val="00337F1E"/>
    <w:rsid w:val="00340199"/>
    <w:rsid w:val="0034020B"/>
    <w:rsid w:val="00340E29"/>
    <w:rsid w:val="00340FD3"/>
    <w:rsid w:val="003412A4"/>
    <w:rsid w:val="0034177F"/>
    <w:rsid w:val="003432B3"/>
    <w:rsid w:val="003436E2"/>
    <w:rsid w:val="0034371D"/>
    <w:rsid w:val="00343D69"/>
    <w:rsid w:val="00343E58"/>
    <w:rsid w:val="003440FD"/>
    <w:rsid w:val="00344628"/>
    <w:rsid w:val="003450C3"/>
    <w:rsid w:val="00345501"/>
    <w:rsid w:val="00345505"/>
    <w:rsid w:val="003458EC"/>
    <w:rsid w:val="00346019"/>
    <w:rsid w:val="0034604F"/>
    <w:rsid w:val="00346ED8"/>
    <w:rsid w:val="00347408"/>
    <w:rsid w:val="003479B8"/>
    <w:rsid w:val="00347DE6"/>
    <w:rsid w:val="00347FD4"/>
    <w:rsid w:val="00350907"/>
    <w:rsid w:val="0035091A"/>
    <w:rsid w:val="00350C75"/>
    <w:rsid w:val="0035182E"/>
    <w:rsid w:val="00351F24"/>
    <w:rsid w:val="00352014"/>
    <w:rsid w:val="00352900"/>
    <w:rsid w:val="00352993"/>
    <w:rsid w:val="00352A2E"/>
    <w:rsid w:val="00352ADE"/>
    <w:rsid w:val="00352D72"/>
    <w:rsid w:val="00352DEB"/>
    <w:rsid w:val="003533C7"/>
    <w:rsid w:val="00353411"/>
    <w:rsid w:val="0035395A"/>
    <w:rsid w:val="00353BCB"/>
    <w:rsid w:val="00353F7D"/>
    <w:rsid w:val="00353F9A"/>
    <w:rsid w:val="003547BA"/>
    <w:rsid w:val="00354BE9"/>
    <w:rsid w:val="00355050"/>
    <w:rsid w:val="003553B1"/>
    <w:rsid w:val="003561A1"/>
    <w:rsid w:val="0035698B"/>
    <w:rsid w:val="0035709F"/>
    <w:rsid w:val="0035744B"/>
    <w:rsid w:val="00360495"/>
    <w:rsid w:val="00360727"/>
    <w:rsid w:val="00361233"/>
    <w:rsid w:val="00362124"/>
    <w:rsid w:val="003623BB"/>
    <w:rsid w:val="003627F8"/>
    <w:rsid w:val="00362832"/>
    <w:rsid w:val="003632C1"/>
    <w:rsid w:val="003635B8"/>
    <w:rsid w:val="00363630"/>
    <w:rsid w:val="00363BEA"/>
    <w:rsid w:val="00363D2F"/>
    <w:rsid w:val="00363E3B"/>
    <w:rsid w:val="00364140"/>
    <w:rsid w:val="00364339"/>
    <w:rsid w:val="0036448F"/>
    <w:rsid w:val="00364611"/>
    <w:rsid w:val="00364641"/>
    <w:rsid w:val="003646A2"/>
    <w:rsid w:val="00366AE6"/>
    <w:rsid w:val="003671A6"/>
    <w:rsid w:val="00367D19"/>
    <w:rsid w:val="00367E92"/>
    <w:rsid w:val="0037034A"/>
    <w:rsid w:val="0037078B"/>
    <w:rsid w:val="003708D7"/>
    <w:rsid w:val="00371148"/>
    <w:rsid w:val="0037122A"/>
    <w:rsid w:val="003714EE"/>
    <w:rsid w:val="003715C6"/>
    <w:rsid w:val="003715D5"/>
    <w:rsid w:val="003719F4"/>
    <w:rsid w:val="003720BD"/>
    <w:rsid w:val="003722F2"/>
    <w:rsid w:val="003725F0"/>
    <w:rsid w:val="003726FC"/>
    <w:rsid w:val="003728FE"/>
    <w:rsid w:val="00372A5D"/>
    <w:rsid w:val="00373247"/>
    <w:rsid w:val="003734F3"/>
    <w:rsid w:val="003744CC"/>
    <w:rsid w:val="00374542"/>
    <w:rsid w:val="00374563"/>
    <w:rsid w:val="00374F2C"/>
    <w:rsid w:val="00374F2E"/>
    <w:rsid w:val="003765AC"/>
    <w:rsid w:val="003769AB"/>
    <w:rsid w:val="00376C8A"/>
    <w:rsid w:val="00376FD3"/>
    <w:rsid w:val="00377040"/>
    <w:rsid w:val="0037713A"/>
    <w:rsid w:val="00377147"/>
    <w:rsid w:val="0037738F"/>
    <w:rsid w:val="0037761C"/>
    <w:rsid w:val="0038055E"/>
    <w:rsid w:val="00380688"/>
    <w:rsid w:val="00380701"/>
    <w:rsid w:val="00380BC7"/>
    <w:rsid w:val="00381A44"/>
    <w:rsid w:val="00381DBD"/>
    <w:rsid w:val="00381E6B"/>
    <w:rsid w:val="0038290A"/>
    <w:rsid w:val="00382E60"/>
    <w:rsid w:val="00382F58"/>
    <w:rsid w:val="003834CB"/>
    <w:rsid w:val="0038388A"/>
    <w:rsid w:val="0038433B"/>
    <w:rsid w:val="0038443B"/>
    <w:rsid w:val="003845A0"/>
    <w:rsid w:val="00384736"/>
    <w:rsid w:val="003851B8"/>
    <w:rsid w:val="0038595D"/>
    <w:rsid w:val="00386A96"/>
    <w:rsid w:val="00386BD3"/>
    <w:rsid w:val="003875C5"/>
    <w:rsid w:val="0038795D"/>
    <w:rsid w:val="00387F46"/>
    <w:rsid w:val="0039018E"/>
    <w:rsid w:val="00390627"/>
    <w:rsid w:val="003910E5"/>
    <w:rsid w:val="0039188E"/>
    <w:rsid w:val="003919CD"/>
    <w:rsid w:val="00391BFF"/>
    <w:rsid w:val="00392F80"/>
    <w:rsid w:val="0039308C"/>
    <w:rsid w:val="0039357C"/>
    <w:rsid w:val="003936F2"/>
    <w:rsid w:val="003944B2"/>
    <w:rsid w:val="003947B2"/>
    <w:rsid w:val="00394DD4"/>
    <w:rsid w:val="00394F00"/>
    <w:rsid w:val="00395D22"/>
    <w:rsid w:val="00396216"/>
    <w:rsid w:val="003969E0"/>
    <w:rsid w:val="003979A9"/>
    <w:rsid w:val="00397BDF"/>
    <w:rsid w:val="00397EF5"/>
    <w:rsid w:val="003A03FD"/>
    <w:rsid w:val="003A084A"/>
    <w:rsid w:val="003A0B1F"/>
    <w:rsid w:val="003A0C0F"/>
    <w:rsid w:val="003A0E86"/>
    <w:rsid w:val="003A11A5"/>
    <w:rsid w:val="003A1311"/>
    <w:rsid w:val="003A1744"/>
    <w:rsid w:val="003A188B"/>
    <w:rsid w:val="003A1935"/>
    <w:rsid w:val="003A1A62"/>
    <w:rsid w:val="003A1C77"/>
    <w:rsid w:val="003A2230"/>
    <w:rsid w:val="003A2F23"/>
    <w:rsid w:val="003A37C4"/>
    <w:rsid w:val="003A3F4F"/>
    <w:rsid w:val="003A4436"/>
    <w:rsid w:val="003A4DE6"/>
    <w:rsid w:val="003A4F3D"/>
    <w:rsid w:val="003A538B"/>
    <w:rsid w:val="003A5574"/>
    <w:rsid w:val="003A5C5E"/>
    <w:rsid w:val="003A66C0"/>
    <w:rsid w:val="003A6C57"/>
    <w:rsid w:val="003A7EB0"/>
    <w:rsid w:val="003A7FDB"/>
    <w:rsid w:val="003B070C"/>
    <w:rsid w:val="003B0BB7"/>
    <w:rsid w:val="003B13E5"/>
    <w:rsid w:val="003B1D20"/>
    <w:rsid w:val="003B220D"/>
    <w:rsid w:val="003B25F5"/>
    <w:rsid w:val="003B284E"/>
    <w:rsid w:val="003B2927"/>
    <w:rsid w:val="003B2B6D"/>
    <w:rsid w:val="003B2CE6"/>
    <w:rsid w:val="003B2D84"/>
    <w:rsid w:val="003B2F75"/>
    <w:rsid w:val="003B2F8C"/>
    <w:rsid w:val="003B33F2"/>
    <w:rsid w:val="003B41F0"/>
    <w:rsid w:val="003B4412"/>
    <w:rsid w:val="003B4469"/>
    <w:rsid w:val="003B4693"/>
    <w:rsid w:val="003B4CCF"/>
    <w:rsid w:val="003B5739"/>
    <w:rsid w:val="003B5C43"/>
    <w:rsid w:val="003B5E88"/>
    <w:rsid w:val="003B609F"/>
    <w:rsid w:val="003B6832"/>
    <w:rsid w:val="003B7804"/>
    <w:rsid w:val="003B780F"/>
    <w:rsid w:val="003C0A3C"/>
    <w:rsid w:val="003C0C2D"/>
    <w:rsid w:val="003C1B0F"/>
    <w:rsid w:val="003C1C98"/>
    <w:rsid w:val="003C2517"/>
    <w:rsid w:val="003C2AF2"/>
    <w:rsid w:val="003C2F5F"/>
    <w:rsid w:val="003C339B"/>
    <w:rsid w:val="003C3947"/>
    <w:rsid w:val="003C3967"/>
    <w:rsid w:val="003C39EB"/>
    <w:rsid w:val="003C401C"/>
    <w:rsid w:val="003C4EA5"/>
    <w:rsid w:val="003C4ED0"/>
    <w:rsid w:val="003C5373"/>
    <w:rsid w:val="003C62BF"/>
    <w:rsid w:val="003C6832"/>
    <w:rsid w:val="003C6D8A"/>
    <w:rsid w:val="003C7CAE"/>
    <w:rsid w:val="003D0891"/>
    <w:rsid w:val="003D0E12"/>
    <w:rsid w:val="003D0E8C"/>
    <w:rsid w:val="003D107E"/>
    <w:rsid w:val="003D15B4"/>
    <w:rsid w:val="003D1B65"/>
    <w:rsid w:val="003D1EB5"/>
    <w:rsid w:val="003D204C"/>
    <w:rsid w:val="003D2089"/>
    <w:rsid w:val="003D216B"/>
    <w:rsid w:val="003D2D97"/>
    <w:rsid w:val="003D3321"/>
    <w:rsid w:val="003D38F9"/>
    <w:rsid w:val="003D3B6D"/>
    <w:rsid w:val="003D3DC9"/>
    <w:rsid w:val="003D3F52"/>
    <w:rsid w:val="003D4B2D"/>
    <w:rsid w:val="003D5D82"/>
    <w:rsid w:val="003D634D"/>
    <w:rsid w:val="003D639A"/>
    <w:rsid w:val="003D651B"/>
    <w:rsid w:val="003D6623"/>
    <w:rsid w:val="003D69BE"/>
    <w:rsid w:val="003D71A5"/>
    <w:rsid w:val="003D789D"/>
    <w:rsid w:val="003E01B1"/>
    <w:rsid w:val="003E03E6"/>
    <w:rsid w:val="003E04A3"/>
    <w:rsid w:val="003E0605"/>
    <w:rsid w:val="003E0621"/>
    <w:rsid w:val="003E0992"/>
    <w:rsid w:val="003E0ADC"/>
    <w:rsid w:val="003E18DE"/>
    <w:rsid w:val="003E1A12"/>
    <w:rsid w:val="003E1D39"/>
    <w:rsid w:val="003E227A"/>
    <w:rsid w:val="003E398B"/>
    <w:rsid w:val="003E3F63"/>
    <w:rsid w:val="003E4449"/>
    <w:rsid w:val="003E535F"/>
    <w:rsid w:val="003E550C"/>
    <w:rsid w:val="003E5B40"/>
    <w:rsid w:val="003E6AD3"/>
    <w:rsid w:val="003E6D9D"/>
    <w:rsid w:val="003F0235"/>
    <w:rsid w:val="003F10E2"/>
    <w:rsid w:val="003F1181"/>
    <w:rsid w:val="003F1B4F"/>
    <w:rsid w:val="003F1C9B"/>
    <w:rsid w:val="003F22C6"/>
    <w:rsid w:val="003F3961"/>
    <w:rsid w:val="003F3BBC"/>
    <w:rsid w:val="003F3D7E"/>
    <w:rsid w:val="003F4003"/>
    <w:rsid w:val="003F4171"/>
    <w:rsid w:val="003F427B"/>
    <w:rsid w:val="003F50AC"/>
    <w:rsid w:val="003F60C4"/>
    <w:rsid w:val="003F632F"/>
    <w:rsid w:val="003F6615"/>
    <w:rsid w:val="003F6B73"/>
    <w:rsid w:val="003F753C"/>
    <w:rsid w:val="003F773D"/>
    <w:rsid w:val="003F7D0A"/>
    <w:rsid w:val="0040068F"/>
    <w:rsid w:val="00400CA9"/>
    <w:rsid w:val="0040144D"/>
    <w:rsid w:val="00401464"/>
    <w:rsid w:val="00401512"/>
    <w:rsid w:val="00401B55"/>
    <w:rsid w:val="00402167"/>
    <w:rsid w:val="004025EB"/>
    <w:rsid w:val="00402916"/>
    <w:rsid w:val="00403037"/>
    <w:rsid w:val="004036A0"/>
    <w:rsid w:val="00404368"/>
    <w:rsid w:val="00405512"/>
    <w:rsid w:val="00406110"/>
    <w:rsid w:val="004067F5"/>
    <w:rsid w:val="0040685C"/>
    <w:rsid w:val="0040692A"/>
    <w:rsid w:val="00406ECA"/>
    <w:rsid w:val="0040795D"/>
    <w:rsid w:val="00407CB3"/>
    <w:rsid w:val="004113A8"/>
    <w:rsid w:val="004116A1"/>
    <w:rsid w:val="00411E37"/>
    <w:rsid w:val="0041208F"/>
    <w:rsid w:val="00412149"/>
    <w:rsid w:val="00412241"/>
    <w:rsid w:val="0041248B"/>
    <w:rsid w:val="00412B21"/>
    <w:rsid w:val="00412C5F"/>
    <w:rsid w:val="00412CAF"/>
    <w:rsid w:val="00412D4E"/>
    <w:rsid w:val="00412E58"/>
    <w:rsid w:val="00413512"/>
    <w:rsid w:val="0041385F"/>
    <w:rsid w:val="00413A6E"/>
    <w:rsid w:val="00413BE5"/>
    <w:rsid w:val="00413CEC"/>
    <w:rsid w:val="00413F70"/>
    <w:rsid w:val="004141D8"/>
    <w:rsid w:val="00414A70"/>
    <w:rsid w:val="00414CAF"/>
    <w:rsid w:val="004151F5"/>
    <w:rsid w:val="00415652"/>
    <w:rsid w:val="004156D9"/>
    <w:rsid w:val="004165AA"/>
    <w:rsid w:val="0041664A"/>
    <w:rsid w:val="0041690E"/>
    <w:rsid w:val="00416A65"/>
    <w:rsid w:val="00416AC1"/>
    <w:rsid w:val="00416F2D"/>
    <w:rsid w:val="0041700A"/>
    <w:rsid w:val="00417347"/>
    <w:rsid w:val="004200F9"/>
    <w:rsid w:val="004204AC"/>
    <w:rsid w:val="004206BA"/>
    <w:rsid w:val="00420738"/>
    <w:rsid w:val="00420C11"/>
    <w:rsid w:val="00420CEE"/>
    <w:rsid w:val="00421011"/>
    <w:rsid w:val="00421D8D"/>
    <w:rsid w:val="0042209B"/>
    <w:rsid w:val="00422728"/>
    <w:rsid w:val="00422932"/>
    <w:rsid w:val="004229DE"/>
    <w:rsid w:val="00422CEA"/>
    <w:rsid w:val="00422F4A"/>
    <w:rsid w:val="00423461"/>
    <w:rsid w:val="00423534"/>
    <w:rsid w:val="00423739"/>
    <w:rsid w:val="00424109"/>
    <w:rsid w:val="00424BE7"/>
    <w:rsid w:val="00424F54"/>
    <w:rsid w:val="00425565"/>
    <w:rsid w:val="0042556F"/>
    <w:rsid w:val="00425E35"/>
    <w:rsid w:val="00425FB9"/>
    <w:rsid w:val="004261E6"/>
    <w:rsid w:val="004264DC"/>
    <w:rsid w:val="004270D7"/>
    <w:rsid w:val="0042756B"/>
    <w:rsid w:val="0042763F"/>
    <w:rsid w:val="00427A0D"/>
    <w:rsid w:val="00430670"/>
    <w:rsid w:val="00430D4C"/>
    <w:rsid w:val="00430E33"/>
    <w:rsid w:val="00430FC7"/>
    <w:rsid w:val="0043275F"/>
    <w:rsid w:val="00432D14"/>
    <w:rsid w:val="00433578"/>
    <w:rsid w:val="004335A5"/>
    <w:rsid w:val="0043361D"/>
    <w:rsid w:val="004336F5"/>
    <w:rsid w:val="00433F87"/>
    <w:rsid w:val="004346CE"/>
    <w:rsid w:val="00435604"/>
    <w:rsid w:val="00435631"/>
    <w:rsid w:val="004359CB"/>
    <w:rsid w:val="0043623A"/>
    <w:rsid w:val="00436349"/>
    <w:rsid w:val="004365F2"/>
    <w:rsid w:val="00436BE6"/>
    <w:rsid w:val="004374ED"/>
    <w:rsid w:val="004375D4"/>
    <w:rsid w:val="004375FB"/>
    <w:rsid w:val="0043767A"/>
    <w:rsid w:val="004377E4"/>
    <w:rsid w:val="00437A98"/>
    <w:rsid w:val="0044088A"/>
    <w:rsid w:val="00440AF7"/>
    <w:rsid w:val="004413ED"/>
    <w:rsid w:val="004415CB"/>
    <w:rsid w:val="004416AB"/>
    <w:rsid w:val="004418E4"/>
    <w:rsid w:val="004421DA"/>
    <w:rsid w:val="004423DD"/>
    <w:rsid w:val="00443144"/>
    <w:rsid w:val="00443271"/>
    <w:rsid w:val="00443502"/>
    <w:rsid w:val="00443633"/>
    <w:rsid w:val="004439D5"/>
    <w:rsid w:val="00443BE6"/>
    <w:rsid w:val="00443C20"/>
    <w:rsid w:val="004443AF"/>
    <w:rsid w:val="004454B1"/>
    <w:rsid w:val="00445853"/>
    <w:rsid w:val="0044585B"/>
    <w:rsid w:val="004458C6"/>
    <w:rsid w:val="0044690D"/>
    <w:rsid w:val="00446F9B"/>
    <w:rsid w:val="00450066"/>
    <w:rsid w:val="004509BB"/>
    <w:rsid w:val="0045104F"/>
    <w:rsid w:val="00451085"/>
    <w:rsid w:val="004511BE"/>
    <w:rsid w:val="00451412"/>
    <w:rsid w:val="004518E2"/>
    <w:rsid w:val="004526CB"/>
    <w:rsid w:val="00452CDE"/>
    <w:rsid w:val="00453120"/>
    <w:rsid w:val="004545B2"/>
    <w:rsid w:val="0045476C"/>
    <w:rsid w:val="00454B1D"/>
    <w:rsid w:val="00454CBA"/>
    <w:rsid w:val="00454FFE"/>
    <w:rsid w:val="004557FE"/>
    <w:rsid w:val="00455CF0"/>
    <w:rsid w:val="00455DD6"/>
    <w:rsid w:val="0045619A"/>
    <w:rsid w:val="0045641C"/>
    <w:rsid w:val="00456774"/>
    <w:rsid w:val="00456A40"/>
    <w:rsid w:val="00456E05"/>
    <w:rsid w:val="00456FDF"/>
    <w:rsid w:val="004570C8"/>
    <w:rsid w:val="00457CC6"/>
    <w:rsid w:val="00457FDB"/>
    <w:rsid w:val="00460681"/>
    <w:rsid w:val="004621AE"/>
    <w:rsid w:val="0046231E"/>
    <w:rsid w:val="00462867"/>
    <w:rsid w:val="00462EED"/>
    <w:rsid w:val="00463290"/>
    <w:rsid w:val="00464281"/>
    <w:rsid w:val="004645C9"/>
    <w:rsid w:val="004649C0"/>
    <w:rsid w:val="00464B54"/>
    <w:rsid w:val="00464D5C"/>
    <w:rsid w:val="00464E84"/>
    <w:rsid w:val="0046582E"/>
    <w:rsid w:val="00466D56"/>
    <w:rsid w:val="0046767C"/>
    <w:rsid w:val="00467820"/>
    <w:rsid w:val="00467FCF"/>
    <w:rsid w:val="00470AD1"/>
    <w:rsid w:val="00470D94"/>
    <w:rsid w:val="0047111E"/>
    <w:rsid w:val="0047192E"/>
    <w:rsid w:val="00471BFC"/>
    <w:rsid w:val="00471EA0"/>
    <w:rsid w:val="004726BC"/>
    <w:rsid w:val="00472FFC"/>
    <w:rsid w:val="004731FD"/>
    <w:rsid w:val="004733F2"/>
    <w:rsid w:val="00473B52"/>
    <w:rsid w:val="00473DB4"/>
    <w:rsid w:val="00473E5C"/>
    <w:rsid w:val="004742AF"/>
    <w:rsid w:val="00474965"/>
    <w:rsid w:val="00475AC3"/>
    <w:rsid w:val="00475BB3"/>
    <w:rsid w:val="00475FF0"/>
    <w:rsid w:val="004762F7"/>
    <w:rsid w:val="004765C6"/>
    <w:rsid w:val="00476926"/>
    <w:rsid w:val="00477005"/>
    <w:rsid w:val="00477B11"/>
    <w:rsid w:val="004804C4"/>
    <w:rsid w:val="004809B5"/>
    <w:rsid w:val="00481436"/>
    <w:rsid w:val="00481496"/>
    <w:rsid w:val="004826CB"/>
    <w:rsid w:val="00482A61"/>
    <w:rsid w:val="00482AD0"/>
    <w:rsid w:val="004831D1"/>
    <w:rsid w:val="0048341E"/>
    <w:rsid w:val="0048347C"/>
    <w:rsid w:val="0048366F"/>
    <w:rsid w:val="00483767"/>
    <w:rsid w:val="00483786"/>
    <w:rsid w:val="00483A25"/>
    <w:rsid w:val="00483E4C"/>
    <w:rsid w:val="0048455F"/>
    <w:rsid w:val="00484786"/>
    <w:rsid w:val="0048560E"/>
    <w:rsid w:val="00485D09"/>
    <w:rsid w:val="00485EAE"/>
    <w:rsid w:val="00486463"/>
    <w:rsid w:val="0048695B"/>
    <w:rsid w:val="00486B14"/>
    <w:rsid w:val="00487E5F"/>
    <w:rsid w:val="00487E71"/>
    <w:rsid w:val="00487ECA"/>
    <w:rsid w:val="0049082E"/>
    <w:rsid w:val="00490AE7"/>
    <w:rsid w:val="00490BB7"/>
    <w:rsid w:val="00490ED0"/>
    <w:rsid w:val="00491151"/>
    <w:rsid w:val="00491222"/>
    <w:rsid w:val="00491A1D"/>
    <w:rsid w:val="00491BFD"/>
    <w:rsid w:val="00491ECE"/>
    <w:rsid w:val="00492027"/>
    <w:rsid w:val="00492164"/>
    <w:rsid w:val="004923A9"/>
    <w:rsid w:val="00492D68"/>
    <w:rsid w:val="00492D80"/>
    <w:rsid w:val="004933EC"/>
    <w:rsid w:val="0049343B"/>
    <w:rsid w:val="004938E3"/>
    <w:rsid w:val="0049504E"/>
    <w:rsid w:val="00495178"/>
    <w:rsid w:val="0049568D"/>
    <w:rsid w:val="00495FF6"/>
    <w:rsid w:val="0049600D"/>
    <w:rsid w:val="00496476"/>
    <w:rsid w:val="004965D2"/>
    <w:rsid w:val="00496708"/>
    <w:rsid w:val="00496AD6"/>
    <w:rsid w:val="00496B13"/>
    <w:rsid w:val="00497768"/>
    <w:rsid w:val="00497910"/>
    <w:rsid w:val="004A0540"/>
    <w:rsid w:val="004A0615"/>
    <w:rsid w:val="004A0DDB"/>
    <w:rsid w:val="004A0E16"/>
    <w:rsid w:val="004A1064"/>
    <w:rsid w:val="004A1DD4"/>
    <w:rsid w:val="004A2057"/>
    <w:rsid w:val="004A28A8"/>
    <w:rsid w:val="004A2C11"/>
    <w:rsid w:val="004A2C3E"/>
    <w:rsid w:val="004A3962"/>
    <w:rsid w:val="004A3EFC"/>
    <w:rsid w:val="004A3F7F"/>
    <w:rsid w:val="004A452C"/>
    <w:rsid w:val="004A45A1"/>
    <w:rsid w:val="004A4775"/>
    <w:rsid w:val="004A494C"/>
    <w:rsid w:val="004A5102"/>
    <w:rsid w:val="004A5523"/>
    <w:rsid w:val="004A56A3"/>
    <w:rsid w:val="004A5A30"/>
    <w:rsid w:val="004A6174"/>
    <w:rsid w:val="004A6669"/>
    <w:rsid w:val="004A6AC9"/>
    <w:rsid w:val="004A6D03"/>
    <w:rsid w:val="004A7000"/>
    <w:rsid w:val="004A72C1"/>
    <w:rsid w:val="004A73CA"/>
    <w:rsid w:val="004A77D2"/>
    <w:rsid w:val="004A7AD6"/>
    <w:rsid w:val="004B02F1"/>
    <w:rsid w:val="004B08CD"/>
    <w:rsid w:val="004B0FFB"/>
    <w:rsid w:val="004B121C"/>
    <w:rsid w:val="004B19FE"/>
    <w:rsid w:val="004B1FFE"/>
    <w:rsid w:val="004B23FE"/>
    <w:rsid w:val="004B3338"/>
    <w:rsid w:val="004B40FB"/>
    <w:rsid w:val="004B4C06"/>
    <w:rsid w:val="004B5E56"/>
    <w:rsid w:val="004B6071"/>
    <w:rsid w:val="004B61DC"/>
    <w:rsid w:val="004B64AE"/>
    <w:rsid w:val="004B729E"/>
    <w:rsid w:val="004B73DB"/>
    <w:rsid w:val="004B75BB"/>
    <w:rsid w:val="004B75CE"/>
    <w:rsid w:val="004B765D"/>
    <w:rsid w:val="004B7A33"/>
    <w:rsid w:val="004C0173"/>
    <w:rsid w:val="004C083F"/>
    <w:rsid w:val="004C09D8"/>
    <w:rsid w:val="004C0A48"/>
    <w:rsid w:val="004C0D41"/>
    <w:rsid w:val="004C1DA3"/>
    <w:rsid w:val="004C266F"/>
    <w:rsid w:val="004C26F6"/>
    <w:rsid w:val="004C2772"/>
    <w:rsid w:val="004C2B6C"/>
    <w:rsid w:val="004C2CF4"/>
    <w:rsid w:val="004C2D34"/>
    <w:rsid w:val="004C2F55"/>
    <w:rsid w:val="004C303A"/>
    <w:rsid w:val="004C366A"/>
    <w:rsid w:val="004C3A1A"/>
    <w:rsid w:val="004C3E09"/>
    <w:rsid w:val="004C400F"/>
    <w:rsid w:val="004C4B15"/>
    <w:rsid w:val="004C4BFC"/>
    <w:rsid w:val="004C5D57"/>
    <w:rsid w:val="004C5FD0"/>
    <w:rsid w:val="004C64F2"/>
    <w:rsid w:val="004C6C16"/>
    <w:rsid w:val="004C6C4C"/>
    <w:rsid w:val="004C786B"/>
    <w:rsid w:val="004C7A87"/>
    <w:rsid w:val="004D038E"/>
    <w:rsid w:val="004D0414"/>
    <w:rsid w:val="004D079D"/>
    <w:rsid w:val="004D1168"/>
    <w:rsid w:val="004D1316"/>
    <w:rsid w:val="004D13FB"/>
    <w:rsid w:val="004D1744"/>
    <w:rsid w:val="004D1928"/>
    <w:rsid w:val="004D1A17"/>
    <w:rsid w:val="004D1C94"/>
    <w:rsid w:val="004D1D03"/>
    <w:rsid w:val="004D1DAD"/>
    <w:rsid w:val="004D25FB"/>
    <w:rsid w:val="004D2EB0"/>
    <w:rsid w:val="004D2F34"/>
    <w:rsid w:val="004D36B4"/>
    <w:rsid w:val="004D377D"/>
    <w:rsid w:val="004D3CF1"/>
    <w:rsid w:val="004D46B1"/>
    <w:rsid w:val="004D5058"/>
    <w:rsid w:val="004D5071"/>
    <w:rsid w:val="004D50EB"/>
    <w:rsid w:val="004D549B"/>
    <w:rsid w:val="004D54B1"/>
    <w:rsid w:val="004D5855"/>
    <w:rsid w:val="004D5981"/>
    <w:rsid w:val="004D6313"/>
    <w:rsid w:val="004D6341"/>
    <w:rsid w:val="004D63D5"/>
    <w:rsid w:val="004D6477"/>
    <w:rsid w:val="004D6C7A"/>
    <w:rsid w:val="004D6CA6"/>
    <w:rsid w:val="004D76AD"/>
    <w:rsid w:val="004D7BD4"/>
    <w:rsid w:val="004D7C4E"/>
    <w:rsid w:val="004D7DF2"/>
    <w:rsid w:val="004E041A"/>
    <w:rsid w:val="004E137E"/>
    <w:rsid w:val="004E1F77"/>
    <w:rsid w:val="004E2233"/>
    <w:rsid w:val="004E23FA"/>
    <w:rsid w:val="004E2479"/>
    <w:rsid w:val="004E2865"/>
    <w:rsid w:val="004E2E7A"/>
    <w:rsid w:val="004E2EC5"/>
    <w:rsid w:val="004E3B5F"/>
    <w:rsid w:val="004E3D8A"/>
    <w:rsid w:val="004E40AA"/>
    <w:rsid w:val="004E47E4"/>
    <w:rsid w:val="004E4A8A"/>
    <w:rsid w:val="004E5097"/>
    <w:rsid w:val="004E5240"/>
    <w:rsid w:val="004E54F4"/>
    <w:rsid w:val="004E57F4"/>
    <w:rsid w:val="004E6007"/>
    <w:rsid w:val="004E6871"/>
    <w:rsid w:val="004E689D"/>
    <w:rsid w:val="004E6A5F"/>
    <w:rsid w:val="004E6B86"/>
    <w:rsid w:val="004E6E12"/>
    <w:rsid w:val="004E7E35"/>
    <w:rsid w:val="004F0689"/>
    <w:rsid w:val="004F1A19"/>
    <w:rsid w:val="004F1C95"/>
    <w:rsid w:val="004F29D9"/>
    <w:rsid w:val="004F3578"/>
    <w:rsid w:val="004F3FBE"/>
    <w:rsid w:val="004F40D6"/>
    <w:rsid w:val="004F4793"/>
    <w:rsid w:val="004F47EC"/>
    <w:rsid w:val="004F4A4A"/>
    <w:rsid w:val="004F4B78"/>
    <w:rsid w:val="004F60F2"/>
    <w:rsid w:val="004F6493"/>
    <w:rsid w:val="004F668D"/>
    <w:rsid w:val="004F697F"/>
    <w:rsid w:val="004F7181"/>
    <w:rsid w:val="004F718B"/>
    <w:rsid w:val="004F71B5"/>
    <w:rsid w:val="004F725C"/>
    <w:rsid w:val="004F7621"/>
    <w:rsid w:val="004F76CD"/>
    <w:rsid w:val="004F7732"/>
    <w:rsid w:val="004F7893"/>
    <w:rsid w:val="004F7BAE"/>
    <w:rsid w:val="005003A0"/>
    <w:rsid w:val="00500B66"/>
    <w:rsid w:val="005010D8"/>
    <w:rsid w:val="0050143A"/>
    <w:rsid w:val="0050169E"/>
    <w:rsid w:val="005022BC"/>
    <w:rsid w:val="0050246F"/>
    <w:rsid w:val="005028B3"/>
    <w:rsid w:val="00502AC4"/>
    <w:rsid w:val="00502B8D"/>
    <w:rsid w:val="005030E2"/>
    <w:rsid w:val="0050317A"/>
    <w:rsid w:val="00503DCE"/>
    <w:rsid w:val="00503E03"/>
    <w:rsid w:val="005043DC"/>
    <w:rsid w:val="0050446F"/>
    <w:rsid w:val="00504B65"/>
    <w:rsid w:val="005059FE"/>
    <w:rsid w:val="00505B94"/>
    <w:rsid w:val="00505C04"/>
    <w:rsid w:val="00506D39"/>
    <w:rsid w:val="005071AE"/>
    <w:rsid w:val="005076FA"/>
    <w:rsid w:val="00507E70"/>
    <w:rsid w:val="00507F17"/>
    <w:rsid w:val="00507F5F"/>
    <w:rsid w:val="00507F68"/>
    <w:rsid w:val="0051077D"/>
    <w:rsid w:val="00510A1F"/>
    <w:rsid w:val="00510B32"/>
    <w:rsid w:val="0051123C"/>
    <w:rsid w:val="0051140E"/>
    <w:rsid w:val="00511932"/>
    <w:rsid w:val="005126D4"/>
    <w:rsid w:val="005129BF"/>
    <w:rsid w:val="0051321F"/>
    <w:rsid w:val="0051327F"/>
    <w:rsid w:val="0051333D"/>
    <w:rsid w:val="00513358"/>
    <w:rsid w:val="0051349A"/>
    <w:rsid w:val="005135D4"/>
    <w:rsid w:val="00513BAD"/>
    <w:rsid w:val="005140D8"/>
    <w:rsid w:val="005142CF"/>
    <w:rsid w:val="005142D8"/>
    <w:rsid w:val="005142F4"/>
    <w:rsid w:val="005152E5"/>
    <w:rsid w:val="005159BE"/>
    <w:rsid w:val="00515CFF"/>
    <w:rsid w:val="00515D01"/>
    <w:rsid w:val="00516397"/>
    <w:rsid w:val="00516D62"/>
    <w:rsid w:val="00516D9C"/>
    <w:rsid w:val="00517449"/>
    <w:rsid w:val="005176ED"/>
    <w:rsid w:val="005177A4"/>
    <w:rsid w:val="00517E7E"/>
    <w:rsid w:val="00517EE5"/>
    <w:rsid w:val="005207A0"/>
    <w:rsid w:val="00520C6D"/>
    <w:rsid w:val="00520F6D"/>
    <w:rsid w:val="00521790"/>
    <w:rsid w:val="00522DCB"/>
    <w:rsid w:val="00523877"/>
    <w:rsid w:val="00523CE5"/>
    <w:rsid w:val="0052423B"/>
    <w:rsid w:val="0052427E"/>
    <w:rsid w:val="00524768"/>
    <w:rsid w:val="0052479A"/>
    <w:rsid w:val="00525033"/>
    <w:rsid w:val="00525291"/>
    <w:rsid w:val="00525D25"/>
    <w:rsid w:val="00525F2F"/>
    <w:rsid w:val="00526430"/>
    <w:rsid w:val="005267AA"/>
    <w:rsid w:val="00526AF9"/>
    <w:rsid w:val="00526F48"/>
    <w:rsid w:val="00527C0A"/>
    <w:rsid w:val="00530DC2"/>
    <w:rsid w:val="0053112B"/>
    <w:rsid w:val="00531237"/>
    <w:rsid w:val="00531278"/>
    <w:rsid w:val="00531833"/>
    <w:rsid w:val="00531C90"/>
    <w:rsid w:val="00531FD5"/>
    <w:rsid w:val="005343EF"/>
    <w:rsid w:val="00534516"/>
    <w:rsid w:val="00534CA1"/>
    <w:rsid w:val="00534D8E"/>
    <w:rsid w:val="00535265"/>
    <w:rsid w:val="0053540B"/>
    <w:rsid w:val="00535782"/>
    <w:rsid w:val="005359E3"/>
    <w:rsid w:val="00535A13"/>
    <w:rsid w:val="00535C8E"/>
    <w:rsid w:val="00535CB6"/>
    <w:rsid w:val="0053621C"/>
    <w:rsid w:val="005365EF"/>
    <w:rsid w:val="0053673F"/>
    <w:rsid w:val="00537152"/>
    <w:rsid w:val="005374B0"/>
    <w:rsid w:val="00540650"/>
    <w:rsid w:val="005418B9"/>
    <w:rsid w:val="0054224D"/>
    <w:rsid w:val="0054266F"/>
    <w:rsid w:val="00542EA9"/>
    <w:rsid w:val="00542FEC"/>
    <w:rsid w:val="00543668"/>
    <w:rsid w:val="005437A4"/>
    <w:rsid w:val="0054405D"/>
    <w:rsid w:val="005445BB"/>
    <w:rsid w:val="00544606"/>
    <w:rsid w:val="005446C6"/>
    <w:rsid w:val="00544DE1"/>
    <w:rsid w:val="00545043"/>
    <w:rsid w:val="0054555F"/>
    <w:rsid w:val="00546067"/>
    <w:rsid w:val="0054624E"/>
    <w:rsid w:val="005466E1"/>
    <w:rsid w:val="00546EFD"/>
    <w:rsid w:val="00547254"/>
    <w:rsid w:val="00547979"/>
    <w:rsid w:val="00547E29"/>
    <w:rsid w:val="00550063"/>
    <w:rsid w:val="00550147"/>
    <w:rsid w:val="00550D04"/>
    <w:rsid w:val="00550DD4"/>
    <w:rsid w:val="005511A3"/>
    <w:rsid w:val="00551230"/>
    <w:rsid w:val="005514FA"/>
    <w:rsid w:val="0055190A"/>
    <w:rsid w:val="00551CE1"/>
    <w:rsid w:val="005522AB"/>
    <w:rsid w:val="00552BE3"/>
    <w:rsid w:val="00553369"/>
    <w:rsid w:val="00553792"/>
    <w:rsid w:val="00553ECD"/>
    <w:rsid w:val="005540FC"/>
    <w:rsid w:val="00554301"/>
    <w:rsid w:val="00554709"/>
    <w:rsid w:val="005549BB"/>
    <w:rsid w:val="00554A6E"/>
    <w:rsid w:val="00554C8C"/>
    <w:rsid w:val="00555705"/>
    <w:rsid w:val="005562E7"/>
    <w:rsid w:val="005564AE"/>
    <w:rsid w:val="00556688"/>
    <w:rsid w:val="00556B5A"/>
    <w:rsid w:val="00557016"/>
    <w:rsid w:val="005571BD"/>
    <w:rsid w:val="0055774A"/>
    <w:rsid w:val="005577CF"/>
    <w:rsid w:val="00557A98"/>
    <w:rsid w:val="00557ACA"/>
    <w:rsid w:val="00557E60"/>
    <w:rsid w:val="00557F8C"/>
    <w:rsid w:val="00560494"/>
    <w:rsid w:val="00560AE1"/>
    <w:rsid w:val="00560C0C"/>
    <w:rsid w:val="005611C4"/>
    <w:rsid w:val="00561DA7"/>
    <w:rsid w:val="00561DAF"/>
    <w:rsid w:val="005621AA"/>
    <w:rsid w:val="005626B0"/>
    <w:rsid w:val="00562ACA"/>
    <w:rsid w:val="00563390"/>
    <w:rsid w:val="00563D01"/>
    <w:rsid w:val="00563F2B"/>
    <w:rsid w:val="00563F34"/>
    <w:rsid w:val="005642D1"/>
    <w:rsid w:val="00564E66"/>
    <w:rsid w:val="00564E93"/>
    <w:rsid w:val="00565709"/>
    <w:rsid w:val="00566368"/>
    <w:rsid w:val="005664F9"/>
    <w:rsid w:val="00566653"/>
    <w:rsid w:val="005668BD"/>
    <w:rsid w:val="00566B72"/>
    <w:rsid w:val="00566F6A"/>
    <w:rsid w:val="0056742C"/>
    <w:rsid w:val="005678F2"/>
    <w:rsid w:val="005702DF"/>
    <w:rsid w:val="005709DC"/>
    <w:rsid w:val="005715F2"/>
    <w:rsid w:val="0057249C"/>
    <w:rsid w:val="0057304A"/>
    <w:rsid w:val="005734AF"/>
    <w:rsid w:val="00573608"/>
    <w:rsid w:val="005738B3"/>
    <w:rsid w:val="00573E61"/>
    <w:rsid w:val="005746C1"/>
    <w:rsid w:val="005749A2"/>
    <w:rsid w:val="005750C9"/>
    <w:rsid w:val="005750CA"/>
    <w:rsid w:val="00575201"/>
    <w:rsid w:val="005760AF"/>
    <w:rsid w:val="0057662D"/>
    <w:rsid w:val="00576B1D"/>
    <w:rsid w:val="00576C47"/>
    <w:rsid w:val="005775AB"/>
    <w:rsid w:val="005776AF"/>
    <w:rsid w:val="00577DBB"/>
    <w:rsid w:val="00577DCE"/>
    <w:rsid w:val="00577F6B"/>
    <w:rsid w:val="00577FED"/>
    <w:rsid w:val="00580487"/>
    <w:rsid w:val="00580A5D"/>
    <w:rsid w:val="00580EA9"/>
    <w:rsid w:val="00581486"/>
    <w:rsid w:val="00582346"/>
    <w:rsid w:val="00582589"/>
    <w:rsid w:val="0058261B"/>
    <w:rsid w:val="00582D47"/>
    <w:rsid w:val="00583804"/>
    <w:rsid w:val="00583F5D"/>
    <w:rsid w:val="00584C28"/>
    <w:rsid w:val="0058504E"/>
    <w:rsid w:val="005851F0"/>
    <w:rsid w:val="005858C7"/>
    <w:rsid w:val="005866CE"/>
    <w:rsid w:val="00586998"/>
    <w:rsid w:val="00586D48"/>
    <w:rsid w:val="00587457"/>
    <w:rsid w:val="00587730"/>
    <w:rsid w:val="005877E9"/>
    <w:rsid w:val="00587C41"/>
    <w:rsid w:val="00587C8A"/>
    <w:rsid w:val="00590387"/>
    <w:rsid w:val="005903E2"/>
    <w:rsid w:val="00590C85"/>
    <w:rsid w:val="00590DA3"/>
    <w:rsid w:val="0059107A"/>
    <w:rsid w:val="00591C17"/>
    <w:rsid w:val="00591EEA"/>
    <w:rsid w:val="00592812"/>
    <w:rsid w:val="00592DB5"/>
    <w:rsid w:val="00592F19"/>
    <w:rsid w:val="00593116"/>
    <w:rsid w:val="00593654"/>
    <w:rsid w:val="005936A4"/>
    <w:rsid w:val="00593820"/>
    <w:rsid w:val="00593A6D"/>
    <w:rsid w:val="00593B3D"/>
    <w:rsid w:val="0059480D"/>
    <w:rsid w:val="00594CCA"/>
    <w:rsid w:val="00594CE2"/>
    <w:rsid w:val="005950F8"/>
    <w:rsid w:val="005952AD"/>
    <w:rsid w:val="00595430"/>
    <w:rsid w:val="00595CFC"/>
    <w:rsid w:val="00596131"/>
    <w:rsid w:val="00596288"/>
    <w:rsid w:val="005962E7"/>
    <w:rsid w:val="0059684A"/>
    <w:rsid w:val="00596917"/>
    <w:rsid w:val="00596E88"/>
    <w:rsid w:val="00597885"/>
    <w:rsid w:val="00597CD9"/>
    <w:rsid w:val="00597D5C"/>
    <w:rsid w:val="00597F01"/>
    <w:rsid w:val="00597F10"/>
    <w:rsid w:val="005A0266"/>
    <w:rsid w:val="005A07D5"/>
    <w:rsid w:val="005A0F9D"/>
    <w:rsid w:val="005A22D5"/>
    <w:rsid w:val="005A232C"/>
    <w:rsid w:val="005A41BA"/>
    <w:rsid w:val="005A48A3"/>
    <w:rsid w:val="005A49F5"/>
    <w:rsid w:val="005A4BE9"/>
    <w:rsid w:val="005A66C5"/>
    <w:rsid w:val="005A722D"/>
    <w:rsid w:val="005A762B"/>
    <w:rsid w:val="005B0643"/>
    <w:rsid w:val="005B107E"/>
    <w:rsid w:val="005B164A"/>
    <w:rsid w:val="005B1784"/>
    <w:rsid w:val="005B1957"/>
    <w:rsid w:val="005B1986"/>
    <w:rsid w:val="005B1B5C"/>
    <w:rsid w:val="005B29B2"/>
    <w:rsid w:val="005B331F"/>
    <w:rsid w:val="005B3567"/>
    <w:rsid w:val="005B37D4"/>
    <w:rsid w:val="005B402C"/>
    <w:rsid w:val="005B416D"/>
    <w:rsid w:val="005B4543"/>
    <w:rsid w:val="005B4D5F"/>
    <w:rsid w:val="005B55F0"/>
    <w:rsid w:val="005B58AB"/>
    <w:rsid w:val="005B58C0"/>
    <w:rsid w:val="005B633C"/>
    <w:rsid w:val="005B6547"/>
    <w:rsid w:val="005B69F0"/>
    <w:rsid w:val="005B6BF0"/>
    <w:rsid w:val="005B6DBE"/>
    <w:rsid w:val="005C03E1"/>
    <w:rsid w:val="005C051E"/>
    <w:rsid w:val="005C05FF"/>
    <w:rsid w:val="005C081A"/>
    <w:rsid w:val="005C0897"/>
    <w:rsid w:val="005C169A"/>
    <w:rsid w:val="005C179E"/>
    <w:rsid w:val="005C1ACC"/>
    <w:rsid w:val="005C2B4C"/>
    <w:rsid w:val="005C2B65"/>
    <w:rsid w:val="005C3DE7"/>
    <w:rsid w:val="005C4049"/>
    <w:rsid w:val="005C4799"/>
    <w:rsid w:val="005C49A6"/>
    <w:rsid w:val="005C5180"/>
    <w:rsid w:val="005C57BE"/>
    <w:rsid w:val="005C5FD6"/>
    <w:rsid w:val="005C6408"/>
    <w:rsid w:val="005C6E97"/>
    <w:rsid w:val="005C7782"/>
    <w:rsid w:val="005C7897"/>
    <w:rsid w:val="005C7D52"/>
    <w:rsid w:val="005D016A"/>
    <w:rsid w:val="005D0475"/>
    <w:rsid w:val="005D0AC1"/>
    <w:rsid w:val="005D103B"/>
    <w:rsid w:val="005D1406"/>
    <w:rsid w:val="005D2BFA"/>
    <w:rsid w:val="005D2EF2"/>
    <w:rsid w:val="005D36B3"/>
    <w:rsid w:val="005D38BA"/>
    <w:rsid w:val="005D3A07"/>
    <w:rsid w:val="005D3BD0"/>
    <w:rsid w:val="005D4D94"/>
    <w:rsid w:val="005D56A7"/>
    <w:rsid w:val="005D634A"/>
    <w:rsid w:val="005D6535"/>
    <w:rsid w:val="005D6AE9"/>
    <w:rsid w:val="005D6F82"/>
    <w:rsid w:val="005D7A44"/>
    <w:rsid w:val="005D7E24"/>
    <w:rsid w:val="005E01D7"/>
    <w:rsid w:val="005E03BD"/>
    <w:rsid w:val="005E0726"/>
    <w:rsid w:val="005E0F8A"/>
    <w:rsid w:val="005E156C"/>
    <w:rsid w:val="005E2AFA"/>
    <w:rsid w:val="005E2C27"/>
    <w:rsid w:val="005E2E3F"/>
    <w:rsid w:val="005E312D"/>
    <w:rsid w:val="005E31D5"/>
    <w:rsid w:val="005E3833"/>
    <w:rsid w:val="005E3CC7"/>
    <w:rsid w:val="005E3E61"/>
    <w:rsid w:val="005E4234"/>
    <w:rsid w:val="005E483B"/>
    <w:rsid w:val="005E4C3F"/>
    <w:rsid w:val="005E539A"/>
    <w:rsid w:val="005E563A"/>
    <w:rsid w:val="005E5A0D"/>
    <w:rsid w:val="005E5A20"/>
    <w:rsid w:val="005E6125"/>
    <w:rsid w:val="005E6C83"/>
    <w:rsid w:val="005E744D"/>
    <w:rsid w:val="005E79BA"/>
    <w:rsid w:val="005E7A1F"/>
    <w:rsid w:val="005E7D15"/>
    <w:rsid w:val="005F027B"/>
    <w:rsid w:val="005F07D5"/>
    <w:rsid w:val="005F0922"/>
    <w:rsid w:val="005F1988"/>
    <w:rsid w:val="005F1C6C"/>
    <w:rsid w:val="005F1F59"/>
    <w:rsid w:val="005F20DA"/>
    <w:rsid w:val="005F219A"/>
    <w:rsid w:val="005F2B12"/>
    <w:rsid w:val="005F3447"/>
    <w:rsid w:val="005F374F"/>
    <w:rsid w:val="005F38FE"/>
    <w:rsid w:val="005F43A9"/>
    <w:rsid w:val="005F491C"/>
    <w:rsid w:val="005F4D3A"/>
    <w:rsid w:val="005F4E3C"/>
    <w:rsid w:val="005F5062"/>
    <w:rsid w:val="005F539D"/>
    <w:rsid w:val="005F6185"/>
    <w:rsid w:val="005F6638"/>
    <w:rsid w:val="005F67E0"/>
    <w:rsid w:val="005F68D9"/>
    <w:rsid w:val="005F71F5"/>
    <w:rsid w:val="006000A1"/>
    <w:rsid w:val="00600254"/>
    <w:rsid w:val="00600331"/>
    <w:rsid w:val="0060045B"/>
    <w:rsid w:val="0060056D"/>
    <w:rsid w:val="00600B00"/>
    <w:rsid w:val="00601623"/>
    <w:rsid w:val="0060189D"/>
    <w:rsid w:val="006023E0"/>
    <w:rsid w:val="00603885"/>
    <w:rsid w:val="00606061"/>
    <w:rsid w:val="00606501"/>
    <w:rsid w:val="00606A87"/>
    <w:rsid w:val="00606B1A"/>
    <w:rsid w:val="00606D5D"/>
    <w:rsid w:val="00606DF2"/>
    <w:rsid w:val="006073AE"/>
    <w:rsid w:val="006079CF"/>
    <w:rsid w:val="00607E76"/>
    <w:rsid w:val="00610775"/>
    <w:rsid w:val="0061090B"/>
    <w:rsid w:val="00610A2A"/>
    <w:rsid w:val="00611039"/>
    <w:rsid w:val="00611275"/>
    <w:rsid w:val="00611899"/>
    <w:rsid w:val="00611BA4"/>
    <w:rsid w:val="006123ED"/>
    <w:rsid w:val="00612657"/>
    <w:rsid w:val="0061265B"/>
    <w:rsid w:val="00612925"/>
    <w:rsid w:val="006131BA"/>
    <w:rsid w:val="00613313"/>
    <w:rsid w:val="0061392E"/>
    <w:rsid w:val="00614391"/>
    <w:rsid w:val="006144E1"/>
    <w:rsid w:val="00614552"/>
    <w:rsid w:val="0061500B"/>
    <w:rsid w:val="00615DAA"/>
    <w:rsid w:val="00616486"/>
    <w:rsid w:val="00616674"/>
    <w:rsid w:val="00616CB6"/>
    <w:rsid w:val="00617710"/>
    <w:rsid w:val="0061778E"/>
    <w:rsid w:val="006177C2"/>
    <w:rsid w:val="00617D70"/>
    <w:rsid w:val="0062021C"/>
    <w:rsid w:val="006209E5"/>
    <w:rsid w:val="006224AE"/>
    <w:rsid w:val="0062316D"/>
    <w:rsid w:val="00623986"/>
    <w:rsid w:val="00626FCF"/>
    <w:rsid w:val="00627184"/>
    <w:rsid w:val="00627C6A"/>
    <w:rsid w:val="0063059A"/>
    <w:rsid w:val="006306FD"/>
    <w:rsid w:val="00631B29"/>
    <w:rsid w:val="00631C2F"/>
    <w:rsid w:val="00632045"/>
    <w:rsid w:val="006328EF"/>
    <w:rsid w:val="00633127"/>
    <w:rsid w:val="00633508"/>
    <w:rsid w:val="0063372C"/>
    <w:rsid w:val="00633BF6"/>
    <w:rsid w:val="00634800"/>
    <w:rsid w:val="00635016"/>
    <w:rsid w:val="00635233"/>
    <w:rsid w:val="00635439"/>
    <w:rsid w:val="0063578F"/>
    <w:rsid w:val="00635A8E"/>
    <w:rsid w:val="00635B0A"/>
    <w:rsid w:val="00636237"/>
    <w:rsid w:val="006363C3"/>
    <w:rsid w:val="00636547"/>
    <w:rsid w:val="00636F69"/>
    <w:rsid w:val="00637166"/>
    <w:rsid w:val="00637C25"/>
    <w:rsid w:val="006410DC"/>
    <w:rsid w:val="006411B8"/>
    <w:rsid w:val="00641494"/>
    <w:rsid w:val="006414D8"/>
    <w:rsid w:val="006414F4"/>
    <w:rsid w:val="006415E7"/>
    <w:rsid w:val="00642E9F"/>
    <w:rsid w:val="00643063"/>
    <w:rsid w:val="00643378"/>
    <w:rsid w:val="006433E9"/>
    <w:rsid w:val="006437EC"/>
    <w:rsid w:val="00643C00"/>
    <w:rsid w:val="00643E08"/>
    <w:rsid w:val="00643FFE"/>
    <w:rsid w:val="00644323"/>
    <w:rsid w:val="006444F5"/>
    <w:rsid w:val="00644B3A"/>
    <w:rsid w:val="006452F8"/>
    <w:rsid w:val="0064575C"/>
    <w:rsid w:val="00646044"/>
    <w:rsid w:val="0064605D"/>
    <w:rsid w:val="00646942"/>
    <w:rsid w:val="00646EE8"/>
    <w:rsid w:val="00647689"/>
    <w:rsid w:val="006500AD"/>
    <w:rsid w:val="006500E5"/>
    <w:rsid w:val="00650883"/>
    <w:rsid w:val="006512F2"/>
    <w:rsid w:val="00651B20"/>
    <w:rsid w:val="00651F57"/>
    <w:rsid w:val="00651FA1"/>
    <w:rsid w:val="00652EAB"/>
    <w:rsid w:val="00652FE7"/>
    <w:rsid w:val="00653B46"/>
    <w:rsid w:val="00653D1D"/>
    <w:rsid w:val="00653E74"/>
    <w:rsid w:val="00654180"/>
    <w:rsid w:val="00654274"/>
    <w:rsid w:val="00654834"/>
    <w:rsid w:val="006549E7"/>
    <w:rsid w:val="00654EA4"/>
    <w:rsid w:val="00654FAF"/>
    <w:rsid w:val="006551EE"/>
    <w:rsid w:val="00656425"/>
    <w:rsid w:val="00657CBC"/>
    <w:rsid w:val="00657FD1"/>
    <w:rsid w:val="00660523"/>
    <w:rsid w:val="0066069D"/>
    <w:rsid w:val="00661471"/>
    <w:rsid w:val="006617A0"/>
    <w:rsid w:val="00661852"/>
    <w:rsid w:val="0066215F"/>
    <w:rsid w:val="006628FB"/>
    <w:rsid w:val="00662959"/>
    <w:rsid w:val="00663A9D"/>
    <w:rsid w:val="00663FBE"/>
    <w:rsid w:val="00664058"/>
    <w:rsid w:val="006645E8"/>
    <w:rsid w:val="00664601"/>
    <w:rsid w:val="00664687"/>
    <w:rsid w:val="006650CA"/>
    <w:rsid w:val="0066543F"/>
    <w:rsid w:val="006655B7"/>
    <w:rsid w:val="00665B7D"/>
    <w:rsid w:val="00665BCD"/>
    <w:rsid w:val="0066618B"/>
    <w:rsid w:val="0066651C"/>
    <w:rsid w:val="00666955"/>
    <w:rsid w:val="00666BEC"/>
    <w:rsid w:val="00666FCE"/>
    <w:rsid w:val="0066782F"/>
    <w:rsid w:val="00667A9F"/>
    <w:rsid w:val="00667B19"/>
    <w:rsid w:val="00670091"/>
    <w:rsid w:val="00670B81"/>
    <w:rsid w:val="00670C8C"/>
    <w:rsid w:val="006714CD"/>
    <w:rsid w:val="0067154B"/>
    <w:rsid w:val="00671786"/>
    <w:rsid w:val="00671A64"/>
    <w:rsid w:val="00671C7E"/>
    <w:rsid w:val="00672962"/>
    <w:rsid w:val="006729AE"/>
    <w:rsid w:val="00672A0F"/>
    <w:rsid w:val="00674DEE"/>
    <w:rsid w:val="00675635"/>
    <w:rsid w:val="00675C3E"/>
    <w:rsid w:val="00677464"/>
    <w:rsid w:val="00677725"/>
    <w:rsid w:val="006778F0"/>
    <w:rsid w:val="00677D13"/>
    <w:rsid w:val="0068010F"/>
    <w:rsid w:val="006804C2"/>
    <w:rsid w:val="006807DB"/>
    <w:rsid w:val="006809E2"/>
    <w:rsid w:val="00680C9B"/>
    <w:rsid w:val="00680DB2"/>
    <w:rsid w:val="006813F6"/>
    <w:rsid w:val="00681516"/>
    <w:rsid w:val="00681D03"/>
    <w:rsid w:val="00682A02"/>
    <w:rsid w:val="00682C42"/>
    <w:rsid w:val="00682DD6"/>
    <w:rsid w:val="00683EC2"/>
    <w:rsid w:val="00684BD6"/>
    <w:rsid w:val="00685715"/>
    <w:rsid w:val="006858BE"/>
    <w:rsid w:val="006859B2"/>
    <w:rsid w:val="00685E51"/>
    <w:rsid w:val="00685E55"/>
    <w:rsid w:val="0068629E"/>
    <w:rsid w:val="0068677F"/>
    <w:rsid w:val="00686C95"/>
    <w:rsid w:val="00687023"/>
    <w:rsid w:val="006874C4"/>
    <w:rsid w:val="006901C8"/>
    <w:rsid w:val="006902DB"/>
    <w:rsid w:val="00690B81"/>
    <w:rsid w:val="00690DD2"/>
    <w:rsid w:val="00691134"/>
    <w:rsid w:val="0069125C"/>
    <w:rsid w:val="006918BD"/>
    <w:rsid w:val="00692BD5"/>
    <w:rsid w:val="00693EEA"/>
    <w:rsid w:val="006948C6"/>
    <w:rsid w:val="00694EA6"/>
    <w:rsid w:val="0069536B"/>
    <w:rsid w:val="006955BA"/>
    <w:rsid w:val="006956CF"/>
    <w:rsid w:val="00695B7B"/>
    <w:rsid w:val="00696733"/>
    <w:rsid w:val="0069681A"/>
    <w:rsid w:val="00696AD5"/>
    <w:rsid w:val="00696E69"/>
    <w:rsid w:val="006975DD"/>
    <w:rsid w:val="0069761F"/>
    <w:rsid w:val="006978FB"/>
    <w:rsid w:val="00697B06"/>
    <w:rsid w:val="00697B88"/>
    <w:rsid w:val="00697BD3"/>
    <w:rsid w:val="00697DCF"/>
    <w:rsid w:val="00697E7B"/>
    <w:rsid w:val="006A01BE"/>
    <w:rsid w:val="006A09E9"/>
    <w:rsid w:val="006A0D96"/>
    <w:rsid w:val="006A174F"/>
    <w:rsid w:val="006A197C"/>
    <w:rsid w:val="006A2538"/>
    <w:rsid w:val="006A291A"/>
    <w:rsid w:val="006A2A49"/>
    <w:rsid w:val="006A2CD3"/>
    <w:rsid w:val="006A3398"/>
    <w:rsid w:val="006A35CF"/>
    <w:rsid w:val="006A38DC"/>
    <w:rsid w:val="006A3FCB"/>
    <w:rsid w:val="006A4495"/>
    <w:rsid w:val="006A5210"/>
    <w:rsid w:val="006A55DF"/>
    <w:rsid w:val="006A5E89"/>
    <w:rsid w:val="006A6369"/>
    <w:rsid w:val="006A70E6"/>
    <w:rsid w:val="006A7777"/>
    <w:rsid w:val="006A7EDE"/>
    <w:rsid w:val="006B0A4E"/>
    <w:rsid w:val="006B0E5F"/>
    <w:rsid w:val="006B0E75"/>
    <w:rsid w:val="006B1232"/>
    <w:rsid w:val="006B1440"/>
    <w:rsid w:val="006B146F"/>
    <w:rsid w:val="006B1A0C"/>
    <w:rsid w:val="006B291F"/>
    <w:rsid w:val="006B2FA7"/>
    <w:rsid w:val="006B32E6"/>
    <w:rsid w:val="006B4CF9"/>
    <w:rsid w:val="006B4F6C"/>
    <w:rsid w:val="006B5B74"/>
    <w:rsid w:val="006B680B"/>
    <w:rsid w:val="006B6DB1"/>
    <w:rsid w:val="006B75A2"/>
    <w:rsid w:val="006B7F49"/>
    <w:rsid w:val="006C03E5"/>
    <w:rsid w:val="006C0565"/>
    <w:rsid w:val="006C05A0"/>
    <w:rsid w:val="006C13DE"/>
    <w:rsid w:val="006C15A2"/>
    <w:rsid w:val="006C1A7A"/>
    <w:rsid w:val="006C1CC9"/>
    <w:rsid w:val="006C1EA0"/>
    <w:rsid w:val="006C2139"/>
    <w:rsid w:val="006C2E77"/>
    <w:rsid w:val="006C2FF0"/>
    <w:rsid w:val="006C32FD"/>
    <w:rsid w:val="006C35F2"/>
    <w:rsid w:val="006C3B8A"/>
    <w:rsid w:val="006C3D4E"/>
    <w:rsid w:val="006C43A8"/>
    <w:rsid w:val="006C4553"/>
    <w:rsid w:val="006C50BB"/>
    <w:rsid w:val="006C52A8"/>
    <w:rsid w:val="006C5562"/>
    <w:rsid w:val="006C640E"/>
    <w:rsid w:val="006C64F4"/>
    <w:rsid w:val="006C6B67"/>
    <w:rsid w:val="006C6C3B"/>
    <w:rsid w:val="006C6C7B"/>
    <w:rsid w:val="006C6F62"/>
    <w:rsid w:val="006C7CC7"/>
    <w:rsid w:val="006D0460"/>
    <w:rsid w:val="006D0E9C"/>
    <w:rsid w:val="006D1037"/>
    <w:rsid w:val="006D135F"/>
    <w:rsid w:val="006D18D9"/>
    <w:rsid w:val="006D1DAD"/>
    <w:rsid w:val="006D288F"/>
    <w:rsid w:val="006D2C47"/>
    <w:rsid w:val="006D315C"/>
    <w:rsid w:val="006D3550"/>
    <w:rsid w:val="006D35CE"/>
    <w:rsid w:val="006D453B"/>
    <w:rsid w:val="006D49A0"/>
    <w:rsid w:val="006D4ACA"/>
    <w:rsid w:val="006D4D32"/>
    <w:rsid w:val="006D5189"/>
    <w:rsid w:val="006D592A"/>
    <w:rsid w:val="006D595C"/>
    <w:rsid w:val="006D5CA4"/>
    <w:rsid w:val="006D5D12"/>
    <w:rsid w:val="006D5F2E"/>
    <w:rsid w:val="006D66F9"/>
    <w:rsid w:val="006D6766"/>
    <w:rsid w:val="006D729D"/>
    <w:rsid w:val="006D7E2F"/>
    <w:rsid w:val="006E0371"/>
    <w:rsid w:val="006E0589"/>
    <w:rsid w:val="006E09D2"/>
    <w:rsid w:val="006E172A"/>
    <w:rsid w:val="006E176B"/>
    <w:rsid w:val="006E1A6F"/>
    <w:rsid w:val="006E1EF5"/>
    <w:rsid w:val="006E1F94"/>
    <w:rsid w:val="006E273B"/>
    <w:rsid w:val="006E2EF6"/>
    <w:rsid w:val="006E355D"/>
    <w:rsid w:val="006E42BA"/>
    <w:rsid w:val="006E4FA9"/>
    <w:rsid w:val="006E5217"/>
    <w:rsid w:val="006E535E"/>
    <w:rsid w:val="006E5A85"/>
    <w:rsid w:val="006E5B15"/>
    <w:rsid w:val="006E6073"/>
    <w:rsid w:val="006E6116"/>
    <w:rsid w:val="006E645D"/>
    <w:rsid w:val="006E6D2C"/>
    <w:rsid w:val="006E6D7B"/>
    <w:rsid w:val="006E6EB1"/>
    <w:rsid w:val="006E74C9"/>
    <w:rsid w:val="006E76EF"/>
    <w:rsid w:val="006E7C87"/>
    <w:rsid w:val="006F04E7"/>
    <w:rsid w:val="006F0CB4"/>
    <w:rsid w:val="006F19B2"/>
    <w:rsid w:val="006F1A07"/>
    <w:rsid w:val="006F1FEF"/>
    <w:rsid w:val="006F21F5"/>
    <w:rsid w:val="006F2526"/>
    <w:rsid w:val="006F26DD"/>
    <w:rsid w:val="006F2ED1"/>
    <w:rsid w:val="006F3EB8"/>
    <w:rsid w:val="006F44DC"/>
    <w:rsid w:val="006F4663"/>
    <w:rsid w:val="006F4AFB"/>
    <w:rsid w:val="006F5488"/>
    <w:rsid w:val="006F6635"/>
    <w:rsid w:val="006F6B41"/>
    <w:rsid w:val="006F728E"/>
    <w:rsid w:val="006F75A9"/>
    <w:rsid w:val="006F766E"/>
    <w:rsid w:val="006F7F36"/>
    <w:rsid w:val="006FEDCA"/>
    <w:rsid w:val="00700440"/>
    <w:rsid w:val="00700507"/>
    <w:rsid w:val="007009CB"/>
    <w:rsid w:val="00700DB1"/>
    <w:rsid w:val="00701901"/>
    <w:rsid w:val="00701A3F"/>
    <w:rsid w:val="007021C4"/>
    <w:rsid w:val="007022BB"/>
    <w:rsid w:val="0070247A"/>
    <w:rsid w:val="00702995"/>
    <w:rsid w:val="00702A71"/>
    <w:rsid w:val="00702C8A"/>
    <w:rsid w:val="007054FC"/>
    <w:rsid w:val="0070590C"/>
    <w:rsid w:val="00705EB3"/>
    <w:rsid w:val="00705EB9"/>
    <w:rsid w:val="00706756"/>
    <w:rsid w:val="0070759A"/>
    <w:rsid w:val="007075DF"/>
    <w:rsid w:val="00707E2C"/>
    <w:rsid w:val="0071002B"/>
    <w:rsid w:val="00710032"/>
    <w:rsid w:val="00710159"/>
    <w:rsid w:val="007101CA"/>
    <w:rsid w:val="00710262"/>
    <w:rsid w:val="007106E9"/>
    <w:rsid w:val="00710813"/>
    <w:rsid w:val="00710C11"/>
    <w:rsid w:val="00710D3F"/>
    <w:rsid w:val="00711266"/>
    <w:rsid w:val="007118E7"/>
    <w:rsid w:val="00712ADA"/>
    <w:rsid w:val="00713904"/>
    <w:rsid w:val="00713906"/>
    <w:rsid w:val="00713C1C"/>
    <w:rsid w:val="00713F64"/>
    <w:rsid w:val="007148AE"/>
    <w:rsid w:val="007148C0"/>
    <w:rsid w:val="007150F0"/>
    <w:rsid w:val="0071524B"/>
    <w:rsid w:val="007152F0"/>
    <w:rsid w:val="00715F5D"/>
    <w:rsid w:val="007162C2"/>
    <w:rsid w:val="007162DA"/>
    <w:rsid w:val="00716D78"/>
    <w:rsid w:val="007172A2"/>
    <w:rsid w:val="00717619"/>
    <w:rsid w:val="00717BC2"/>
    <w:rsid w:val="00717D12"/>
    <w:rsid w:val="00720545"/>
    <w:rsid w:val="00721B17"/>
    <w:rsid w:val="00722428"/>
    <w:rsid w:val="0072266F"/>
    <w:rsid w:val="00722C4E"/>
    <w:rsid w:val="00722F16"/>
    <w:rsid w:val="00722FE8"/>
    <w:rsid w:val="00723340"/>
    <w:rsid w:val="0072340E"/>
    <w:rsid w:val="00723C3C"/>
    <w:rsid w:val="0072476C"/>
    <w:rsid w:val="00724A2A"/>
    <w:rsid w:val="00724B56"/>
    <w:rsid w:val="0072529E"/>
    <w:rsid w:val="007252F7"/>
    <w:rsid w:val="0072538F"/>
    <w:rsid w:val="0072656C"/>
    <w:rsid w:val="00726689"/>
    <w:rsid w:val="00727707"/>
    <w:rsid w:val="00727A0C"/>
    <w:rsid w:val="00730513"/>
    <w:rsid w:val="00730746"/>
    <w:rsid w:val="00730823"/>
    <w:rsid w:val="00730AB2"/>
    <w:rsid w:val="00731C06"/>
    <w:rsid w:val="0073214B"/>
    <w:rsid w:val="00732191"/>
    <w:rsid w:val="00733A37"/>
    <w:rsid w:val="00733CCA"/>
    <w:rsid w:val="00733EF8"/>
    <w:rsid w:val="0073414B"/>
    <w:rsid w:val="00735374"/>
    <w:rsid w:val="007359D8"/>
    <w:rsid w:val="00735DA4"/>
    <w:rsid w:val="00735F0F"/>
    <w:rsid w:val="007361F8"/>
    <w:rsid w:val="00736431"/>
    <w:rsid w:val="0073677A"/>
    <w:rsid w:val="0073705C"/>
    <w:rsid w:val="007404BD"/>
    <w:rsid w:val="00740789"/>
    <w:rsid w:val="00741045"/>
    <w:rsid w:val="00741505"/>
    <w:rsid w:val="007415BC"/>
    <w:rsid w:val="007417A0"/>
    <w:rsid w:val="00741804"/>
    <w:rsid w:val="00741ED5"/>
    <w:rsid w:val="00742462"/>
    <w:rsid w:val="00742F0B"/>
    <w:rsid w:val="00742F80"/>
    <w:rsid w:val="00744FB6"/>
    <w:rsid w:val="0074530A"/>
    <w:rsid w:val="0074591A"/>
    <w:rsid w:val="0074595E"/>
    <w:rsid w:val="0074597A"/>
    <w:rsid w:val="00745E4B"/>
    <w:rsid w:val="007460AD"/>
    <w:rsid w:val="00746882"/>
    <w:rsid w:val="00746D5D"/>
    <w:rsid w:val="00746FB4"/>
    <w:rsid w:val="00747F9A"/>
    <w:rsid w:val="0075041F"/>
    <w:rsid w:val="00750732"/>
    <w:rsid w:val="0075085B"/>
    <w:rsid w:val="00751055"/>
    <w:rsid w:val="00751114"/>
    <w:rsid w:val="00751A39"/>
    <w:rsid w:val="00752124"/>
    <w:rsid w:val="0075228C"/>
    <w:rsid w:val="007523DD"/>
    <w:rsid w:val="007526BF"/>
    <w:rsid w:val="00752878"/>
    <w:rsid w:val="00753054"/>
    <w:rsid w:val="00753650"/>
    <w:rsid w:val="00753C1A"/>
    <w:rsid w:val="007553B4"/>
    <w:rsid w:val="007556D1"/>
    <w:rsid w:val="00755D85"/>
    <w:rsid w:val="0075609D"/>
    <w:rsid w:val="00756CA0"/>
    <w:rsid w:val="00756D43"/>
    <w:rsid w:val="00756E0D"/>
    <w:rsid w:val="007570B3"/>
    <w:rsid w:val="00757B55"/>
    <w:rsid w:val="00760866"/>
    <w:rsid w:val="00760E82"/>
    <w:rsid w:val="00761355"/>
    <w:rsid w:val="0076145C"/>
    <w:rsid w:val="00761555"/>
    <w:rsid w:val="007624A3"/>
    <w:rsid w:val="007626D4"/>
    <w:rsid w:val="0076309A"/>
    <w:rsid w:val="00763541"/>
    <w:rsid w:val="00763ADA"/>
    <w:rsid w:val="007643A5"/>
    <w:rsid w:val="00764DB6"/>
    <w:rsid w:val="00764F4E"/>
    <w:rsid w:val="00765560"/>
    <w:rsid w:val="007668F0"/>
    <w:rsid w:val="00767AF5"/>
    <w:rsid w:val="00767E0F"/>
    <w:rsid w:val="0077035E"/>
    <w:rsid w:val="00771328"/>
    <w:rsid w:val="0077181C"/>
    <w:rsid w:val="00771A15"/>
    <w:rsid w:val="00771F05"/>
    <w:rsid w:val="00772291"/>
    <w:rsid w:val="007729B9"/>
    <w:rsid w:val="00772A84"/>
    <w:rsid w:val="00772D83"/>
    <w:rsid w:val="007730F4"/>
    <w:rsid w:val="00773C4F"/>
    <w:rsid w:val="00774402"/>
    <w:rsid w:val="007748BC"/>
    <w:rsid w:val="00775228"/>
    <w:rsid w:val="00775532"/>
    <w:rsid w:val="00775C79"/>
    <w:rsid w:val="0077696C"/>
    <w:rsid w:val="00776980"/>
    <w:rsid w:val="00776D75"/>
    <w:rsid w:val="00777B90"/>
    <w:rsid w:val="00777C05"/>
    <w:rsid w:val="00777F24"/>
    <w:rsid w:val="00780828"/>
    <w:rsid w:val="00781378"/>
    <w:rsid w:val="00781681"/>
    <w:rsid w:val="00781A2F"/>
    <w:rsid w:val="00782568"/>
    <w:rsid w:val="007829AB"/>
    <w:rsid w:val="00782D27"/>
    <w:rsid w:val="00782EFD"/>
    <w:rsid w:val="0078336A"/>
    <w:rsid w:val="00783FE7"/>
    <w:rsid w:val="007840E0"/>
    <w:rsid w:val="00784B91"/>
    <w:rsid w:val="00784E5B"/>
    <w:rsid w:val="00785369"/>
    <w:rsid w:val="007856B7"/>
    <w:rsid w:val="007858E0"/>
    <w:rsid w:val="00785B77"/>
    <w:rsid w:val="00785CC0"/>
    <w:rsid w:val="007866A2"/>
    <w:rsid w:val="00786A1D"/>
    <w:rsid w:val="00786E0E"/>
    <w:rsid w:val="00787063"/>
    <w:rsid w:val="00787139"/>
    <w:rsid w:val="00787C65"/>
    <w:rsid w:val="00787E8F"/>
    <w:rsid w:val="00790519"/>
    <w:rsid w:val="00790D97"/>
    <w:rsid w:val="00791084"/>
    <w:rsid w:val="00791567"/>
    <w:rsid w:val="00791DAD"/>
    <w:rsid w:val="0079233E"/>
    <w:rsid w:val="00792671"/>
    <w:rsid w:val="0079289D"/>
    <w:rsid w:val="00792AF4"/>
    <w:rsid w:val="00792DD3"/>
    <w:rsid w:val="0079300E"/>
    <w:rsid w:val="00793A62"/>
    <w:rsid w:val="00793B3F"/>
    <w:rsid w:val="0079406D"/>
    <w:rsid w:val="0079406E"/>
    <w:rsid w:val="00794677"/>
    <w:rsid w:val="00794688"/>
    <w:rsid w:val="00794B98"/>
    <w:rsid w:val="007954ED"/>
    <w:rsid w:val="007955F3"/>
    <w:rsid w:val="00795B34"/>
    <w:rsid w:val="00795E5D"/>
    <w:rsid w:val="00795FCE"/>
    <w:rsid w:val="007968D0"/>
    <w:rsid w:val="00796A4F"/>
    <w:rsid w:val="00796C46"/>
    <w:rsid w:val="00796F74"/>
    <w:rsid w:val="00797800"/>
    <w:rsid w:val="007A0074"/>
    <w:rsid w:val="007A01D0"/>
    <w:rsid w:val="007A02FC"/>
    <w:rsid w:val="007A032A"/>
    <w:rsid w:val="007A067A"/>
    <w:rsid w:val="007A06D4"/>
    <w:rsid w:val="007A0785"/>
    <w:rsid w:val="007A0A7A"/>
    <w:rsid w:val="007A0E43"/>
    <w:rsid w:val="007A12FC"/>
    <w:rsid w:val="007A1452"/>
    <w:rsid w:val="007A149B"/>
    <w:rsid w:val="007A16D0"/>
    <w:rsid w:val="007A17C8"/>
    <w:rsid w:val="007A2121"/>
    <w:rsid w:val="007A214A"/>
    <w:rsid w:val="007A28CE"/>
    <w:rsid w:val="007A3298"/>
    <w:rsid w:val="007A3B09"/>
    <w:rsid w:val="007A3B42"/>
    <w:rsid w:val="007A49D8"/>
    <w:rsid w:val="007A5205"/>
    <w:rsid w:val="007A53DB"/>
    <w:rsid w:val="007A54FF"/>
    <w:rsid w:val="007A5806"/>
    <w:rsid w:val="007A58EA"/>
    <w:rsid w:val="007A5D88"/>
    <w:rsid w:val="007A73E2"/>
    <w:rsid w:val="007A7664"/>
    <w:rsid w:val="007A7D1D"/>
    <w:rsid w:val="007A7D88"/>
    <w:rsid w:val="007A7DBD"/>
    <w:rsid w:val="007B0525"/>
    <w:rsid w:val="007B070A"/>
    <w:rsid w:val="007B1671"/>
    <w:rsid w:val="007B20DA"/>
    <w:rsid w:val="007B2B8B"/>
    <w:rsid w:val="007B2BFA"/>
    <w:rsid w:val="007B405C"/>
    <w:rsid w:val="007B4BA7"/>
    <w:rsid w:val="007B59EE"/>
    <w:rsid w:val="007B6560"/>
    <w:rsid w:val="007B68B3"/>
    <w:rsid w:val="007B6B51"/>
    <w:rsid w:val="007B74E0"/>
    <w:rsid w:val="007B77A7"/>
    <w:rsid w:val="007C03A2"/>
    <w:rsid w:val="007C0426"/>
    <w:rsid w:val="007C0431"/>
    <w:rsid w:val="007C084C"/>
    <w:rsid w:val="007C0C08"/>
    <w:rsid w:val="007C15DE"/>
    <w:rsid w:val="007C19C7"/>
    <w:rsid w:val="007C2C24"/>
    <w:rsid w:val="007C3B0B"/>
    <w:rsid w:val="007C414F"/>
    <w:rsid w:val="007C4C57"/>
    <w:rsid w:val="007C57A5"/>
    <w:rsid w:val="007C5A89"/>
    <w:rsid w:val="007C5B30"/>
    <w:rsid w:val="007C5F6B"/>
    <w:rsid w:val="007C6325"/>
    <w:rsid w:val="007C6378"/>
    <w:rsid w:val="007C6D15"/>
    <w:rsid w:val="007C734C"/>
    <w:rsid w:val="007C76D8"/>
    <w:rsid w:val="007C7705"/>
    <w:rsid w:val="007C7B21"/>
    <w:rsid w:val="007D0579"/>
    <w:rsid w:val="007D10ED"/>
    <w:rsid w:val="007D1699"/>
    <w:rsid w:val="007D1828"/>
    <w:rsid w:val="007D1BE7"/>
    <w:rsid w:val="007D2366"/>
    <w:rsid w:val="007D37A4"/>
    <w:rsid w:val="007D3CB4"/>
    <w:rsid w:val="007D3EE2"/>
    <w:rsid w:val="007D416A"/>
    <w:rsid w:val="007D442B"/>
    <w:rsid w:val="007D4787"/>
    <w:rsid w:val="007D497F"/>
    <w:rsid w:val="007D49DB"/>
    <w:rsid w:val="007D4A87"/>
    <w:rsid w:val="007D4D2A"/>
    <w:rsid w:val="007D56E8"/>
    <w:rsid w:val="007D5B34"/>
    <w:rsid w:val="007D5D0A"/>
    <w:rsid w:val="007D6E05"/>
    <w:rsid w:val="007D7676"/>
    <w:rsid w:val="007D78BB"/>
    <w:rsid w:val="007D798D"/>
    <w:rsid w:val="007E0012"/>
    <w:rsid w:val="007E0095"/>
    <w:rsid w:val="007E0279"/>
    <w:rsid w:val="007E02E8"/>
    <w:rsid w:val="007E0693"/>
    <w:rsid w:val="007E0D3A"/>
    <w:rsid w:val="007E19C4"/>
    <w:rsid w:val="007E1A81"/>
    <w:rsid w:val="007E1AD8"/>
    <w:rsid w:val="007E1F4F"/>
    <w:rsid w:val="007E29F6"/>
    <w:rsid w:val="007E2FEE"/>
    <w:rsid w:val="007E34D3"/>
    <w:rsid w:val="007E3A7C"/>
    <w:rsid w:val="007E3CD8"/>
    <w:rsid w:val="007E3E3B"/>
    <w:rsid w:val="007E3FFF"/>
    <w:rsid w:val="007E4247"/>
    <w:rsid w:val="007E4287"/>
    <w:rsid w:val="007E4C80"/>
    <w:rsid w:val="007E4CB0"/>
    <w:rsid w:val="007E4CB9"/>
    <w:rsid w:val="007E51C0"/>
    <w:rsid w:val="007E5227"/>
    <w:rsid w:val="007E5583"/>
    <w:rsid w:val="007E594A"/>
    <w:rsid w:val="007E59DF"/>
    <w:rsid w:val="007E63AC"/>
    <w:rsid w:val="007E669C"/>
    <w:rsid w:val="007E6D91"/>
    <w:rsid w:val="007E707A"/>
    <w:rsid w:val="007E7178"/>
    <w:rsid w:val="007E758F"/>
    <w:rsid w:val="007E78CB"/>
    <w:rsid w:val="007E7979"/>
    <w:rsid w:val="007F0D38"/>
    <w:rsid w:val="007F1533"/>
    <w:rsid w:val="007F1B17"/>
    <w:rsid w:val="007F20CE"/>
    <w:rsid w:val="007F222A"/>
    <w:rsid w:val="007F2832"/>
    <w:rsid w:val="007F29E9"/>
    <w:rsid w:val="007F2F66"/>
    <w:rsid w:val="007F43C5"/>
    <w:rsid w:val="007F458B"/>
    <w:rsid w:val="007F47EE"/>
    <w:rsid w:val="007F4BAA"/>
    <w:rsid w:val="007F4CE2"/>
    <w:rsid w:val="007F4D2C"/>
    <w:rsid w:val="007F4D7A"/>
    <w:rsid w:val="007F4E77"/>
    <w:rsid w:val="007F5218"/>
    <w:rsid w:val="007F5CEC"/>
    <w:rsid w:val="007F6927"/>
    <w:rsid w:val="007F6CAC"/>
    <w:rsid w:val="007F6FAC"/>
    <w:rsid w:val="007F7069"/>
    <w:rsid w:val="007F7A1E"/>
    <w:rsid w:val="0080034C"/>
    <w:rsid w:val="00800A9F"/>
    <w:rsid w:val="00800CD3"/>
    <w:rsid w:val="008012BA"/>
    <w:rsid w:val="00801332"/>
    <w:rsid w:val="008015A1"/>
    <w:rsid w:val="00801884"/>
    <w:rsid w:val="00801CB4"/>
    <w:rsid w:val="00801F77"/>
    <w:rsid w:val="008029AD"/>
    <w:rsid w:val="00802A5D"/>
    <w:rsid w:val="00802A76"/>
    <w:rsid w:val="00802F1D"/>
    <w:rsid w:val="008031B5"/>
    <w:rsid w:val="008036C7"/>
    <w:rsid w:val="00803F75"/>
    <w:rsid w:val="00804B66"/>
    <w:rsid w:val="00805302"/>
    <w:rsid w:val="008054A7"/>
    <w:rsid w:val="008056CB"/>
    <w:rsid w:val="008059D7"/>
    <w:rsid w:val="00805CE9"/>
    <w:rsid w:val="00806340"/>
    <w:rsid w:val="00806A71"/>
    <w:rsid w:val="008071DD"/>
    <w:rsid w:val="008073A4"/>
    <w:rsid w:val="008075F1"/>
    <w:rsid w:val="008079EA"/>
    <w:rsid w:val="00807B89"/>
    <w:rsid w:val="00810151"/>
    <w:rsid w:val="00810644"/>
    <w:rsid w:val="00810A17"/>
    <w:rsid w:val="00811926"/>
    <w:rsid w:val="00811C39"/>
    <w:rsid w:val="00811E46"/>
    <w:rsid w:val="00812B4C"/>
    <w:rsid w:val="00812CDF"/>
    <w:rsid w:val="0081366A"/>
    <w:rsid w:val="0081379B"/>
    <w:rsid w:val="00813A49"/>
    <w:rsid w:val="00813B5B"/>
    <w:rsid w:val="00813E21"/>
    <w:rsid w:val="00814732"/>
    <w:rsid w:val="008149A7"/>
    <w:rsid w:val="00814ACF"/>
    <w:rsid w:val="00814B26"/>
    <w:rsid w:val="00814F65"/>
    <w:rsid w:val="0081540E"/>
    <w:rsid w:val="00815859"/>
    <w:rsid w:val="0081623C"/>
    <w:rsid w:val="0081653C"/>
    <w:rsid w:val="00816778"/>
    <w:rsid w:val="008169A4"/>
    <w:rsid w:val="00816E83"/>
    <w:rsid w:val="00816F69"/>
    <w:rsid w:val="00817B49"/>
    <w:rsid w:val="00820256"/>
    <w:rsid w:val="00820D62"/>
    <w:rsid w:val="008219B5"/>
    <w:rsid w:val="0082220D"/>
    <w:rsid w:val="008224BA"/>
    <w:rsid w:val="008230BC"/>
    <w:rsid w:val="0082353C"/>
    <w:rsid w:val="00823A2E"/>
    <w:rsid w:val="00824733"/>
    <w:rsid w:val="0082483E"/>
    <w:rsid w:val="00824A44"/>
    <w:rsid w:val="00825BBF"/>
    <w:rsid w:val="00825C5E"/>
    <w:rsid w:val="00826349"/>
    <w:rsid w:val="00826607"/>
    <w:rsid w:val="00826B7D"/>
    <w:rsid w:val="00826F9E"/>
    <w:rsid w:val="00827451"/>
    <w:rsid w:val="00827671"/>
    <w:rsid w:val="00827A48"/>
    <w:rsid w:val="00827CE5"/>
    <w:rsid w:val="008303F0"/>
    <w:rsid w:val="0083064F"/>
    <w:rsid w:val="008312E4"/>
    <w:rsid w:val="008314E8"/>
    <w:rsid w:val="0083166D"/>
    <w:rsid w:val="00831A0D"/>
    <w:rsid w:val="0083382B"/>
    <w:rsid w:val="0083398A"/>
    <w:rsid w:val="00833EB3"/>
    <w:rsid w:val="008345F7"/>
    <w:rsid w:val="00834665"/>
    <w:rsid w:val="0083481C"/>
    <w:rsid w:val="0083541A"/>
    <w:rsid w:val="00835CBD"/>
    <w:rsid w:val="008369D9"/>
    <w:rsid w:val="00836AC4"/>
    <w:rsid w:val="00836B2D"/>
    <w:rsid w:val="00836C1F"/>
    <w:rsid w:val="00836C58"/>
    <w:rsid w:val="0083745C"/>
    <w:rsid w:val="00837B0F"/>
    <w:rsid w:val="00837CB8"/>
    <w:rsid w:val="00841102"/>
    <w:rsid w:val="008415D9"/>
    <w:rsid w:val="00841EDD"/>
    <w:rsid w:val="008426B5"/>
    <w:rsid w:val="00842807"/>
    <w:rsid w:val="00842FFB"/>
    <w:rsid w:val="008432F0"/>
    <w:rsid w:val="00843383"/>
    <w:rsid w:val="00843818"/>
    <w:rsid w:val="00844522"/>
    <w:rsid w:val="0084483E"/>
    <w:rsid w:val="00845123"/>
    <w:rsid w:val="0084570D"/>
    <w:rsid w:val="0084595E"/>
    <w:rsid w:val="00845FD5"/>
    <w:rsid w:val="008461F6"/>
    <w:rsid w:val="0084665D"/>
    <w:rsid w:val="008466A0"/>
    <w:rsid w:val="00846B0C"/>
    <w:rsid w:val="00846BBD"/>
    <w:rsid w:val="00846F33"/>
    <w:rsid w:val="0084714E"/>
    <w:rsid w:val="0084719B"/>
    <w:rsid w:val="00847260"/>
    <w:rsid w:val="008477A8"/>
    <w:rsid w:val="00847A36"/>
    <w:rsid w:val="00850A67"/>
    <w:rsid w:val="00850C47"/>
    <w:rsid w:val="0085124C"/>
    <w:rsid w:val="00851D28"/>
    <w:rsid w:val="00851DD0"/>
    <w:rsid w:val="00851DE7"/>
    <w:rsid w:val="00852108"/>
    <w:rsid w:val="00852FE8"/>
    <w:rsid w:val="008531FF"/>
    <w:rsid w:val="008532E4"/>
    <w:rsid w:val="008534D4"/>
    <w:rsid w:val="00853CF2"/>
    <w:rsid w:val="00853D36"/>
    <w:rsid w:val="0085404B"/>
    <w:rsid w:val="00854772"/>
    <w:rsid w:val="008549A2"/>
    <w:rsid w:val="00854A1D"/>
    <w:rsid w:val="00854B2A"/>
    <w:rsid w:val="00854BCE"/>
    <w:rsid w:val="0085501C"/>
    <w:rsid w:val="008558FB"/>
    <w:rsid w:val="00855C9D"/>
    <w:rsid w:val="008564AB"/>
    <w:rsid w:val="00856888"/>
    <w:rsid w:val="008569B1"/>
    <w:rsid w:val="008573B5"/>
    <w:rsid w:val="008574F9"/>
    <w:rsid w:val="008576DE"/>
    <w:rsid w:val="00857CB3"/>
    <w:rsid w:val="00860D29"/>
    <w:rsid w:val="00862AEA"/>
    <w:rsid w:val="008637C3"/>
    <w:rsid w:val="00863D84"/>
    <w:rsid w:val="0086442B"/>
    <w:rsid w:val="00864787"/>
    <w:rsid w:val="00865489"/>
    <w:rsid w:val="0086638E"/>
    <w:rsid w:val="008665FF"/>
    <w:rsid w:val="008668AB"/>
    <w:rsid w:val="00866DC4"/>
    <w:rsid w:val="00867444"/>
    <w:rsid w:val="0086759A"/>
    <w:rsid w:val="008675B3"/>
    <w:rsid w:val="00867B13"/>
    <w:rsid w:val="00867B9C"/>
    <w:rsid w:val="00867C78"/>
    <w:rsid w:val="00870614"/>
    <w:rsid w:val="008706B1"/>
    <w:rsid w:val="00870751"/>
    <w:rsid w:val="0087078D"/>
    <w:rsid w:val="00870C3F"/>
    <w:rsid w:val="00870F8C"/>
    <w:rsid w:val="008712B5"/>
    <w:rsid w:val="008712DE"/>
    <w:rsid w:val="00871F8E"/>
    <w:rsid w:val="008720ED"/>
    <w:rsid w:val="0087259C"/>
    <w:rsid w:val="00872D61"/>
    <w:rsid w:val="00872F1E"/>
    <w:rsid w:val="0087307B"/>
    <w:rsid w:val="00873099"/>
    <w:rsid w:val="00873F21"/>
    <w:rsid w:val="00874171"/>
    <w:rsid w:val="008742A8"/>
    <w:rsid w:val="00874321"/>
    <w:rsid w:val="0087461E"/>
    <w:rsid w:val="00874D50"/>
    <w:rsid w:val="00874DFD"/>
    <w:rsid w:val="00875417"/>
    <w:rsid w:val="008755AD"/>
    <w:rsid w:val="008759CC"/>
    <w:rsid w:val="00875EB8"/>
    <w:rsid w:val="0087752C"/>
    <w:rsid w:val="00877E9C"/>
    <w:rsid w:val="008802C4"/>
    <w:rsid w:val="0088036E"/>
    <w:rsid w:val="008804CE"/>
    <w:rsid w:val="00880B94"/>
    <w:rsid w:val="00880EA4"/>
    <w:rsid w:val="008813B2"/>
    <w:rsid w:val="008814A4"/>
    <w:rsid w:val="00881946"/>
    <w:rsid w:val="00881D19"/>
    <w:rsid w:val="00882099"/>
    <w:rsid w:val="0088298B"/>
    <w:rsid w:val="00883265"/>
    <w:rsid w:val="00883804"/>
    <w:rsid w:val="00883D67"/>
    <w:rsid w:val="00883E56"/>
    <w:rsid w:val="008840E2"/>
    <w:rsid w:val="008849F4"/>
    <w:rsid w:val="00885023"/>
    <w:rsid w:val="0088541B"/>
    <w:rsid w:val="0088555C"/>
    <w:rsid w:val="008859B2"/>
    <w:rsid w:val="00885C82"/>
    <w:rsid w:val="00885D31"/>
    <w:rsid w:val="008860B8"/>
    <w:rsid w:val="00886701"/>
    <w:rsid w:val="00886A49"/>
    <w:rsid w:val="00886CC6"/>
    <w:rsid w:val="008873A6"/>
    <w:rsid w:val="00887EA1"/>
    <w:rsid w:val="0089018E"/>
    <w:rsid w:val="00890CDC"/>
    <w:rsid w:val="00890F45"/>
    <w:rsid w:val="00891159"/>
    <w:rsid w:val="00891626"/>
    <w:rsid w:val="008919D2"/>
    <w:rsid w:val="00891B61"/>
    <w:rsid w:val="00891EFF"/>
    <w:rsid w:val="00891F88"/>
    <w:rsid w:val="00892491"/>
    <w:rsid w:val="0089254E"/>
    <w:rsid w:val="00892FDE"/>
    <w:rsid w:val="00893AF9"/>
    <w:rsid w:val="00893BEC"/>
    <w:rsid w:val="008941AD"/>
    <w:rsid w:val="0089429A"/>
    <w:rsid w:val="008950E4"/>
    <w:rsid w:val="0089528C"/>
    <w:rsid w:val="00895423"/>
    <w:rsid w:val="00895B36"/>
    <w:rsid w:val="00895F01"/>
    <w:rsid w:val="008961AA"/>
    <w:rsid w:val="00896B23"/>
    <w:rsid w:val="00897265"/>
    <w:rsid w:val="008A0138"/>
    <w:rsid w:val="008A137E"/>
    <w:rsid w:val="008A139A"/>
    <w:rsid w:val="008A1B84"/>
    <w:rsid w:val="008A2493"/>
    <w:rsid w:val="008A2C7E"/>
    <w:rsid w:val="008A3088"/>
    <w:rsid w:val="008A32FE"/>
    <w:rsid w:val="008A3357"/>
    <w:rsid w:val="008A343D"/>
    <w:rsid w:val="008A34A3"/>
    <w:rsid w:val="008A3D32"/>
    <w:rsid w:val="008A3EC1"/>
    <w:rsid w:val="008A412D"/>
    <w:rsid w:val="008A4F2E"/>
    <w:rsid w:val="008A5838"/>
    <w:rsid w:val="008A741E"/>
    <w:rsid w:val="008A7B3C"/>
    <w:rsid w:val="008B042A"/>
    <w:rsid w:val="008B043D"/>
    <w:rsid w:val="008B0909"/>
    <w:rsid w:val="008B201D"/>
    <w:rsid w:val="008B2130"/>
    <w:rsid w:val="008B2D1C"/>
    <w:rsid w:val="008B2EFA"/>
    <w:rsid w:val="008B3386"/>
    <w:rsid w:val="008B3484"/>
    <w:rsid w:val="008B3635"/>
    <w:rsid w:val="008B3868"/>
    <w:rsid w:val="008B3CDF"/>
    <w:rsid w:val="008B410B"/>
    <w:rsid w:val="008B44AF"/>
    <w:rsid w:val="008B46D8"/>
    <w:rsid w:val="008B536E"/>
    <w:rsid w:val="008B5877"/>
    <w:rsid w:val="008B5994"/>
    <w:rsid w:val="008B5B19"/>
    <w:rsid w:val="008B6E92"/>
    <w:rsid w:val="008B7044"/>
    <w:rsid w:val="008B7D81"/>
    <w:rsid w:val="008C0053"/>
    <w:rsid w:val="008C056B"/>
    <w:rsid w:val="008C25A9"/>
    <w:rsid w:val="008C2697"/>
    <w:rsid w:val="008C27CB"/>
    <w:rsid w:val="008C2A5A"/>
    <w:rsid w:val="008C2A77"/>
    <w:rsid w:val="008C2D07"/>
    <w:rsid w:val="008C2D3D"/>
    <w:rsid w:val="008C2DF2"/>
    <w:rsid w:val="008C3435"/>
    <w:rsid w:val="008C3481"/>
    <w:rsid w:val="008C3A8C"/>
    <w:rsid w:val="008C3D15"/>
    <w:rsid w:val="008C4788"/>
    <w:rsid w:val="008C4CA9"/>
    <w:rsid w:val="008C4E4D"/>
    <w:rsid w:val="008C54F8"/>
    <w:rsid w:val="008C5600"/>
    <w:rsid w:val="008C67EC"/>
    <w:rsid w:val="008C688C"/>
    <w:rsid w:val="008C6D80"/>
    <w:rsid w:val="008C75AB"/>
    <w:rsid w:val="008C765F"/>
    <w:rsid w:val="008C7C1B"/>
    <w:rsid w:val="008C7C31"/>
    <w:rsid w:val="008D03BF"/>
    <w:rsid w:val="008D1523"/>
    <w:rsid w:val="008D1A92"/>
    <w:rsid w:val="008D1B2E"/>
    <w:rsid w:val="008D1B83"/>
    <w:rsid w:val="008D1E9A"/>
    <w:rsid w:val="008D1F15"/>
    <w:rsid w:val="008D2AB2"/>
    <w:rsid w:val="008D3231"/>
    <w:rsid w:val="008D4853"/>
    <w:rsid w:val="008D4A37"/>
    <w:rsid w:val="008D4BFD"/>
    <w:rsid w:val="008D4F98"/>
    <w:rsid w:val="008D5307"/>
    <w:rsid w:val="008D55D9"/>
    <w:rsid w:val="008D5A08"/>
    <w:rsid w:val="008D5C88"/>
    <w:rsid w:val="008D6661"/>
    <w:rsid w:val="008D6F8E"/>
    <w:rsid w:val="008D7666"/>
    <w:rsid w:val="008D7A96"/>
    <w:rsid w:val="008D7AA6"/>
    <w:rsid w:val="008E04DF"/>
    <w:rsid w:val="008E0505"/>
    <w:rsid w:val="008E09DB"/>
    <w:rsid w:val="008E0BBD"/>
    <w:rsid w:val="008E0FCB"/>
    <w:rsid w:val="008E15F4"/>
    <w:rsid w:val="008E1879"/>
    <w:rsid w:val="008E1DB1"/>
    <w:rsid w:val="008E1FC8"/>
    <w:rsid w:val="008E245A"/>
    <w:rsid w:val="008E2671"/>
    <w:rsid w:val="008E2AFD"/>
    <w:rsid w:val="008E2E2E"/>
    <w:rsid w:val="008E30BD"/>
    <w:rsid w:val="008E32A0"/>
    <w:rsid w:val="008E363F"/>
    <w:rsid w:val="008E3EEF"/>
    <w:rsid w:val="008E40BC"/>
    <w:rsid w:val="008E41CE"/>
    <w:rsid w:val="008E4341"/>
    <w:rsid w:val="008E47BD"/>
    <w:rsid w:val="008E52D6"/>
    <w:rsid w:val="008E55BF"/>
    <w:rsid w:val="008E5B02"/>
    <w:rsid w:val="008E65CA"/>
    <w:rsid w:val="008E6D63"/>
    <w:rsid w:val="008E707F"/>
    <w:rsid w:val="008E7248"/>
    <w:rsid w:val="008E72B4"/>
    <w:rsid w:val="008E7599"/>
    <w:rsid w:val="008E7773"/>
    <w:rsid w:val="008F050B"/>
    <w:rsid w:val="008F0540"/>
    <w:rsid w:val="008F0837"/>
    <w:rsid w:val="008F0A23"/>
    <w:rsid w:val="008F0F8F"/>
    <w:rsid w:val="008F1062"/>
    <w:rsid w:val="008F10E4"/>
    <w:rsid w:val="008F1263"/>
    <w:rsid w:val="008F12FA"/>
    <w:rsid w:val="008F16E4"/>
    <w:rsid w:val="008F1BEF"/>
    <w:rsid w:val="008F1EA5"/>
    <w:rsid w:val="008F2282"/>
    <w:rsid w:val="008F2487"/>
    <w:rsid w:val="008F2A74"/>
    <w:rsid w:val="008F2C79"/>
    <w:rsid w:val="008F2F82"/>
    <w:rsid w:val="008F3515"/>
    <w:rsid w:val="008F35C4"/>
    <w:rsid w:val="008F3CA1"/>
    <w:rsid w:val="008F4198"/>
    <w:rsid w:val="008F50BE"/>
    <w:rsid w:val="008F62D6"/>
    <w:rsid w:val="008F6894"/>
    <w:rsid w:val="008F6EC3"/>
    <w:rsid w:val="008F70EF"/>
    <w:rsid w:val="008F778D"/>
    <w:rsid w:val="008F78E0"/>
    <w:rsid w:val="008F7B98"/>
    <w:rsid w:val="008F7D05"/>
    <w:rsid w:val="00900924"/>
    <w:rsid w:val="00901073"/>
    <w:rsid w:val="0090110F"/>
    <w:rsid w:val="0090183B"/>
    <w:rsid w:val="009018DB"/>
    <w:rsid w:val="009019FF"/>
    <w:rsid w:val="00901BA3"/>
    <w:rsid w:val="009020D8"/>
    <w:rsid w:val="00902A3F"/>
    <w:rsid w:val="00902EC9"/>
    <w:rsid w:val="009030C1"/>
    <w:rsid w:val="009033B7"/>
    <w:rsid w:val="009037A3"/>
    <w:rsid w:val="009038DB"/>
    <w:rsid w:val="00903D0A"/>
    <w:rsid w:val="00903DFF"/>
    <w:rsid w:val="00903EDA"/>
    <w:rsid w:val="00903F26"/>
    <w:rsid w:val="009043D7"/>
    <w:rsid w:val="00904750"/>
    <w:rsid w:val="00904E9A"/>
    <w:rsid w:val="00904EA0"/>
    <w:rsid w:val="00905619"/>
    <w:rsid w:val="009058F2"/>
    <w:rsid w:val="00905D2F"/>
    <w:rsid w:val="00905F16"/>
    <w:rsid w:val="009062EA"/>
    <w:rsid w:val="00906683"/>
    <w:rsid w:val="00906B1F"/>
    <w:rsid w:val="00906E49"/>
    <w:rsid w:val="00906ED3"/>
    <w:rsid w:val="00907361"/>
    <w:rsid w:val="00907550"/>
    <w:rsid w:val="0090779C"/>
    <w:rsid w:val="00910944"/>
    <w:rsid w:val="00910C2B"/>
    <w:rsid w:val="0091138C"/>
    <w:rsid w:val="009120E3"/>
    <w:rsid w:val="00912A0D"/>
    <w:rsid w:val="00913BC9"/>
    <w:rsid w:val="00913BFC"/>
    <w:rsid w:val="00914241"/>
    <w:rsid w:val="009142D4"/>
    <w:rsid w:val="00914A04"/>
    <w:rsid w:val="00914FE9"/>
    <w:rsid w:val="009153C3"/>
    <w:rsid w:val="009157F6"/>
    <w:rsid w:val="009164F4"/>
    <w:rsid w:val="00916747"/>
    <w:rsid w:val="009170D4"/>
    <w:rsid w:val="0091725A"/>
    <w:rsid w:val="0091730A"/>
    <w:rsid w:val="00917D82"/>
    <w:rsid w:val="00920089"/>
    <w:rsid w:val="009208B9"/>
    <w:rsid w:val="009209B4"/>
    <w:rsid w:val="00920B4B"/>
    <w:rsid w:val="00920DCB"/>
    <w:rsid w:val="0092113F"/>
    <w:rsid w:val="00921748"/>
    <w:rsid w:val="00921B96"/>
    <w:rsid w:val="009221AD"/>
    <w:rsid w:val="0092289B"/>
    <w:rsid w:val="00922B98"/>
    <w:rsid w:val="00922DA4"/>
    <w:rsid w:val="009230C1"/>
    <w:rsid w:val="009231D7"/>
    <w:rsid w:val="00924442"/>
    <w:rsid w:val="00925611"/>
    <w:rsid w:val="00925C85"/>
    <w:rsid w:val="009265C8"/>
    <w:rsid w:val="00926D4A"/>
    <w:rsid w:val="00926DB9"/>
    <w:rsid w:val="009273D4"/>
    <w:rsid w:val="00930245"/>
    <w:rsid w:val="00930CA8"/>
    <w:rsid w:val="00931391"/>
    <w:rsid w:val="0093160C"/>
    <w:rsid w:val="00931844"/>
    <w:rsid w:val="00933606"/>
    <w:rsid w:val="00933BAE"/>
    <w:rsid w:val="00934683"/>
    <w:rsid w:val="009349D0"/>
    <w:rsid w:val="00934A73"/>
    <w:rsid w:val="00934AAB"/>
    <w:rsid w:val="00934EAB"/>
    <w:rsid w:val="00936A01"/>
    <w:rsid w:val="00936A17"/>
    <w:rsid w:val="00936D39"/>
    <w:rsid w:val="009370B1"/>
    <w:rsid w:val="009370D7"/>
    <w:rsid w:val="00937195"/>
    <w:rsid w:val="0093721E"/>
    <w:rsid w:val="00937AC5"/>
    <w:rsid w:val="00937D48"/>
    <w:rsid w:val="00937F61"/>
    <w:rsid w:val="00937FF4"/>
    <w:rsid w:val="00940125"/>
    <w:rsid w:val="00940308"/>
    <w:rsid w:val="00940A83"/>
    <w:rsid w:val="009415B2"/>
    <w:rsid w:val="00941EAD"/>
    <w:rsid w:val="00942A13"/>
    <w:rsid w:val="00942E64"/>
    <w:rsid w:val="0094372C"/>
    <w:rsid w:val="00944180"/>
    <w:rsid w:val="0094563E"/>
    <w:rsid w:val="00945850"/>
    <w:rsid w:val="009459D5"/>
    <w:rsid w:val="00945C5B"/>
    <w:rsid w:val="00945FD7"/>
    <w:rsid w:val="00946460"/>
    <w:rsid w:val="00946465"/>
    <w:rsid w:val="00946A73"/>
    <w:rsid w:val="00946A98"/>
    <w:rsid w:val="00946B32"/>
    <w:rsid w:val="00946CAA"/>
    <w:rsid w:val="00946D7E"/>
    <w:rsid w:val="00947236"/>
    <w:rsid w:val="009507B1"/>
    <w:rsid w:val="009510C2"/>
    <w:rsid w:val="0095136D"/>
    <w:rsid w:val="009516FB"/>
    <w:rsid w:val="00951E73"/>
    <w:rsid w:val="0095271C"/>
    <w:rsid w:val="00952742"/>
    <w:rsid w:val="00952779"/>
    <w:rsid w:val="00952DC5"/>
    <w:rsid w:val="0095331B"/>
    <w:rsid w:val="009535A3"/>
    <w:rsid w:val="00953DFE"/>
    <w:rsid w:val="00953EBA"/>
    <w:rsid w:val="00954D9B"/>
    <w:rsid w:val="00955066"/>
    <w:rsid w:val="00955F00"/>
    <w:rsid w:val="00955F1D"/>
    <w:rsid w:val="00955F74"/>
    <w:rsid w:val="0095614F"/>
    <w:rsid w:val="009561E8"/>
    <w:rsid w:val="009568C0"/>
    <w:rsid w:val="00956CB8"/>
    <w:rsid w:val="00956EAE"/>
    <w:rsid w:val="00956F1E"/>
    <w:rsid w:val="0095758D"/>
    <w:rsid w:val="0095792C"/>
    <w:rsid w:val="00957F3C"/>
    <w:rsid w:val="00960024"/>
    <w:rsid w:val="00960401"/>
    <w:rsid w:val="009605CD"/>
    <w:rsid w:val="00960B7E"/>
    <w:rsid w:val="009611B8"/>
    <w:rsid w:val="0096132A"/>
    <w:rsid w:val="009616BA"/>
    <w:rsid w:val="00961B55"/>
    <w:rsid w:val="00961C7F"/>
    <w:rsid w:val="00961F6E"/>
    <w:rsid w:val="009623EB"/>
    <w:rsid w:val="00962546"/>
    <w:rsid w:val="00962580"/>
    <w:rsid w:val="00962BE2"/>
    <w:rsid w:val="00963B4A"/>
    <w:rsid w:val="00963B8E"/>
    <w:rsid w:val="00963D03"/>
    <w:rsid w:val="00963E28"/>
    <w:rsid w:val="0096477D"/>
    <w:rsid w:val="00964B49"/>
    <w:rsid w:val="00965C11"/>
    <w:rsid w:val="00965DFC"/>
    <w:rsid w:val="00965E9F"/>
    <w:rsid w:val="00966825"/>
    <w:rsid w:val="00966AC6"/>
    <w:rsid w:val="00966DB1"/>
    <w:rsid w:val="00967168"/>
    <w:rsid w:val="009673A2"/>
    <w:rsid w:val="00967DF0"/>
    <w:rsid w:val="009709A8"/>
    <w:rsid w:val="00970B9F"/>
    <w:rsid w:val="00971B19"/>
    <w:rsid w:val="00971F69"/>
    <w:rsid w:val="00971F70"/>
    <w:rsid w:val="009720D6"/>
    <w:rsid w:val="00972518"/>
    <w:rsid w:val="00972696"/>
    <w:rsid w:val="00972AA5"/>
    <w:rsid w:val="009733A6"/>
    <w:rsid w:val="009737A4"/>
    <w:rsid w:val="00974250"/>
    <w:rsid w:val="0097429C"/>
    <w:rsid w:val="0097440E"/>
    <w:rsid w:val="009745FE"/>
    <w:rsid w:val="0097461A"/>
    <w:rsid w:val="00974726"/>
    <w:rsid w:val="00974E32"/>
    <w:rsid w:val="009750A9"/>
    <w:rsid w:val="0097531C"/>
    <w:rsid w:val="0097577E"/>
    <w:rsid w:val="00975A1D"/>
    <w:rsid w:val="00975A5E"/>
    <w:rsid w:val="00975DFC"/>
    <w:rsid w:val="00975FB6"/>
    <w:rsid w:val="00976084"/>
    <w:rsid w:val="0097622F"/>
    <w:rsid w:val="009766AD"/>
    <w:rsid w:val="00976839"/>
    <w:rsid w:val="00976EE6"/>
    <w:rsid w:val="009773E6"/>
    <w:rsid w:val="009773E7"/>
    <w:rsid w:val="009777D2"/>
    <w:rsid w:val="00977F62"/>
    <w:rsid w:val="00980C32"/>
    <w:rsid w:val="00980FBA"/>
    <w:rsid w:val="009817DA"/>
    <w:rsid w:val="0098185D"/>
    <w:rsid w:val="00981BF6"/>
    <w:rsid w:val="00981C71"/>
    <w:rsid w:val="00983160"/>
    <w:rsid w:val="009832B7"/>
    <w:rsid w:val="00983987"/>
    <w:rsid w:val="00984352"/>
    <w:rsid w:val="00984FC8"/>
    <w:rsid w:val="00985542"/>
    <w:rsid w:val="00985D1F"/>
    <w:rsid w:val="0098668D"/>
    <w:rsid w:val="0098738B"/>
    <w:rsid w:val="00987728"/>
    <w:rsid w:val="0098777F"/>
    <w:rsid w:val="009877E0"/>
    <w:rsid w:val="00987845"/>
    <w:rsid w:val="009879EE"/>
    <w:rsid w:val="00990C7F"/>
    <w:rsid w:val="00990E02"/>
    <w:rsid w:val="00991116"/>
    <w:rsid w:val="00991856"/>
    <w:rsid w:val="00991EB0"/>
    <w:rsid w:val="00992303"/>
    <w:rsid w:val="00992542"/>
    <w:rsid w:val="00992EC8"/>
    <w:rsid w:val="00992EF1"/>
    <w:rsid w:val="0099304A"/>
    <w:rsid w:val="009937C8"/>
    <w:rsid w:val="00993E9D"/>
    <w:rsid w:val="009947E4"/>
    <w:rsid w:val="00994A6F"/>
    <w:rsid w:val="00994A72"/>
    <w:rsid w:val="00994D9E"/>
    <w:rsid w:val="00995373"/>
    <w:rsid w:val="009957E3"/>
    <w:rsid w:val="009958F4"/>
    <w:rsid w:val="00995C9B"/>
    <w:rsid w:val="009962FD"/>
    <w:rsid w:val="0099632A"/>
    <w:rsid w:val="009966F6"/>
    <w:rsid w:val="00996AE9"/>
    <w:rsid w:val="00996B6D"/>
    <w:rsid w:val="00997293"/>
    <w:rsid w:val="009972C2"/>
    <w:rsid w:val="0099768F"/>
    <w:rsid w:val="009976C8"/>
    <w:rsid w:val="00997963"/>
    <w:rsid w:val="009A1A4F"/>
    <w:rsid w:val="009A1ED6"/>
    <w:rsid w:val="009A2503"/>
    <w:rsid w:val="009A2A63"/>
    <w:rsid w:val="009A35F3"/>
    <w:rsid w:val="009A40C4"/>
    <w:rsid w:val="009A43FC"/>
    <w:rsid w:val="009A4A83"/>
    <w:rsid w:val="009A4D81"/>
    <w:rsid w:val="009A5E4E"/>
    <w:rsid w:val="009A6097"/>
    <w:rsid w:val="009A6C01"/>
    <w:rsid w:val="009A760C"/>
    <w:rsid w:val="009B0211"/>
    <w:rsid w:val="009B028D"/>
    <w:rsid w:val="009B04E2"/>
    <w:rsid w:val="009B05D6"/>
    <w:rsid w:val="009B145C"/>
    <w:rsid w:val="009B168B"/>
    <w:rsid w:val="009B17F3"/>
    <w:rsid w:val="009B1D57"/>
    <w:rsid w:val="009B26C2"/>
    <w:rsid w:val="009B276A"/>
    <w:rsid w:val="009B2A1A"/>
    <w:rsid w:val="009B2BA5"/>
    <w:rsid w:val="009B2BE3"/>
    <w:rsid w:val="009B31C1"/>
    <w:rsid w:val="009B35F6"/>
    <w:rsid w:val="009B370F"/>
    <w:rsid w:val="009B3D36"/>
    <w:rsid w:val="009B3DD4"/>
    <w:rsid w:val="009B42D2"/>
    <w:rsid w:val="009B4F47"/>
    <w:rsid w:val="009B54A2"/>
    <w:rsid w:val="009B5B45"/>
    <w:rsid w:val="009B5CF6"/>
    <w:rsid w:val="009B5FD3"/>
    <w:rsid w:val="009B6397"/>
    <w:rsid w:val="009B6488"/>
    <w:rsid w:val="009B6C6F"/>
    <w:rsid w:val="009B6E90"/>
    <w:rsid w:val="009B7579"/>
    <w:rsid w:val="009B785F"/>
    <w:rsid w:val="009B7F6D"/>
    <w:rsid w:val="009BDF98"/>
    <w:rsid w:val="009C02C0"/>
    <w:rsid w:val="009C0580"/>
    <w:rsid w:val="009C0652"/>
    <w:rsid w:val="009C138D"/>
    <w:rsid w:val="009C1427"/>
    <w:rsid w:val="009C14C0"/>
    <w:rsid w:val="009C14FC"/>
    <w:rsid w:val="009C186F"/>
    <w:rsid w:val="009C1B09"/>
    <w:rsid w:val="009C2C51"/>
    <w:rsid w:val="009C31E1"/>
    <w:rsid w:val="009C32C4"/>
    <w:rsid w:val="009C467D"/>
    <w:rsid w:val="009C48FC"/>
    <w:rsid w:val="009C50C1"/>
    <w:rsid w:val="009C530B"/>
    <w:rsid w:val="009C545C"/>
    <w:rsid w:val="009C6230"/>
    <w:rsid w:val="009C67B1"/>
    <w:rsid w:val="009C67B5"/>
    <w:rsid w:val="009C6AA8"/>
    <w:rsid w:val="009C6BD5"/>
    <w:rsid w:val="009C6FE7"/>
    <w:rsid w:val="009C7099"/>
    <w:rsid w:val="009C7224"/>
    <w:rsid w:val="009C7801"/>
    <w:rsid w:val="009D072B"/>
    <w:rsid w:val="009D119C"/>
    <w:rsid w:val="009D18D0"/>
    <w:rsid w:val="009D2221"/>
    <w:rsid w:val="009D2569"/>
    <w:rsid w:val="009D3059"/>
    <w:rsid w:val="009D3710"/>
    <w:rsid w:val="009D3FF3"/>
    <w:rsid w:val="009D3FFB"/>
    <w:rsid w:val="009D4192"/>
    <w:rsid w:val="009D4329"/>
    <w:rsid w:val="009D448B"/>
    <w:rsid w:val="009D4590"/>
    <w:rsid w:val="009D515F"/>
    <w:rsid w:val="009D52AC"/>
    <w:rsid w:val="009D532E"/>
    <w:rsid w:val="009D56A7"/>
    <w:rsid w:val="009D5B78"/>
    <w:rsid w:val="009D5D41"/>
    <w:rsid w:val="009D62A3"/>
    <w:rsid w:val="009D6783"/>
    <w:rsid w:val="009D6A72"/>
    <w:rsid w:val="009D7A08"/>
    <w:rsid w:val="009D7A48"/>
    <w:rsid w:val="009D7CC2"/>
    <w:rsid w:val="009E0C79"/>
    <w:rsid w:val="009E0DC9"/>
    <w:rsid w:val="009E0EC5"/>
    <w:rsid w:val="009E1482"/>
    <w:rsid w:val="009E17A1"/>
    <w:rsid w:val="009E1E20"/>
    <w:rsid w:val="009E2CA6"/>
    <w:rsid w:val="009E302F"/>
    <w:rsid w:val="009E33D8"/>
    <w:rsid w:val="009E3DAE"/>
    <w:rsid w:val="009E4639"/>
    <w:rsid w:val="009E4A33"/>
    <w:rsid w:val="009E4AAD"/>
    <w:rsid w:val="009E4CD3"/>
    <w:rsid w:val="009E58CD"/>
    <w:rsid w:val="009E5F51"/>
    <w:rsid w:val="009E6127"/>
    <w:rsid w:val="009E61E4"/>
    <w:rsid w:val="009E627C"/>
    <w:rsid w:val="009E6DB9"/>
    <w:rsid w:val="009E6F5A"/>
    <w:rsid w:val="009E7825"/>
    <w:rsid w:val="009F0272"/>
    <w:rsid w:val="009F053D"/>
    <w:rsid w:val="009F06A7"/>
    <w:rsid w:val="009F0770"/>
    <w:rsid w:val="009F0D15"/>
    <w:rsid w:val="009F18AD"/>
    <w:rsid w:val="009F2067"/>
    <w:rsid w:val="009F218E"/>
    <w:rsid w:val="009F22B8"/>
    <w:rsid w:val="009F2464"/>
    <w:rsid w:val="009F2C1F"/>
    <w:rsid w:val="009F2D7F"/>
    <w:rsid w:val="009F3289"/>
    <w:rsid w:val="009F332E"/>
    <w:rsid w:val="009F44D4"/>
    <w:rsid w:val="009F4BE9"/>
    <w:rsid w:val="009F572D"/>
    <w:rsid w:val="009F5883"/>
    <w:rsid w:val="009F5AFC"/>
    <w:rsid w:val="009F5B1C"/>
    <w:rsid w:val="009F5FBA"/>
    <w:rsid w:val="009F67B3"/>
    <w:rsid w:val="009F728A"/>
    <w:rsid w:val="009F763B"/>
    <w:rsid w:val="009F7AA0"/>
    <w:rsid w:val="009F7E6D"/>
    <w:rsid w:val="00A00565"/>
    <w:rsid w:val="00A01705"/>
    <w:rsid w:val="00A0215C"/>
    <w:rsid w:val="00A0263F"/>
    <w:rsid w:val="00A02C8E"/>
    <w:rsid w:val="00A037A4"/>
    <w:rsid w:val="00A03AAD"/>
    <w:rsid w:val="00A03FDB"/>
    <w:rsid w:val="00A040E7"/>
    <w:rsid w:val="00A046B0"/>
    <w:rsid w:val="00A04A83"/>
    <w:rsid w:val="00A04B49"/>
    <w:rsid w:val="00A04C7C"/>
    <w:rsid w:val="00A04E7F"/>
    <w:rsid w:val="00A0502D"/>
    <w:rsid w:val="00A05495"/>
    <w:rsid w:val="00A0558C"/>
    <w:rsid w:val="00A063E5"/>
    <w:rsid w:val="00A06952"/>
    <w:rsid w:val="00A06DD8"/>
    <w:rsid w:val="00A07CE2"/>
    <w:rsid w:val="00A1016E"/>
    <w:rsid w:val="00A1020C"/>
    <w:rsid w:val="00A102B8"/>
    <w:rsid w:val="00A107E2"/>
    <w:rsid w:val="00A1087C"/>
    <w:rsid w:val="00A10A0A"/>
    <w:rsid w:val="00A1107F"/>
    <w:rsid w:val="00A111B5"/>
    <w:rsid w:val="00A11210"/>
    <w:rsid w:val="00A1126F"/>
    <w:rsid w:val="00A112F7"/>
    <w:rsid w:val="00A115D3"/>
    <w:rsid w:val="00A120DE"/>
    <w:rsid w:val="00A1222E"/>
    <w:rsid w:val="00A122B8"/>
    <w:rsid w:val="00A1252F"/>
    <w:rsid w:val="00A1377D"/>
    <w:rsid w:val="00A139FB"/>
    <w:rsid w:val="00A13DF4"/>
    <w:rsid w:val="00A13E74"/>
    <w:rsid w:val="00A144E0"/>
    <w:rsid w:val="00A14B88"/>
    <w:rsid w:val="00A14D1A"/>
    <w:rsid w:val="00A15319"/>
    <w:rsid w:val="00A15522"/>
    <w:rsid w:val="00A15700"/>
    <w:rsid w:val="00A15F9B"/>
    <w:rsid w:val="00A16825"/>
    <w:rsid w:val="00A168A9"/>
    <w:rsid w:val="00A16A92"/>
    <w:rsid w:val="00A16C3C"/>
    <w:rsid w:val="00A173F8"/>
    <w:rsid w:val="00A20A13"/>
    <w:rsid w:val="00A20AC4"/>
    <w:rsid w:val="00A2160B"/>
    <w:rsid w:val="00A2165A"/>
    <w:rsid w:val="00A21DFD"/>
    <w:rsid w:val="00A21EEB"/>
    <w:rsid w:val="00A22229"/>
    <w:rsid w:val="00A22581"/>
    <w:rsid w:val="00A22736"/>
    <w:rsid w:val="00A22899"/>
    <w:rsid w:val="00A2295B"/>
    <w:rsid w:val="00A2295D"/>
    <w:rsid w:val="00A22ABC"/>
    <w:rsid w:val="00A22C76"/>
    <w:rsid w:val="00A22C95"/>
    <w:rsid w:val="00A22ED9"/>
    <w:rsid w:val="00A23B64"/>
    <w:rsid w:val="00A24834"/>
    <w:rsid w:val="00A24966"/>
    <w:rsid w:val="00A24CAE"/>
    <w:rsid w:val="00A25A5C"/>
    <w:rsid w:val="00A25E55"/>
    <w:rsid w:val="00A26391"/>
    <w:rsid w:val="00A26814"/>
    <w:rsid w:val="00A26ABC"/>
    <w:rsid w:val="00A26B6E"/>
    <w:rsid w:val="00A27248"/>
    <w:rsid w:val="00A273BA"/>
    <w:rsid w:val="00A27B53"/>
    <w:rsid w:val="00A31867"/>
    <w:rsid w:val="00A33197"/>
    <w:rsid w:val="00A33C7F"/>
    <w:rsid w:val="00A34AC4"/>
    <w:rsid w:val="00A34C01"/>
    <w:rsid w:val="00A350EE"/>
    <w:rsid w:val="00A354B9"/>
    <w:rsid w:val="00A35CD6"/>
    <w:rsid w:val="00A3625B"/>
    <w:rsid w:val="00A36424"/>
    <w:rsid w:val="00A36738"/>
    <w:rsid w:val="00A403DF"/>
    <w:rsid w:val="00A40C80"/>
    <w:rsid w:val="00A41790"/>
    <w:rsid w:val="00A41B18"/>
    <w:rsid w:val="00A41C3B"/>
    <w:rsid w:val="00A41DF2"/>
    <w:rsid w:val="00A421FE"/>
    <w:rsid w:val="00A422BC"/>
    <w:rsid w:val="00A42947"/>
    <w:rsid w:val="00A43118"/>
    <w:rsid w:val="00A4332F"/>
    <w:rsid w:val="00A43539"/>
    <w:rsid w:val="00A44919"/>
    <w:rsid w:val="00A44998"/>
    <w:rsid w:val="00A44BBE"/>
    <w:rsid w:val="00A454A3"/>
    <w:rsid w:val="00A45FEC"/>
    <w:rsid w:val="00A4607B"/>
    <w:rsid w:val="00A46420"/>
    <w:rsid w:val="00A46B81"/>
    <w:rsid w:val="00A46CDE"/>
    <w:rsid w:val="00A46D46"/>
    <w:rsid w:val="00A47342"/>
    <w:rsid w:val="00A47734"/>
    <w:rsid w:val="00A478BA"/>
    <w:rsid w:val="00A4797E"/>
    <w:rsid w:val="00A47C2D"/>
    <w:rsid w:val="00A47C7B"/>
    <w:rsid w:val="00A5039C"/>
    <w:rsid w:val="00A50A6D"/>
    <w:rsid w:val="00A51883"/>
    <w:rsid w:val="00A523C5"/>
    <w:rsid w:val="00A52D99"/>
    <w:rsid w:val="00A530E9"/>
    <w:rsid w:val="00A54000"/>
    <w:rsid w:val="00A542D4"/>
    <w:rsid w:val="00A5446B"/>
    <w:rsid w:val="00A545A6"/>
    <w:rsid w:val="00A54987"/>
    <w:rsid w:val="00A54D36"/>
    <w:rsid w:val="00A55294"/>
    <w:rsid w:val="00A55797"/>
    <w:rsid w:val="00A55D87"/>
    <w:rsid w:val="00A55D9E"/>
    <w:rsid w:val="00A561F6"/>
    <w:rsid w:val="00A56C78"/>
    <w:rsid w:val="00A56CA8"/>
    <w:rsid w:val="00A56F98"/>
    <w:rsid w:val="00A57C0A"/>
    <w:rsid w:val="00A60313"/>
    <w:rsid w:val="00A60D39"/>
    <w:rsid w:val="00A61779"/>
    <w:rsid w:val="00A61787"/>
    <w:rsid w:val="00A618D1"/>
    <w:rsid w:val="00A6243A"/>
    <w:rsid w:val="00A62620"/>
    <w:rsid w:val="00A627F2"/>
    <w:rsid w:val="00A629F2"/>
    <w:rsid w:val="00A62F5B"/>
    <w:rsid w:val="00A63318"/>
    <w:rsid w:val="00A6366E"/>
    <w:rsid w:val="00A63CAA"/>
    <w:rsid w:val="00A63E2E"/>
    <w:rsid w:val="00A64118"/>
    <w:rsid w:val="00A641E2"/>
    <w:rsid w:val="00A643BA"/>
    <w:rsid w:val="00A64B30"/>
    <w:rsid w:val="00A6596F"/>
    <w:rsid w:val="00A65FA4"/>
    <w:rsid w:val="00A66B05"/>
    <w:rsid w:val="00A66C22"/>
    <w:rsid w:val="00A66C32"/>
    <w:rsid w:val="00A66D2C"/>
    <w:rsid w:val="00A66F5F"/>
    <w:rsid w:val="00A67F29"/>
    <w:rsid w:val="00A703B1"/>
    <w:rsid w:val="00A705AD"/>
    <w:rsid w:val="00A7096D"/>
    <w:rsid w:val="00A70D7F"/>
    <w:rsid w:val="00A7118F"/>
    <w:rsid w:val="00A71B1F"/>
    <w:rsid w:val="00A71F6C"/>
    <w:rsid w:val="00A72B33"/>
    <w:rsid w:val="00A7339E"/>
    <w:rsid w:val="00A73F35"/>
    <w:rsid w:val="00A7476B"/>
    <w:rsid w:val="00A74777"/>
    <w:rsid w:val="00A747A4"/>
    <w:rsid w:val="00A747D9"/>
    <w:rsid w:val="00A74961"/>
    <w:rsid w:val="00A7534A"/>
    <w:rsid w:val="00A75B88"/>
    <w:rsid w:val="00A75C6A"/>
    <w:rsid w:val="00A761C8"/>
    <w:rsid w:val="00A765D4"/>
    <w:rsid w:val="00A76958"/>
    <w:rsid w:val="00A77083"/>
    <w:rsid w:val="00A7783A"/>
    <w:rsid w:val="00A779BD"/>
    <w:rsid w:val="00A77A90"/>
    <w:rsid w:val="00A800F4"/>
    <w:rsid w:val="00A8020E"/>
    <w:rsid w:val="00A80CD6"/>
    <w:rsid w:val="00A81717"/>
    <w:rsid w:val="00A820DB"/>
    <w:rsid w:val="00A82381"/>
    <w:rsid w:val="00A82511"/>
    <w:rsid w:val="00A82527"/>
    <w:rsid w:val="00A83210"/>
    <w:rsid w:val="00A83445"/>
    <w:rsid w:val="00A83927"/>
    <w:rsid w:val="00A843CC"/>
    <w:rsid w:val="00A846A0"/>
    <w:rsid w:val="00A847AA"/>
    <w:rsid w:val="00A85781"/>
    <w:rsid w:val="00A8591D"/>
    <w:rsid w:val="00A85BCD"/>
    <w:rsid w:val="00A85EDB"/>
    <w:rsid w:val="00A862F7"/>
    <w:rsid w:val="00A865C2"/>
    <w:rsid w:val="00A86C0A"/>
    <w:rsid w:val="00A86E6C"/>
    <w:rsid w:val="00A87413"/>
    <w:rsid w:val="00A90563"/>
    <w:rsid w:val="00A90D6B"/>
    <w:rsid w:val="00A916B9"/>
    <w:rsid w:val="00A918CB"/>
    <w:rsid w:val="00A91930"/>
    <w:rsid w:val="00A91971"/>
    <w:rsid w:val="00A91979"/>
    <w:rsid w:val="00A91C10"/>
    <w:rsid w:val="00A92345"/>
    <w:rsid w:val="00A929C3"/>
    <w:rsid w:val="00A9322F"/>
    <w:rsid w:val="00A9388E"/>
    <w:rsid w:val="00A939A3"/>
    <w:rsid w:val="00A93ED4"/>
    <w:rsid w:val="00A93FCF"/>
    <w:rsid w:val="00A94B76"/>
    <w:rsid w:val="00A95104"/>
    <w:rsid w:val="00A95A5F"/>
    <w:rsid w:val="00A95F29"/>
    <w:rsid w:val="00A95F72"/>
    <w:rsid w:val="00A9602C"/>
    <w:rsid w:val="00A96399"/>
    <w:rsid w:val="00A963A4"/>
    <w:rsid w:val="00A96558"/>
    <w:rsid w:val="00A9668E"/>
    <w:rsid w:val="00A97295"/>
    <w:rsid w:val="00A975E2"/>
    <w:rsid w:val="00A97903"/>
    <w:rsid w:val="00A97AA7"/>
    <w:rsid w:val="00AA012F"/>
    <w:rsid w:val="00AA0C26"/>
    <w:rsid w:val="00AA0F80"/>
    <w:rsid w:val="00AA121F"/>
    <w:rsid w:val="00AA12D9"/>
    <w:rsid w:val="00AA14FF"/>
    <w:rsid w:val="00AA161C"/>
    <w:rsid w:val="00AA1662"/>
    <w:rsid w:val="00AA1A17"/>
    <w:rsid w:val="00AA25EF"/>
    <w:rsid w:val="00AA3205"/>
    <w:rsid w:val="00AA351A"/>
    <w:rsid w:val="00AA385D"/>
    <w:rsid w:val="00AA4ECA"/>
    <w:rsid w:val="00AA4FD4"/>
    <w:rsid w:val="00AA51F0"/>
    <w:rsid w:val="00AA5378"/>
    <w:rsid w:val="00AA5C53"/>
    <w:rsid w:val="00AA617A"/>
    <w:rsid w:val="00AA69BA"/>
    <w:rsid w:val="00AA6AA2"/>
    <w:rsid w:val="00AA760F"/>
    <w:rsid w:val="00AA7A94"/>
    <w:rsid w:val="00AA7CBA"/>
    <w:rsid w:val="00AB00C3"/>
    <w:rsid w:val="00AB0310"/>
    <w:rsid w:val="00AB0702"/>
    <w:rsid w:val="00AB0AE5"/>
    <w:rsid w:val="00AB0CB4"/>
    <w:rsid w:val="00AB124E"/>
    <w:rsid w:val="00AB16F3"/>
    <w:rsid w:val="00AB1951"/>
    <w:rsid w:val="00AB19B0"/>
    <w:rsid w:val="00AB1AB2"/>
    <w:rsid w:val="00AB2009"/>
    <w:rsid w:val="00AB20DB"/>
    <w:rsid w:val="00AB23C4"/>
    <w:rsid w:val="00AB261E"/>
    <w:rsid w:val="00AB35ED"/>
    <w:rsid w:val="00AB3645"/>
    <w:rsid w:val="00AB37AE"/>
    <w:rsid w:val="00AB39D2"/>
    <w:rsid w:val="00AB3BC3"/>
    <w:rsid w:val="00AB408B"/>
    <w:rsid w:val="00AB433B"/>
    <w:rsid w:val="00AB4450"/>
    <w:rsid w:val="00AB4D73"/>
    <w:rsid w:val="00AB56A6"/>
    <w:rsid w:val="00AB577F"/>
    <w:rsid w:val="00AB5ABA"/>
    <w:rsid w:val="00AB6477"/>
    <w:rsid w:val="00AB6C90"/>
    <w:rsid w:val="00AB72EF"/>
    <w:rsid w:val="00AB73B4"/>
    <w:rsid w:val="00AB7873"/>
    <w:rsid w:val="00AB7C29"/>
    <w:rsid w:val="00AC072C"/>
    <w:rsid w:val="00AC0CC9"/>
    <w:rsid w:val="00AC1226"/>
    <w:rsid w:val="00AC1312"/>
    <w:rsid w:val="00AC2749"/>
    <w:rsid w:val="00AC2DF1"/>
    <w:rsid w:val="00AC3BD6"/>
    <w:rsid w:val="00AC4A99"/>
    <w:rsid w:val="00AC4AB9"/>
    <w:rsid w:val="00AC4CA1"/>
    <w:rsid w:val="00AC55FA"/>
    <w:rsid w:val="00AC57CF"/>
    <w:rsid w:val="00AC581B"/>
    <w:rsid w:val="00AC5EB1"/>
    <w:rsid w:val="00AC6083"/>
    <w:rsid w:val="00AC6CB5"/>
    <w:rsid w:val="00AC6DA2"/>
    <w:rsid w:val="00AC71FB"/>
    <w:rsid w:val="00AC72A3"/>
    <w:rsid w:val="00AC7B16"/>
    <w:rsid w:val="00AC7BD4"/>
    <w:rsid w:val="00AC7FEC"/>
    <w:rsid w:val="00AD02B4"/>
    <w:rsid w:val="00AD0522"/>
    <w:rsid w:val="00AD1024"/>
    <w:rsid w:val="00AD11A9"/>
    <w:rsid w:val="00AD12D3"/>
    <w:rsid w:val="00AD17A0"/>
    <w:rsid w:val="00AD17A8"/>
    <w:rsid w:val="00AD18C4"/>
    <w:rsid w:val="00AD1AE5"/>
    <w:rsid w:val="00AD1EEF"/>
    <w:rsid w:val="00AD2044"/>
    <w:rsid w:val="00AD274A"/>
    <w:rsid w:val="00AD3E38"/>
    <w:rsid w:val="00AD4052"/>
    <w:rsid w:val="00AD4382"/>
    <w:rsid w:val="00AD4922"/>
    <w:rsid w:val="00AD5EB6"/>
    <w:rsid w:val="00AD5F7C"/>
    <w:rsid w:val="00AD644D"/>
    <w:rsid w:val="00AD6B79"/>
    <w:rsid w:val="00AD78A6"/>
    <w:rsid w:val="00AD7CDF"/>
    <w:rsid w:val="00AD7D18"/>
    <w:rsid w:val="00AE06D5"/>
    <w:rsid w:val="00AE0C7B"/>
    <w:rsid w:val="00AE152A"/>
    <w:rsid w:val="00AE23C5"/>
    <w:rsid w:val="00AE2570"/>
    <w:rsid w:val="00AE299C"/>
    <w:rsid w:val="00AE3BDE"/>
    <w:rsid w:val="00AE3DBD"/>
    <w:rsid w:val="00AE409B"/>
    <w:rsid w:val="00AE40DA"/>
    <w:rsid w:val="00AE4101"/>
    <w:rsid w:val="00AE4267"/>
    <w:rsid w:val="00AE48C4"/>
    <w:rsid w:val="00AE4AF3"/>
    <w:rsid w:val="00AE515D"/>
    <w:rsid w:val="00AE57BF"/>
    <w:rsid w:val="00AE675C"/>
    <w:rsid w:val="00AE6A2D"/>
    <w:rsid w:val="00AE70AA"/>
    <w:rsid w:val="00AE7434"/>
    <w:rsid w:val="00AE762A"/>
    <w:rsid w:val="00AE76E1"/>
    <w:rsid w:val="00AF01F0"/>
    <w:rsid w:val="00AF0273"/>
    <w:rsid w:val="00AF04E5"/>
    <w:rsid w:val="00AF064B"/>
    <w:rsid w:val="00AF0B33"/>
    <w:rsid w:val="00AF0B9B"/>
    <w:rsid w:val="00AF0C57"/>
    <w:rsid w:val="00AF1559"/>
    <w:rsid w:val="00AF1AF7"/>
    <w:rsid w:val="00AF1C87"/>
    <w:rsid w:val="00AF1D79"/>
    <w:rsid w:val="00AF1DC8"/>
    <w:rsid w:val="00AF21C8"/>
    <w:rsid w:val="00AF22C3"/>
    <w:rsid w:val="00AF3894"/>
    <w:rsid w:val="00AF3AB9"/>
    <w:rsid w:val="00AF3D32"/>
    <w:rsid w:val="00AF49E1"/>
    <w:rsid w:val="00AF4B12"/>
    <w:rsid w:val="00AF4D87"/>
    <w:rsid w:val="00AF5122"/>
    <w:rsid w:val="00AF5994"/>
    <w:rsid w:val="00AF5A0B"/>
    <w:rsid w:val="00AF6590"/>
    <w:rsid w:val="00AF6871"/>
    <w:rsid w:val="00AF6986"/>
    <w:rsid w:val="00AF6AD1"/>
    <w:rsid w:val="00AF7103"/>
    <w:rsid w:val="00AF7395"/>
    <w:rsid w:val="00AF74C4"/>
    <w:rsid w:val="00AF750D"/>
    <w:rsid w:val="00AF753D"/>
    <w:rsid w:val="00AF7AC2"/>
    <w:rsid w:val="00AF7AE0"/>
    <w:rsid w:val="00B0005F"/>
    <w:rsid w:val="00B000DB"/>
    <w:rsid w:val="00B0056F"/>
    <w:rsid w:val="00B019D1"/>
    <w:rsid w:val="00B020FC"/>
    <w:rsid w:val="00B02194"/>
    <w:rsid w:val="00B021DB"/>
    <w:rsid w:val="00B025FC"/>
    <w:rsid w:val="00B03174"/>
    <w:rsid w:val="00B03183"/>
    <w:rsid w:val="00B03E36"/>
    <w:rsid w:val="00B03FC6"/>
    <w:rsid w:val="00B0429D"/>
    <w:rsid w:val="00B0499B"/>
    <w:rsid w:val="00B04B43"/>
    <w:rsid w:val="00B051A9"/>
    <w:rsid w:val="00B0520E"/>
    <w:rsid w:val="00B0599C"/>
    <w:rsid w:val="00B05B05"/>
    <w:rsid w:val="00B06795"/>
    <w:rsid w:val="00B06B90"/>
    <w:rsid w:val="00B076E5"/>
    <w:rsid w:val="00B07751"/>
    <w:rsid w:val="00B10314"/>
    <w:rsid w:val="00B10568"/>
    <w:rsid w:val="00B10E5A"/>
    <w:rsid w:val="00B114E7"/>
    <w:rsid w:val="00B11719"/>
    <w:rsid w:val="00B11D79"/>
    <w:rsid w:val="00B12120"/>
    <w:rsid w:val="00B1318D"/>
    <w:rsid w:val="00B136BA"/>
    <w:rsid w:val="00B139A8"/>
    <w:rsid w:val="00B1400C"/>
    <w:rsid w:val="00B14034"/>
    <w:rsid w:val="00B14E57"/>
    <w:rsid w:val="00B14EBD"/>
    <w:rsid w:val="00B15076"/>
    <w:rsid w:val="00B153E0"/>
    <w:rsid w:val="00B1569A"/>
    <w:rsid w:val="00B15ABC"/>
    <w:rsid w:val="00B15DF3"/>
    <w:rsid w:val="00B16492"/>
    <w:rsid w:val="00B17304"/>
    <w:rsid w:val="00B174B3"/>
    <w:rsid w:val="00B211A1"/>
    <w:rsid w:val="00B21854"/>
    <w:rsid w:val="00B22340"/>
    <w:rsid w:val="00B2254C"/>
    <w:rsid w:val="00B22861"/>
    <w:rsid w:val="00B22C1C"/>
    <w:rsid w:val="00B231E7"/>
    <w:rsid w:val="00B2348E"/>
    <w:rsid w:val="00B23645"/>
    <w:rsid w:val="00B23CC7"/>
    <w:rsid w:val="00B24694"/>
    <w:rsid w:val="00B2487D"/>
    <w:rsid w:val="00B24965"/>
    <w:rsid w:val="00B2532F"/>
    <w:rsid w:val="00B2577E"/>
    <w:rsid w:val="00B266FE"/>
    <w:rsid w:val="00B2713B"/>
    <w:rsid w:val="00B3001F"/>
    <w:rsid w:val="00B3012E"/>
    <w:rsid w:val="00B30618"/>
    <w:rsid w:val="00B3074A"/>
    <w:rsid w:val="00B30EF4"/>
    <w:rsid w:val="00B30FB8"/>
    <w:rsid w:val="00B3163A"/>
    <w:rsid w:val="00B32428"/>
    <w:rsid w:val="00B33B92"/>
    <w:rsid w:val="00B33BBD"/>
    <w:rsid w:val="00B34B5F"/>
    <w:rsid w:val="00B35D67"/>
    <w:rsid w:val="00B37525"/>
    <w:rsid w:val="00B37613"/>
    <w:rsid w:val="00B37799"/>
    <w:rsid w:val="00B3789B"/>
    <w:rsid w:val="00B403AE"/>
    <w:rsid w:val="00B40433"/>
    <w:rsid w:val="00B40968"/>
    <w:rsid w:val="00B40A75"/>
    <w:rsid w:val="00B40AB5"/>
    <w:rsid w:val="00B40BA8"/>
    <w:rsid w:val="00B40E7B"/>
    <w:rsid w:val="00B42901"/>
    <w:rsid w:val="00B42CE7"/>
    <w:rsid w:val="00B42FF1"/>
    <w:rsid w:val="00B43791"/>
    <w:rsid w:val="00B4442E"/>
    <w:rsid w:val="00B446A3"/>
    <w:rsid w:val="00B44815"/>
    <w:rsid w:val="00B44C03"/>
    <w:rsid w:val="00B44F56"/>
    <w:rsid w:val="00B453A9"/>
    <w:rsid w:val="00B455C3"/>
    <w:rsid w:val="00B45840"/>
    <w:rsid w:val="00B45969"/>
    <w:rsid w:val="00B45A6A"/>
    <w:rsid w:val="00B45CDC"/>
    <w:rsid w:val="00B460E8"/>
    <w:rsid w:val="00B461BB"/>
    <w:rsid w:val="00B46578"/>
    <w:rsid w:val="00B46A5A"/>
    <w:rsid w:val="00B473D8"/>
    <w:rsid w:val="00B47576"/>
    <w:rsid w:val="00B47645"/>
    <w:rsid w:val="00B47863"/>
    <w:rsid w:val="00B505EA"/>
    <w:rsid w:val="00B5096F"/>
    <w:rsid w:val="00B50FDA"/>
    <w:rsid w:val="00B521BF"/>
    <w:rsid w:val="00B5291E"/>
    <w:rsid w:val="00B52D72"/>
    <w:rsid w:val="00B53287"/>
    <w:rsid w:val="00B535F3"/>
    <w:rsid w:val="00B536CA"/>
    <w:rsid w:val="00B537A9"/>
    <w:rsid w:val="00B5387D"/>
    <w:rsid w:val="00B53B1A"/>
    <w:rsid w:val="00B53EE3"/>
    <w:rsid w:val="00B54408"/>
    <w:rsid w:val="00B55432"/>
    <w:rsid w:val="00B55990"/>
    <w:rsid w:val="00B55B94"/>
    <w:rsid w:val="00B6045F"/>
    <w:rsid w:val="00B61BFD"/>
    <w:rsid w:val="00B61F51"/>
    <w:rsid w:val="00B61F5B"/>
    <w:rsid w:val="00B62DCD"/>
    <w:rsid w:val="00B62F89"/>
    <w:rsid w:val="00B632E1"/>
    <w:rsid w:val="00B6331F"/>
    <w:rsid w:val="00B63B84"/>
    <w:rsid w:val="00B643AA"/>
    <w:rsid w:val="00B64508"/>
    <w:rsid w:val="00B6474F"/>
    <w:rsid w:val="00B6505B"/>
    <w:rsid w:val="00B65302"/>
    <w:rsid w:val="00B65425"/>
    <w:rsid w:val="00B65620"/>
    <w:rsid w:val="00B657C7"/>
    <w:rsid w:val="00B65804"/>
    <w:rsid w:val="00B65E29"/>
    <w:rsid w:val="00B66C13"/>
    <w:rsid w:val="00B67668"/>
    <w:rsid w:val="00B703DB"/>
    <w:rsid w:val="00B71435"/>
    <w:rsid w:val="00B71546"/>
    <w:rsid w:val="00B719E9"/>
    <w:rsid w:val="00B71B55"/>
    <w:rsid w:val="00B71D44"/>
    <w:rsid w:val="00B71E94"/>
    <w:rsid w:val="00B71FE3"/>
    <w:rsid w:val="00B7234A"/>
    <w:rsid w:val="00B72A56"/>
    <w:rsid w:val="00B72E54"/>
    <w:rsid w:val="00B73080"/>
    <w:rsid w:val="00B73095"/>
    <w:rsid w:val="00B734FF"/>
    <w:rsid w:val="00B7442B"/>
    <w:rsid w:val="00B74469"/>
    <w:rsid w:val="00B74548"/>
    <w:rsid w:val="00B74FAC"/>
    <w:rsid w:val="00B757C9"/>
    <w:rsid w:val="00B76573"/>
    <w:rsid w:val="00B77746"/>
    <w:rsid w:val="00B77A33"/>
    <w:rsid w:val="00B77E48"/>
    <w:rsid w:val="00B80287"/>
    <w:rsid w:val="00B80902"/>
    <w:rsid w:val="00B80EB3"/>
    <w:rsid w:val="00B8104F"/>
    <w:rsid w:val="00B8130F"/>
    <w:rsid w:val="00B819F7"/>
    <w:rsid w:val="00B81A8D"/>
    <w:rsid w:val="00B81BC2"/>
    <w:rsid w:val="00B81D1B"/>
    <w:rsid w:val="00B81D81"/>
    <w:rsid w:val="00B81F70"/>
    <w:rsid w:val="00B82087"/>
    <w:rsid w:val="00B8258D"/>
    <w:rsid w:val="00B82E0A"/>
    <w:rsid w:val="00B83463"/>
    <w:rsid w:val="00B83471"/>
    <w:rsid w:val="00B83721"/>
    <w:rsid w:val="00B83A52"/>
    <w:rsid w:val="00B84287"/>
    <w:rsid w:val="00B842ED"/>
    <w:rsid w:val="00B84647"/>
    <w:rsid w:val="00B849A5"/>
    <w:rsid w:val="00B84F4F"/>
    <w:rsid w:val="00B8556A"/>
    <w:rsid w:val="00B86E37"/>
    <w:rsid w:val="00B87921"/>
    <w:rsid w:val="00B87A6C"/>
    <w:rsid w:val="00B87FE5"/>
    <w:rsid w:val="00B903AA"/>
    <w:rsid w:val="00B90D76"/>
    <w:rsid w:val="00B91A40"/>
    <w:rsid w:val="00B92F61"/>
    <w:rsid w:val="00B93F1D"/>
    <w:rsid w:val="00B94147"/>
    <w:rsid w:val="00B945AD"/>
    <w:rsid w:val="00B9568B"/>
    <w:rsid w:val="00B95A87"/>
    <w:rsid w:val="00B9696D"/>
    <w:rsid w:val="00B96A07"/>
    <w:rsid w:val="00B96B51"/>
    <w:rsid w:val="00B96F07"/>
    <w:rsid w:val="00B97343"/>
    <w:rsid w:val="00BA13C0"/>
    <w:rsid w:val="00BA156D"/>
    <w:rsid w:val="00BA1C05"/>
    <w:rsid w:val="00BA2151"/>
    <w:rsid w:val="00BA23B2"/>
    <w:rsid w:val="00BA29CB"/>
    <w:rsid w:val="00BA2F17"/>
    <w:rsid w:val="00BA2F97"/>
    <w:rsid w:val="00BA336A"/>
    <w:rsid w:val="00BA3A7E"/>
    <w:rsid w:val="00BA3FD0"/>
    <w:rsid w:val="00BA4581"/>
    <w:rsid w:val="00BA461B"/>
    <w:rsid w:val="00BA47EE"/>
    <w:rsid w:val="00BA4FEA"/>
    <w:rsid w:val="00BA51B1"/>
    <w:rsid w:val="00BA52AC"/>
    <w:rsid w:val="00BA5807"/>
    <w:rsid w:val="00BA5AB6"/>
    <w:rsid w:val="00BA6280"/>
    <w:rsid w:val="00BA6398"/>
    <w:rsid w:val="00BA65FE"/>
    <w:rsid w:val="00BA6E17"/>
    <w:rsid w:val="00BA7444"/>
    <w:rsid w:val="00BA74A9"/>
    <w:rsid w:val="00BA7C6A"/>
    <w:rsid w:val="00BB0162"/>
    <w:rsid w:val="00BB0A9A"/>
    <w:rsid w:val="00BB0AF5"/>
    <w:rsid w:val="00BB0D77"/>
    <w:rsid w:val="00BB0D7A"/>
    <w:rsid w:val="00BB0F11"/>
    <w:rsid w:val="00BB1025"/>
    <w:rsid w:val="00BB1095"/>
    <w:rsid w:val="00BB1675"/>
    <w:rsid w:val="00BB1E7C"/>
    <w:rsid w:val="00BB2382"/>
    <w:rsid w:val="00BB3620"/>
    <w:rsid w:val="00BB5261"/>
    <w:rsid w:val="00BB5DBF"/>
    <w:rsid w:val="00BB5E01"/>
    <w:rsid w:val="00BC0464"/>
    <w:rsid w:val="00BC0864"/>
    <w:rsid w:val="00BC0A11"/>
    <w:rsid w:val="00BC0D8E"/>
    <w:rsid w:val="00BC0F28"/>
    <w:rsid w:val="00BC171B"/>
    <w:rsid w:val="00BC19E2"/>
    <w:rsid w:val="00BC1BA7"/>
    <w:rsid w:val="00BC1E3B"/>
    <w:rsid w:val="00BC2026"/>
    <w:rsid w:val="00BC23B8"/>
    <w:rsid w:val="00BC24E8"/>
    <w:rsid w:val="00BC32E1"/>
    <w:rsid w:val="00BC352F"/>
    <w:rsid w:val="00BC3AA6"/>
    <w:rsid w:val="00BC3F24"/>
    <w:rsid w:val="00BC4BF6"/>
    <w:rsid w:val="00BC5323"/>
    <w:rsid w:val="00BC558F"/>
    <w:rsid w:val="00BC5A1B"/>
    <w:rsid w:val="00BC5A6C"/>
    <w:rsid w:val="00BC5DF0"/>
    <w:rsid w:val="00BC5DF9"/>
    <w:rsid w:val="00BC71A5"/>
    <w:rsid w:val="00BC73BE"/>
    <w:rsid w:val="00BD1AD4"/>
    <w:rsid w:val="00BD2D88"/>
    <w:rsid w:val="00BD303F"/>
    <w:rsid w:val="00BD3560"/>
    <w:rsid w:val="00BD39FD"/>
    <w:rsid w:val="00BD458E"/>
    <w:rsid w:val="00BD487B"/>
    <w:rsid w:val="00BD5DA5"/>
    <w:rsid w:val="00BD61DF"/>
    <w:rsid w:val="00BD66EF"/>
    <w:rsid w:val="00BD69BC"/>
    <w:rsid w:val="00BD71D9"/>
    <w:rsid w:val="00BD7324"/>
    <w:rsid w:val="00BD74AF"/>
    <w:rsid w:val="00BE0E91"/>
    <w:rsid w:val="00BE1578"/>
    <w:rsid w:val="00BE1729"/>
    <w:rsid w:val="00BE1953"/>
    <w:rsid w:val="00BE1A2B"/>
    <w:rsid w:val="00BE2373"/>
    <w:rsid w:val="00BE42A4"/>
    <w:rsid w:val="00BE5070"/>
    <w:rsid w:val="00BE5D8E"/>
    <w:rsid w:val="00BE5DCB"/>
    <w:rsid w:val="00BE61D3"/>
    <w:rsid w:val="00BE6EB9"/>
    <w:rsid w:val="00BE6F14"/>
    <w:rsid w:val="00BE758B"/>
    <w:rsid w:val="00BE76F6"/>
    <w:rsid w:val="00BE7E51"/>
    <w:rsid w:val="00BF04DF"/>
    <w:rsid w:val="00BF0755"/>
    <w:rsid w:val="00BF091F"/>
    <w:rsid w:val="00BF0C4B"/>
    <w:rsid w:val="00BF13C9"/>
    <w:rsid w:val="00BF1BFB"/>
    <w:rsid w:val="00BF2058"/>
    <w:rsid w:val="00BF2191"/>
    <w:rsid w:val="00BF27D1"/>
    <w:rsid w:val="00BF3DA0"/>
    <w:rsid w:val="00BF453A"/>
    <w:rsid w:val="00BF4BA1"/>
    <w:rsid w:val="00BF4BF0"/>
    <w:rsid w:val="00BF4C20"/>
    <w:rsid w:val="00BF4C43"/>
    <w:rsid w:val="00BF5545"/>
    <w:rsid w:val="00BF576E"/>
    <w:rsid w:val="00BF5B73"/>
    <w:rsid w:val="00BF5C5F"/>
    <w:rsid w:val="00BF5CE3"/>
    <w:rsid w:val="00BF5F3D"/>
    <w:rsid w:val="00BF6145"/>
    <w:rsid w:val="00BF61D5"/>
    <w:rsid w:val="00BF7369"/>
    <w:rsid w:val="00C006D2"/>
    <w:rsid w:val="00C00A1C"/>
    <w:rsid w:val="00C01813"/>
    <w:rsid w:val="00C01A65"/>
    <w:rsid w:val="00C02854"/>
    <w:rsid w:val="00C02A7A"/>
    <w:rsid w:val="00C033C3"/>
    <w:rsid w:val="00C036DC"/>
    <w:rsid w:val="00C03D69"/>
    <w:rsid w:val="00C0482D"/>
    <w:rsid w:val="00C0575B"/>
    <w:rsid w:val="00C05B04"/>
    <w:rsid w:val="00C060FF"/>
    <w:rsid w:val="00C07001"/>
    <w:rsid w:val="00C07F3B"/>
    <w:rsid w:val="00C07FEF"/>
    <w:rsid w:val="00C100FD"/>
    <w:rsid w:val="00C1127C"/>
    <w:rsid w:val="00C11E99"/>
    <w:rsid w:val="00C12A2F"/>
    <w:rsid w:val="00C12D2C"/>
    <w:rsid w:val="00C131F2"/>
    <w:rsid w:val="00C13842"/>
    <w:rsid w:val="00C13A0F"/>
    <w:rsid w:val="00C13B02"/>
    <w:rsid w:val="00C13C1A"/>
    <w:rsid w:val="00C140D7"/>
    <w:rsid w:val="00C146E5"/>
    <w:rsid w:val="00C14926"/>
    <w:rsid w:val="00C14AC0"/>
    <w:rsid w:val="00C14D7B"/>
    <w:rsid w:val="00C15DAB"/>
    <w:rsid w:val="00C15E92"/>
    <w:rsid w:val="00C1630E"/>
    <w:rsid w:val="00C16340"/>
    <w:rsid w:val="00C16382"/>
    <w:rsid w:val="00C165F4"/>
    <w:rsid w:val="00C1675F"/>
    <w:rsid w:val="00C16D3D"/>
    <w:rsid w:val="00C16FF1"/>
    <w:rsid w:val="00C1703A"/>
    <w:rsid w:val="00C175C4"/>
    <w:rsid w:val="00C17637"/>
    <w:rsid w:val="00C176D8"/>
    <w:rsid w:val="00C206C0"/>
    <w:rsid w:val="00C20A3C"/>
    <w:rsid w:val="00C210E0"/>
    <w:rsid w:val="00C21207"/>
    <w:rsid w:val="00C21C1F"/>
    <w:rsid w:val="00C21E76"/>
    <w:rsid w:val="00C222B6"/>
    <w:rsid w:val="00C226C4"/>
    <w:rsid w:val="00C22D63"/>
    <w:rsid w:val="00C23098"/>
    <w:rsid w:val="00C2321D"/>
    <w:rsid w:val="00C23774"/>
    <w:rsid w:val="00C23AAD"/>
    <w:rsid w:val="00C23B60"/>
    <w:rsid w:val="00C23BB0"/>
    <w:rsid w:val="00C2476E"/>
    <w:rsid w:val="00C248C8"/>
    <w:rsid w:val="00C24BC9"/>
    <w:rsid w:val="00C24BD0"/>
    <w:rsid w:val="00C25566"/>
    <w:rsid w:val="00C26012"/>
    <w:rsid w:val="00C260B3"/>
    <w:rsid w:val="00C26738"/>
    <w:rsid w:val="00C26804"/>
    <w:rsid w:val="00C26E5D"/>
    <w:rsid w:val="00C26FE5"/>
    <w:rsid w:val="00C274AF"/>
    <w:rsid w:val="00C27BAE"/>
    <w:rsid w:val="00C300D1"/>
    <w:rsid w:val="00C30293"/>
    <w:rsid w:val="00C3033E"/>
    <w:rsid w:val="00C30555"/>
    <w:rsid w:val="00C308E1"/>
    <w:rsid w:val="00C3093F"/>
    <w:rsid w:val="00C30B1F"/>
    <w:rsid w:val="00C31486"/>
    <w:rsid w:val="00C322B0"/>
    <w:rsid w:val="00C336EA"/>
    <w:rsid w:val="00C3383D"/>
    <w:rsid w:val="00C33B41"/>
    <w:rsid w:val="00C33B8D"/>
    <w:rsid w:val="00C33C86"/>
    <w:rsid w:val="00C34558"/>
    <w:rsid w:val="00C34631"/>
    <w:rsid w:val="00C34813"/>
    <w:rsid w:val="00C348D7"/>
    <w:rsid w:val="00C34DC3"/>
    <w:rsid w:val="00C35622"/>
    <w:rsid w:val="00C35B9B"/>
    <w:rsid w:val="00C3625C"/>
    <w:rsid w:val="00C366DF"/>
    <w:rsid w:val="00C36D58"/>
    <w:rsid w:val="00C37327"/>
    <w:rsid w:val="00C37778"/>
    <w:rsid w:val="00C3793D"/>
    <w:rsid w:val="00C37F1E"/>
    <w:rsid w:val="00C405CF"/>
    <w:rsid w:val="00C40933"/>
    <w:rsid w:val="00C40A72"/>
    <w:rsid w:val="00C41952"/>
    <w:rsid w:val="00C41B06"/>
    <w:rsid w:val="00C41B11"/>
    <w:rsid w:val="00C423A8"/>
    <w:rsid w:val="00C424A7"/>
    <w:rsid w:val="00C4267D"/>
    <w:rsid w:val="00C427C6"/>
    <w:rsid w:val="00C42804"/>
    <w:rsid w:val="00C42ABF"/>
    <w:rsid w:val="00C436A2"/>
    <w:rsid w:val="00C43938"/>
    <w:rsid w:val="00C43E07"/>
    <w:rsid w:val="00C43F88"/>
    <w:rsid w:val="00C4406D"/>
    <w:rsid w:val="00C440A5"/>
    <w:rsid w:val="00C456C5"/>
    <w:rsid w:val="00C45E5C"/>
    <w:rsid w:val="00C46AFE"/>
    <w:rsid w:val="00C474A7"/>
    <w:rsid w:val="00C4778E"/>
    <w:rsid w:val="00C50470"/>
    <w:rsid w:val="00C50A01"/>
    <w:rsid w:val="00C50D03"/>
    <w:rsid w:val="00C517C4"/>
    <w:rsid w:val="00C52253"/>
    <w:rsid w:val="00C5265F"/>
    <w:rsid w:val="00C530C4"/>
    <w:rsid w:val="00C53372"/>
    <w:rsid w:val="00C535A1"/>
    <w:rsid w:val="00C53A87"/>
    <w:rsid w:val="00C53C25"/>
    <w:rsid w:val="00C543D3"/>
    <w:rsid w:val="00C5484D"/>
    <w:rsid w:val="00C54B2A"/>
    <w:rsid w:val="00C55164"/>
    <w:rsid w:val="00C55957"/>
    <w:rsid w:val="00C55B23"/>
    <w:rsid w:val="00C56207"/>
    <w:rsid w:val="00C56246"/>
    <w:rsid w:val="00C56532"/>
    <w:rsid w:val="00C56643"/>
    <w:rsid w:val="00C56D0E"/>
    <w:rsid w:val="00C577D2"/>
    <w:rsid w:val="00C5782F"/>
    <w:rsid w:val="00C57955"/>
    <w:rsid w:val="00C57EE7"/>
    <w:rsid w:val="00C60E5E"/>
    <w:rsid w:val="00C61098"/>
    <w:rsid w:val="00C611D2"/>
    <w:rsid w:val="00C61C9A"/>
    <w:rsid w:val="00C61E15"/>
    <w:rsid w:val="00C62879"/>
    <w:rsid w:val="00C63141"/>
    <w:rsid w:val="00C635A9"/>
    <w:rsid w:val="00C6381C"/>
    <w:rsid w:val="00C638FE"/>
    <w:rsid w:val="00C63EEB"/>
    <w:rsid w:val="00C640C5"/>
    <w:rsid w:val="00C657BB"/>
    <w:rsid w:val="00C65D0B"/>
    <w:rsid w:val="00C65E8C"/>
    <w:rsid w:val="00C662AD"/>
    <w:rsid w:val="00C66C77"/>
    <w:rsid w:val="00C670AF"/>
    <w:rsid w:val="00C6730B"/>
    <w:rsid w:val="00C679A1"/>
    <w:rsid w:val="00C679C8"/>
    <w:rsid w:val="00C67C22"/>
    <w:rsid w:val="00C67C2A"/>
    <w:rsid w:val="00C67C6E"/>
    <w:rsid w:val="00C67D95"/>
    <w:rsid w:val="00C67E45"/>
    <w:rsid w:val="00C70674"/>
    <w:rsid w:val="00C709EB"/>
    <w:rsid w:val="00C70FA4"/>
    <w:rsid w:val="00C715F9"/>
    <w:rsid w:val="00C719F2"/>
    <w:rsid w:val="00C71A62"/>
    <w:rsid w:val="00C71F38"/>
    <w:rsid w:val="00C72187"/>
    <w:rsid w:val="00C72910"/>
    <w:rsid w:val="00C7295C"/>
    <w:rsid w:val="00C72B22"/>
    <w:rsid w:val="00C72B59"/>
    <w:rsid w:val="00C72DA7"/>
    <w:rsid w:val="00C730C8"/>
    <w:rsid w:val="00C7387E"/>
    <w:rsid w:val="00C73AFC"/>
    <w:rsid w:val="00C740EE"/>
    <w:rsid w:val="00C742C2"/>
    <w:rsid w:val="00C744AD"/>
    <w:rsid w:val="00C74675"/>
    <w:rsid w:val="00C750B4"/>
    <w:rsid w:val="00C75DAB"/>
    <w:rsid w:val="00C76320"/>
    <w:rsid w:val="00C77369"/>
    <w:rsid w:val="00C77A46"/>
    <w:rsid w:val="00C77CDA"/>
    <w:rsid w:val="00C80414"/>
    <w:rsid w:val="00C8074D"/>
    <w:rsid w:val="00C814BB"/>
    <w:rsid w:val="00C815E2"/>
    <w:rsid w:val="00C815F4"/>
    <w:rsid w:val="00C817EF"/>
    <w:rsid w:val="00C82175"/>
    <w:rsid w:val="00C823EC"/>
    <w:rsid w:val="00C83BA9"/>
    <w:rsid w:val="00C84CAC"/>
    <w:rsid w:val="00C8539C"/>
    <w:rsid w:val="00C86086"/>
    <w:rsid w:val="00C86541"/>
    <w:rsid w:val="00C865B6"/>
    <w:rsid w:val="00C86623"/>
    <w:rsid w:val="00C868C1"/>
    <w:rsid w:val="00C87033"/>
    <w:rsid w:val="00C8707E"/>
    <w:rsid w:val="00C871C1"/>
    <w:rsid w:val="00C8735B"/>
    <w:rsid w:val="00C87754"/>
    <w:rsid w:val="00C87EB9"/>
    <w:rsid w:val="00C90193"/>
    <w:rsid w:val="00C90B10"/>
    <w:rsid w:val="00C90BC1"/>
    <w:rsid w:val="00C9153D"/>
    <w:rsid w:val="00C91875"/>
    <w:rsid w:val="00C91AAE"/>
    <w:rsid w:val="00C91CA4"/>
    <w:rsid w:val="00C92A7D"/>
    <w:rsid w:val="00C92F98"/>
    <w:rsid w:val="00C94576"/>
    <w:rsid w:val="00C947F5"/>
    <w:rsid w:val="00C94F93"/>
    <w:rsid w:val="00C9534F"/>
    <w:rsid w:val="00C954EA"/>
    <w:rsid w:val="00C957A6"/>
    <w:rsid w:val="00C95B3B"/>
    <w:rsid w:val="00C9620B"/>
    <w:rsid w:val="00C967CB"/>
    <w:rsid w:val="00C96E41"/>
    <w:rsid w:val="00C97001"/>
    <w:rsid w:val="00C9749B"/>
    <w:rsid w:val="00C97C32"/>
    <w:rsid w:val="00CA0120"/>
    <w:rsid w:val="00CA02DD"/>
    <w:rsid w:val="00CA034E"/>
    <w:rsid w:val="00CA043E"/>
    <w:rsid w:val="00CA0D1F"/>
    <w:rsid w:val="00CA109F"/>
    <w:rsid w:val="00CA1303"/>
    <w:rsid w:val="00CA1A66"/>
    <w:rsid w:val="00CA3169"/>
    <w:rsid w:val="00CA31A4"/>
    <w:rsid w:val="00CA359D"/>
    <w:rsid w:val="00CA3656"/>
    <w:rsid w:val="00CA37A7"/>
    <w:rsid w:val="00CA3F06"/>
    <w:rsid w:val="00CA3F15"/>
    <w:rsid w:val="00CA3F4A"/>
    <w:rsid w:val="00CA407A"/>
    <w:rsid w:val="00CA4235"/>
    <w:rsid w:val="00CA425E"/>
    <w:rsid w:val="00CA442C"/>
    <w:rsid w:val="00CA4764"/>
    <w:rsid w:val="00CA4F24"/>
    <w:rsid w:val="00CA58AB"/>
    <w:rsid w:val="00CA5E39"/>
    <w:rsid w:val="00CA62F9"/>
    <w:rsid w:val="00CB12FE"/>
    <w:rsid w:val="00CB1653"/>
    <w:rsid w:val="00CB2197"/>
    <w:rsid w:val="00CB2FB6"/>
    <w:rsid w:val="00CB3162"/>
    <w:rsid w:val="00CB32B8"/>
    <w:rsid w:val="00CB395A"/>
    <w:rsid w:val="00CB39AD"/>
    <w:rsid w:val="00CB4995"/>
    <w:rsid w:val="00CB4ABB"/>
    <w:rsid w:val="00CB4EE9"/>
    <w:rsid w:val="00CB54C3"/>
    <w:rsid w:val="00CB59DF"/>
    <w:rsid w:val="00CB5AC4"/>
    <w:rsid w:val="00CB5B0B"/>
    <w:rsid w:val="00CB5FA9"/>
    <w:rsid w:val="00CB6458"/>
    <w:rsid w:val="00CB67C1"/>
    <w:rsid w:val="00CB6FC9"/>
    <w:rsid w:val="00CC19CC"/>
    <w:rsid w:val="00CC1AF8"/>
    <w:rsid w:val="00CC1CA9"/>
    <w:rsid w:val="00CC2203"/>
    <w:rsid w:val="00CC2679"/>
    <w:rsid w:val="00CC2792"/>
    <w:rsid w:val="00CC2900"/>
    <w:rsid w:val="00CC3115"/>
    <w:rsid w:val="00CC36EF"/>
    <w:rsid w:val="00CC3A2E"/>
    <w:rsid w:val="00CC4549"/>
    <w:rsid w:val="00CC465F"/>
    <w:rsid w:val="00CC562A"/>
    <w:rsid w:val="00CC5D61"/>
    <w:rsid w:val="00CC70CC"/>
    <w:rsid w:val="00CC73DC"/>
    <w:rsid w:val="00CC75AA"/>
    <w:rsid w:val="00CC7B66"/>
    <w:rsid w:val="00CC7B87"/>
    <w:rsid w:val="00CD0557"/>
    <w:rsid w:val="00CD0A23"/>
    <w:rsid w:val="00CD0DAE"/>
    <w:rsid w:val="00CD10EC"/>
    <w:rsid w:val="00CD210E"/>
    <w:rsid w:val="00CD23AB"/>
    <w:rsid w:val="00CD2D68"/>
    <w:rsid w:val="00CD2DFE"/>
    <w:rsid w:val="00CD3247"/>
    <w:rsid w:val="00CD3E9A"/>
    <w:rsid w:val="00CD40CA"/>
    <w:rsid w:val="00CD4880"/>
    <w:rsid w:val="00CD4AEA"/>
    <w:rsid w:val="00CD4DF3"/>
    <w:rsid w:val="00CD53A8"/>
    <w:rsid w:val="00CD5495"/>
    <w:rsid w:val="00CD6B9E"/>
    <w:rsid w:val="00CD6C96"/>
    <w:rsid w:val="00CD6D93"/>
    <w:rsid w:val="00CD729F"/>
    <w:rsid w:val="00CD77BE"/>
    <w:rsid w:val="00CE07F1"/>
    <w:rsid w:val="00CE09FB"/>
    <w:rsid w:val="00CE1622"/>
    <w:rsid w:val="00CE19A9"/>
    <w:rsid w:val="00CE20F8"/>
    <w:rsid w:val="00CE228F"/>
    <w:rsid w:val="00CE3656"/>
    <w:rsid w:val="00CE36D1"/>
    <w:rsid w:val="00CE3715"/>
    <w:rsid w:val="00CE3758"/>
    <w:rsid w:val="00CE3ED2"/>
    <w:rsid w:val="00CE3F3C"/>
    <w:rsid w:val="00CE3F75"/>
    <w:rsid w:val="00CE4150"/>
    <w:rsid w:val="00CE4399"/>
    <w:rsid w:val="00CE52BA"/>
    <w:rsid w:val="00CE587E"/>
    <w:rsid w:val="00CE63C2"/>
    <w:rsid w:val="00CE78B9"/>
    <w:rsid w:val="00CF0058"/>
    <w:rsid w:val="00CF00B9"/>
    <w:rsid w:val="00CF02C5"/>
    <w:rsid w:val="00CF087E"/>
    <w:rsid w:val="00CF1346"/>
    <w:rsid w:val="00CF1549"/>
    <w:rsid w:val="00CF18C4"/>
    <w:rsid w:val="00CF18F5"/>
    <w:rsid w:val="00CF1E79"/>
    <w:rsid w:val="00CF23ED"/>
    <w:rsid w:val="00CF3010"/>
    <w:rsid w:val="00CF36C1"/>
    <w:rsid w:val="00CF4F49"/>
    <w:rsid w:val="00CF51C4"/>
    <w:rsid w:val="00CF593C"/>
    <w:rsid w:val="00CF5BA7"/>
    <w:rsid w:val="00CF5D4E"/>
    <w:rsid w:val="00CF62AC"/>
    <w:rsid w:val="00CF652A"/>
    <w:rsid w:val="00CF6C73"/>
    <w:rsid w:val="00CF716A"/>
    <w:rsid w:val="00CF7E4D"/>
    <w:rsid w:val="00D003BD"/>
    <w:rsid w:val="00D0084F"/>
    <w:rsid w:val="00D0085C"/>
    <w:rsid w:val="00D01254"/>
    <w:rsid w:val="00D0143A"/>
    <w:rsid w:val="00D01B72"/>
    <w:rsid w:val="00D0217F"/>
    <w:rsid w:val="00D036F5"/>
    <w:rsid w:val="00D03769"/>
    <w:rsid w:val="00D038E9"/>
    <w:rsid w:val="00D0392C"/>
    <w:rsid w:val="00D03AA8"/>
    <w:rsid w:val="00D04565"/>
    <w:rsid w:val="00D045D1"/>
    <w:rsid w:val="00D045E2"/>
    <w:rsid w:val="00D04EC3"/>
    <w:rsid w:val="00D05009"/>
    <w:rsid w:val="00D05E2B"/>
    <w:rsid w:val="00D05E3B"/>
    <w:rsid w:val="00D05EC6"/>
    <w:rsid w:val="00D0603B"/>
    <w:rsid w:val="00D06BFE"/>
    <w:rsid w:val="00D07173"/>
    <w:rsid w:val="00D07A3B"/>
    <w:rsid w:val="00D11014"/>
    <w:rsid w:val="00D114C3"/>
    <w:rsid w:val="00D119A4"/>
    <w:rsid w:val="00D11A9D"/>
    <w:rsid w:val="00D11DE9"/>
    <w:rsid w:val="00D1204F"/>
    <w:rsid w:val="00D121A8"/>
    <w:rsid w:val="00D12283"/>
    <w:rsid w:val="00D12433"/>
    <w:rsid w:val="00D128D8"/>
    <w:rsid w:val="00D1293E"/>
    <w:rsid w:val="00D13266"/>
    <w:rsid w:val="00D13AB6"/>
    <w:rsid w:val="00D13FDC"/>
    <w:rsid w:val="00D1496B"/>
    <w:rsid w:val="00D14DF7"/>
    <w:rsid w:val="00D1533C"/>
    <w:rsid w:val="00D16631"/>
    <w:rsid w:val="00D166FF"/>
    <w:rsid w:val="00D1692F"/>
    <w:rsid w:val="00D16E1F"/>
    <w:rsid w:val="00D175AC"/>
    <w:rsid w:val="00D21773"/>
    <w:rsid w:val="00D22738"/>
    <w:rsid w:val="00D22D72"/>
    <w:rsid w:val="00D2337F"/>
    <w:rsid w:val="00D234BA"/>
    <w:rsid w:val="00D244A6"/>
    <w:rsid w:val="00D24A7F"/>
    <w:rsid w:val="00D24D7C"/>
    <w:rsid w:val="00D252E6"/>
    <w:rsid w:val="00D2572C"/>
    <w:rsid w:val="00D25742"/>
    <w:rsid w:val="00D26341"/>
    <w:rsid w:val="00D26532"/>
    <w:rsid w:val="00D26B1F"/>
    <w:rsid w:val="00D26F99"/>
    <w:rsid w:val="00D26FCA"/>
    <w:rsid w:val="00D27376"/>
    <w:rsid w:val="00D274D1"/>
    <w:rsid w:val="00D275CE"/>
    <w:rsid w:val="00D301A4"/>
    <w:rsid w:val="00D30698"/>
    <w:rsid w:val="00D312CE"/>
    <w:rsid w:val="00D315CD"/>
    <w:rsid w:val="00D322D2"/>
    <w:rsid w:val="00D328D1"/>
    <w:rsid w:val="00D328F9"/>
    <w:rsid w:val="00D32A57"/>
    <w:rsid w:val="00D32B2A"/>
    <w:rsid w:val="00D3355F"/>
    <w:rsid w:val="00D33D7F"/>
    <w:rsid w:val="00D344E5"/>
    <w:rsid w:val="00D3470C"/>
    <w:rsid w:val="00D356D9"/>
    <w:rsid w:val="00D3576B"/>
    <w:rsid w:val="00D35898"/>
    <w:rsid w:val="00D35D6C"/>
    <w:rsid w:val="00D362B6"/>
    <w:rsid w:val="00D37475"/>
    <w:rsid w:val="00D37BE6"/>
    <w:rsid w:val="00D4095B"/>
    <w:rsid w:val="00D414AE"/>
    <w:rsid w:val="00D418E7"/>
    <w:rsid w:val="00D41E5C"/>
    <w:rsid w:val="00D42814"/>
    <w:rsid w:val="00D44C59"/>
    <w:rsid w:val="00D45097"/>
    <w:rsid w:val="00D46612"/>
    <w:rsid w:val="00D46AAA"/>
    <w:rsid w:val="00D46C62"/>
    <w:rsid w:val="00D47009"/>
    <w:rsid w:val="00D47FE2"/>
    <w:rsid w:val="00D5004F"/>
    <w:rsid w:val="00D50983"/>
    <w:rsid w:val="00D51298"/>
    <w:rsid w:val="00D513D5"/>
    <w:rsid w:val="00D5175D"/>
    <w:rsid w:val="00D51E50"/>
    <w:rsid w:val="00D52295"/>
    <w:rsid w:val="00D52761"/>
    <w:rsid w:val="00D52852"/>
    <w:rsid w:val="00D52D71"/>
    <w:rsid w:val="00D54784"/>
    <w:rsid w:val="00D54DB2"/>
    <w:rsid w:val="00D56073"/>
    <w:rsid w:val="00D56699"/>
    <w:rsid w:val="00D57718"/>
    <w:rsid w:val="00D57A44"/>
    <w:rsid w:val="00D57A5A"/>
    <w:rsid w:val="00D57AB6"/>
    <w:rsid w:val="00D57D38"/>
    <w:rsid w:val="00D60E93"/>
    <w:rsid w:val="00D614CA"/>
    <w:rsid w:val="00D6156A"/>
    <w:rsid w:val="00D61629"/>
    <w:rsid w:val="00D61A43"/>
    <w:rsid w:val="00D6217C"/>
    <w:rsid w:val="00D628BA"/>
    <w:rsid w:val="00D62F00"/>
    <w:rsid w:val="00D6330F"/>
    <w:rsid w:val="00D635FD"/>
    <w:rsid w:val="00D63CDB"/>
    <w:rsid w:val="00D63EF7"/>
    <w:rsid w:val="00D64354"/>
    <w:rsid w:val="00D64882"/>
    <w:rsid w:val="00D6492D"/>
    <w:rsid w:val="00D64A83"/>
    <w:rsid w:val="00D64DE3"/>
    <w:rsid w:val="00D64EF0"/>
    <w:rsid w:val="00D64F2B"/>
    <w:rsid w:val="00D651E3"/>
    <w:rsid w:val="00D65764"/>
    <w:rsid w:val="00D65BCA"/>
    <w:rsid w:val="00D65E49"/>
    <w:rsid w:val="00D6675F"/>
    <w:rsid w:val="00D66AC6"/>
    <w:rsid w:val="00D66F39"/>
    <w:rsid w:val="00D676AA"/>
    <w:rsid w:val="00D67757"/>
    <w:rsid w:val="00D6779B"/>
    <w:rsid w:val="00D7036D"/>
    <w:rsid w:val="00D70920"/>
    <w:rsid w:val="00D70B71"/>
    <w:rsid w:val="00D716EE"/>
    <w:rsid w:val="00D718C4"/>
    <w:rsid w:val="00D72134"/>
    <w:rsid w:val="00D721E5"/>
    <w:rsid w:val="00D72A5D"/>
    <w:rsid w:val="00D72B03"/>
    <w:rsid w:val="00D73AE5"/>
    <w:rsid w:val="00D73E80"/>
    <w:rsid w:val="00D74589"/>
    <w:rsid w:val="00D756F5"/>
    <w:rsid w:val="00D75AB6"/>
    <w:rsid w:val="00D75E25"/>
    <w:rsid w:val="00D75F82"/>
    <w:rsid w:val="00D763DF"/>
    <w:rsid w:val="00D76638"/>
    <w:rsid w:val="00D766AC"/>
    <w:rsid w:val="00D7794F"/>
    <w:rsid w:val="00D77BEC"/>
    <w:rsid w:val="00D8039E"/>
    <w:rsid w:val="00D804ED"/>
    <w:rsid w:val="00D80A27"/>
    <w:rsid w:val="00D81317"/>
    <w:rsid w:val="00D816DD"/>
    <w:rsid w:val="00D81D40"/>
    <w:rsid w:val="00D820CF"/>
    <w:rsid w:val="00D82B1F"/>
    <w:rsid w:val="00D831EC"/>
    <w:rsid w:val="00D8384F"/>
    <w:rsid w:val="00D8389A"/>
    <w:rsid w:val="00D844E7"/>
    <w:rsid w:val="00D84FC5"/>
    <w:rsid w:val="00D8528E"/>
    <w:rsid w:val="00D854E3"/>
    <w:rsid w:val="00D85696"/>
    <w:rsid w:val="00D865BF"/>
    <w:rsid w:val="00D869DF"/>
    <w:rsid w:val="00D86F15"/>
    <w:rsid w:val="00D87496"/>
    <w:rsid w:val="00D87629"/>
    <w:rsid w:val="00D87652"/>
    <w:rsid w:val="00D90084"/>
    <w:rsid w:val="00D914FF"/>
    <w:rsid w:val="00D91D32"/>
    <w:rsid w:val="00D92279"/>
    <w:rsid w:val="00D92BF6"/>
    <w:rsid w:val="00D93AEA"/>
    <w:rsid w:val="00D93E0E"/>
    <w:rsid w:val="00D9480E"/>
    <w:rsid w:val="00D95265"/>
    <w:rsid w:val="00D95589"/>
    <w:rsid w:val="00D95C84"/>
    <w:rsid w:val="00D95E40"/>
    <w:rsid w:val="00D963BB"/>
    <w:rsid w:val="00D96503"/>
    <w:rsid w:val="00D96B63"/>
    <w:rsid w:val="00D96E0D"/>
    <w:rsid w:val="00D96E42"/>
    <w:rsid w:val="00D96F9D"/>
    <w:rsid w:val="00D971B7"/>
    <w:rsid w:val="00D97576"/>
    <w:rsid w:val="00DA01A3"/>
    <w:rsid w:val="00DA0398"/>
    <w:rsid w:val="00DA084C"/>
    <w:rsid w:val="00DA0F3D"/>
    <w:rsid w:val="00DA1075"/>
    <w:rsid w:val="00DA165A"/>
    <w:rsid w:val="00DA16C9"/>
    <w:rsid w:val="00DA1A49"/>
    <w:rsid w:val="00DA1A8E"/>
    <w:rsid w:val="00DA1BD1"/>
    <w:rsid w:val="00DA2156"/>
    <w:rsid w:val="00DA2158"/>
    <w:rsid w:val="00DA22DF"/>
    <w:rsid w:val="00DA28AB"/>
    <w:rsid w:val="00DA2CB7"/>
    <w:rsid w:val="00DA39BC"/>
    <w:rsid w:val="00DA3A7A"/>
    <w:rsid w:val="00DA417D"/>
    <w:rsid w:val="00DA4881"/>
    <w:rsid w:val="00DA4E63"/>
    <w:rsid w:val="00DA6324"/>
    <w:rsid w:val="00DA6399"/>
    <w:rsid w:val="00DA69D5"/>
    <w:rsid w:val="00DA6AA9"/>
    <w:rsid w:val="00DA6CAB"/>
    <w:rsid w:val="00DA7CAB"/>
    <w:rsid w:val="00DB047A"/>
    <w:rsid w:val="00DB04B5"/>
    <w:rsid w:val="00DB04F6"/>
    <w:rsid w:val="00DB0B20"/>
    <w:rsid w:val="00DB15F6"/>
    <w:rsid w:val="00DB17D0"/>
    <w:rsid w:val="00DB1A8E"/>
    <w:rsid w:val="00DB233E"/>
    <w:rsid w:val="00DB2DFE"/>
    <w:rsid w:val="00DB3269"/>
    <w:rsid w:val="00DB36EF"/>
    <w:rsid w:val="00DB3A8D"/>
    <w:rsid w:val="00DB3BE0"/>
    <w:rsid w:val="00DB3F11"/>
    <w:rsid w:val="00DB4524"/>
    <w:rsid w:val="00DB4F52"/>
    <w:rsid w:val="00DB5572"/>
    <w:rsid w:val="00DB67CB"/>
    <w:rsid w:val="00DB69CB"/>
    <w:rsid w:val="00DB6C42"/>
    <w:rsid w:val="00DB6F3F"/>
    <w:rsid w:val="00DB7294"/>
    <w:rsid w:val="00DB736E"/>
    <w:rsid w:val="00DB7563"/>
    <w:rsid w:val="00DB7A87"/>
    <w:rsid w:val="00DB7FF9"/>
    <w:rsid w:val="00DC07EC"/>
    <w:rsid w:val="00DC0BEE"/>
    <w:rsid w:val="00DC0E02"/>
    <w:rsid w:val="00DC11CE"/>
    <w:rsid w:val="00DC12F0"/>
    <w:rsid w:val="00DC1371"/>
    <w:rsid w:val="00DC13F2"/>
    <w:rsid w:val="00DC1D28"/>
    <w:rsid w:val="00DC208B"/>
    <w:rsid w:val="00DC261B"/>
    <w:rsid w:val="00DC26AE"/>
    <w:rsid w:val="00DC2722"/>
    <w:rsid w:val="00DC2D09"/>
    <w:rsid w:val="00DC2E72"/>
    <w:rsid w:val="00DC2F36"/>
    <w:rsid w:val="00DC2F37"/>
    <w:rsid w:val="00DC3255"/>
    <w:rsid w:val="00DC3C14"/>
    <w:rsid w:val="00DC45B1"/>
    <w:rsid w:val="00DC4736"/>
    <w:rsid w:val="00DC494C"/>
    <w:rsid w:val="00DC53AB"/>
    <w:rsid w:val="00DC5E11"/>
    <w:rsid w:val="00DC5FF0"/>
    <w:rsid w:val="00DC6144"/>
    <w:rsid w:val="00DC627E"/>
    <w:rsid w:val="00DC628C"/>
    <w:rsid w:val="00DC63F1"/>
    <w:rsid w:val="00DC6D49"/>
    <w:rsid w:val="00DC6DB6"/>
    <w:rsid w:val="00DC6E86"/>
    <w:rsid w:val="00DC6F75"/>
    <w:rsid w:val="00DC72BB"/>
    <w:rsid w:val="00DC72E6"/>
    <w:rsid w:val="00DC742A"/>
    <w:rsid w:val="00DD0172"/>
    <w:rsid w:val="00DD01C8"/>
    <w:rsid w:val="00DD0D01"/>
    <w:rsid w:val="00DD0FC6"/>
    <w:rsid w:val="00DD1155"/>
    <w:rsid w:val="00DD1518"/>
    <w:rsid w:val="00DD1CD0"/>
    <w:rsid w:val="00DD225F"/>
    <w:rsid w:val="00DD310F"/>
    <w:rsid w:val="00DD3499"/>
    <w:rsid w:val="00DD4541"/>
    <w:rsid w:val="00DD475D"/>
    <w:rsid w:val="00DD4784"/>
    <w:rsid w:val="00DD4ADB"/>
    <w:rsid w:val="00DD4E8D"/>
    <w:rsid w:val="00DD4FA9"/>
    <w:rsid w:val="00DD590F"/>
    <w:rsid w:val="00DD5C64"/>
    <w:rsid w:val="00DD5DCA"/>
    <w:rsid w:val="00DD5F3F"/>
    <w:rsid w:val="00DD647C"/>
    <w:rsid w:val="00DD6C5F"/>
    <w:rsid w:val="00DD7381"/>
    <w:rsid w:val="00DD7386"/>
    <w:rsid w:val="00DE0813"/>
    <w:rsid w:val="00DE0932"/>
    <w:rsid w:val="00DE0BCF"/>
    <w:rsid w:val="00DE1104"/>
    <w:rsid w:val="00DE110D"/>
    <w:rsid w:val="00DE12A6"/>
    <w:rsid w:val="00DE1326"/>
    <w:rsid w:val="00DE2361"/>
    <w:rsid w:val="00DE28B8"/>
    <w:rsid w:val="00DE2AF2"/>
    <w:rsid w:val="00DE2B3A"/>
    <w:rsid w:val="00DE2C72"/>
    <w:rsid w:val="00DE3984"/>
    <w:rsid w:val="00DE4C61"/>
    <w:rsid w:val="00DE51A8"/>
    <w:rsid w:val="00DE51F3"/>
    <w:rsid w:val="00DE5A2F"/>
    <w:rsid w:val="00DE648C"/>
    <w:rsid w:val="00DE669F"/>
    <w:rsid w:val="00DE75F9"/>
    <w:rsid w:val="00DE795C"/>
    <w:rsid w:val="00DE7DDB"/>
    <w:rsid w:val="00DF0029"/>
    <w:rsid w:val="00DF07F2"/>
    <w:rsid w:val="00DF103B"/>
    <w:rsid w:val="00DF1172"/>
    <w:rsid w:val="00DF1370"/>
    <w:rsid w:val="00DF19BF"/>
    <w:rsid w:val="00DF1DFD"/>
    <w:rsid w:val="00DF20D1"/>
    <w:rsid w:val="00DF2571"/>
    <w:rsid w:val="00DF29AB"/>
    <w:rsid w:val="00DF35BA"/>
    <w:rsid w:val="00DF3985"/>
    <w:rsid w:val="00DF3F73"/>
    <w:rsid w:val="00DF4464"/>
    <w:rsid w:val="00DF47BB"/>
    <w:rsid w:val="00DF4990"/>
    <w:rsid w:val="00DF4F7B"/>
    <w:rsid w:val="00DF5BBA"/>
    <w:rsid w:val="00DF6275"/>
    <w:rsid w:val="00DF760E"/>
    <w:rsid w:val="00DF7DA2"/>
    <w:rsid w:val="00DF7FE8"/>
    <w:rsid w:val="00E00559"/>
    <w:rsid w:val="00E00913"/>
    <w:rsid w:val="00E0096C"/>
    <w:rsid w:val="00E00AD7"/>
    <w:rsid w:val="00E00C0E"/>
    <w:rsid w:val="00E0139C"/>
    <w:rsid w:val="00E01AED"/>
    <w:rsid w:val="00E01B2B"/>
    <w:rsid w:val="00E02432"/>
    <w:rsid w:val="00E024D4"/>
    <w:rsid w:val="00E02578"/>
    <w:rsid w:val="00E027E5"/>
    <w:rsid w:val="00E03B6F"/>
    <w:rsid w:val="00E03C07"/>
    <w:rsid w:val="00E04193"/>
    <w:rsid w:val="00E04416"/>
    <w:rsid w:val="00E04E31"/>
    <w:rsid w:val="00E04F70"/>
    <w:rsid w:val="00E056D0"/>
    <w:rsid w:val="00E05E5A"/>
    <w:rsid w:val="00E05F99"/>
    <w:rsid w:val="00E060E3"/>
    <w:rsid w:val="00E06294"/>
    <w:rsid w:val="00E06D13"/>
    <w:rsid w:val="00E07541"/>
    <w:rsid w:val="00E07DBE"/>
    <w:rsid w:val="00E10006"/>
    <w:rsid w:val="00E100A2"/>
    <w:rsid w:val="00E103AB"/>
    <w:rsid w:val="00E10A46"/>
    <w:rsid w:val="00E10A6A"/>
    <w:rsid w:val="00E1186D"/>
    <w:rsid w:val="00E11C7B"/>
    <w:rsid w:val="00E11D90"/>
    <w:rsid w:val="00E121F3"/>
    <w:rsid w:val="00E12840"/>
    <w:rsid w:val="00E12C59"/>
    <w:rsid w:val="00E12D9B"/>
    <w:rsid w:val="00E137F8"/>
    <w:rsid w:val="00E139E1"/>
    <w:rsid w:val="00E13AD4"/>
    <w:rsid w:val="00E13F99"/>
    <w:rsid w:val="00E1478B"/>
    <w:rsid w:val="00E162A8"/>
    <w:rsid w:val="00E164AB"/>
    <w:rsid w:val="00E16795"/>
    <w:rsid w:val="00E16C27"/>
    <w:rsid w:val="00E16C62"/>
    <w:rsid w:val="00E1739A"/>
    <w:rsid w:val="00E17505"/>
    <w:rsid w:val="00E178AC"/>
    <w:rsid w:val="00E20743"/>
    <w:rsid w:val="00E20C11"/>
    <w:rsid w:val="00E20C4A"/>
    <w:rsid w:val="00E20FE8"/>
    <w:rsid w:val="00E216D1"/>
    <w:rsid w:val="00E2174E"/>
    <w:rsid w:val="00E21840"/>
    <w:rsid w:val="00E21901"/>
    <w:rsid w:val="00E21FE2"/>
    <w:rsid w:val="00E224C2"/>
    <w:rsid w:val="00E225EF"/>
    <w:rsid w:val="00E2285B"/>
    <w:rsid w:val="00E22D94"/>
    <w:rsid w:val="00E23A2F"/>
    <w:rsid w:val="00E23A5A"/>
    <w:rsid w:val="00E24448"/>
    <w:rsid w:val="00E25225"/>
    <w:rsid w:val="00E25AB8"/>
    <w:rsid w:val="00E26068"/>
    <w:rsid w:val="00E263CA"/>
    <w:rsid w:val="00E266AE"/>
    <w:rsid w:val="00E26C8B"/>
    <w:rsid w:val="00E30EC9"/>
    <w:rsid w:val="00E31162"/>
    <w:rsid w:val="00E3160B"/>
    <w:rsid w:val="00E31D70"/>
    <w:rsid w:val="00E31E71"/>
    <w:rsid w:val="00E32B5E"/>
    <w:rsid w:val="00E33062"/>
    <w:rsid w:val="00E334FB"/>
    <w:rsid w:val="00E3365E"/>
    <w:rsid w:val="00E337D8"/>
    <w:rsid w:val="00E34436"/>
    <w:rsid w:val="00E35446"/>
    <w:rsid w:val="00E35578"/>
    <w:rsid w:val="00E35B97"/>
    <w:rsid w:val="00E35BC2"/>
    <w:rsid w:val="00E366D4"/>
    <w:rsid w:val="00E3679E"/>
    <w:rsid w:val="00E37160"/>
    <w:rsid w:val="00E372E8"/>
    <w:rsid w:val="00E376BE"/>
    <w:rsid w:val="00E3782A"/>
    <w:rsid w:val="00E37855"/>
    <w:rsid w:val="00E37EAF"/>
    <w:rsid w:val="00E40798"/>
    <w:rsid w:val="00E412E1"/>
    <w:rsid w:val="00E4213D"/>
    <w:rsid w:val="00E425F4"/>
    <w:rsid w:val="00E42FB0"/>
    <w:rsid w:val="00E43566"/>
    <w:rsid w:val="00E436EF"/>
    <w:rsid w:val="00E43779"/>
    <w:rsid w:val="00E439B3"/>
    <w:rsid w:val="00E43AA3"/>
    <w:rsid w:val="00E43C3F"/>
    <w:rsid w:val="00E44349"/>
    <w:rsid w:val="00E44430"/>
    <w:rsid w:val="00E445FE"/>
    <w:rsid w:val="00E44E34"/>
    <w:rsid w:val="00E462FE"/>
    <w:rsid w:val="00E46AEB"/>
    <w:rsid w:val="00E4702E"/>
    <w:rsid w:val="00E473C8"/>
    <w:rsid w:val="00E473FB"/>
    <w:rsid w:val="00E47D21"/>
    <w:rsid w:val="00E5005E"/>
    <w:rsid w:val="00E500AF"/>
    <w:rsid w:val="00E502BB"/>
    <w:rsid w:val="00E50303"/>
    <w:rsid w:val="00E503D3"/>
    <w:rsid w:val="00E503FD"/>
    <w:rsid w:val="00E50731"/>
    <w:rsid w:val="00E511B1"/>
    <w:rsid w:val="00E513DA"/>
    <w:rsid w:val="00E51E70"/>
    <w:rsid w:val="00E52BDC"/>
    <w:rsid w:val="00E52FEB"/>
    <w:rsid w:val="00E53B81"/>
    <w:rsid w:val="00E5419C"/>
    <w:rsid w:val="00E55393"/>
    <w:rsid w:val="00E55792"/>
    <w:rsid w:val="00E5609A"/>
    <w:rsid w:val="00E56773"/>
    <w:rsid w:val="00E567A7"/>
    <w:rsid w:val="00E57438"/>
    <w:rsid w:val="00E57B45"/>
    <w:rsid w:val="00E57E92"/>
    <w:rsid w:val="00E60CBF"/>
    <w:rsid w:val="00E60FB8"/>
    <w:rsid w:val="00E61621"/>
    <w:rsid w:val="00E6171E"/>
    <w:rsid w:val="00E61755"/>
    <w:rsid w:val="00E61769"/>
    <w:rsid w:val="00E617CF"/>
    <w:rsid w:val="00E618BD"/>
    <w:rsid w:val="00E62C1D"/>
    <w:rsid w:val="00E63699"/>
    <w:rsid w:val="00E63746"/>
    <w:rsid w:val="00E645A7"/>
    <w:rsid w:val="00E64C79"/>
    <w:rsid w:val="00E64D3B"/>
    <w:rsid w:val="00E653CE"/>
    <w:rsid w:val="00E65A3C"/>
    <w:rsid w:val="00E65C07"/>
    <w:rsid w:val="00E66B6F"/>
    <w:rsid w:val="00E67501"/>
    <w:rsid w:val="00E67C89"/>
    <w:rsid w:val="00E67EAC"/>
    <w:rsid w:val="00E7122C"/>
    <w:rsid w:val="00E7232A"/>
    <w:rsid w:val="00E7259E"/>
    <w:rsid w:val="00E725F8"/>
    <w:rsid w:val="00E72915"/>
    <w:rsid w:val="00E72A6F"/>
    <w:rsid w:val="00E73CDD"/>
    <w:rsid w:val="00E73DD1"/>
    <w:rsid w:val="00E74113"/>
    <w:rsid w:val="00E74212"/>
    <w:rsid w:val="00E745FF"/>
    <w:rsid w:val="00E74846"/>
    <w:rsid w:val="00E74987"/>
    <w:rsid w:val="00E749AE"/>
    <w:rsid w:val="00E74C11"/>
    <w:rsid w:val="00E756B4"/>
    <w:rsid w:val="00E75B14"/>
    <w:rsid w:val="00E75C1F"/>
    <w:rsid w:val="00E75F1B"/>
    <w:rsid w:val="00E76949"/>
    <w:rsid w:val="00E818AC"/>
    <w:rsid w:val="00E81B11"/>
    <w:rsid w:val="00E81C99"/>
    <w:rsid w:val="00E81E08"/>
    <w:rsid w:val="00E81E09"/>
    <w:rsid w:val="00E81E6F"/>
    <w:rsid w:val="00E81F37"/>
    <w:rsid w:val="00E8243A"/>
    <w:rsid w:val="00E8247F"/>
    <w:rsid w:val="00E828B6"/>
    <w:rsid w:val="00E82D16"/>
    <w:rsid w:val="00E83203"/>
    <w:rsid w:val="00E832F1"/>
    <w:rsid w:val="00E835FE"/>
    <w:rsid w:val="00E83928"/>
    <w:rsid w:val="00E83F9E"/>
    <w:rsid w:val="00E8437A"/>
    <w:rsid w:val="00E85562"/>
    <w:rsid w:val="00E85791"/>
    <w:rsid w:val="00E8646A"/>
    <w:rsid w:val="00E86C64"/>
    <w:rsid w:val="00E87EF0"/>
    <w:rsid w:val="00E910BB"/>
    <w:rsid w:val="00E91CBD"/>
    <w:rsid w:val="00E92363"/>
    <w:rsid w:val="00E92C41"/>
    <w:rsid w:val="00E92DEE"/>
    <w:rsid w:val="00E9338A"/>
    <w:rsid w:val="00E93457"/>
    <w:rsid w:val="00E940D1"/>
    <w:rsid w:val="00E94803"/>
    <w:rsid w:val="00E948D4"/>
    <w:rsid w:val="00E94AB0"/>
    <w:rsid w:val="00E94B06"/>
    <w:rsid w:val="00E94F9B"/>
    <w:rsid w:val="00E9592C"/>
    <w:rsid w:val="00E95D0F"/>
    <w:rsid w:val="00E95F8E"/>
    <w:rsid w:val="00E964FB"/>
    <w:rsid w:val="00E966A1"/>
    <w:rsid w:val="00E967F0"/>
    <w:rsid w:val="00E96851"/>
    <w:rsid w:val="00E9697E"/>
    <w:rsid w:val="00E9799F"/>
    <w:rsid w:val="00E97CDA"/>
    <w:rsid w:val="00EA0327"/>
    <w:rsid w:val="00EA1144"/>
    <w:rsid w:val="00EA1ED2"/>
    <w:rsid w:val="00EA2878"/>
    <w:rsid w:val="00EA2B83"/>
    <w:rsid w:val="00EA2FFC"/>
    <w:rsid w:val="00EA301B"/>
    <w:rsid w:val="00EA339C"/>
    <w:rsid w:val="00EA36F1"/>
    <w:rsid w:val="00EA4748"/>
    <w:rsid w:val="00EA4E2E"/>
    <w:rsid w:val="00EA5994"/>
    <w:rsid w:val="00EA6268"/>
    <w:rsid w:val="00EA668F"/>
    <w:rsid w:val="00EA6803"/>
    <w:rsid w:val="00EA6A5C"/>
    <w:rsid w:val="00EA6BF4"/>
    <w:rsid w:val="00EA6CE9"/>
    <w:rsid w:val="00EA7091"/>
    <w:rsid w:val="00EB006F"/>
    <w:rsid w:val="00EB02A1"/>
    <w:rsid w:val="00EB116E"/>
    <w:rsid w:val="00EB14B9"/>
    <w:rsid w:val="00EB2029"/>
    <w:rsid w:val="00EB26B3"/>
    <w:rsid w:val="00EB2EA7"/>
    <w:rsid w:val="00EB2FE7"/>
    <w:rsid w:val="00EB3023"/>
    <w:rsid w:val="00EB3CE9"/>
    <w:rsid w:val="00EB3E05"/>
    <w:rsid w:val="00EB45FD"/>
    <w:rsid w:val="00EB5232"/>
    <w:rsid w:val="00EB53CB"/>
    <w:rsid w:val="00EB5922"/>
    <w:rsid w:val="00EB5FA4"/>
    <w:rsid w:val="00EB62AB"/>
    <w:rsid w:val="00EB645E"/>
    <w:rsid w:val="00EB6A89"/>
    <w:rsid w:val="00EB6F3E"/>
    <w:rsid w:val="00EB702D"/>
    <w:rsid w:val="00EB726A"/>
    <w:rsid w:val="00EB7EA3"/>
    <w:rsid w:val="00EC009F"/>
    <w:rsid w:val="00EC0D96"/>
    <w:rsid w:val="00EC1367"/>
    <w:rsid w:val="00EC149B"/>
    <w:rsid w:val="00EC149F"/>
    <w:rsid w:val="00EC1723"/>
    <w:rsid w:val="00EC1936"/>
    <w:rsid w:val="00EC268B"/>
    <w:rsid w:val="00EC29BE"/>
    <w:rsid w:val="00EC36C8"/>
    <w:rsid w:val="00EC41D8"/>
    <w:rsid w:val="00EC528A"/>
    <w:rsid w:val="00EC529B"/>
    <w:rsid w:val="00EC5DA0"/>
    <w:rsid w:val="00EC6108"/>
    <w:rsid w:val="00EC63A8"/>
    <w:rsid w:val="00EC6990"/>
    <w:rsid w:val="00EC6DD2"/>
    <w:rsid w:val="00EC74C5"/>
    <w:rsid w:val="00EC7DEF"/>
    <w:rsid w:val="00ED07A5"/>
    <w:rsid w:val="00ED07BC"/>
    <w:rsid w:val="00ED0F48"/>
    <w:rsid w:val="00ED1121"/>
    <w:rsid w:val="00ED21A0"/>
    <w:rsid w:val="00ED228F"/>
    <w:rsid w:val="00ED27D6"/>
    <w:rsid w:val="00ED30DE"/>
    <w:rsid w:val="00ED3205"/>
    <w:rsid w:val="00ED445A"/>
    <w:rsid w:val="00ED47A7"/>
    <w:rsid w:val="00ED4B10"/>
    <w:rsid w:val="00ED55BA"/>
    <w:rsid w:val="00ED585E"/>
    <w:rsid w:val="00ED594E"/>
    <w:rsid w:val="00ED5E7C"/>
    <w:rsid w:val="00ED63FF"/>
    <w:rsid w:val="00ED68A0"/>
    <w:rsid w:val="00ED6F43"/>
    <w:rsid w:val="00ED78A4"/>
    <w:rsid w:val="00EE021D"/>
    <w:rsid w:val="00EE15C5"/>
    <w:rsid w:val="00EE1737"/>
    <w:rsid w:val="00EE1AF2"/>
    <w:rsid w:val="00EE1E3B"/>
    <w:rsid w:val="00EE2E20"/>
    <w:rsid w:val="00EE2E56"/>
    <w:rsid w:val="00EE4B37"/>
    <w:rsid w:val="00EE565F"/>
    <w:rsid w:val="00EE5A22"/>
    <w:rsid w:val="00EE6513"/>
    <w:rsid w:val="00EE664F"/>
    <w:rsid w:val="00EE6C93"/>
    <w:rsid w:val="00EE6FAB"/>
    <w:rsid w:val="00EE710C"/>
    <w:rsid w:val="00EE7932"/>
    <w:rsid w:val="00EF00CA"/>
    <w:rsid w:val="00EF0289"/>
    <w:rsid w:val="00EF0478"/>
    <w:rsid w:val="00EF0F58"/>
    <w:rsid w:val="00EF141B"/>
    <w:rsid w:val="00EF1685"/>
    <w:rsid w:val="00EF19C1"/>
    <w:rsid w:val="00EF1B54"/>
    <w:rsid w:val="00EF1D69"/>
    <w:rsid w:val="00EF2F46"/>
    <w:rsid w:val="00EF33DF"/>
    <w:rsid w:val="00EF4016"/>
    <w:rsid w:val="00EF4D60"/>
    <w:rsid w:val="00EF5182"/>
    <w:rsid w:val="00EF5540"/>
    <w:rsid w:val="00EF5E7D"/>
    <w:rsid w:val="00EF6004"/>
    <w:rsid w:val="00EF6730"/>
    <w:rsid w:val="00EF674B"/>
    <w:rsid w:val="00EF732F"/>
    <w:rsid w:val="00F00704"/>
    <w:rsid w:val="00F00723"/>
    <w:rsid w:val="00F009A6"/>
    <w:rsid w:val="00F009D7"/>
    <w:rsid w:val="00F00CCF"/>
    <w:rsid w:val="00F00D31"/>
    <w:rsid w:val="00F0267F"/>
    <w:rsid w:val="00F02973"/>
    <w:rsid w:val="00F033FE"/>
    <w:rsid w:val="00F03884"/>
    <w:rsid w:val="00F041B8"/>
    <w:rsid w:val="00F041D8"/>
    <w:rsid w:val="00F04565"/>
    <w:rsid w:val="00F049DA"/>
    <w:rsid w:val="00F054D8"/>
    <w:rsid w:val="00F054DD"/>
    <w:rsid w:val="00F05617"/>
    <w:rsid w:val="00F05826"/>
    <w:rsid w:val="00F0634A"/>
    <w:rsid w:val="00F06906"/>
    <w:rsid w:val="00F0694A"/>
    <w:rsid w:val="00F06AAC"/>
    <w:rsid w:val="00F06CB0"/>
    <w:rsid w:val="00F06FEB"/>
    <w:rsid w:val="00F070EC"/>
    <w:rsid w:val="00F0711C"/>
    <w:rsid w:val="00F1190D"/>
    <w:rsid w:val="00F11F24"/>
    <w:rsid w:val="00F121BD"/>
    <w:rsid w:val="00F128E9"/>
    <w:rsid w:val="00F12C2D"/>
    <w:rsid w:val="00F12E0A"/>
    <w:rsid w:val="00F1308D"/>
    <w:rsid w:val="00F1315D"/>
    <w:rsid w:val="00F13504"/>
    <w:rsid w:val="00F13BF6"/>
    <w:rsid w:val="00F147B5"/>
    <w:rsid w:val="00F148E5"/>
    <w:rsid w:val="00F14FBA"/>
    <w:rsid w:val="00F15381"/>
    <w:rsid w:val="00F154F6"/>
    <w:rsid w:val="00F1572A"/>
    <w:rsid w:val="00F15C34"/>
    <w:rsid w:val="00F1678C"/>
    <w:rsid w:val="00F16C26"/>
    <w:rsid w:val="00F2026A"/>
    <w:rsid w:val="00F20306"/>
    <w:rsid w:val="00F204BA"/>
    <w:rsid w:val="00F20C0E"/>
    <w:rsid w:val="00F20E7D"/>
    <w:rsid w:val="00F21269"/>
    <w:rsid w:val="00F21666"/>
    <w:rsid w:val="00F219BE"/>
    <w:rsid w:val="00F21FAA"/>
    <w:rsid w:val="00F22875"/>
    <w:rsid w:val="00F23407"/>
    <w:rsid w:val="00F2404D"/>
    <w:rsid w:val="00F2416A"/>
    <w:rsid w:val="00F247CA"/>
    <w:rsid w:val="00F257A2"/>
    <w:rsid w:val="00F25870"/>
    <w:rsid w:val="00F259FF"/>
    <w:rsid w:val="00F25CBA"/>
    <w:rsid w:val="00F25F62"/>
    <w:rsid w:val="00F26CA5"/>
    <w:rsid w:val="00F26F6C"/>
    <w:rsid w:val="00F275DE"/>
    <w:rsid w:val="00F27F26"/>
    <w:rsid w:val="00F30896"/>
    <w:rsid w:val="00F30C63"/>
    <w:rsid w:val="00F31956"/>
    <w:rsid w:val="00F31C6C"/>
    <w:rsid w:val="00F31E01"/>
    <w:rsid w:val="00F31F4D"/>
    <w:rsid w:val="00F32AAB"/>
    <w:rsid w:val="00F32F10"/>
    <w:rsid w:val="00F32F84"/>
    <w:rsid w:val="00F338CC"/>
    <w:rsid w:val="00F33B3A"/>
    <w:rsid w:val="00F33BD9"/>
    <w:rsid w:val="00F3481B"/>
    <w:rsid w:val="00F34912"/>
    <w:rsid w:val="00F34C26"/>
    <w:rsid w:val="00F34FE9"/>
    <w:rsid w:val="00F352EB"/>
    <w:rsid w:val="00F35B6B"/>
    <w:rsid w:val="00F35C50"/>
    <w:rsid w:val="00F366B9"/>
    <w:rsid w:val="00F3697E"/>
    <w:rsid w:val="00F36AF6"/>
    <w:rsid w:val="00F370D0"/>
    <w:rsid w:val="00F3721D"/>
    <w:rsid w:val="00F37A6E"/>
    <w:rsid w:val="00F37F43"/>
    <w:rsid w:val="00F400BF"/>
    <w:rsid w:val="00F40134"/>
    <w:rsid w:val="00F40CCF"/>
    <w:rsid w:val="00F4174A"/>
    <w:rsid w:val="00F41A91"/>
    <w:rsid w:val="00F423C1"/>
    <w:rsid w:val="00F428D5"/>
    <w:rsid w:val="00F42F5C"/>
    <w:rsid w:val="00F430FA"/>
    <w:rsid w:val="00F4310D"/>
    <w:rsid w:val="00F4326C"/>
    <w:rsid w:val="00F434CB"/>
    <w:rsid w:val="00F43A62"/>
    <w:rsid w:val="00F43BA3"/>
    <w:rsid w:val="00F43C79"/>
    <w:rsid w:val="00F44865"/>
    <w:rsid w:val="00F44B10"/>
    <w:rsid w:val="00F44C35"/>
    <w:rsid w:val="00F44D97"/>
    <w:rsid w:val="00F4524A"/>
    <w:rsid w:val="00F4534E"/>
    <w:rsid w:val="00F46B02"/>
    <w:rsid w:val="00F46C1D"/>
    <w:rsid w:val="00F46D21"/>
    <w:rsid w:val="00F47108"/>
    <w:rsid w:val="00F47B40"/>
    <w:rsid w:val="00F52181"/>
    <w:rsid w:val="00F525B2"/>
    <w:rsid w:val="00F52CE3"/>
    <w:rsid w:val="00F5310C"/>
    <w:rsid w:val="00F53590"/>
    <w:rsid w:val="00F5499E"/>
    <w:rsid w:val="00F54B6E"/>
    <w:rsid w:val="00F54EC2"/>
    <w:rsid w:val="00F55046"/>
    <w:rsid w:val="00F550F4"/>
    <w:rsid w:val="00F5521A"/>
    <w:rsid w:val="00F554C4"/>
    <w:rsid w:val="00F5563A"/>
    <w:rsid w:val="00F56106"/>
    <w:rsid w:val="00F561E0"/>
    <w:rsid w:val="00F56263"/>
    <w:rsid w:val="00F56EE7"/>
    <w:rsid w:val="00F577CF"/>
    <w:rsid w:val="00F57981"/>
    <w:rsid w:val="00F57F32"/>
    <w:rsid w:val="00F60434"/>
    <w:rsid w:val="00F607DB"/>
    <w:rsid w:val="00F6096D"/>
    <w:rsid w:val="00F6158C"/>
    <w:rsid w:val="00F6186B"/>
    <w:rsid w:val="00F61E46"/>
    <w:rsid w:val="00F62309"/>
    <w:rsid w:val="00F6269F"/>
    <w:rsid w:val="00F626C4"/>
    <w:rsid w:val="00F626ED"/>
    <w:rsid w:val="00F62BE2"/>
    <w:rsid w:val="00F6401E"/>
    <w:rsid w:val="00F654A5"/>
    <w:rsid w:val="00F65636"/>
    <w:rsid w:val="00F65748"/>
    <w:rsid w:val="00F65D8F"/>
    <w:rsid w:val="00F6601A"/>
    <w:rsid w:val="00F6637D"/>
    <w:rsid w:val="00F6683E"/>
    <w:rsid w:val="00F66947"/>
    <w:rsid w:val="00F6695A"/>
    <w:rsid w:val="00F66E86"/>
    <w:rsid w:val="00F66F21"/>
    <w:rsid w:val="00F67CEC"/>
    <w:rsid w:val="00F67E8C"/>
    <w:rsid w:val="00F701C0"/>
    <w:rsid w:val="00F7087B"/>
    <w:rsid w:val="00F70A37"/>
    <w:rsid w:val="00F70CA0"/>
    <w:rsid w:val="00F70DD4"/>
    <w:rsid w:val="00F71897"/>
    <w:rsid w:val="00F71D40"/>
    <w:rsid w:val="00F72224"/>
    <w:rsid w:val="00F72344"/>
    <w:rsid w:val="00F7241B"/>
    <w:rsid w:val="00F72920"/>
    <w:rsid w:val="00F72BBF"/>
    <w:rsid w:val="00F72D91"/>
    <w:rsid w:val="00F732E6"/>
    <w:rsid w:val="00F734C5"/>
    <w:rsid w:val="00F73987"/>
    <w:rsid w:val="00F74023"/>
    <w:rsid w:val="00F741C7"/>
    <w:rsid w:val="00F7426B"/>
    <w:rsid w:val="00F743D3"/>
    <w:rsid w:val="00F74967"/>
    <w:rsid w:val="00F74CEC"/>
    <w:rsid w:val="00F74D87"/>
    <w:rsid w:val="00F75918"/>
    <w:rsid w:val="00F76892"/>
    <w:rsid w:val="00F76D0E"/>
    <w:rsid w:val="00F76D88"/>
    <w:rsid w:val="00F76DCC"/>
    <w:rsid w:val="00F76F2E"/>
    <w:rsid w:val="00F774E1"/>
    <w:rsid w:val="00F776A1"/>
    <w:rsid w:val="00F77CB4"/>
    <w:rsid w:val="00F77E6F"/>
    <w:rsid w:val="00F80EDC"/>
    <w:rsid w:val="00F810FF"/>
    <w:rsid w:val="00F81166"/>
    <w:rsid w:val="00F811B8"/>
    <w:rsid w:val="00F817A9"/>
    <w:rsid w:val="00F81B86"/>
    <w:rsid w:val="00F82067"/>
    <w:rsid w:val="00F820A1"/>
    <w:rsid w:val="00F82E3F"/>
    <w:rsid w:val="00F838C3"/>
    <w:rsid w:val="00F84920"/>
    <w:rsid w:val="00F84C77"/>
    <w:rsid w:val="00F84CBC"/>
    <w:rsid w:val="00F8551D"/>
    <w:rsid w:val="00F8552F"/>
    <w:rsid w:val="00F85DF3"/>
    <w:rsid w:val="00F864B2"/>
    <w:rsid w:val="00F8658D"/>
    <w:rsid w:val="00F86ADE"/>
    <w:rsid w:val="00F87042"/>
    <w:rsid w:val="00F87886"/>
    <w:rsid w:val="00F87911"/>
    <w:rsid w:val="00F87BC9"/>
    <w:rsid w:val="00F87BDA"/>
    <w:rsid w:val="00F87CC0"/>
    <w:rsid w:val="00F900E3"/>
    <w:rsid w:val="00F90118"/>
    <w:rsid w:val="00F9078C"/>
    <w:rsid w:val="00F907BC"/>
    <w:rsid w:val="00F91AD8"/>
    <w:rsid w:val="00F91D08"/>
    <w:rsid w:val="00F9208B"/>
    <w:rsid w:val="00F92567"/>
    <w:rsid w:val="00F932A1"/>
    <w:rsid w:val="00F937F7"/>
    <w:rsid w:val="00F93A6E"/>
    <w:rsid w:val="00F94069"/>
    <w:rsid w:val="00F94647"/>
    <w:rsid w:val="00F94A1E"/>
    <w:rsid w:val="00F94B50"/>
    <w:rsid w:val="00F94CEA"/>
    <w:rsid w:val="00F94EA7"/>
    <w:rsid w:val="00F94F5A"/>
    <w:rsid w:val="00F951C1"/>
    <w:rsid w:val="00F95616"/>
    <w:rsid w:val="00F9586C"/>
    <w:rsid w:val="00F95B4D"/>
    <w:rsid w:val="00F95D9A"/>
    <w:rsid w:val="00F96716"/>
    <w:rsid w:val="00F96BB7"/>
    <w:rsid w:val="00F96F3A"/>
    <w:rsid w:val="00F97C6A"/>
    <w:rsid w:val="00FA0242"/>
    <w:rsid w:val="00FA051D"/>
    <w:rsid w:val="00FA1658"/>
    <w:rsid w:val="00FA1DA1"/>
    <w:rsid w:val="00FA1E4A"/>
    <w:rsid w:val="00FA1F06"/>
    <w:rsid w:val="00FA2424"/>
    <w:rsid w:val="00FA2DF4"/>
    <w:rsid w:val="00FA2E67"/>
    <w:rsid w:val="00FA2EE6"/>
    <w:rsid w:val="00FA3AF0"/>
    <w:rsid w:val="00FA4653"/>
    <w:rsid w:val="00FA4AC1"/>
    <w:rsid w:val="00FA5C42"/>
    <w:rsid w:val="00FA6B02"/>
    <w:rsid w:val="00FA6B8E"/>
    <w:rsid w:val="00FA7851"/>
    <w:rsid w:val="00FA79AD"/>
    <w:rsid w:val="00FA7D0E"/>
    <w:rsid w:val="00FB0582"/>
    <w:rsid w:val="00FB0A00"/>
    <w:rsid w:val="00FB0D1D"/>
    <w:rsid w:val="00FB0E7B"/>
    <w:rsid w:val="00FB100C"/>
    <w:rsid w:val="00FB11B3"/>
    <w:rsid w:val="00FB132C"/>
    <w:rsid w:val="00FB2478"/>
    <w:rsid w:val="00FB331B"/>
    <w:rsid w:val="00FB3618"/>
    <w:rsid w:val="00FB36FF"/>
    <w:rsid w:val="00FB3E1E"/>
    <w:rsid w:val="00FB46B8"/>
    <w:rsid w:val="00FB48FF"/>
    <w:rsid w:val="00FB5CC5"/>
    <w:rsid w:val="00FB6925"/>
    <w:rsid w:val="00FB6B90"/>
    <w:rsid w:val="00FB74BA"/>
    <w:rsid w:val="00FB7AA0"/>
    <w:rsid w:val="00FC021D"/>
    <w:rsid w:val="00FC06A0"/>
    <w:rsid w:val="00FC0824"/>
    <w:rsid w:val="00FC0CBF"/>
    <w:rsid w:val="00FC0F42"/>
    <w:rsid w:val="00FC1355"/>
    <w:rsid w:val="00FC1897"/>
    <w:rsid w:val="00FC1F0A"/>
    <w:rsid w:val="00FC20B0"/>
    <w:rsid w:val="00FC2D96"/>
    <w:rsid w:val="00FC3326"/>
    <w:rsid w:val="00FC348B"/>
    <w:rsid w:val="00FC3AE2"/>
    <w:rsid w:val="00FC4C59"/>
    <w:rsid w:val="00FC525A"/>
    <w:rsid w:val="00FC5B85"/>
    <w:rsid w:val="00FC5C9A"/>
    <w:rsid w:val="00FC5DA7"/>
    <w:rsid w:val="00FC6B7D"/>
    <w:rsid w:val="00FC6BF9"/>
    <w:rsid w:val="00FC79E3"/>
    <w:rsid w:val="00FC7CAA"/>
    <w:rsid w:val="00FC7CD1"/>
    <w:rsid w:val="00FD01F6"/>
    <w:rsid w:val="00FD0FAD"/>
    <w:rsid w:val="00FD14F2"/>
    <w:rsid w:val="00FD17F3"/>
    <w:rsid w:val="00FD1BCD"/>
    <w:rsid w:val="00FD2421"/>
    <w:rsid w:val="00FD2AC3"/>
    <w:rsid w:val="00FD2AC5"/>
    <w:rsid w:val="00FD331F"/>
    <w:rsid w:val="00FD3699"/>
    <w:rsid w:val="00FD3969"/>
    <w:rsid w:val="00FD4165"/>
    <w:rsid w:val="00FD446E"/>
    <w:rsid w:val="00FD4B9E"/>
    <w:rsid w:val="00FD4E1F"/>
    <w:rsid w:val="00FD511A"/>
    <w:rsid w:val="00FD52D2"/>
    <w:rsid w:val="00FD65A9"/>
    <w:rsid w:val="00FD68B6"/>
    <w:rsid w:val="00FD68E6"/>
    <w:rsid w:val="00FD6FE0"/>
    <w:rsid w:val="00FD7839"/>
    <w:rsid w:val="00FD7AC4"/>
    <w:rsid w:val="00FE0719"/>
    <w:rsid w:val="00FE09D8"/>
    <w:rsid w:val="00FE1DFD"/>
    <w:rsid w:val="00FE27C5"/>
    <w:rsid w:val="00FE2910"/>
    <w:rsid w:val="00FE3063"/>
    <w:rsid w:val="00FE3175"/>
    <w:rsid w:val="00FE33A9"/>
    <w:rsid w:val="00FE3F26"/>
    <w:rsid w:val="00FE4A60"/>
    <w:rsid w:val="00FE4E7E"/>
    <w:rsid w:val="00FE5823"/>
    <w:rsid w:val="00FE5C98"/>
    <w:rsid w:val="00FE602D"/>
    <w:rsid w:val="00FE6765"/>
    <w:rsid w:val="00FE6ADF"/>
    <w:rsid w:val="00FE6F36"/>
    <w:rsid w:val="00FE7688"/>
    <w:rsid w:val="00FE7721"/>
    <w:rsid w:val="00FE7900"/>
    <w:rsid w:val="00FE7DB3"/>
    <w:rsid w:val="00FE7FF2"/>
    <w:rsid w:val="00FF03D6"/>
    <w:rsid w:val="00FF0413"/>
    <w:rsid w:val="00FF0490"/>
    <w:rsid w:val="00FF131E"/>
    <w:rsid w:val="00FF21EA"/>
    <w:rsid w:val="00FF36DE"/>
    <w:rsid w:val="00FF3BCB"/>
    <w:rsid w:val="00FF3DAE"/>
    <w:rsid w:val="00FF409C"/>
    <w:rsid w:val="00FF4D3F"/>
    <w:rsid w:val="00FF4E76"/>
    <w:rsid w:val="00FF51F1"/>
    <w:rsid w:val="00FF557A"/>
    <w:rsid w:val="00FF5904"/>
    <w:rsid w:val="00FF6021"/>
    <w:rsid w:val="00FF616D"/>
    <w:rsid w:val="00FF6254"/>
    <w:rsid w:val="00FF6615"/>
    <w:rsid w:val="00FF701D"/>
    <w:rsid w:val="00FF75C5"/>
    <w:rsid w:val="012A0D3D"/>
    <w:rsid w:val="015E1388"/>
    <w:rsid w:val="03643017"/>
    <w:rsid w:val="03D3C8A9"/>
    <w:rsid w:val="03FF5EF7"/>
    <w:rsid w:val="066A4389"/>
    <w:rsid w:val="06963A54"/>
    <w:rsid w:val="07411843"/>
    <w:rsid w:val="0885FA4B"/>
    <w:rsid w:val="0969C5A3"/>
    <w:rsid w:val="0BB49925"/>
    <w:rsid w:val="0DD828E8"/>
    <w:rsid w:val="0E1A8589"/>
    <w:rsid w:val="0E444515"/>
    <w:rsid w:val="0F61054E"/>
    <w:rsid w:val="1036BA82"/>
    <w:rsid w:val="1073A620"/>
    <w:rsid w:val="10BE8EEA"/>
    <w:rsid w:val="12173AEB"/>
    <w:rsid w:val="12516839"/>
    <w:rsid w:val="13F93956"/>
    <w:rsid w:val="14B18C63"/>
    <w:rsid w:val="1573E512"/>
    <w:rsid w:val="15F64A11"/>
    <w:rsid w:val="174BC5B5"/>
    <w:rsid w:val="177A53EF"/>
    <w:rsid w:val="18CFEC5F"/>
    <w:rsid w:val="192266EF"/>
    <w:rsid w:val="19DDC44B"/>
    <w:rsid w:val="1A8CB1CB"/>
    <w:rsid w:val="1B2C25DD"/>
    <w:rsid w:val="1B424AF0"/>
    <w:rsid w:val="1C4DC512"/>
    <w:rsid w:val="1C69DE46"/>
    <w:rsid w:val="1D3E87FC"/>
    <w:rsid w:val="1DCA436D"/>
    <w:rsid w:val="1DD2EFA9"/>
    <w:rsid w:val="1E36142D"/>
    <w:rsid w:val="1E5B48F5"/>
    <w:rsid w:val="1EC5E0B3"/>
    <w:rsid w:val="208B3050"/>
    <w:rsid w:val="20B8D176"/>
    <w:rsid w:val="20F4A567"/>
    <w:rsid w:val="212DDAFA"/>
    <w:rsid w:val="212FB662"/>
    <w:rsid w:val="21D79AA4"/>
    <w:rsid w:val="22577DC0"/>
    <w:rsid w:val="2364B1C5"/>
    <w:rsid w:val="236F8322"/>
    <w:rsid w:val="23B0BCA6"/>
    <w:rsid w:val="24F1E4BA"/>
    <w:rsid w:val="250A973F"/>
    <w:rsid w:val="2528124D"/>
    <w:rsid w:val="255C0E40"/>
    <w:rsid w:val="25D3BA90"/>
    <w:rsid w:val="25EBB090"/>
    <w:rsid w:val="26C3E2AE"/>
    <w:rsid w:val="27C85398"/>
    <w:rsid w:val="285FB30F"/>
    <w:rsid w:val="287658C0"/>
    <w:rsid w:val="29131FBD"/>
    <w:rsid w:val="29F8AC53"/>
    <w:rsid w:val="2A122921"/>
    <w:rsid w:val="2B3610C4"/>
    <w:rsid w:val="2B88C00A"/>
    <w:rsid w:val="2BADF982"/>
    <w:rsid w:val="2C572932"/>
    <w:rsid w:val="2CBCE7A8"/>
    <w:rsid w:val="2E624767"/>
    <w:rsid w:val="2E8E6C3F"/>
    <w:rsid w:val="30AD6C08"/>
    <w:rsid w:val="33F982B2"/>
    <w:rsid w:val="348F364C"/>
    <w:rsid w:val="35F366A2"/>
    <w:rsid w:val="365CCB7D"/>
    <w:rsid w:val="366A4B1B"/>
    <w:rsid w:val="370ED9C3"/>
    <w:rsid w:val="38061B7C"/>
    <w:rsid w:val="384438D1"/>
    <w:rsid w:val="38604951"/>
    <w:rsid w:val="38680DBC"/>
    <w:rsid w:val="387D5E17"/>
    <w:rsid w:val="390DC118"/>
    <w:rsid w:val="399AD8AE"/>
    <w:rsid w:val="39E72F70"/>
    <w:rsid w:val="3A1F5AC2"/>
    <w:rsid w:val="3BE2FDAD"/>
    <w:rsid w:val="3D33BA74"/>
    <w:rsid w:val="3DD54443"/>
    <w:rsid w:val="3E0C8F12"/>
    <w:rsid w:val="3EBED940"/>
    <w:rsid w:val="3ED74F40"/>
    <w:rsid w:val="3FA07291"/>
    <w:rsid w:val="4285280B"/>
    <w:rsid w:val="42D81353"/>
    <w:rsid w:val="4353B761"/>
    <w:rsid w:val="43B9B870"/>
    <w:rsid w:val="442D46F3"/>
    <w:rsid w:val="445491AE"/>
    <w:rsid w:val="45256FA4"/>
    <w:rsid w:val="46B41A65"/>
    <w:rsid w:val="46F80F31"/>
    <w:rsid w:val="4706C604"/>
    <w:rsid w:val="471BDC18"/>
    <w:rsid w:val="48753ABE"/>
    <w:rsid w:val="490755FD"/>
    <w:rsid w:val="49E306E6"/>
    <w:rsid w:val="4A879684"/>
    <w:rsid w:val="4AAEE02D"/>
    <w:rsid w:val="4AC3D332"/>
    <w:rsid w:val="4B51632C"/>
    <w:rsid w:val="4C0CCE3E"/>
    <w:rsid w:val="4E36BA7B"/>
    <w:rsid w:val="4E39DB71"/>
    <w:rsid w:val="4EF56090"/>
    <w:rsid w:val="4F89BD0F"/>
    <w:rsid w:val="4F9EA10E"/>
    <w:rsid w:val="4FC04935"/>
    <w:rsid w:val="4FCA9E51"/>
    <w:rsid w:val="5318D6BF"/>
    <w:rsid w:val="535E6C8F"/>
    <w:rsid w:val="53C2A80A"/>
    <w:rsid w:val="56921735"/>
    <w:rsid w:val="56BE0C1E"/>
    <w:rsid w:val="58479283"/>
    <w:rsid w:val="58D51822"/>
    <w:rsid w:val="5AEA8FC3"/>
    <w:rsid w:val="5B371C9B"/>
    <w:rsid w:val="5B89050B"/>
    <w:rsid w:val="5BB49192"/>
    <w:rsid w:val="5C5808C7"/>
    <w:rsid w:val="5CF903B0"/>
    <w:rsid w:val="5DF23DAB"/>
    <w:rsid w:val="5E3E3406"/>
    <w:rsid w:val="5F1372EE"/>
    <w:rsid w:val="607308FB"/>
    <w:rsid w:val="6223D316"/>
    <w:rsid w:val="62660053"/>
    <w:rsid w:val="6385F67F"/>
    <w:rsid w:val="6482A21C"/>
    <w:rsid w:val="65CE35FF"/>
    <w:rsid w:val="65E4CFE5"/>
    <w:rsid w:val="6648CEF8"/>
    <w:rsid w:val="66F34578"/>
    <w:rsid w:val="67BB0455"/>
    <w:rsid w:val="67C5D587"/>
    <w:rsid w:val="69C06AE0"/>
    <w:rsid w:val="6A648B00"/>
    <w:rsid w:val="6D6B1D21"/>
    <w:rsid w:val="6DB24A10"/>
    <w:rsid w:val="6EE4F79A"/>
    <w:rsid w:val="6F24B2A1"/>
    <w:rsid w:val="6F898175"/>
    <w:rsid w:val="7008E77F"/>
    <w:rsid w:val="71862FDD"/>
    <w:rsid w:val="739B50FB"/>
    <w:rsid w:val="73C174E7"/>
    <w:rsid w:val="73FD4E11"/>
    <w:rsid w:val="75798528"/>
    <w:rsid w:val="75F16253"/>
    <w:rsid w:val="76782903"/>
    <w:rsid w:val="771E00CA"/>
    <w:rsid w:val="771F7090"/>
    <w:rsid w:val="78012530"/>
    <w:rsid w:val="7947964C"/>
    <w:rsid w:val="7C2C2C76"/>
    <w:rsid w:val="7CE16AAE"/>
    <w:rsid w:val="7FB6D7D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3D28624"/>
  <w15:chartTrackingRefBased/>
  <w15:docId w15:val="{016EDDE2-8CF7-4C45-B92B-FD8FC94E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BD"/>
    <w:rPr>
      <w:rFonts w:ascii="Gellix" w:hAnsi="Gellix"/>
      <w:lang w:val="en-GB"/>
    </w:rPr>
  </w:style>
  <w:style w:type="paragraph" w:styleId="Heading1">
    <w:name w:val="heading 1"/>
    <w:basedOn w:val="Normal"/>
    <w:next w:val="Normal"/>
    <w:link w:val="Heading1Char"/>
    <w:uiPriority w:val="9"/>
    <w:qFormat/>
    <w:rsid w:val="00CC2679"/>
    <w:pPr>
      <w:keepNext/>
      <w:keepLines/>
      <w:numPr>
        <w:numId w:val="9"/>
      </w:numPr>
      <w:spacing w:before="240" w:after="0"/>
      <w:outlineLvl w:val="0"/>
    </w:pPr>
    <w:rPr>
      <w:rFonts w:eastAsiaTheme="majorEastAsia" w:cstheme="majorBidi"/>
      <w:b/>
      <w:bCs/>
      <w:color w:val="003594" w:themeColor="accent1"/>
      <w:sz w:val="32"/>
      <w:szCs w:val="32"/>
      <w:lang w:val="en-US"/>
    </w:rPr>
  </w:style>
  <w:style w:type="paragraph" w:styleId="Heading2">
    <w:name w:val="heading 2"/>
    <w:basedOn w:val="ListParagraph"/>
    <w:next w:val="Normal"/>
    <w:link w:val="Heading2Char"/>
    <w:unhideWhenUsed/>
    <w:qFormat/>
    <w:rsid w:val="00E02432"/>
    <w:pPr>
      <w:numPr>
        <w:numId w:val="12"/>
      </w:numPr>
      <w:spacing w:after="0" w:line="240" w:lineRule="auto"/>
      <w:outlineLvl w:val="1"/>
    </w:pPr>
    <w:rPr>
      <w:b/>
      <w:color w:val="007DFF"/>
      <w:sz w:val="28"/>
      <w:szCs w:val="28"/>
      <w:lang w:val="en-US"/>
    </w:rPr>
  </w:style>
  <w:style w:type="paragraph" w:styleId="Heading3">
    <w:name w:val="heading 3"/>
    <w:basedOn w:val="Normal"/>
    <w:next w:val="Normal"/>
    <w:link w:val="Heading3Char"/>
    <w:uiPriority w:val="9"/>
    <w:unhideWhenUsed/>
    <w:qFormat/>
    <w:rsid w:val="00B0005F"/>
    <w:pPr>
      <w:outlineLvl w:val="2"/>
    </w:pPr>
    <w:rPr>
      <w:b/>
      <w:bCs/>
      <w:u w:val="single"/>
    </w:rPr>
  </w:style>
  <w:style w:type="paragraph" w:styleId="Heading4">
    <w:name w:val="heading 4"/>
    <w:basedOn w:val="Heading3"/>
    <w:next w:val="Normal"/>
    <w:link w:val="Heading4Char"/>
    <w:uiPriority w:val="9"/>
    <w:unhideWhenUsed/>
    <w:qFormat/>
    <w:rsid w:val="00B0005F"/>
    <w:pPr>
      <w:numPr>
        <w:numId w:val="11"/>
      </w:numPr>
      <w:outlineLvl w:val="3"/>
    </w:pPr>
    <w:rPr>
      <w:bCs w:val="0"/>
      <w:color w:val="00BC00"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B94"/>
    <w:pPr>
      <w:ind w:left="720"/>
      <w:contextualSpacing/>
    </w:pPr>
  </w:style>
  <w:style w:type="paragraph" w:styleId="Header">
    <w:name w:val="header"/>
    <w:basedOn w:val="Normal"/>
    <w:link w:val="HeaderChar"/>
    <w:uiPriority w:val="99"/>
    <w:unhideWhenUsed/>
    <w:rsid w:val="00A318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1867"/>
    <w:rPr>
      <w:lang w:val="en-GB"/>
    </w:rPr>
  </w:style>
  <w:style w:type="paragraph" w:styleId="Footer">
    <w:name w:val="footer"/>
    <w:basedOn w:val="Normal"/>
    <w:link w:val="FooterChar"/>
    <w:uiPriority w:val="99"/>
    <w:unhideWhenUsed/>
    <w:rsid w:val="00A318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1867"/>
    <w:rPr>
      <w:lang w:val="en-GB"/>
    </w:rPr>
  </w:style>
  <w:style w:type="character" w:styleId="Hyperlink">
    <w:name w:val="Hyperlink"/>
    <w:basedOn w:val="DefaultParagraphFont"/>
    <w:uiPriority w:val="99"/>
    <w:unhideWhenUsed/>
    <w:rsid w:val="00507F17"/>
    <w:rPr>
      <w:color w:val="3A90D6" w:themeColor="hyperlink"/>
      <w:u w:val="single"/>
    </w:rPr>
  </w:style>
  <w:style w:type="character" w:styleId="UnresolvedMention">
    <w:name w:val="Unresolved Mention"/>
    <w:basedOn w:val="DefaultParagraphFont"/>
    <w:uiPriority w:val="99"/>
    <w:semiHidden/>
    <w:unhideWhenUsed/>
    <w:rsid w:val="00507F17"/>
    <w:rPr>
      <w:color w:val="605E5C"/>
      <w:shd w:val="clear" w:color="auto" w:fill="E1DFDD"/>
    </w:rPr>
  </w:style>
  <w:style w:type="character" w:customStyle="1" w:styleId="normaltextrun">
    <w:name w:val="normaltextrun"/>
    <w:basedOn w:val="DefaultParagraphFont"/>
    <w:rsid w:val="00652FE7"/>
  </w:style>
  <w:style w:type="character" w:customStyle="1" w:styleId="eop">
    <w:name w:val="eop"/>
    <w:basedOn w:val="DefaultParagraphFont"/>
    <w:rsid w:val="0055774A"/>
  </w:style>
  <w:style w:type="paragraph" w:styleId="FootnoteText">
    <w:name w:val="footnote text"/>
    <w:basedOn w:val="Normal"/>
    <w:link w:val="FootnoteTextChar"/>
    <w:uiPriority w:val="99"/>
    <w:unhideWhenUsed/>
    <w:qFormat/>
    <w:rsid w:val="00066C6E"/>
    <w:pPr>
      <w:spacing w:after="0" w:line="240" w:lineRule="auto"/>
    </w:pPr>
    <w:rPr>
      <w:sz w:val="20"/>
      <w:szCs w:val="20"/>
    </w:rPr>
  </w:style>
  <w:style w:type="character" w:customStyle="1" w:styleId="FootnoteTextChar">
    <w:name w:val="Footnote Text Char"/>
    <w:basedOn w:val="DefaultParagraphFont"/>
    <w:link w:val="FootnoteText"/>
    <w:uiPriority w:val="99"/>
    <w:rsid w:val="00066C6E"/>
    <w:rPr>
      <w:sz w:val="20"/>
      <w:szCs w:val="20"/>
      <w:lang w:val="en-GB"/>
    </w:rPr>
  </w:style>
  <w:style w:type="character" w:styleId="FootnoteReference">
    <w:name w:val="footnote reference"/>
    <w:basedOn w:val="DefaultParagraphFont"/>
    <w:uiPriority w:val="99"/>
    <w:semiHidden/>
    <w:unhideWhenUsed/>
    <w:rsid w:val="00066C6E"/>
    <w:rPr>
      <w:vertAlign w:val="superscript"/>
    </w:rPr>
  </w:style>
  <w:style w:type="paragraph" w:styleId="BodyText">
    <w:name w:val="Body Text"/>
    <w:basedOn w:val="Normal"/>
    <w:link w:val="BodyTextChar"/>
    <w:uiPriority w:val="1"/>
    <w:qFormat/>
    <w:rsid w:val="008C3A8C"/>
    <w:pPr>
      <w:widowControl w:val="0"/>
      <w:autoSpaceDE w:val="0"/>
      <w:autoSpaceDN w:val="0"/>
      <w:spacing w:after="0" w:line="240" w:lineRule="auto"/>
    </w:pPr>
    <w:rPr>
      <w:rFonts w:eastAsia="Verdana" w:cs="Verdana"/>
      <w:kern w:val="0"/>
      <w:szCs w:val="21"/>
      <w:lang w:eastAsia="en-US"/>
      <w14:ligatures w14:val="none"/>
    </w:rPr>
  </w:style>
  <w:style w:type="character" w:customStyle="1" w:styleId="BodyTextChar">
    <w:name w:val="Body Text Char"/>
    <w:basedOn w:val="DefaultParagraphFont"/>
    <w:link w:val="BodyText"/>
    <w:uiPriority w:val="1"/>
    <w:rsid w:val="008C3A8C"/>
    <w:rPr>
      <w:rFonts w:ascii="Gellix" w:eastAsia="Verdana" w:hAnsi="Gellix" w:cs="Verdana"/>
      <w:kern w:val="0"/>
      <w:szCs w:val="21"/>
      <w:lang w:val="en-GB" w:eastAsia="en-US"/>
      <w14:ligatures w14:val="non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0723"/>
    <w:pPr>
      <w:spacing w:after="0" w:line="240" w:lineRule="auto"/>
    </w:pPr>
    <w:rPr>
      <w:lang w:val="en-GB"/>
    </w:rPr>
  </w:style>
  <w:style w:type="character" w:customStyle="1" w:styleId="Heading2Char">
    <w:name w:val="Heading 2 Char"/>
    <w:basedOn w:val="DefaultParagraphFont"/>
    <w:link w:val="Heading2"/>
    <w:rsid w:val="00E02432"/>
    <w:rPr>
      <w:rFonts w:ascii="Gellix" w:hAnsi="Gellix"/>
      <w:b/>
      <w:color w:val="007DFF"/>
      <w:sz w:val="28"/>
      <w:szCs w:val="28"/>
      <w:lang w:val="en-US"/>
    </w:rPr>
  </w:style>
  <w:style w:type="paragraph" w:customStyle="1" w:styleId="Bullet2">
    <w:name w:val="Bullet 2"/>
    <w:basedOn w:val="Normal"/>
    <w:qFormat/>
    <w:rsid w:val="00311516"/>
    <w:pPr>
      <w:numPr>
        <w:numId w:val="1"/>
      </w:numPr>
      <w:spacing w:after="60" w:line="276" w:lineRule="auto"/>
    </w:pPr>
    <w:rPr>
      <w:rFonts w:eastAsia="ヒラギノ角ゴ Pro W3" w:cs="Times New Roman"/>
      <w:color w:val="000000"/>
      <w:kern w:val="0"/>
      <w:sz w:val="20"/>
      <w:szCs w:val="24"/>
      <w:lang w:val="en-US" w:eastAsia="en-US"/>
      <w14:ligatures w14:val="none"/>
    </w:rPr>
  </w:style>
  <w:style w:type="paragraph" w:customStyle="1" w:styleId="SubTitle">
    <w:name w:val="Sub Title"/>
    <w:basedOn w:val="Heading2"/>
    <w:link w:val="SubTitleCar"/>
    <w:qFormat/>
    <w:rsid w:val="00311516"/>
    <w:pPr>
      <w:ind w:left="0" w:firstLine="0"/>
    </w:pPr>
    <w:rPr>
      <w:sz w:val="36"/>
      <w:szCs w:val="36"/>
    </w:rPr>
  </w:style>
  <w:style w:type="character" w:customStyle="1" w:styleId="SubTitleCar">
    <w:name w:val="Sub Title Car"/>
    <w:basedOn w:val="Heading2Char"/>
    <w:link w:val="SubTitle"/>
    <w:rsid w:val="00311516"/>
    <w:rPr>
      <w:rFonts w:ascii="Gellix" w:hAnsi="Gellix"/>
      <w:b/>
      <w:color w:val="007DFF"/>
      <w:sz w:val="36"/>
      <w:szCs w:val="36"/>
      <w:lang w:val="en-US"/>
    </w:rPr>
  </w:style>
  <w:style w:type="character" w:customStyle="1" w:styleId="Heading3Char">
    <w:name w:val="Heading 3 Char"/>
    <w:basedOn w:val="DefaultParagraphFont"/>
    <w:link w:val="Heading3"/>
    <w:uiPriority w:val="9"/>
    <w:rsid w:val="00B0005F"/>
    <w:rPr>
      <w:rFonts w:ascii="Gellix" w:hAnsi="Gellix"/>
      <w:b/>
      <w:bCs/>
      <w:u w:val="single"/>
      <w:lang w:val="en-GB"/>
    </w:rPr>
  </w:style>
  <w:style w:type="paragraph" w:styleId="CommentSubject">
    <w:name w:val="annotation subject"/>
    <w:basedOn w:val="CommentText"/>
    <w:next w:val="CommentText"/>
    <w:link w:val="CommentSubjectChar"/>
    <w:uiPriority w:val="99"/>
    <w:semiHidden/>
    <w:unhideWhenUsed/>
    <w:rsid w:val="00EB62AB"/>
    <w:rPr>
      <w:b/>
      <w:bCs/>
    </w:rPr>
  </w:style>
  <w:style w:type="character" w:customStyle="1" w:styleId="CommentSubjectChar">
    <w:name w:val="Comment Subject Char"/>
    <w:basedOn w:val="CommentTextChar"/>
    <w:link w:val="CommentSubject"/>
    <w:uiPriority w:val="99"/>
    <w:semiHidden/>
    <w:rsid w:val="00EB62AB"/>
    <w:rPr>
      <w:b/>
      <w:bCs/>
      <w:sz w:val="20"/>
      <w:szCs w:val="20"/>
      <w:lang w:val="en-GB"/>
    </w:rPr>
  </w:style>
  <w:style w:type="character" w:styleId="FollowedHyperlink">
    <w:name w:val="FollowedHyperlink"/>
    <w:basedOn w:val="DefaultParagraphFont"/>
    <w:uiPriority w:val="99"/>
    <w:semiHidden/>
    <w:unhideWhenUsed/>
    <w:rsid w:val="00346ED8"/>
    <w:rPr>
      <w:color w:val="1F6196" w:themeColor="followedHyperlink"/>
      <w:u w:val="single"/>
    </w:rPr>
  </w:style>
  <w:style w:type="paragraph" w:customStyle="1" w:styleId="zFooter">
    <w:name w:val="z Footer"/>
    <w:basedOn w:val="Normal"/>
    <w:qFormat/>
    <w:rsid w:val="002D5145"/>
    <w:pPr>
      <w:spacing w:after="0" w:line="276" w:lineRule="auto"/>
      <w:jc w:val="center"/>
    </w:pPr>
    <w:rPr>
      <w:rFonts w:eastAsia="ヒラギノ角ゴ Pro W3" w:cs="Times New Roman"/>
      <w:color w:val="FF5869" w:themeColor="accent5"/>
      <w:kern w:val="0"/>
      <w:sz w:val="16"/>
      <w:szCs w:val="16"/>
      <w:lang w:val="en-US" w:eastAsia="en-US"/>
      <w14:ligatures w14:val="none"/>
    </w:rPr>
  </w:style>
  <w:style w:type="character" w:styleId="PageNumber">
    <w:name w:val="page number"/>
    <w:basedOn w:val="DefaultParagraphFont"/>
    <w:semiHidden/>
    <w:unhideWhenUsed/>
    <w:rsid w:val="002D5145"/>
  </w:style>
  <w:style w:type="paragraph" w:customStyle="1" w:styleId="paragraph">
    <w:name w:val="paragraph"/>
    <w:basedOn w:val="Normal"/>
    <w:rsid w:val="002D5145"/>
    <w:pPr>
      <w:spacing w:before="100" w:beforeAutospacing="1" w:after="100" w:afterAutospacing="1" w:line="276" w:lineRule="auto"/>
    </w:pPr>
    <w:rPr>
      <w:rFonts w:ascii="Times New Roman" w:eastAsia="Times New Roman" w:hAnsi="Times New Roman" w:cs="Times New Roman"/>
      <w:kern w:val="0"/>
      <w:sz w:val="24"/>
      <w:szCs w:val="24"/>
      <w:lang w:val="en-US" w:eastAsia="en-US"/>
      <w14:ligatures w14:val="none"/>
    </w:rPr>
  </w:style>
  <w:style w:type="table" w:styleId="GridTable1Light">
    <w:name w:val="Grid Table 1 Light"/>
    <w:basedOn w:val="TableNormal"/>
    <w:rsid w:val="002D5145"/>
    <w:pPr>
      <w:spacing w:after="0" w:line="240" w:lineRule="auto"/>
    </w:pPr>
    <w:rPr>
      <w:rFonts w:ascii="Times New Roman" w:eastAsia="Times New Roman" w:hAnsi="Times New Roman" w:cs="Times New Roman"/>
      <w:kern w:val="0"/>
      <w:sz w:val="20"/>
      <w:szCs w:val="20"/>
      <w:lang w:val="en-US" w:eastAsia="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xmsohyperlink">
    <w:name w:val="x_msohyperlink"/>
    <w:basedOn w:val="DefaultParagraphFont"/>
    <w:rsid w:val="002242C1"/>
  </w:style>
  <w:style w:type="character" w:customStyle="1" w:styleId="ng-star-inserted">
    <w:name w:val="ng-star-inserted"/>
    <w:basedOn w:val="DefaultParagraphFont"/>
    <w:rsid w:val="00E9338A"/>
  </w:style>
  <w:style w:type="character" w:customStyle="1" w:styleId="Heading1Char">
    <w:name w:val="Heading 1 Char"/>
    <w:basedOn w:val="DefaultParagraphFont"/>
    <w:link w:val="Heading1"/>
    <w:uiPriority w:val="9"/>
    <w:rsid w:val="00CC2679"/>
    <w:rPr>
      <w:rFonts w:ascii="Gellix" w:eastAsiaTheme="majorEastAsia" w:hAnsi="Gellix" w:cstheme="majorBidi"/>
      <w:b/>
      <w:bCs/>
      <w:color w:val="003594" w:themeColor="accent1"/>
      <w:sz w:val="32"/>
      <w:szCs w:val="32"/>
      <w:lang w:val="en-US"/>
    </w:rPr>
  </w:style>
  <w:style w:type="paragraph" w:styleId="Title">
    <w:name w:val="Title"/>
    <w:basedOn w:val="Normal"/>
    <w:next w:val="Normal"/>
    <w:link w:val="TitleChar"/>
    <w:uiPriority w:val="10"/>
    <w:qFormat/>
    <w:rsid w:val="006955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5BA"/>
    <w:rPr>
      <w:rFonts w:asciiTheme="majorHAnsi" w:eastAsiaTheme="majorEastAsia" w:hAnsiTheme="majorHAnsi" w:cstheme="majorBidi"/>
      <w:spacing w:val="-10"/>
      <w:kern w:val="28"/>
      <w:sz w:val="56"/>
      <w:szCs w:val="56"/>
      <w:lang w:val="en-GB"/>
    </w:rPr>
  </w:style>
  <w:style w:type="character" w:customStyle="1" w:styleId="Heading4Char">
    <w:name w:val="Heading 4 Char"/>
    <w:basedOn w:val="DefaultParagraphFont"/>
    <w:link w:val="Heading4"/>
    <w:uiPriority w:val="9"/>
    <w:rsid w:val="00B0005F"/>
    <w:rPr>
      <w:rFonts w:ascii="Gellix" w:hAnsi="Gellix"/>
      <w:b/>
      <w:color w:val="00BC00" w:themeColor="accent4"/>
      <w:u w:val="single"/>
      <w:lang w:val="en-GB"/>
    </w:rPr>
  </w:style>
  <w:style w:type="paragraph" w:styleId="TOCHeading">
    <w:name w:val="TOC Heading"/>
    <w:basedOn w:val="Heading1"/>
    <w:next w:val="Normal"/>
    <w:uiPriority w:val="39"/>
    <w:unhideWhenUsed/>
    <w:qFormat/>
    <w:rsid w:val="00F370D0"/>
    <w:pPr>
      <w:numPr>
        <w:numId w:val="0"/>
      </w:numPr>
      <w:outlineLvl w:val="9"/>
    </w:pPr>
    <w:rPr>
      <w:rFonts w:asciiTheme="majorHAnsi" w:hAnsiTheme="majorHAnsi"/>
      <w:b w:val="0"/>
      <w:bCs w:val="0"/>
      <w:color w:val="00276E" w:themeColor="accent1" w:themeShade="BF"/>
      <w:kern w:val="0"/>
      <w:lang w:eastAsia="en-US"/>
      <w14:ligatures w14:val="none"/>
    </w:rPr>
  </w:style>
  <w:style w:type="paragraph" w:styleId="TOC1">
    <w:name w:val="toc 1"/>
    <w:basedOn w:val="Normal"/>
    <w:next w:val="Normal"/>
    <w:autoRedefine/>
    <w:uiPriority w:val="39"/>
    <w:unhideWhenUsed/>
    <w:rsid w:val="009F0272"/>
    <w:pPr>
      <w:tabs>
        <w:tab w:val="left" w:pos="440"/>
        <w:tab w:val="right" w:leader="dot" w:pos="9054"/>
      </w:tabs>
      <w:spacing w:after="100"/>
    </w:pPr>
  </w:style>
  <w:style w:type="paragraph" w:styleId="TOC2">
    <w:name w:val="toc 2"/>
    <w:basedOn w:val="Normal"/>
    <w:next w:val="Normal"/>
    <w:autoRedefine/>
    <w:uiPriority w:val="39"/>
    <w:unhideWhenUsed/>
    <w:rsid w:val="00120200"/>
    <w:pPr>
      <w:tabs>
        <w:tab w:val="left" w:pos="660"/>
        <w:tab w:val="right" w:leader="dot" w:pos="9054"/>
      </w:tabs>
      <w:spacing w:after="100"/>
      <w:ind w:left="220"/>
    </w:pPr>
  </w:style>
  <w:style w:type="paragraph" w:styleId="TOC3">
    <w:name w:val="toc 3"/>
    <w:basedOn w:val="Normal"/>
    <w:next w:val="Normal"/>
    <w:autoRedefine/>
    <w:uiPriority w:val="39"/>
    <w:unhideWhenUsed/>
    <w:rsid w:val="00F370D0"/>
    <w:pPr>
      <w:spacing w:after="100"/>
      <w:ind w:left="440"/>
    </w:pPr>
  </w:style>
  <w:style w:type="character" w:styleId="Mention">
    <w:name w:val="Mention"/>
    <w:basedOn w:val="DefaultParagraphFont"/>
    <w:uiPriority w:val="99"/>
    <w:unhideWhenUsed/>
    <w:rsid w:val="0038388A"/>
    <w:rPr>
      <w:color w:val="2B579A"/>
      <w:shd w:val="clear" w:color="auto" w:fill="E6E6E6"/>
    </w:rPr>
  </w:style>
  <w:style w:type="table" w:styleId="TableGrid">
    <w:name w:val="Table Grid"/>
    <w:basedOn w:val="TableNormal"/>
    <w:uiPriority w:val="39"/>
    <w:rsid w:val="0042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E1FC8"/>
    <w:rPr>
      <w:rFonts w:ascii="Segoe UI" w:hAnsi="Segoe UI" w:cs="Segoe UI" w:hint="default"/>
    </w:rPr>
  </w:style>
  <w:style w:type="character" w:customStyle="1" w:styleId="apple-converted-space">
    <w:name w:val="apple-converted-space"/>
    <w:basedOn w:val="DefaultParagraphFont"/>
    <w:rsid w:val="00910C2B"/>
  </w:style>
  <w:style w:type="paragraph" w:styleId="NormalWeb">
    <w:name w:val="Normal (Web)"/>
    <w:basedOn w:val="Normal"/>
    <w:uiPriority w:val="99"/>
    <w:unhideWhenUsed/>
    <w:rsid w:val="00E03B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9592">
      <w:bodyDiv w:val="1"/>
      <w:marLeft w:val="0"/>
      <w:marRight w:val="0"/>
      <w:marTop w:val="0"/>
      <w:marBottom w:val="0"/>
      <w:divBdr>
        <w:top w:val="none" w:sz="0" w:space="0" w:color="auto"/>
        <w:left w:val="none" w:sz="0" w:space="0" w:color="auto"/>
        <w:bottom w:val="none" w:sz="0" w:space="0" w:color="auto"/>
        <w:right w:val="none" w:sz="0" w:space="0" w:color="auto"/>
      </w:divBdr>
    </w:div>
    <w:div w:id="121929142">
      <w:bodyDiv w:val="1"/>
      <w:marLeft w:val="0"/>
      <w:marRight w:val="0"/>
      <w:marTop w:val="0"/>
      <w:marBottom w:val="0"/>
      <w:divBdr>
        <w:top w:val="none" w:sz="0" w:space="0" w:color="auto"/>
        <w:left w:val="none" w:sz="0" w:space="0" w:color="auto"/>
        <w:bottom w:val="none" w:sz="0" w:space="0" w:color="auto"/>
        <w:right w:val="none" w:sz="0" w:space="0" w:color="auto"/>
      </w:divBdr>
    </w:div>
    <w:div w:id="155808419">
      <w:bodyDiv w:val="1"/>
      <w:marLeft w:val="0"/>
      <w:marRight w:val="0"/>
      <w:marTop w:val="0"/>
      <w:marBottom w:val="0"/>
      <w:divBdr>
        <w:top w:val="none" w:sz="0" w:space="0" w:color="auto"/>
        <w:left w:val="none" w:sz="0" w:space="0" w:color="auto"/>
        <w:bottom w:val="none" w:sz="0" w:space="0" w:color="auto"/>
        <w:right w:val="none" w:sz="0" w:space="0" w:color="auto"/>
      </w:divBdr>
      <w:divsChild>
        <w:div w:id="630482026">
          <w:marLeft w:val="0"/>
          <w:marRight w:val="0"/>
          <w:marTop w:val="0"/>
          <w:marBottom w:val="0"/>
          <w:divBdr>
            <w:top w:val="none" w:sz="0" w:space="0" w:color="auto"/>
            <w:left w:val="none" w:sz="0" w:space="0" w:color="auto"/>
            <w:bottom w:val="none" w:sz="0" w:space="0" w:color="auto"/>
            <w:right w:val="none" w:sz="0" w:space="0" w:color="auto"/>
          </w:divBdr>
        </w:div>
      </w:divsChild>
    </w:div>
    <w:div w:id="288249870">
      <w:bodyDiv w:val="1"/>
      <w:marLeft w:val="0"/>
      <w:marRight w:val="0"/>
      <w:marTop w:val="0"/>
      <w:marBottom w:val="0"/>
      <w:divBdr>
        <w:top w:val="none" w:sz="0" w:space="0" w:color="auto"/>
        <w:left w:val="none" w:sz="0" w:space="0" w:color="auto"/>
        <w:bottom w:val="none" w:sz="0" w:space="0" w:color="auto"/>
        <w:right w:val="none" w:sz="0" w:space="0" w:color="auto"/>
      </w:divBdr>
    </w:div>
    <w:div w:id="325399777">
      <w:bodyDiv w:val="1"/>
      <w:marLeft w:val="0"/>
      <w:marRight w:val="0"/>
      <w:marTop w:val="0"/>
      <w:marBottom w:val="0"/>
      <w:divBdr>
        <w:top w:val="none" w:sz="0" w:space="0" w:color="auto"/>
        <w:left w:val="none" w:sz="0" w:space="0" w:color="auto"/>
        <w:bottom w:val="none" w:sz="0" w:space="0" w:color="auto"/>
        <w:right w:val="none" w:sz="0" w:space="0" w:color="auto"/>
      </w:divBdr>
    </w:div>
    <w:div w:id="341395037">
      <w:bodyDiv w:val="1"/>
      <w:marLeft w:val="0"/>
      <w:marRight w:val="0"/>
      <w:marTop w:val="0"/>
      <w:marBottom w:val="0"/>
      <w:divBdr>
        <w:top w:val="none" w:sz="0" w:space="0" w:color="auto"/>
        <w:left w:val="none" w:sz="0" w:space="0" w:color="auto"/>
        <w:bottom w:val="none" w:sz="0" w:space="0" w:color="auto"/>
        <w:right w:val="none" w:sz="0" w:space="0" w:color="auto"/>
      </w:divBdr>
    </w:div>
    <w:div w:id="468671503">
      <w:bodyDiv w:val="1"/>
      <w:marLeft w:val="0"/>
      <w:marRight w:val="0"/>
      <w:marTop w:val="0"/>
      <w:marBottom w:val="0"/>
      <w:divBdr>
        <w:top w:val="none" w:sz="0" w:space="0" w:color="auto"/>
        <w:left w:val="none" w:sz="0" w:space="0" w:color="auto"/>
        <w:bottom w:val="none" w:sz="0" w:space="0" w:color="auto"/>
        <w:right w:val="none" w:sz="0" w:space="0" w:color="auto"/>
      </w:divBdr>
      <w:divsChild>
        <w:div w:id="527063948">
          <w:marLeft w:val="0"/>
          <w:marRight w:val="0"/>
          <w:marTop w:val="300"/>
          <w:marBottom w:val="0"/>
          <w:divBdr>
            <w:top w:val="none" w:sz="0" w:space="0" w:color="auto"/>
            <w:left w:val="none" w:sz="0" w:space="0" w:color="auto"/>
            <w:bottom w:val="none" w:sz="0" w:space="0" w:color="auto"/>
            <w:right w:val="none" w:sz="0" w:space="0" w:color="auto"/>
          </w:divBdr>
          <w:divsChild>
            <w:div w:id="55709487">
              <w:marLeft w:val="300"/>
              <w:marRight w:val="0"/>
              <w:marTop w:val="0"/>
              <w:marBottom w:val="300"/>
              <w:divBdr>
                <w:top w:val="none" w:sz="0" w:space="0" w:color="auto"/>
                <w:left w:val="none" w:sz="0" w:space="0" w:color="auto"/>
                <w:bottom w:val="none" w:sz="0" w:space="0" w:color="auto"/>
                <w:right w:val="none" w:sz="0" w:space="0" w:color="auto"/>
              </w:divBdr>
              <w:divsChild>
                <w:div w:id="1341274012">
                  <w:marLeft w:val="0"/>
                  <w:marRight w:val="0"/>
                  <w:marTop w:val="0"/>
                  <w:marBottom w:val="0"/>
                  <w:divBdr>
                    <w:top w:val="single" w:sz="6" w:space="0" w:color="auto"/>
                    <w:left w:val="none" w:sz="0" w:space="0" w:color="auto"/>
                    <w:bottom w:val="single" w:sz="6" w:space="0" w:color="auto"/>
                    <w:right w:val="none" w:sz="0" w:space="0" w:color="auto"/>
                  </w:divBdr>
                </w:div>
              </w:divsChild>
            </w:div>
            <w:div w:id="208422891">
              <w:marLeft w:val="0"/>
              <w:marRight w:val="0"/>
              <w:marTop w:val="150"/>
              <w:marBottom w:val="0"/>
              <w:divBdr>
                <w:top w:val="none" w:sz="0" w:space="0" w:color="auto"/>
                <w:left w:val="none" w:sz="0" w:space="0" w:color="auto"/>
                <w:bottom w:val="none" w:sz="0" w:space="0" w:color="auto"/>
                <w:right w:val="none" w:sz="0" w:space="0" w:color="auto"/>
              </w:divBdr>
              <w:divsChild>
                <w:div w:id="40398813">
                  <w:marLeft w:val="75"/>
                  <w:marRight w:val="75"/>
                  <w:marTop w:val="75"/>
                  <w:marBottom w:val="75"/>
                  <w:divBdr>
                    <w:top w:val="none" w:sz="0" w:space="0" w:color="auto"/>
                    <w:left w:val="none" w:sz="0" w:space="0" w:color="auto"/>
                    <w:bottom w:val="none" w:sz="0" w:space="0" w:color="auto"/>
                    <w:right w:val="none" w:sz="0" w:space="0" w:color="auto"/>
                  </w:divBdr>
                </w:div>
                <w:div w:id="60280384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024133449">
          <w:marLeft w:val="300"/>
          <w:marRight w:val="0"/>
          <w:marTop w:val="150"/>
          <w:marBottom w:val="0"/>
          <w:divBdr>
            <w:top w:val="none" w:sz="0" w:space="0" w:color="auto"/>
            <w:left w:val="single" w:sz="18" w:space="8" w:color="117931"/>
            <w:bottom w:val="none" w:sz="0" w:space="0" w:color="auto"/>
            <w:right w:val="none" w:sz="0" w:space="0" w:color="auto"/>
          </w:divBdr>
        </w:div>
      </w:divsChild>
    </w:div>
    <w:div w:id="551621978">
      <w:bodyDiv w:val="1"/>
      <w:marLeft w:val="0"/>
      <w:marRight w:val="0"/>
      <w:marTop w:val="0"/>
      <w:marBottom w:val="0"/>
      <w:divBdr>
        <w:top w:val="none" w:sz="0" w:space="0" w:color="auto"/>
        <w:left w:val="none" w:sz="0" w:space="0" w:color="auto"/>
        <w:bottom w:val="none" w:sz="0" w:space="0" w:color="auto"/>
        <w:right w:val="none" w:sz="0" w:space="0" w:color="auto"/>
      </w:divBdr>
    </w:div>
    <w:div w:id="561604496">
      <w:bodyDiv w:val="1"/>
      <w:marLeft w:val="0"/>
      <w:marRight w:val="0"/>
      <w:marTop w:val="0"/>
      <w:marBottom w:val="0"/>
      <w:divBdr>
        <w:top w:val="none" w:sz="0" w:space="0" w:color="auto"/>
        <w:left w:val="none" w:sz="0" w:space="0" w:color="auto"/>
        <w:bottom w:val="none" w:sz="0" w:space="0" w:color="auto"/>
        <w:right w:val="none" w:sz="0" w:space="0" w:color="auto"/>
      </w:divBdr>
      <w:divsChild>
        <w:div w:id="494305118">
          <w:marLeft w:val="0"/>
          <w:marRight w:val="0"/>
          <w:marTop w:val="0"/>
          <w:marBottom w:val="0"/>
          <w:divBdr>
            <w:top w:val="none" w:sz="0" w:space="0" w:color="auto"/>
            <w:left w:val="none" w:sz="0" w:space="0" w:color="auto"/>
            <w:bottom w:val="none" w:sz="0" w:space="0" w:color="auto"/>
            <w:right w:val="none" w:sz="0" w:space="0" w:color="auto"/>
          </w:divBdr>
        </w:div>
        <w:div w:id="1152714663">
          <w:marLeft w:val="0"/>
          <w:marRight w:val="0"/>
          <w:marTop w:val="0"/>
          <w:marBottom w:val="0"/>
          <w:divBdr>
            <w:top w:val="none" w:sz="0" w:space="0" w:color="auto"/>
            <w:left w:val="none" w:sz="0" w:space="0" w:color="auto"/>
            <w:bottom w:val="none" w:sz="0" w:space="0" w:color="auto"/>
            <w:right w:val="none" w:sz="0" w:space="0" w:color="auto"/>
          </w:divBdr>
        </w:div>
        <w:div w:id="2036344399">
          <w:marLeft w:val="0"/>
          <w:marRight w:val="0"/>
          <w:marTop w:val="0"/>
          <w:marBottom w:val="0"/>
          <w:divBdr>
            <w:top w:val="none" w:sz="0" w:space="0" w:color="auto"/>
            <w:left w:val="none" w:sz="0" w:space="0" w:color="auto"/>
            <w:bottom w:val="none" w:sz="0" w:space="0" w:color="auto"/>
            <w:right w:val="none" w:sz="0" w:space="0" w:color="auto"/>
          </w:divBdr>
        </w:div>
      </w:divsChild>
    </w:div>
    <w:div w:id="617637554">
      <w:bodyDiv w:val="1"/>
      <w:marLeft w:val="0"/>
      <w:marRight w:val="0"/>
      <w:marTop w:val="0"/>
      <w:marBottom w:val="0"/>
      <w:divBdr>
        <w:top w:val="none" w:sz="0" w:space="0" w:color="auto"/>
        <w:left w:val="none" w:sz="0" w:space="0" w:color="auto"/>
        <w:bottom w:val="none" w:sz="0" w:space="0" w:color="auto"/>
        <w:right w:val="none" w:sz="0" w:space="0" w:color="auto"/>
      </w:divBdr>
    </w:div>
    <w:div w:id="891497199">
      <w:bodyDiv w:val="1"/>
      <w:marLeft w:val="0"/>
      <w:marRight w:val="0"/>
      <w:marTop w:val="0"/>
      <w:marBottom w:val="0"/>
      <w:divBdr>
        <w:top w:val="none" w:sz="0" w:space="0" w:color="auto"/>
        <w:left w:val="none" w:sz="0" w:space="0" w:color="auto"/>
        <w:bottom w:val="none" w:sz="0" w:space="0" w:color="auto"/>
        <w:right w:val="none" w:sz="0" w:space="0" w:color="auto"/>
      </w:divBdr>
    </w:div>
    <w:div w:id="898441807">
      <w:bodyDiv w:val="1"/>
      <w:marLeft w:val="0"/>
      <w:marRight w:val="0"/>
      <w:marTop w:val="0"/>
      <w:marBottom w:val="0"/>
      <w:divBdr>
        <w:top w:val="none" w:sz="0" w:space="0" w:color="auto"/>
        <w:left w:val="none" w:sz="0" w:space="0" w:color="auto"/>
        <w:bottom w:val="none" w:sz="0" w:space="0" w:color="auto"/>
        <w:right w:val="none" w:sz="0" w:space="0" w:color="auto"/>
      </w:divBdr>
    </w:div>
    <w:div w:id="918907004">
      <w:bodyDiv w:val="1"/>
      <w:marLeft w:val="0"/>
      <w:marRight w:val="0"/>
      <w:marTop w:val="0"/>
      <w:marBottom w:val="0"/>
      <w:divBdr>
        <w:top w:val="none" w:sz="0" w:space="0" w:color="auto"/>
        <w:left w:val="none" w:sz="0" w:space="0" w:color="auto"/>
        <w:bottom w:val="none" w:sz="0" w:space="0" w:color="auto"/>
        <w:right w:val="none" w:sz="0" w:space="0" w:color="auto"/>
      </w:divBdr>
    </w:div>
    <w:div w:id="1024087716">
      <w:bodyDiv w:val="1"/>
      <w:marLeft w:val="0"/>
      <w:marRight w:val="0"/>
      <w:marTop w:val="0"/>
      <w:marBottom w:val="0"/>
      <w:divBdr>
        <w:top w:val="none" w:sz="0" w:space="0" w:color="auto"/>
        <w:left w:val="none" w:sz="0" w:space="0" w:color="auto"/>
        <w:bottom w:val="none" w:sz="0" w:space="0" w:color="auto"/>
        <w:right w:val="none" w:sz="0" w:space="0" w:color="auto"/>
      </w:divBdr>
    </w:div>
    <w:div w:id="1391537264">
      <w:bodyDiv w:val="1"/>
      <w:marLeft w:val="0"/>
      <w:marRight w:val="0"/>
      <w:marTop w:val="0"/>
      <w:marBottom w:val="0"/>
      <w:divBdr>
        <w:top w:val="none" w:sz="0" w:space="0" w:color="auto"/>
        <w:left w:val="none" w:sz="0" w:space="0" w:color="auto"/>
        <w:bottom w:val="none" w:sz="0" w:space="0" w:color="auto"/>
        <w:right w:val="none" w:sz="0" w:space="0" w:color="auto"/>
      </w:divBdr>
    </w:div>
    <w:div w:id="1419205970">
      <w:bodyDiv w:val="1"/>
      <w:marLeft w:val="0"/>
      <w:marRight w:val="0"/>
      <w:marTop w:val="0"/>
      <w:marBottom w:val="0"/>
      <w:divBdr>
        <w:top w:val="none" w:sz="0" w:space="0" w:color="auto"/>
        <w:left w:val="none" w:sz="0" w:space="0" w:color="auto"/>
        <w:bottom w:val="none" w:sz="0" w:space="0" w:color="auto"/>
        <w:right w:val="none" w:sz="0" w:space="0" w:color="auto"/>
      </w:divBdr>
    </w:div>
    <w:div w:id="1561402129">
      <w:bodyDiv w:val="1"/>
      <w:marLeft w:val="0"/>
      <w:marRight w:val="0"/>
      <w:marTop w:val="0"/>
      <w:marBottom w:val="0"/>
      <w:divBdr>
        <w:top w:val="none" w:sz="0" w:space="0" w:color="auto"/>
        <w:left w:val="none" w:sz="0" w:space="0" w:color="auto"/>
        <w:bottom w:val="none" w:sz="0" w:space="0" w:color="auto"/>
        <w:right w:val="none" w:sz="0" w:space="0" w:color="auto"/>
      </w:divBdr>
      <w:divsChild>
        <w:div w:id="1427657184">
          <w:marLeft w:val="0"/>
          <w:marRight w:val="0"/>
          <w:marTop w:val="0"/>
          <w:marBottom w:val="0"/>
          <w:divBdr>
            <w:top w:val="none" w:sz="0" w:space="0" w:color="auto"/>
            <w:left w:val="none" w:sz="0" w:space="0" w:color="auto"/>
            <w:bottom w:val="none" w:sz="0" w:space="0" w:color="auto"/>
            <w:right w:val="none" w:sz="0" w:space="0" w:color="auto"/>
          </w:divBdr>
          <w:divsChild>
            <w:div w:id="261110357">
              <w:marLeft w:val="0"/>
              <w:marRight w:val="0"/>
              <w:marTop w:val="0"/>
              <w:marBottom w:val="0"/>
              <w:divBdr>
                <w:top w:val="none" w:sz="0" w:space="0" w:color="auto"/>
                <w:left w:val="none" w:sz="0" w:space="0" w:color="auto"/>
                <w:bottom w:val="none" w:sz="0" w:space="0" w:color="auto"/>
                <w:right w:val="none" w:sz="0" w:space="0" w:color="auto"/>
              </w:divBdr>
              <w:divsChild>
                <w:div w:id="1583224353">
                  <w:marLeft w:val="0"/>
                  <w:marRight w:val="0"/>
                  <w:marTop w:val="0"/>
                  <w:marBottom w:val="0"/>
                  <w:divBdr>
                    <w:top w:val="none" w:sz="0" w:space="0" w:color="auto"/>
                    <w:left w:val="none" w:sz="0" w:space="0" w:color="auto"/>
                    <w:bottom w:val="none" w:sz="0" w:space="0" w:color="auto"/>
                    <w:right w:val="none" w:sz="0" w:space="0" w:color="auto"/>
                  </w:divBdr>
                  <w:divsChild>
                    <w:div w:id="13628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1693">
      <w:bodyDiv w:val="1"/>
      <w:marLeft w:val="0"/>
      <w:marRight w:val="0"/>
      <w:marTop w:val="0"/>
      <w:marBottom w:val="0"/>
      <w:divBdr>
        <w:top w:val="none" w:sz="0" w:space="0" w:color="auto"/>
        <w:left w:val="none" w:sz="0" w:space="0" w:color="auto"/>
        <w:bottom w:val="none" w:sz="0" w:space="0" w:color="auto"/>
        <w:right w:val="none" w:sz="0" w:space="0" w:color="auto"/>
      </w:divBdr>
    </w:div>
    <w:div w:id="21419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cwbo.org/news-publications/policies-reports/icc-carbon-pricing-principles/" TargetMode="External"/><Relationship Id="rId18" Type="http://schemas.openxmlformats.org/officeDocument/2006/relationships/image" Target="media/image4.jpeg"/><Relationship Id="rId26" Type="http://schemas.openxmlformats.org/officeDocument/2006/relationships/hyperlink" Target="https://www.econstor.eu/bitstream/10419/264067/1/vfs-2022-pid-70008.pdf" TargetMode="External"/><Relationship Id="rId39" Type="http://schemas.openxmlformats.org/officeDocument/2006/relationships/hyperlink" Target="https://iccwbo.org/news-publications/policies-reports/article-6-business-brief/" TargetMode="External"/><Relationship Id="rId21" Type="http://schemas.openxmlformats.org/officeDocument/2006/relationships/footer" Target="footer2.xml"/><Relationship Id="rId34" Type="http://schemas.openxmlformats.org/officeDocument/2006/relationships/hyperlink" Target="https://www.canada.ca/en/environment-climate-change/services/climate-change/pricing-pollution-how-it-will-work/carbon-pollution-pricing-federal-benchmark-information.html" TargetMode="External"/><Relationship Id="rId42" Type="http://schemas.openxmlformats.org/officeDocument/2006/relationships/hyperlink" Target="https://www.ieta.org/resources/papers/ieta-article-6-discussion-paper-how-governments-can-implement-ndcs-cooperatively-and-encourage-private-sector-inveestment/" TargetMode="External"/><Relationship Id="rId47" Type="http://schemas.openxmlformats.org/officeDocument/2006/relationships/hyperlink" Target="http://www.ipcc.ch/report/sixth-assessment-report-cycle/" TargetMode="External"/><Relationship Id="rId50" Type="http://schemas.openxmlformats.org/officeDocument/2006/relationships/hyperlink" Target="https://financing.desa.un.org/sites/default/files/2023-04/CRP.17%20Environmental_Workstream%204%20%28BCAs%29.pdf" TargetMode="External"/><Relationship Id="rId55" Type="http://schemas.openxmlformats.org/officeDocument/2006/relationships/hyperlink" Target="https://www.lse.ac.uk/granthaminstitute/publication/carbon-leakage-consumption-and-tra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1.safelinks.protection.outlook.com/?url=https%3A%2F%2Funfccc.int%2Fsites%2Fdefault%2Ffiles%2Fresource%2Fcma3_auv_12b_PA_6.4.pdf&amp;data=05%7C01%7CSandra.HANNI%40iccwbo.org%7C988524db17544236feda08da54855823%7Cc541a3c6520b49ce82202228ac7c3626%7C0%7C0%7C637915228945171069%7CUnknown%7CTWFpbGZsb3d8eyJWIjoiMC4wLjAwMDAiLCJQIjoiV2luMzIiLCJBTiI6Ik1haWwiLCJXVCI6Mn0%3D%7C3000%7C%7C%7C&amp;sdata=IfGLTXCBV9UwTL%2Ftg6u%2BI1WG0s17w5PRKDP0RzuwlGA%3D&amp;reserved=0" TargetMode="External"/><Relationship Id="rId29" Type="http://schemas.openxmlformats.org/officeDocument/2006/relationships/hyperlink" Target="https://www.congress.gov/bill/117th-congress/senate-bill/4355" TargetMode="External"/><Relationship Id="rId11" Type="http://schemas.openxmlformats.org/officeDocument/2006/relationships/hyperlink" Target="https://unfccc.int/cop27/auv" TargetMode="External"/><Relationship Id="rId24" Type="http://schemas.openxmlformats.org/officeDocument/2006/relationships/hyperlink" Target="https://afep.com/wp-content/uploads/2021/01/Trade-and-Climate-Change-Quantitative-Assessment-of-the-Best-Policy-Tools.pdf" TargetMode="External"/><Relationship Id="rId32" Type="http://schemas.openxmlformats.org/officeDocument/2006/relationships/hyperlink" Target="https://taxation-customs.ec.europa.eu/carbon-border-adjustment-mechanism_en" TargetMode="External"/><Relationship Id="rId37" Type="http://schemas.openxmlformats.org/officeDocument/2006/relationships/hyperlink" Target="https://iccwbo.org/news-publications/policies-reports/critical-design-features-for-effective-carbon-pricing-a-business-perspective/" TargetMode="External"/><Relationship Id="rId40" Type="http://schemas.openxmlformats.org/officeDocument/2006/relationships/hyperlink" Target="https://iccwbo.org/publication/icc-carbon-pricing-principles/" TargetMode="External"/><Relationship Id="rId45" Type="http://schemas.openxmlformats.org/officeDocument/2006/relationships/hyperlink" Target="https://icvcm.org/wp-content/uploads/2023/07/CCP-Book-R2-FINAL-26Jul23.pdf" TargetMode="External"/><Relationship Id="rId53" Type="http://schemas.openxmlformats.org/officeDocument/2006/relationships/hyperlink" Target="https://www.europarl.europa.eu/RegData/etudes/BRIE/2020/603501/EXPO_BRI(2020)603501_EN.pdf" TargetMode="External"/><Relationship Id="rId58" Type="http://schemas.openxmlformats.org/officeDocument/2006/relationships/hyperlink" Target="https://openknowledge.worldbank.org/handle/10986/35413"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eader" Target="header1.xml"/><Relationship Id="rId14" Type="http://schemas.openxmlformats.org/officeDocument/2006/relationships/hyperlink" Target="https://iccwbo.org/news-publications/policies-reports/critical-design-features-for-effective-carbon-pricing-a-business-perspective/" TargetMode="External"/><Relationship Id="rId22" Type="http://schemas.openxmlformats.org/officeDocument/2006/relationships/header" Target="header2.xml"/><Relationship Id="rId27" Type="http://schemas.openxmlformats.org/officeDocument/2006/relationships/hyperlink" Target="https://www.sciencedirect.com/science/article/abs/pii/S0921800913003650" TargetMode="External"/><Relationship Id="rId30" Type="http://schemas.openxmlformats.org/officeDocument/2006/relationships/hyperlink" Target="https://eur-lex.europa.eu/legal-content/EN/TXT/PDF/?uri=CELEX:32019D0708&amp;from=EN" TargetMode="External"/><Relationship Id="rId35" Type="http://schemas.openxmlformats.org/officeDocument/2006/relationships/hyperlink" Target="https://www.canada.ca/en/environment-climate-change/services/climate-change/pricing-pollution-how-it-will-work.html" TargetMode="External"/><Relationship Id="rId43" Type="http://schemas.openxmlformats.org/officeDocument/2006/relationships/hyperlink" Target="https://www.ieta.org/resources/papers/the-article-6-opportunity-for-canada-blueprint-to-international-carbon-market-cooperation/" TargetMode="External"/><Relationship Id="rId48" Type="http://schemas.openxmlformats.org/officeDocument/2006/relationships/hyperlink" Target="https://www.imf.org/en/Publications/WP/Issues/2021/08/06/Revisiting-Carbon-Leakage-462148" TargetMode="External"/><Relationship Id="rId56" Type="http://schemas.openxmlformats.org/officeDocument/2006/relationships/hyperlink" Target="https://www.ceps.eu/ceps-publications/carbon-leakage-overview/" TargetMode="External"/><Relationship Id="rId8" Type="http://schemas.openxmlformats.org/officeDocument/2006/relationships/webSettings" Target="webSettings.xml"/><Relationship Id="rId51" Type="http://schemas.openxmlformats.org/officeDocument/2006/relationships/hyperlink" Target="https://unctad.org/system/files/official-document/osginf2021d2_en.pdf" TargetMode="External"/><Relationship Id="rId3" Type="http://schemas.openxmlformats.org/officeDocument/2006/relationships/customXml" Target="../customXml/item3.xml"/><Relationship Id="rId12" Type="http://schemas.openxmlformats.org/officeDocument/2006/relationships/hyperlink" Target="https://unfccc.int/sites/default/files/resource/sb2023_09_adv.pdf" TargetMode="External"/><Relationship Id="rId17" Type="http://schemas.openxmlformats.org/officeDocument/2006/relationships/image" Target="media/image3.png"/><Relationship Id="rId25" Type="http://schemas.openxmlformats.org/officeDocument/2006/relationships/hyperlink" Target="https://www.wto-ilibrary.org/content/papers/10.30875/25189808-2022-10" TargetMode="External"/><Relationship Id="rId33" Type="http://schemas.openxmlformats.org/officeDocument/2006/relationships/hyperlink" Target="https://climate.ec.europa.eu/eu-action/eu-emissions-trading-system-eu-ets/free-allocation/carbon-leakage_en" TargetMode="External"/><Relationship Id="rId38" Type="http://schemas.openxmlformats.org/officeDocument/2006/relationships/hyperlink" Target="https://iccwbo.org/news-publications/policies-reports/icc-recommendations-to-the-european-commission-on-the-implementation-of-the-carbon-border-adjustment-mechanism/" TargetMode="External"/><Relationship Id="rId46" Type="http://schemas.openxmlformats.org/officeDocument/2006/relationships/hyperlink" Target="https://ssrn.com/abstract=4026441" TargetMode="External"/><Relationship Id="rId59" Type="http://schemas.openxmlformats.org/officeDocument/2006/relationships/hyperlink" Target="https://www.journals.uchicago.edu/doi/abs/10.1086/722673" TargetMode="External"/><Relationship Id="rId20" Type="http://schemas.openxmlformats.org/officeDocument/2006/relationships/footer" Target="footer1.xml"/><Relationship Id="rId41" Type="http://schemas.openxmlformats.org/officeDocument/2006/relationships/hyperlink" Target="https://www.ieta.org/The-Potential-Role-of-Article-6-Compatible-Carbon-Markets-in-Reaching-Net-Zero" TargetMode="External"/><Relationship Id="rId54" Type="http://schemas.openxmlformats.org/officeDocument/2006/relationships/hyperlink" Target="https://doi.org/10.1007/s10584-023-03544-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01.safelinks.protection.outlook.com/?url=https%3A%2F%2Funfccc.int%2Fsites%2Fdefault%2Ffiles%2Fresource%2Fcma3_auv_12a_PA_6.2.pdf&amp;data=05%7C01%7CSandra.HANNI%40iccwbo.org%7C988524db17544236feda08da54855823%7Cc541a3c6520b49ce82202228ac7c3626%7C0%7C0%7C637915228945171069%7CUnknown%7CTWFpbGZsb3d8eyJWIjoiMC4wLjAwMDAiLCJQIjoiV2luMzIiLCJBTiI6Ik1haWwiLCJXVCI6Mn0%3D%7C3000%7C%7C%7C&amp;sdata=CX8Cx%2FC0hEyHJ%2FNOTwWdVrzmYWVDZhyW1x25D9qzLvM%3D&amp;reserved=0" TargetMode="External"/><Relationship Id="rId23" Type="http://schemas.openxmlformats.org/officeDocument/2006/relationships/footer" Target="footer3.xml"/><Relationship Id="rId28" Type="http://schemas.openxmlformats.org/officeDocument/2006/relationships/hyperlink" Target="https://carbonmarketwatch.org/wp-content/uploads/2015/10/CMW-Carbon-leakage-myth-buster-WEB-single-final.pdf" TargetMode="External"/><Relationship Id="rId36" Type="http://schemas.openxmlformats.org/officeDocument/2006/relationships/hyperlink" Target="https://www.gov.uk/government/consultations/addressing-carbon-leakage-risk-to-support-decarbonisation" TargetMode="External"/><Relationship Id="rId49" Type="http://schemas.openxmlformats.org/officeDocument/2006/relationships/hyperlink" Target="https://mcmillan.ca/insights/publications/the-eus-new-carbon-border-adjustment-mechanism-in-action-impacts-on-canada-and-beyond/" TargetMode="External"/><Relationship Id="rId57" Type="http://schemas.openxmlformats.org/officeDocument/2006/relationships/hyperlink" Target="https://doi.org/10.1093/oxrep/grac043" TargetMode="External"/><Relationship Id="rId10" Type="http://schemas.openxmlformats.org/officeDocument/2006/relationships/endnotes" Target="endnotes.xml"/><Relationship Id="rId31" Type="http://schemas.openxmlformats.org/officeDocument/2006/relationships/hyperlink" Target="https://www.consilium.europa.eu/en/policies/green-deal/fit-for-55-the-eu-plan-for-a-green-transition/" TargetMode="External"/><Relationship Id="rId44" Type="http://schemas.openxmlformats.org/officeDocument/2006/relationships/hyperlink" Target="https://icapcarbonaction.com/system/files/ets_pdfs/icap-etsmap-factsheet-112.pdf" TargetMode="External"/><Relationship Id="rId52" Type="http://schemas.openxmlformats.org/officeDocument/2006/relationships/hyperlink" Target="https://openknowledge.worldbank.org/entities/publication/58f2a409-9bb7-4ee6-899d-be47835c838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climate.ec.europa.eu/eu-action/eu-emissions-trading-system-eu-ets/free-allocation/carbon-leakage_en" TargetMode="External"/><Relationship Id="rId13" Type="http://schemas.openxmlformats.org/officeDocument/2006/relationships/hyperlink" Target="https://www.oecd.org/g20/topics/international-taxation/pricing-greenhouse-gas-emissions-turning-climate-targets-into-climate-action.htm" TargetMode="External"/><Relationship Id="rId18" Type="http://schemas.openxmlformats.org/officeDocument/2006/relationships/hyperlink" Target="https://eur01.safelinks.protection.outlook.com/?url=https%3A%2F%2Fafep.com%2Fwp-content%2Fuploads%2F2021%2F01%2FTrade-and-Climate-Change-Quantitative-Assessment-of-the-Best-Policy-Tools.pdf&amp;data=05%7C01%7Craelene.martin%40iccwbo.org%7C785d25fcb3834089094408dbd6303544%7Cc541a3c6520b49ce82202228ac7c3626%7C0%7C0%7C638339274903453977%7CUnknown%7CTWFpbGZsb3d8eyJWIjoiMC4wLjAwMDAiLCJQIjoiV2luMzIiLCJBTiI6Ik1haWwiLCJXVCI6Mn0%3D%7C3000%7C%7C%7C&amp;sdata=EV3o%2BPNyaez0IcFP5XI9gaiGC6gT1NNxFDuUBu6cqV8%3D&amp;reserved=0" TargetMode="External"/><Relationship Id="rId26" Type="http://schemas.openxmlformats.org/officeDocument/2006/relationships/hyperlink" Target="https://iccwbo.org/publication/icc-carbon-pricing-principles/" TargetMode="External"/><Relationship Id="rId3" Type="http://schemas.openxmlformats.org/officeDocument/2006/relationships/hyperlink" Target="https://unfccc.int/sites/default/files/resource/sb2023_09_adv.pdf" TargetMode="External"/><Relationship Id="rId21" Type="http://schemas.openxmlformats.org/officeDocument/2006/relationships/hyperlink" Target="https://docs.wto.org/dol2fe/Pages/SS/directdoc.aspx?filename=q:/WT/CTE/W251.pdf&amp;Open=True" TargetMode="External"/><Relationship Id="rId7" Type="http://schemas.openxmlformats.org/officeDocument/2006/relationships/hyperlink" Target="https://www.ieta.org/resources/papers/ieta-article-6-discussion-paper-how-governments-can-implement-ndcs-cooperatively-and-encourage-private-sector-inveestment/" TargetMode="External"/><Relationship Id="rId12" Type="http://schemas.openxmlformats.org/officeDocument/2006/relationships/hyperlink" Target="https://eur01.safelinks.protection.outlook.com/?url=https%3A%2F%2Fdoi.org%2F10.1787%2F8008e7f4-en&amp;data=05%7C01%7Craelene.martin%40iccwbo.org%7C3d7c258da23b4918343608dbc4369737%7Cc541a3c6520b49ce82202228ac7c3626%7C0%7C0%7C638319510996233418%7CUnknown%7CTWFpbGZsb3d8eyJWIjoiMC4wLjAwMDAiLCJQIjoiV2luMzIiLCJBTiI6Ik1haWwiLCJXVCI6Mn0%3D%7C3000%7C%7C%7C&amp;sdata=AZyhNfspRDSGrj47XftolNoOOijyknRO9ovjBOUctFs%3D&amp;reserved=0" TargetMode="External"/><Relationship Id="rId17" Type="http://schemas.openxmlformats.org/officeDocument/2006/relationships/hyperlink" Target="https://www.wto-ilibrary.org/content/papers/10.30875/25189808-2022-10" TargetMode="External"/><Relationship Id="rId25" Type="http://schemas.openxmlformats.org/officeDocument/2006/relationships/hyperlink" Target="https://iccwbo.org/news-publications/policies-reports/article-6-business-brief/" TargetMode="External"/><Relationship Id="rId2" Type="http://schemas.openxmlformats.org/officeDocument/2006/relationships/hyperlink" Target="https://www.ipcc.ch/report/sixth-assessment-report-cycle/" TargetMode="External"/><Relationship Id="rId16" Type="http://schemas.openxmlformats.org/officeDocument/2006/relationships/hyperlink" Target="https://www.econstor.eu/bitstream/10419/264067/1/vfs-2022-pid-70008.pdf" TargetMode="External"/><Relationship Id="rId20" Type="http://schemas.openxmlformats.org/officeDocument/2006/relationships/hyperlink" Target="http://brics2022.mfa.gov.cn/eng/hywj/ODMM/202205/t20220529_10694182.html" TargetMode="External"/><Relationship Id="rId29" Type="http://schemas.openxmlformats.org/officeDocument/2006/relationships/hyperlink" Target="https://taxation-customs.ec.europa.eu/carbon-border-adjustment-mechanism_en" TargetMode="External"/><Relationship Id="rId1" Type="http://schemas.openxmlformats.org/officeDocument/2006/relationships/hyperlink" Target="https://mcusercontent.com/a56b93cff5b695d2a902de8d0/files/72816d4a-47f6-f223-2580-35bbbdee1add/IETA_Pre_COP27_Briefing.01.pdf" TargetMode="External"/><Relationship Id="rId6" Type="http://schemas.openxmlformats.org/officeDocument/2006/relationships/hyperlink" Target="https://www.ieta.org/resources/papers/the-article-6-opportunity-for-canada-blueprint-to-international-carbon-market-cooperation/" TargetMode="External"/><Relationship Id="rId11" Type="http://schemas.openxmlformats.org/officeDocument/2006/relationships/hyperlink" Target="https://eur01.safelinks.protection.outlook.com/?url=http%3A%2F%2Fdx.doi.org%2F10.1093%2Freep%2Frew025&amp;data=05%7C01%7Craelene.martin%40iccwbo.org%7C3d7c258da23b4918343608dbc4369737%7Cc541a3c6520b49ce82202228ac7c3626%7C0%7C0%7C638319510996233418%7CUnknown%7CTWFpbGZsb3d8eyJWIjoiMC4wLjAwMDAiLCJQIjoiV2luMzIiLCJBTiI6Ik1haWwiLCJXVCI6Mn0%3D%7C3000%7C%7C%7C&amp;sdata=VwZzg%2BwnaljiY6J%2BgwosbV7Xpj4AZCR%2FX1Y2xGdZaCA%3D&amp;reserved=0" TargetMode="External"/><Relationship Id="rId24" Type="http://schemas.openxmlformats.org/officeDocument/2006/relationships/hyperlink" Target="https://vcmintegrity.org/vcmi-claims-code-of-practice/" TargetMode="External"/><Relationship Id="rId32" Type="http://schemas.openxmlformats.org/officeDocument/2006/relationships/hyperlink" Target="https://eur-lex.europa.eu/legal-content/EN/TXT/PDF/?uri=CELEX:32019D0708&amp;from=EN" TargetMode="External"/><Relationship Id="rId5" Type="http://schemas.openxmlformats.org/officeDocument/2006/relationships/hyperlink" Target="https://vcmintegrity.org/wp-content/uploads/2023/06/VCMI-Claims-Code-of-Practice.pdf" TargetMode="External"/><Relationship Id="rId15" Type="http://schemas.openxmlformats.org/officeDocument/2006/relationships/hyperlink" Target="https://www.imf.org/en/Publications/WP/Issues/2021/08/06/Revisiting-Carbon-Leakage-462148" TargetMode="External"/><Relationship Id="rId23" Type="http://schemas.openxmlformats.org/officeDocument/2006/relationships/hyperlink" Target="https://k5x2e9z8.rocketcdn.me/wp-content/uploads/2023/09/IETA_DiscussionPaper_Article6_June2022.pdf" TargetMode="External"/><Relationship Id="rId28" Type="http://schemas.openxmlformats.org/officeDocument/2006/relationships/hyperlink" Target="https://eur-lex.europa.eu/legal-content/en/TXT/?uri=CELEX%3A52021PC0564" TargetMode="External"/><Relationship Id="rId10" Type="http://schemas.openxmlformats.org/officeDocument/2006/relationships/hyperlink" Target="https://ideas.repec.org/p/ags/pugtwp/333468.html" TargetMode="External"/><Relationship Id="rId19" Type="http://schemas.openxmlformats.org/officeDocument/2006/relationships/hyperlink" Target="https://openknowledge.worldbank.org/entities/publication/c31d9298-30bf-55fb-acad-ad0605b06e9c" TargetMode="External"/><Relationship Id="rId31" Type="http://schemas.openxmlformats.org/officeDocument/2006/relationships/hyperlink" Target="https://climate.ec.europa.eu/eu-action/eu-emissions-trading-system-eu-ets/free-allocation/allocation-industrial-installations_en" TargetMode="External"/><Relationship Id="rId4" Type="http://schemas.openxmlformats.org/officeDocument/2006/relationships/hyperlink" Target="https://icvcm.org/wp-content/uploads/2023/07/CCP-Book-R2-FINAL-26Jul23.pdf" TargetMode="External"/><Relationship Id="rId9" Type="http://schemas.openxmlformats.org/officeDocument/2006/relationships/hyperlink" Target="https://www.imf.org/en/Publications/WP/Issues/2021/08/06/Revisiting-Carbon-Leakage-462148" TargetMode="External"/><Relationship Id="rId14" Type="http://schemas.openxmlformats.org/officeDocument/2006/relationships/hyperlink" Target="https://www.imf.org/en/Publications/WP/Issues/2021/08/06/Revisiting-Carbon-Leakage-462148" TargetMode="External"/><Relationship Id="rId22" Type="http://schemas.openxmlformats.org/officeDocument/2006/relationships/hyperlink" Target="https://iccwbo.org/news-publications/policies-reports/icc-recommendations-to-the-european-commission-on-the-implementation-of-the-carbon-border-adjustment-mechanism/" TargetMode="External"/><Relationship Id="rId27" Type="http://schemas.openxmlformats.org/officeDocument/2006/relationships/hyperlink" Target="https://openknowledge.worldbank.org/entities/publication/58f2a409-9bb7-4ee6-899d-be47835c838f" TargetMode="External"/><Relationship Id="rId30" Type="http://schemas.openxmlformats.org/officeDocument/2006/relationships/hyperlink" Target="https://mcmillan.ca/insights/publications/the-eus-new-carbon-border-adjustment-mechanism-in-action-impacts-on-canada-and-beyon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CC Generic color">
      <a:dk1>
        <a:sysClr val="windowText" lastClr="000000"/>
      </a:dk1>
      <a:lt1>
        <a:srgbClr val="000000"/>
      </a:lt1>
      <a:dk2>
        <a:srgbClr val="323232"/>
      </a:dk2>
      <a:lt2>
        <a:srgbClr val="E3DED1"/>
      </a:lt2>
      <a:accent1>
        <a:srgbClr val="003594"/>
      </a:accent1>
      <a:accent2>
        <a:srgbClr val="007DFF"/>
      </a:accent2>
      <a:accent3>
        <a:srgbClr val="ABCAE9"/>
      </a:accent3>
      <a:accent4>
        <a:srgbClr val="00BC00"/>
      </a:accent4>
      <a:accent5>
        <a:srgbClr val="FF5869"/>
      </a:accent5>
      <a:accent6>
        <a:srgbClr val="999998"/>
      </a:accent6>
      <a:hlink>
        <a:srgbClr val="3A90D6"/>
      </a:hlink>
      <a:folHlink>
        <a:srgbClr val="1F6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SharedWithUsers xmlns="465ae127-5d1e-48f1-8bba-a4710e9de403">
      <UserInfo>
        <DisplayName>HANNI Sandra</DisplayName>
        <AccountId>1342</AccountId>
        <AccountType/>
      </UserInfo>
      <UserInfo>
        <DisplayName>TALARICO Sophie</DisplayName>
        <AccountId>7428</AccountId>
        <AccountType/>
      </UserInfo>
      <UserInfo>
        <DisplayName>LALOUM Melanie</DisplayName>
        <AccountId>7362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7" ma:contentTypeDescription="Create a new document." ma:contentTypeScope="" ma:versionID="2e754feca39e09b3b51e0a0f69e615e3">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252dc435c72297ae287a5a0fe633524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CB7A7-4077-463A-AF40-72F87F54A906}">
  <ds:schemaRefs>
    <ds:schemaRef ds:uri="http://schemas.microsoft.com/sharepoint/v3/contenttype/forms"/>
  </ds:schemaRefs>
</ds:datastoreItem>
</file>

<file path=customXml/itemProps2.xml><?xml version="1.0" encoding="utf-8"?>
<ds:datastoreItem xmlns:ds="http://schemas.openxmlformats.org/officeDocument/2006/customXml" ds:itemID="{C730FFA7-D3D1-4261-8D19-4B98F1CA5008}">
  <ds:schemaRefs>
    <ds:schemaRef ds:uri="http://schemas.microsoft.com/office/2006/metadata/properties"/>
    <ds:schemaRef ds:uri="http://schemas.microsoft.com/office/infopath/2007/PartnerControls"/>
    <ds:schemaRef ds:uri="fecf7fcc-4ac6-4448-a404-5e4417a2ee04"/>
    <ds:schemaRef ds:uri="598f140b-4145-4024-8bcc-6d7083f15a24"/>
    <ds:schemaRef ds:uri="465ae127-5d1e-48f1-8bba-a4710e9de403"/>
  </ds:schemaRefs>
</ds:datastoreItem>
</file>

<file path=customXml/itemProps3.xml><?xml version="1.0" encoding="utf-8"?>
<ds:datastoreItem xmlns:ds="http://schemas.openxmlformats.org/officeDocument/2006/customXml" ds:itemID="{EB711B66-915C-4576-81D1-489F4F704373}">
  <ds:schemaRefs>
    <ds:schemaRef ds:uri="http://schemas.openxmlformats.org/officeDocument/2006/bibliography"/>
  </ds:schemaRefs>
</ds:datastoreItem>
</file>

<file path=customXml/itemProps4.xml><?xml version="1.0" encoding="utf-8"?>
<ds:datastoreItem xmlns:ds="http://schemas.openxmlformats.org/officeDocument/2006/customXml" ds:itemID="{0EB72087-FBB1-47EC-A4CC-6955AD67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12037</Words>
  <Characters>68612</Characters>
  <Application>Microsoft Office Word</Application>
  <DocSecurity>0</DocSecurity>
  <Lines>571</Lines>
  <Paragraphs>160</Paragraphs>
  <ScaleCrop>false</ScaleCrop>
  <Company>International Chamber of Commerce</Company>
  <LinksUpToDate>false</LinksUpToDate>
  <CharactersWithSpaces>80489</CharactersWithSpaces>
  <SharedDoc>false</SharedDoc>
  <HLinks>
    <vt:vector size="444" baseType="variant">
      <vt:variant>
        <vt:i4>1507411</vt:i4>
      </vt:variant>
      <vt:variant>
        <vt:i4>129</vt:i4>
      </vt:variant>
      <vt:variant>
        <vt:i4>0</vt:i4>
      </vt:variant>
      <vt:variant>
        <vt:i4>5</vt:i4>
      </vt:variant>
      <vt:variant>
        <vt:lpwstr>https://www.journals.uchicago.edu/doi/abs/10.1086/722673</vt:lpwstr>
      </vt:variant>
      <vt:variant>
        <vt:lpwstr/>
      </vt:variant>
      <vt:variant>
        <vt:i4>2883622</vt:i4>
      </vt:variant>
      <vt:variant>
        <vt:i4>126</vt:i4>
      </vt:variant>
      <vt:variant>
        <vt:i4>0</vt:i4>
      </vt:variant>
      <vt:variant>
        <vt:i4>5</vt:i4>
      </vt:variant>
      <vt:variant>
        <vt:lpwstr>https://openknowledge.worldbank.org/handle/10986/35413</vt:lpwstr>
      </vt:variant>
      <vt:variant>
        <vt:lpwstr/>
      </vt:variant>
      <vt:variant>
        <vt:i4>851970</vt:i4>
      </vt:variant>
      <vt:variant>
        <vt:i4>123</vt:i4>
      </vt:variant>
      <vt:variant>
        <vt:i4>0</vt:i4>
      </vt:variant>
      <vt:variant>
        <vt:i4>5</vt:i4>
      </vt:variant>
      <vt:variant>
        <vt:lpwstr>https://doi.org/10.1093/oxrep/grac043</vt:lpwstr>
      </vt:variant>
      <vt:variant>
        <vt:lpwstr/>
      </vt:variant>
      <vt:variant>
        <vt:i4>6422569</vt:i4>
      </vt:variant>
      <vt:variant>
        <vt:i4>120</vt:i4>
      </vt:variant>
      <vt:variant>
        <vt:i4>0</vt:i4>
      </vt:variant>
      <vt:variant>
        <vt:i4>5</vt:i4>
      </vt:variant>
      <vt:variant>
        <vt:lpwstr>https://www.ceps.eu/ceps-publications/carbon-leakage-overview/</vt:lpwstr>
      </vt:variant>
      <vt:variant>
        <vt:lpwstr/>
      </vt:variant>
      <vt:variant>
        <vt:i4>5242885</vt:i4>
      </vt:variant>
      <vt:variant>
        <vt:i4>117</vt:i4>
      </vt:variant>
      <vt:variant>
        <vt:i4>0</vt:i4>
      </vt:variant>
      <vt:variant>
        <vt:i4>5</vt:i4>
      </vt:variant>
      <vt:variant>
        <vt:lpwstr>https://www.lse.ac.uk/granthaminstitute/publication/carbon-leakage-consumption-and-trade/</vt:lpwstr>
      </vt:variant>
      <vt:variant>
        <vt:lpwstr/>
      </vt:variant>
      <vt:variant>
        <vt:i4>6881342</vt:i4>
      </vt:variant>
      <vt:variant>
        <vt:i4>114</vt:i4>
      </vt:variant>
      <vt:variant>
        <vt:i4>0</vt:i4>
      </vt:variant>
      <vt:variant>
        <vt:i4>5</vt:i4>
      </vt:variant>
      <vt:variant>
        <vt:lpwstr>https://doi.org/10.1007/s10584-023-03544-x</vt:lpwstr>
      </vt:variant>
      <vt:variant>
        <vt:lpwstr/>
      </vt:variant>
      <vt:variant>
        <vt:i4>2228323</vt:i4>
      </vt:variant>
      <vt:variant>
        <vt:i4>111</vt:i4>
      </vt:variant>
      <vt:variant>
        <vt:i4>0</vt:i4>
      </vt:variant>
      <vt:variant>
        <vt:i4>5</vt:i4>
      </vt:variant>
      <vt:variant>
        <vt:lpwstr>https://www.europarl.europa.eu/RegData/etudes/BRIE/2020/603501/EXPO_BRI(2020)603501_EN.pdf</vt:lpwstr>
      </vt:variant>
      <vt:variant>
        <vt:lpwstr/>
      </vt:variant>
      <vt:variant>
        <vt:i4>4587550</vt:i4>
      </vt:variant>
      <vt:variant>
        <vt:i4>102</vt:i4>
      </vt:variant>
      <vt:variant>
        <vt:i4>0</vt:i4>
      </vt:variant>
      <vt:variant>
        <vt:i4>5</vt:i4>
      </vt:variant>
      <vt:variant>
        <vt:lpwstr>https://openknowledge.worldbank.org/entities/publication/58f2a409-9bb7-4ee6-899d-be47835c838f</vt:lpwstr>
      </vt:variant>
      <vt:variant>
        <vt:lpwstr/>
      </vt:variant>
      <vt:variant>
        <vt:i4>5177395</vt:i4>
      </vt:variant>
      <vt:variant>
        <vt:i4>99</vt:i4>
      </vt:variant>
      <vt:variant>
        <vt:i4>0</vt:i4>
      </vt:variant>
      <vt:variant>
        <vt:i4>5</vt:i4>
      </vt:variant>
      <vt:variant>
        <vt:lpwstr>https://unctad.org/system/files/official-document/osginf2021d2_en.pdf</vt:lpwstr>
      </vt:variant>
      <vt:variant>
        <vt:lpwstr/>
      </vt:variant>
      <vt:variant>
        <vt:i4>2359310</vt:i4>
      </vt:variant>
      <vt:variant>
        <vt:i4>96</vt:i4>
      </vt:variant>
      <vt:variant>
        <vt:i4>0</vt:i4>
      </vt:variant>
      <vt:variant>
        <vt:i4>5</vt:i4>
      </vt:variant>
      <vt:variant>
        <vt:lpwstr>https://financing.desa.un.org/sites/default/files/2023-04/CRP.17 Environmental_Workstream 4 %28BCAs%29.pdf</vt:lpwstr>
      </vt:variant>
      <vt:variant>
        <vt:lpwstr/>
      </vt:variant>
      <vt:variant>
        <vt:i4>5308418</vt:i4>
      </vt:variant>
      <vt:variant>
        <vt:i4>93</vt:i4>
      </vt:variant>
      <vt:variant>
        <vt:i4>0</vt:i4>
      </vt:variant>
      <vt:variant>
        <vt:i4>5</vt:i4>
      </vt:variant>
      <vt:variant>
        <vt:lpwstr>https://mcmillan.ca/insights/publications/the-eus-new-carbon-border-adjustment-mechanism-in-action-impacts-on-canada-and-beyond/</vt:lpwstr>
      </vt:variant>
      <vt:variant>
        <vt:lpwstr/>
      </vt:variant>
      <vt:variant>
        <vt:i4>1310785</vt:i4>
      </vt:variant>
      <vt:variant>
        <vt:i4>90</vt:i4>
      </vt:variant>
      <vt:variant>
        <vt:i4>0</vt:i4>
      </vt:variant>
      <vt:variant>
        <vt:i4>5</vt:i4>
      </vt:variant>
      <vt:variant>
        <vt:lpwstr>https://www.imf.org/en/Publications/WP/Issues/2021/08/06/Revisiting-Carbon-Leakage-462148</vt:lpwstr>
      </vt:variant>
      <vt:variant>
        <vt:lpwstr/>
      </vt:variant>
      <vt:variant>
        <vt:i4>1769542</vt:i4>
      </vt:variant>
      <vt:variant>
        <vt:i4>87</vt:i4>
      </vt:variant>
      <vt:variant>
        <vt:i4>0</vt:i4>
      </vt:variant>
      <vt:variant>
        <vt:i4>5</vt:i4>
      </vt:variant>
      <vt:variant>
        <vt:lpwstr>http://www.ipcc.ch/report/sixth-assessment-report-cycle/</vt:lpwstr>
      </vt:variant>
      <vt:variant>
        <vt:lpwstr/>
      </vt:variant>
      <vt:variant>
        <vt:i4>917534</vt:i4>
      </vt:variant>
      <vt:variant>
        <vt:i4>84</vt:i4>
      </vt:variant>
      <vt:variant>
        <vt:i4>0</vt:i4>
      </vt:variant>
      <vt:variant>
        <vt:i4>5</vt:i4>
      </vt:variant>
      <vt:variant>
        <vt:lpwstr>https://ssrn.com/abstract=4026441</vt:lpwstr>
      </vt:variant>
      <vt:variant>
        <vt:lpwstr/>
      </vt:variant>
      <vt:variant>
        <vt:i4>6881401</vt:i4>
      </vt:variant>
      <vt:variant>
        <vt:i4>81</vt:i4>
      </vt:variant>
      <vt:variant>
        <vt:i4>0</vt:i4>
      </vt:variant>
      <vt:variant>
        <vt:i4>5</vt:i4>
      </vt:variant>
      <vt:variant>
        <vt:lpwstr>https://icvcm.org/wp-content/uploads/2023/07/CCP-Book-R2-FINAL-26Jul23.pdf</vt:lpwstr>
      </vt:variant>
      <vt:variant>
        <vt:lpwstr/>
      </vt:variant>
      <vt:variant>
        <vt:i4>7208979</vt:i4>
      </vt:variant>
      <vt:variant>
        <vt:i4>78</vt:i4>
      </vt:variant>
      <vt:variant>
        <vt:i4>0</vt:i4>
      </vt:variant>
      <vt:variant>
        <vt:i4>5</vt:i4>
      </vt:variant>
      <vt:variant>
        <vt:lpwstr>https://icapcarbonaction.com/system/files/ets_pdfs/icap-etsmap-factsheet-112.pdf</vt:lpwstr>
      </vt:variant>
      <vt:variant>
        <vt:lpwstr/>
      </vt:variant>
      <vt:variant>
        <vt:i4>4325399</vt:i4>
      </vt:variant>
      <vt:variant>
        <vt:i4>75</vt:i4>
      </vt:variant>
      <vt:variant>
        <vt:i4>0</vt:i4>
      </vt:variant>
      <vt:variant>
        <vt:i4>5</vt:i4>
      </vt:variant>
      <vt:variant>
        <vt:lpwstr>https://www.ieta.org/resources/papers/the-article-6-opportunity-for-canada-blueprint-to-international-carbon-market-cooperation/</vt:lpwstr>
      </vt:variant>
      <vt:variant>
        <vt:lpwstr/>
      </vt:variant>
      <vt:variant>
        <vt:i4>6029337</vt:i4>
      </vt:variant>
      <vt:variant>
        <vt:i4>72</vt:i4>
      </vt:variant>
      <vt:variant>
        <vt:i4>0</vt:i4>
      </vt:variant>
      <vt:variant>
        <vt:i4>5</vt:i4>
      </vt:variant>
      <vt:variant>
        <vt:lpwstr>https://www.ieta.org/resources/papers/ieta-article-6-discussion-paper-how-governments-can-implement-ndcs-cooperatively-and-encourage-private-sector-inveestment/</vt:lpwstr>
      </vt:variant>
      <vt:variant>
        <vt:lpwstr/>
      </vt:variant>
      <vt:variant>
        <vt:i4>3604593</vt:i4>
      </vt:variant>
      <vt:variant>
        <vt:i4>69</vt:i4>
      </vt:variant>
      <vt:variant>
        <vt:i4>0</vt:i4>
      </vt:variant>
      <vt:variant>
        <vt:i4>5</vt:i4>
      </vt:variant>
      <vt:variant>
        <vt:lpwstr>https://www.ieta.org/The-Potential-Role-of-Article-6-Compatible-Carbon-Markets-in-Reaching-Net-Zero</vt:lpwstr>
      </vt:variant>
      <vt:variant>
        <vt:lpwstr/>
      </vt:variant>
      <vt:variant>
        <vt:i4>1966158</vt:i4>
      </vt:variant>
      <vt:variant>
        <vt:i4>66</vt:i4>
      </vt:variant>
      <vt:variant>
        <vt:i4>0</vt:i4>
      </vt:variant>
      <vt:variant>
        <vt:i4>5</vt:i4>
      </vt:variant>
      <vt:variant>
        <vt:lpwstr>https://iccwbo.org/publication/icc-carbon-pricing-principles/</vt:lpwstr>
      </vt:variant>
      <vt:variant>
        <vt:lpwstr/>
      </vt:variant>
      <vt:variant>
        <vt:i4>3276915</vt:i4>
      </vt:variant>
      <vt:variant>
        <vt:i4>63</vt:i4>
      </vt:variant>
      <vt:variant>
        <vt:i4>0</vt:i4>
      </vt:variant>
      <vt:variant>
        <vt:i4>5</vt:i4>
      </vt:variant>
      <vt:variant>
        <vt:lpwstr>https://iccwbo.org/news-publications/policies-reports/article-6-business-brief/</vt:lpwstr>
      </vt:variant>
      <vt:variant>
        <vt:lpwstr/>
      </vt:variant>
      <vt:variant>
        <vt:i4>4390939</vt:i4>
      </vt:variant>
      <vt:variant>
        <vt:i4>60</vt:i4>
      </vt:variant>
      <vt:variant>
        <vt:i4>0</vt:i4>
      </vt:variant>
      <vt:variant>
        <vt:i4>5</vt:i4>
      </vt:variant>
      <vt:variant>
        <vt:lpwstr>https://iccwbo.org/news-publications/policies-reports/icc-recommendations-to-the-european-commission-on-the-implementation-of-the-carbon-border-adjustment-mechanism/</vt:lpwstr>
      </vt:variant>
      <vt:variant>
        <vt:lpwstr/>
      </vt:variant>
      <vt:variant>
        <vt:i4>2424882</vt:i4>
      </vt:variant>
      <vt:variant>
        <vt:i4>57</vt:i4>
      </vt:variant>
      <vt:variant>
        <vt:i4>0</vt:i4>
      </vt:variant>
      <vt:variant>
        <vt:i4>5</vt:i4>
      </vt:variant>
      <vt:variant>
        <vt:lpwstr>https://iccwbo.org/news-publications/policies-reports/critical-design-features-for-effective-carbon-pricing-a-business-perspective/</vt:lpwstr>
      </vt:variant>
      <vt:variant>
        <vt:lpwstr/>
      </vt:variant>
      <vt:variant>
        <vt:i4>589838</vt:i4>
      </vt:variant>
      <vt:variant>
        <vt:i4>54</vt:i4>
      </vt:variant>
      <vt:variant>
        <vt:i4>0</vt:i4>
      </vt:variant>
      <vt:variant>
        <vt:i4>5</vt:i4>
      </vt:variant>
      <vt:variant>
        <vt:lpwstr>https://www.gov.uk/government/consultations/addressing-carbon-leakage-risk-to-support-decarbonisation</vt:lpwstr>
      </vt:variant>
      <vt:variant>
        <vt:lpwstr/>
      </vt:variant>
      <vt:variant>
        <vt:i4>7340080</vt:i4>
      </vt:variant>
      <vt:variant>
        <vt:i4>51</vt:i4>
      </vt:variant>
      <vt:variant>
        <vt:i4>0</vt:i4>
      </vt:variant>
      <vt:variant>
        <vt:i4>5</vt:i4>
      </vt:variant>
      <vt:variant>
        <vt:lpwstr>https://www.canada.ca/en/environment-climate-change/services/climate-change/pricing-pollution-how-it-will-work.html</vt:lpwstr>
      </vt:variant>
      <vt:variant>
        <vt:lpwstr/>
      </vt:variant>
      <vt:variant>
        <vt:i4>7864381</vt:i4>
      </vt:variant>
      <vt:variant>
        <vt:i4>48</vt:i4>
      </vt:variant>
      <vt:variant>
        <vt:i4>0</vt:i4>
      </vt:variant>
      <vt:variant>
        <vt:i4>5</vt:i4>
      </vt:variant>
      <vt:variant>
        <vt:lpwstr>https://www.canada.ca/en/environment-climate-change/services/climate-change/pricing-pollution-how-it-will-work/carbon-pollution-pricing-federal-benchmark-information.html</vt:lpwstr>
      </vt:variant>
      <vt:variant>
        <vt:lpwstr/>
      </vt:variant>
      <vt:variant>
        <vt:i4>3080220</vt:i4>
      </vt:variant>
      <vt:variant>
        <vt:i4>45</vt:i4>
      </vt:variant>
      <vt:variant>
        <vt:i4>0</vt:i4>
      </vt:variant>
      <vt:variant>
        <vt:i4>5</vt:i4>
      </vt:variant>
      <vt:variant>
        <vt:lpwstr>https://climate.ec.europa.eu/eu-action/eu-emissions-trading-system-eu-ets/free-allocation/carbon-leakage_en</vt:lpwstr>
      </vt:variant>
      <vt:variant>
        <vt:lpwstr/>
      </vt:variant>
      <vt:variant>
        <vt:i4>3080276</vt:i4>
      </vt:variant>
      <vt:variant>
        <vt:i4>42</vt:i4>
      </vt:variant>
      <vt:variant>
        <vt:i4>0</vt:i4>
      </vt:variant>
      <vt:variant>
        <vt:i4>5</vt:i4>
      </vt:variant>
      <vt:variant>
        <vt:lpwstr>https://taxation-customs.ec.europa.eu/carbon-border-adjustment-mechanism_en</vt:lpwstr>
      </vt:variant>
      <vt:variant>
        <vt:lpwstr/>
      </vt:variant>
      <vt:variant>
        <vt:i4>983040</vt:i4>
      </vt:variant>
      <vt:variant>
        <vt:i4>39</vt:i4>
      </vt:variant>
      <vt:variant>
        <vt:i4>0</vt:i4>
      </vt:variant>
      <vt:variant>
        <vt:i4>5</vt:i4>
      </vt:variant>
      <vt:variant>
        <vt:lpwstr>https://www.consilium.europa.eu/en/policies/green-deal/fit-for-55-the-eu-plan-for-a-green-transition/</vt:lpwstr>
      </vt:variant>
      <vt:variant>
        <vt:lpwstr/>
      </vt:variant>
      <vt:variant>
        <vt:i4>4194399</vt:i4>
      </vt:variant>
      <vt:variant>
        <vt:i4>36</vt:i4>
      </vt:variant>
      <vt:variant>
        <vt:i4>0</vt:i4>
      </vt:variant>
      <vt:variant>
        <vt:i4>5</vt:i4>
      </vt:variant>
      <vt:variant>
        <vt:lpwstr>https://eur-lex.europa.eu/legal-content/EN/TXT/PDF/?uri=CELEX:32019D0708&amp;from=EN</vt:lpwstr>
      </vt:variant>
      <vt:variant>
        <vt:lpwstr/>
      </vt:variant>
      <vt:variant>
        <vt:i4>5242905</vt:i4>
      </vt:variant>
      <vt:variant>
        <vt:i4>33</vt:i4>
      </vt:variant>
      <vt:variant>
        <vt:i4>0</vt:i4>
      </vt:variant>
      <vt:variant>
        <vt:i4>5</vt:i4>
      </vt:variant>
      <vt:variant>
        <vt:lpwstr>https://www.congress.gov/bill/117th-congress/senate-bill/4355</vt:lpwstr>
      </vt:variant>
      <vt:variant>
        <vt:lpwstr/>
      </vt:variant>
      <vt:variant>
        <vt:i4>1179648</vt:i4>
      </vt:variant>
      <vt:variant>
        <vt:i4>30</vt:i4>
      </vt:variant>
      <vt:variant>
        <vt:i4>0</vt:i4>
      </vt:variant>
      <vt:variant>
        <vt:i4>5</vt:i4>
      </vt:variant>
      <vt:variant>
        <vt:lpwstr>https://carbonmarketwatch.org/wp-content/uploads/2015/10/CMW-Carbon-leakage-myth-buster-WEB-single-final.pdf</vt:lpwstr>
      </vt:variant>
      <vt:variant>
        <vt:lpwstr/>
      </vt:variant>
      <vt:variant>
        <vt:i4>2228329</vt:i4>
      </vt:variant>
      <vt:variant>
        <vt:i4>27</vt:i4>
      </vt:variant>
      <vt:variant>
        <vt:i4>0</vt:i4>
      </vt:variant>
      <vt:variant>
        <vt:i4>5</vt:i4>
      </vt:variant>
      <vt:variant>
        <vt:lpwstr>https://www.sciencedirect.com/science/article/abs/pii/S0921800913003650</vt:lpwstr>
      </vt:variant>
      <vt:variant>
        <vt:lpwstr/>
      </vt:variant>
      <vt:variant>
        <vt:i4>2556025</vt:i4>
      </vt:variant>
      <vt:variant>
        <vt:i4>24</vt:i4>
      </vt:variant>
      <vt:variant>
        <vt:i4>0</vt:i4>
      </vt:variant>
      <vt:variant>
        <vt:i4>5</vt:i4>
      </vt:variant>
      <vt:variant>
        <vt:lpwstr>https://www.econstor.eu/bitstream/10419/264067/1/vfs-2022-pid-70008.pdf</vt:lpwstr>
      </vt:variant>
      <vt:variant>
        <vt:lpwstr/>
      </vt:variant>
      <vt:variant>
        <vt:i4>5505041</vt:i4>
      </vt:variant>
      <vt:variant>
        <vt:i4>21</vt:i4>
      </vt:variant>
      <vt:variant>
        <vt:i4>0</vt:i4>
      </vt:variant>
      <vt:variant>
        <vt:i4>5</vt:i4>
      </vt:variant>
      <vt:variant>
        <vt:lpwstr>https://www.wto-ilibrary.org/content/papers/10.30875/25189808-2022-10</vt:lpwstr>
      </vt:variant>
      <vt:variant>
        <vt:lpwstr/>
      </vt:variant>
      <vt:variant>
        <vt:i4>4587548</vt:i4>
      </vt:variant>
      <vt:variant>
        <vt:i4>18</vt:i4>
      </vt:variant>
      <vt:variant>
        <vt:i4>0</vt:i4>
      </vt:variant>
      <vt:variant>
        <vt:i4>5</vt:i4>
      </vt:variant>
      <vt:variant>
        <vt:lpwstr>https://afep.com/wp-content/uploads/2021/01/Trade-and-Climate-Change-Quantitative-Assessment-of-the-Best-Policy-Tools.pdf</vt:lpwstr>
      </vt:variant>
      <vt:variant>
        <vt:lpwstr/>
      </vt:variant>
      <vt:variant>
        <vt:i4>1900621</vt:i4>
      </vt:variant>
      <vt:variant>
        <vt:i4>15</vt:i4>
      </vt:variant>
      <vt:variant>
        <vt:i4>0</vt:i4>
      </vt:variant>
      <vt:variant>
        <vt:i4>5</vt:i4>
      </vt:variant>
      <vt:variant>
        <vt:lpwstr>https://eur01.safelinks.protection.outlook.com/?url=https%3A%2F%2Funfccc.int%2Fsites%2Fdefault%2Ffiles%2Fresource%2Fcma3_auv_12b_PA_6.4.pdf&amp;data=05%7C01%7CSandra.HANNI%40iccwbo.org%7C988524db17544236feda08da54855823%7Cc541a3c6520b49ce82202228ac7c3626%7C0%7C0%7C637915228945171069%7CUnknown%7CTWFpbGZsb3d8eyJWIjoiMC4wLjAwMDAiLCJQIjoiV2luMzIiLCJBTiI6Ik1haWwiLCJXVCI6Mn0%3D%7C3000%7C%7C%7C&amp;sdata=IfGLTXCBV9UwTL%2Ftg6u%2BI1WG0s17w5PRKDP0RzuwlGA%3D&amp;reserved=0</vt:lpwstr>
      </vt:variant>
      <vt:variant>
        <vt:lpwstr/>
      </vt:variant>
      <vt:variant>
        <vt:i4>1966155</vt:i4>
      </vt:variant>
      <vt:variant>
        <vt:i4>12</vt:i4>
      </vt:variant>
      <vt:variant>
        <vt:i4>0</vt:i4>
      </vt:variant>
      <vt:variant>
        <vt:i4>5</vt:i4>
      </vt:variant>
      <vt:variant>
        <vt:lpwstr>https://eur01.safelinks.protection.outlook.com/?url=https%3A%2F%2Funfccc.int%2Fsites%2Fdefault%2Ffiles%2Fresource%2Fcma3_auv_12a_PA_6.2.pdf&amp;data=05%7C01%7CSandra.HANNI%40iccwbo.org%7C988524db17544236feda08da54855823%7Cc541a3c6520b49ce82202228ac7c3626%7C0%7C0%7C637915228945171069%7CUnknown%7CTWFpbGZsb3d8eyJWIjoiMC4wLjAwMDAiLCJQIjoiV2luMzIiLCJBTiI6Ik1haWwiLCJXVCI6Mn0%3D%7C3000%7C%7C%7C&amp;sdata=CX8Cx%2FC0hEyHJ%2FNOTwWdVrzmYWVDZhyW1x25D9qzLvM%3D&amp;reserved=0</vt:lpwstr>
      </vt:variant>
      <vt:variant>
        <vt:lpwstr/>
      </vt:variant>
      <vt:variant>
        <vt:i4>2424882</vt:i4>
      </vt:variant>
      <vt:variant>
        <vt:i4>9</vt:i4>
      </vt:variant>
      <vt:variant>
        <vt:i4>0</vt:i4>
      </vt:variant>
      <vt:variant>
        <vt:i4>5</vt:i4>
      </vt:variant>
      <vt:variant>
        <vt:lpwstr>https://iccwbo.org/news-publications/policies-reports/critical-design-features-for-effective-carbon-pricing-a-business-perspective/</vt:lpwstr>
      </vt:variant>
      <vt:variant>
        <vt:lpwstr/>
      </vt:variant>
      <vt:variant>
        <vt:i4>5636097</vt:i4>
      </vt:variant>
      <vt:variant>
        <vt:i4>6</vt:i4>
      </vt:variant>
      <vt:variant>
        <vt:i4>0</vt:i4>
      </vt:variant>
      <vt:variant>
        <vt:i4>5</vt:i4>
      </vt:variant>
      <vt:variant>
        <vt:lpwstr>https://iccwbo.org/news-publications/policies-reports/icc-carbon-pricing-principles/</vt:lpwstr>
      </vt:variant>
      <vt:variant>
        <vt:lpwstr/>
      </vt:variant>
      <vt:variant>
        <vt:i4>7602295</vt:i4>
      </vt:variant>
      <vt:variant>
        <vt:i4>3</vt:i4>
      </vt:variant>
      <vt:variant>
        <vt:i4>0</vt:i4>
      </vt:variant>
      <vt:variant>
        <vt:i4>5</vt:i4>
      </vt:variant>
      <vt:variant>
        <vt:lpwstr>https://unfccc.int/sites/default/files/resource/sb2023_09_adv.pdf</vt:lpwstr>
      </vt:variant>
      <vt:variant>
        <vt:lpwstr/>
      </vt:variant>
      <vt:variant>
        <vt:i4>5308504</vt:i4>
      </vt:variant>
      <vt:variant>
        <vt:i4>0</vt:i4>
      </vt:variant>
      <vt:variant>
        <vt:i4>0</vt:i4>
      </vt:variant>
      <vt:variant>
        <vt:i4>5</vt:i4>
      </vt:variant>
      <vt:variant>
        <vt:lpwstr>https://unfccc.int/cop27/auv</vt:lpwstr>
      </vt:variant>
      <vt:variant>
        <vt:lpwstr/>
      </vt:variant>
      <vt:variant>
        <vt:i4>4194399</vt:i4>
      </vt:variant>
      <vt:variant>
        <vt:i4>111</vt:i4>
      </vt:variant>
      <vt:variant>
        <vt:i4>0</vt:i4>
      </vt:variant>
      <vt:variant>
        <vt:i4>5</vt:i4>
      </vt:variant>
      <vt:variant>
        <vt:lpwstr>https://eur-lex.europa.eu/legal-content/EN/TXT/PDF/?uri=CELEX:32019D0708&amp;from=EN</vt:lpwstr>
      </vt:variant>
      <vt:variant>
        <vt:lpwstr/>
      </vt:variant>
      <vt:variant>
        <vt:i4>2752593</vt:i4>
      </vt:variant>
      <vt:variant>
        <vt:i4>108</vt:i4>
      </vt:variant>
      <vt:variant>
        <vt:i4>0</vt:i4>
      </vt:variant>
      <vt:variant>
        <vt:i4>5</vt:i4>
      </vt:variant>
      <vt:variant>
        <vt:lpwstr>https://climate.ec.europa.eu/eu-action/eu-emissions-trading-system-eu-ets/free-allocation/allocation-industrial-installations_en</vt:lpwstr>
      </vt:variant>
      <vt:variant>
        <vt:lpwstr/>
      </vt:variant>
      <vt:variant>
        <vt:i4>5308418</vt:i4>
      </vt:variant>
      <vt:variant>
        <vt:i4>105</vt:i4>
      </vt:variant>
      <vt:variant>
        <vt:i4>0</vt:i4>
      </vt:variant>
      <vt:variant>
        <vt:i4>5</vt:i4>
      </vt:variant>
      <vt:variant>
        <vt:lpwstr>https://mcmillan.ca/insights/publications/the-eus-new-carbon-border-adjustment-mechanism-in-action-impacts-on-canada-and-beyond/</vt:lpwstr>
      </vt:variant>
      <vt:variant>
        <vt:lpwstr/>
      </vt:variant>
      <vt:variant>
        <vt:i4>3080276</vt:i4>
      </vt:variant>
      <vt:variant>
        <vt:i4>102</vt:i4>
      </vt:variant>
      <vt:variant>
        <vt:i4>0</vt:i4>
      </vt:variant>
      <vt:variant>
        <vt:i4>5</vt:i4>
      </vt:variant>
      <vt:variant>
        <vt:lpwstr>https://taxation-customs.ec.europa.eu/carbon-border-adjustment-mechanism_en</vt:lpwstr>
      </vt:variant>
      <vt:variant>
        <vt:lpwstr/>
      </vt:variant>
      <vt:variant>
        <vt:i4>7077923</vt:i4>
      </vt:variant>
      <vt:variant>
        <vt:i4>96</vt:i4>
      </vt:variant>
      <vt:variant>
        <vt:i4>0</vt:i4>
      </vt:variant>
      <vt:variant>
        <vt:i4>5</vt:i4>
      </vt:variant>
      <vt:variant>
        <vt:lpwstr>https://eur-lex.europa.eu/legal-content/en/TXT/?uri=CELEX%3A52021PC0564</vt:lpwstr>
      </vt:variant>
      <vt:variant>
        <vt:lpwstr/>
      </vt:variant>
      <vt:variant>
        <vt:i4>4587550</vt:i4>
      </vt:variant>
      <vt:variant>
        <vt:i4>93</vt:i4>
      </vt:variant>
      <vt:variant>
        <vt:i4>0</vt:i4>
      </vt:variant>
      <vt:variant>
        <vt:i4>5</vt:i4>
      </vt:variant>
      <vt:variant>
        <vt:lpwstr>https://openknowledge.worldbank.org/entities/publication/58f2a409-9bb7-4ee6-899d-be47835c838f</vt:lpwstr>
      </vt:variant>
      <vt:variant>
        <vt:lpwstr/>
      </vt:variant>
      <vt:variant>
        <vt:i4>1966158</vt:i4>
      </vt:variant>
      <vt:variant>
        <vt:i4>90</vt:i4>
      </vt:variant>
      <vt:variant>
        <vt:i4>0</vt:i4>
      </vt:variant>
      <vt:variant>
        <vt:i4>5</vt:i4>
      </vt:variant>
      <vt:variant>
        <vt:lpwstr>https://iccwbo.org/publication/icc-carbon-pricing-principles/</vt:lpwstr>
      </vt:variant>
      <vt:variant>
        <vt:lpwstr/>
      </vt:variant>
      <vt:variant>
        <vt:i4>3276915</vt:i4>
      </vt:variant>
      <vt:variant>
        <vt:i4>87</vt:i4>
      </vt:variant>
      <vt:variant>
        <vt:i4>0</vt:i4>
      </vt:variant>
      <vt:variant>
        <vt:i4>5</vt:i4>
      </vt:variant>
      <vt:variant>
        <vt:lpwstr>https://iccwbo.org/news-publications/policies-reports/article-6-business-brief/</vt:lpwstr>
      </vt:variant>
      <vt:variant>
        <vt:lpwstr/>
      </vt:variant>
      <vt:variant>
        <vt:i4>3473464</vt:i4>
      </vt:variant>
      <vt:variant>
        <vt:i4>84</vt:i4>
      </vt:variant>
      <vt:variant>
        <vt:i4>0</vt:i4>
      </vt:variant>
      <vt:variant>
        <vt:i4>5</vt:i4>
      </vt:variant>
      <vt:variant>
        <vt:lpwstr>https://vcmintegrity.org/vcmi-claims-code-of-practice/</vt:lpwstr>
      </vt:variant>
      <vt:variant>
        <vt:lpwstr/>
      </vt:variant>
      <vt:variant>
        <vt:i4>3473491</vt:i4>
      </vt:variant>
      <vt:variant>
        <vt:i4>81</vt:i4>
      </vt:variant>
      <vt:variant>
        <vt:i4>0</vt:i4>
      </vt:variant>
      <vt:variant>
        <vt:i4>5</vt:i4>
      </vt:variant>
      <vt:variant>
        <vt:lpwstr>https://k5x2e9z8.rocketcdn.me/wp-content/uploads/2023/09/IETA_DiscussionPaper_Article6_June2022.pdf</vt:lpwstr>
      </vt:variant>
      <vt:variant>
        <vt:lpwstr/>
      </vt:variant>
      <vt:variant>
        <vt:i4>4390939</vt:i4>
      </vt:variant>
      <vt:variant>
        <vt:i4>78</vt:i4>
      </vt:variant>
      <vt:variant>
        <vt:i4>0</vt:i4>
      </vt:variant>
      <vt:variant>
        <vt:i4>5</vt:i4>
      </vt:variant>
      <vt:variant>
        <vt:lpwstr>https://iccwbo.org/news-publications/policies-reports/icc-recommendations-to-the-european-commission-on-the-implementation-of-the-carbon-border-adjustment-mechanism/</vt:lpwstr>
      </vt:variant>
      <vt:variant>
        <vt:lpwstr/>
      </vt:variant>
      <vt:variant>
        <vt:i4>5046273</vt:i4>
      </vt:variant>
      <vt:variant>
        <vt:i4>75</vt:i4>
      </vt:variant>
      <vt:variant>
        <vt:i4>0</vt:i4>
      </vt:variant>
      <vt:variant>
        <vt:i4>5</vt:i4>
      </vt:variant>
      <vt:variant>
        <vt:lpwstr>https://docs.wto.org/dol2fe/Pages/SS/directdoc.aspx?filename=q:/WT/CTE/W251.pdf&amp;Open=True</vt:lpwstr>
      </vt:variant>
      <vt:variant>
        <vt:lpwstr/>
      </vt:variant>
      <vt:variant>
        <vt:i4>983079</vt:i4>
      </vt:variant>
      <vt:variant>
        <vt:i4>72</vt:i4>
      </vt:variant>
      <vt:variant>
        <vt:i4>0</vt:i4>
      </vt:variant>
      <vt:variant>
        <vt:i4>5</vt:i4>
      </vt:variant>
      <vt:variant>
        <vt:lpwstr>http://brics2022.mfa.gov.cn/eng/hywj/ODMM/202205/t20220529_10694182.html</vt:lpwstr>
      </vt:variant>
      <vt:variant>
        <vt:lpwstr/>
      </vt:variant>
      <vt:variant>
        <vt:i4>1704008</vt:i4>
      </vt:variant>
      <vt:variant>
        <vt:i4>60</vt:i4>
      </vt:variant>
      <vt:variant>
        <vt:i4>0</vt:i4>
      </vt:variant>
      <vt:variant>
        <vt:i4>5</vt:i4>
      </vt:variant>
      <vt:variant>
        <vt:lpwstr>https://openknowledge.worldbank.org/entities/publication/c31d9298-30bf-55fb-acad-ad0605b06e9c</vt:lpwstr>
      </vt:variant>
      <vt:variant>
        <vt:lpwstr/>
      </vt:variant>
      <vt:variant>
        <vt:i4>3735674</vt:i4>
      </vt:variant>
      <vt:variant>
        <vt:i4>57</vt:i4>
      </vt:variant>
      <vt:variant>
        <vt:i4>0</vt:i4>
      </vt:variant>
      <vt:variant>
        <vt:i4>5</vt:i4>
      </vt:variant>
      <vt:variant>
        <vt:lpwstr>https://eur01.safelinks.protection.outlook.com/?url=https%3A%2F%2Fafep.com%2Fwp-content%2Fuploads%2F2021%2F01%2FTrade-and-Climate-Change-Quantitative-Assessment-of-the-Best-Policy-Tools.pdf&amp;data=05%7C01%7Craelene.martin%40iccwbo.org%7C785d25fcb3834089094408dbd6303544%7Cc541a3c6520b49ce82202228ac7c3626%7C0%7C0%7C638339274903453977%7CUnknown%7CTWFpbGZsb3d8eyJWIjoiMC4wLjAwMDAiLCJQIjoiV2luMzIiLCJBTiI6Ik1haWwiLCJXVCI6Mn0%3D%7C3000%7C%7C%7C&amp;sdata=EV3o%2BPNyaez0IcFP5XI9gaiGC6gT1NNxFDuUBu6cqV8%3D&amp;reserved=0</vt:lpwstr>
      </vt:variant>
      <vt:variant>
        <vt:lpwstr/>
      </vt:variant>
      <vt:variant>
        <vt:i4>5505041</vt:i4>
      </vt:variant>
      <vt:variant>
        <vt:i4>54</vt:i4>
      </vt:variant>
      <vt:variant>
        <vt:i4>0</vt:i4>
      </vt:variant>
      <vt:variant>
        <vt:i4>5</vt:i4>
      </vt:variant>
      <vt:variant>
        <vt:lpwstr>https://www.wto-ilibrary.org/content/papers/10.30875/25189808-2022-10</vt:lpwstr>
      </vt:variant>
      <vt:variant>
        <vt:lpwstr/>
      </vt:variant>
      <vt:variant>
        <vt:i4>2556025</vt:i4>
      </vt:variant>
      <vt:variant>
        <vt:i4>51</vt:i4>
      </vt:variant>
      <vt:variant>
        <vt:i4>0</vt:i4>
      </vt:variant>
      <vt:variant>
        <vt:i4>5</vt:i4>
      </vt:variant>
      <vt:variant>
        <vt:lpwstr>https://www.econstor.eu/bitstream/10419/264067/1/vfs-2022-pid-70008.pdf</vt:lpwstr>
      </vt:variant>
      <vt:variant>
        <vt:lpwstr/>
      </vt:variant>
      <vt:variant>
        <vt:i4>1310785</vt:i4>
      </vt:variant>
      <vt:variant>
        <vt:i4>48</vt:i4>
      </vt:variant>
      <vt:variant>
        <vt:i4>0</vt:i4>
      </vt:variant>
      <vt:variant>
        <vt:i4>5</vt:i4>
      </vt:variant>
      <vt:variant>
        <vt:lpwstr>https://www.imf.org/en/Publications/WP/Issues/2021/08/06/Revisiting-Carbon-Leakage-462148</vt:lpwstr>
      </vt:variant>
      <vt:variant>
        <vt:lpwstr/>
      </vt:variant>
      <vt:variant>
        <vt:i4>1310785</vt:i4>
      </vt:variant>
      <vt:variant>
        <vt:i4>45</vt:i4>
      </vt:variant>
      <vt:variant>
        <vt:i4>0</vt:i4>
      </vt:variant>
      <vt:variant>
        <vt:i4>5</vt:i4>
      </vt:variant>
      <vt:variant>
        <vt:lpwstr>https://www.imf.org/en/Publications/WP/Issues/2021/08/06/Revisiting-Carbon-Leakage-462148</vt:lpwstr>
      </vt:variant>
      <vt:variant>
        <vt:lpwstr/>
      </vt:variant>
      <vt:variant>
        <vt:i4>2687026</vt:i4>
      </vt:variant>
      <vt:variant>
        <vt:i4>42</vt:i4>
      </vt:variant>
      <vt:variant>
        <vt:i4>0</vt:i4>
      </vt:variant>
      <vt:variant>
        <vt:i4>5</vt:i4>
      </vt:variant>
      <vt:variant>
        <vt:lpwstr>https://www.oecd.org/g20/topics/international-taxation/pricing-greenhouse-gas-emissions-turning-climate-targets-into-climate-action.htm</vt:lpwstr>
      </vt:variant>
      <vt:variant>
        <vt:lpwstr/>
      </vt:variant>
      <vt:variant>
        <vt:i4>7471167</vt:i4>
      </vt:variant>
      <vt:variant>
        <vt:i4>36</vt:i4>
      </vt:variant>
      <vt:variant>
        <vt:i4>0</vt:i4>
      </vt:variant>
      <vt:variant>
        <vt:i4>5</vt:i4>
      </vt:variant>
      <vt:variant>
        <vt:lpwstr>https://eur01.safelinks.protection.outlook.com/?url=https%3A%2F%2Fdoi.org%2F10.1787%2F8008e7f4-en&amp;data=05%7C01%7Craelene.martin%40iccwbo.org%7C3d7c258da23b4918343608dbc4369737%7Cc541a3c6520b49ce82202228ac7c3626%7C0%7C0%7C638319510996233418%7CUnknown%7CTWFpbGZsb3d8eyJWIjoiMC4wLjAwMDAiLCJQIjoiV2luMzIiLCJBTiI6Ik1haWwiLCJXVCI6Mn0%3D%7C3000%7C%7C%7C&amp;sdata=AZyhNfspRDSGrj47XftolNoOOijyknRO9ovjBOUctFs%3D&amp;reserved=0</vt:lpwstr>
      </vt:variant>
      <vt:variant>
        <vt:lpwstr/>
      </vt:variant>
      <vt:variant>
        <vt:i4>2359423</vt:i4>
      </vt:variant>
      <vt:variant>
        <vt:i4>33</vt:i4>
      </vt:variant>
      <vt:variant>
        <vt:i4>0</vt:i4>
      </vt:variant>
      <vt:variant>
        <vt:i4>5</vt:i4>
      </vt:variant>
      <vt:variant>
        <vt:lpwstr>https://eur01.safelinks.protection.outlook.com/?url=http%3A%2F%2Fdx.doi.org%2F10.1093%2Freep%2Frew025&amp;data=05%7C01%7Craelene.martin%40iccwbo.org%7C3d7c258da23b4918343608dbc4369737%7Cc541a3c6520b49ce82202228ac7c3626%7C0%7C0%7C638319510996233418%7CUnknown%7CTWFpbGZsb3d8eyJWIjoiMC4wLjAwMDAiLCJQIjoiV2luMzIiLCJBTiI6Ik1haWwiLCJXVCI6Mn0%3D%7C3000%7C%7C%7C&amp;sdata=VwZzg%2BwnaljiY6J%2BgwosbV7Xpj4AZCR%2FX1Y2xGdZaCA%3D&amp;reserved=0</vt:lpwstr>
      </vt:variant>
      <vt:variant>
        <vt:lpwstr/>
      </vt:variant>
      <vt:variant>
        <vt:i4>6225985</vt:i4>
      </vt:variant>
      <vt:variant>
        <vt:i4>30</vt:i4>
      </vt:variant>
      <vt:variant>
        <vt:i4>0</vt:i4>
      </vt:variant>
      <vt:variant>
        <vt:i4>5</vt:i4>
      </vt:variant>
      <vt:variant>
        <vt:lpwstr>https://ideas.repec.org/p/ags/pugtwp/333468.html</vt:lpwstr>
      </vt:variant>
      <vt:variant>
        <vt:lpwstr/>
      </vt:variant>
      <vt:variant>
        <vt:i4>1310785</vt:i4>
      </vt:variant>
      <vt:variant>
        <vt:i4>24</vt:i4>
      </vt:variant>
      <vt:variant>
        <vt:i4>0</vt:i4>
      </vt:variant>
      <vt:variant>
        <vt:i4>5</vt:i4>
      </vt:variant>
      <vt:variant>
        <vt:lpwstr>https://www.imf.org/en/Publications/WP/Issues/2021/08/06/Revisiting-Carbon-Leakage-462148</vt:lpwstr>
      </vt:variant>
      <vt:variant>
        <vt:lpwstr/>
      </vt:variant>
      <vt:variant>
        <vt:i4>3080220</vt:i4>
      </vt:variant>
      <vt:variant>
        <vt:i4>21</vt:i4>
      </vt:variant>
      <vt:variant>
        <vt:i4>0</vt:i4>
      </vt:variant>
      <vt:variant>
        <vt:i4>5</vt:i4>
      </vt:variant>
      <vt:variant>
        <vt:lpwstr>https://climate.ec.europa.eu/eu-action/eu-emissions-trading-system-eu-ets/free-allocation/carbon-leakage_en</vt:lpwstr>
      </vt:variant>
      <vt:variant>
        <vt:lpwstr/>
      </vt:variant>
      <vt:variant>
        <vt:i4>6029337</vt:i4>
      </vt:variant>
      <vt:variant>
        <vt:i4>18</vt:i4>
      </vt:variant>
      <vt:variant>
        <vt:i4>0</vt:i4>
      </vt:variant>
      <vt:variant>
        <vt:i4>5</vt:i4>
      </vt:variant>
      <vt:variant>
        <vt:lpwstr>https://www.ieta.org/resources/papers/ieta-article-6-discussion-paper-how-governments-can-implement-ndcs-cooperatively-and-encourage-private-sector-inveestment/</vt:lpwstr>
      </vt:variant>
      <vt:variant>
        <vt:lpwstr/>
      </vt:variant>
      <vt:variant>
        <vt:i4>4325399</vt:i4>
      </vt:variant>
      <vt:variant>
        <vt:i4>15</vt:i4>
      </vt:variant>
      <vt:variant>
        <vt:i4>0</vt:i4>
      </vt:variant>
      <vt:variant>
        <vt:i4>5</vt:i4>
      </vt:variant>
      <vt:variant>
        <vt:lpwstr>https://www.ieta.org/resources/papers/the-article-6-opportunity-for-canada-blueprint-to-international-carbon-market-cooperation/</vt:lpwstr>
      </vt:variant>
      <vt:variant>
        <vt:lpwstr/>
      </vt:variant>
      <vt:variant>
        <vt:i4>5439515</vt:i4>
      </vt:variant>
      <vt:variant>
        <vt:i4>12</vt:i4>
      </vt:variant>
      <vt:variant>
        <vt:i4>0</vt:i4>
      </vt:variant>
      <vt:variant>
        <vt:i4>5</vt:i4>
      </vt:variant>
      <vt:variant>
        <vt:lpwstr>https://vcmintegrity.org/wp-content/uploads/2023/06/VCMI-Claims-Code-of-Practice.pdf</vt:lpwstr>
      </vt:variant>
      <vt:variant>
        <vt:lpwstr/>
      </vt:variant>
      <vt:variant>
        <vt:i4>6881401</vt:i4>
      </vt:variant>
      <vt:variant>
        <vt:i4>9</vt:i4>
      </vt:variant>
      <vt:variant>
        <vt:i4>0</vt:i4>
      </vt:variant>
      <vt:variant>
        <vt:i4>5</vt:i4>
      </vt:variant>
      <vt:variant>
        <vt:lpwstr>https://icvcm.org/wp-content/uploads/2023/07/CCP-Book-R2-FINAL-26Jul23.pdf</vt:lpwstr>
      </vt:variant>
      <vt:variant>
        <vt:lpwstr/>
      </vt:variant>
      <vt:variant>
        <vt:i4>7602295</vt:i4>
      </vt:variant>
      <vt:variant>
        <vt:i4>6</vt:i4>
      </vt:variant>
      <vt:variant>
        <vt:i4>0</vt:i4>
      </vt:variant>
      <vt:variant>
        <vt:i4>5</vt:i4>
      </vt:variant>
      <vt:variant>
        <vt:lpwstr>https://unfccc.int/sites/default/files/resource/sb2023_09_adv.pdf</vt:lpwstr>
      </vt:variant>
      <vt:variant>
        <vt:lpwstr/>
      </vt:variant>
      <vt:variant>
        <vt:i4>6160479</vt:i4>
      </vt:variant>
      <vt:variant>
        <vt:i4>3</vt:i4>
      </vt:variant>
      <vt:variant>
        <vt:i4>0</vt:i4>
      </vt:variant>
      <vt:variant>
        <vt:i4>5</vt:i4>
      </vt:variant>
      <vt:variant>
        <vt:lpwstr>https://www.ipcc.ch/report/sixth-assessment-report-cycle/</vt:lpwstr>
      </vt:variant>
      <vt:variant>
        <vt:lpwstr/>
      </vt:variant>
      <vt:variant>
        <vt:i4>6946839</vt:i4>
      </vt:variant>
      <vt:variant>
        <vt:i4>0</vt:i4>
      </vt:variant>
      <vt:variant>
        <vt:i4>0</vt:i4>
      </vt:variant>
      <vt:variant>
        <vt:i4>5</vt:i4>
      </vt:variant>
      <vt:variant>
        <vt:lpwstr>https://mcusercontent.com/a56b93cff5b695d2a902de8d0/files/72816d4a-47f6-f223-2580-35bbbdee1add/IETA_Pre_COP27_Briefing.01.pdf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Raelene</dc:creator>
  <cp:keywords/>
  <dc:description/>
  <cp:lastModifiedBy>MARTIN Raelene</cp:lastModifiedBy>
  <cp:revision>20</cp:revision>
  <dcterms:created xsi:type="dcterms:W3CDTF">2023-11-07T13:43:00Z</dcterms:created>
  <dcterms:modified xsi:type="dcterms:W3CDTF">2023-11-07T15:26:00Z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