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CE5C2" w14:textId="4817D235" w:rsidR="00B55B94" w:rsidRPr="00A60313" w:rsidRDefault="00B55B94" w:rsidP="00A60313">
      <w:pPr>
        <w:spacing w:after="0" w:line="240" w:lineRule="auto"/>
        <w:jc w:val="center"/>
        <w:rPr>
          <w:rFonts w:ascii="Gellix" w:hAnsi="Gellix"/>
          <w:b/>
          <w:bCs/>
          <w:color w:val="007DFF"/>
          <w:sz w:val="32"/>
          <w:szCs w:val="32"/>
          <w:lang w:val="en-US"/>
        </w:rPr>
      </w:pPr>
      <w:r w:rsidRPr="00A60313">
        <w:rPr>
          <w:rFonts w:ascii="Gellix" w:hAnsi="Gellix"/>
          <w:b/>
          <w:bCs/>
          <w:color w:val="007DFF"/>
          <w:sz w:val="32"/>
          <w:szCs w:val="32"/>
          <w:lang w:val="en-US"/>
        </w:rPr>
        <w:t>ICC Proposals for Effective Carbon Pricing:</w:t>
      </w:r>
    </w:p>
    <w:p w14:paraId="03368203" w14:textId="5374DB6D" w:rsidR="00B55B94" w:rsidRPr="00A60313" w:rsidRDefault="00B55B94" w:rsidP="00A60313">
      <w:pPr>
        <w:spacing w:after="0" w:line="240" w:lineRule="auto"/>
        <w:jc w:val="center"/>
        <w:rPr>
          <w:rFonts w:ascii="Gellix" w:hAnsi="Gellix"/>
          <w:b/>
          <w:bCs/>
          <w:color w:val="007DFF"/>
          <w:sz w:val="32"/>
          <w:szCs w:val="32"/>
          <w:lang w:val="en-US"/>
        </w:rPr>
      </w:pPr>
      <w:r w:rsidRPr="00A60313">
        <w:rPr>
          <w:rFonts w:ascii="Gellix" w:hAnsi="Gellix"/>
          <w:b/>
          <w:bCs/>
          <w:color w:val="007DFF"/>
          <w:sz w:val="32"/>
          <w:szCs w:val="32"/>
          <w:lang w:val="en-US"/>
        </w:rPr>
        <w:t>A case for increased coordination &amp; alignment</w:t>
      </w:r>
    </w:p>
    <w:p w14:paraId="096782D1" w14:textId="77777777" w:rsidR="00A60313" w:rsidRPr="0059107A" w:rsidRDefault="00A60313" w:rsidP="00A60313">
      <w:pPr>
        <w:spacing w:after="0" w:line="240" w:lineRule="auto"/>
        <w:jc w:val="center"/>
        <w:rPr>
          <w:rFonts w:ascii="Gellix" w:hAnsi="Gellix"/>
          <w:b/>
          <w:bCs/>
          <w:color w:val="4472C4" w:themeColor="accent1"/>
          <w:sz w:val="32"/>
          <w:szCs w:val="32"/>
          <w:lang w:val="en-US"/>
        </w:rPr>
      </w:pPr>
    </w:p>
    <w:p w14:paraId="1048F479" w14:textId="77777777" w:rsidR="00B55B94" w:rsidRPr="0022441E" w:rsidRDefault="00B55B94" w:rsidP="0022441E">
      <w:pPr>
        <w:spacing w:after="0" w:line="240" w:lineRule="auto"/>
        <w:jc w:val="center"/>
        <w:rPr>
          <w:rFonts w:ascii="Gellix" w:hAnsi="Gellix"/>
          <w:b/>
          <w:bCs/>
          <w:lang w:val="en-US"/>
        </w:rPr>
      </w:pPr>
    </w:p>
    <w:p w14:paraId="3DF23F9D" w14:textId="4C0D8745" w:rsidR="00B55B94" w:rsidRPr="008C5600" w:rsidRDefault="00B55B94" w:rsidP="008C5600">
      <w:pPr>
        <w:spacing w:after="0" w:line="240" w:lineRule="auto"/>
        <w:rPr>
          <w:rFonts w:ascii="Gellix" w:hAnsi="Gellix"/>
          <w:b/>
          <w:color w:val="00B0F0"/>
          <w:sz w:val="21"/>
          <w:szCs w:val="21"/>
          <w:lang w:val="en-US"/>
        </w:rPr>
      </w:pPr>
      <w:r w:rsidRPr="008C5600">
        <w:rPr>
          <w:rFonts w:ascii="Gellix" w:hAnsi="Gellix"/>
          <w:b/>
          <w:color w:val="007DFF"/>
          <w:sz w:val="28"/>
          <w:szCs w:val="28"/>
          <w:lang w:val="en-US"/>
        </w:rPr>
        <w:t>Introduction</w:t>
      </w:r>
      <w:r w:rsidR="00BA65FE" w:rsidRPr="008C5600">
        <w:rPr>
          <w:rFonts w:ascii="Gellix" w:hAnsi="Gellix"/>
          <w:b/>
          <w:color w:val="007DFF"/>
          <w:sz w:val="28"/>
          <w:szCs w:val="28"/>
          <w:lang w:val="en-US"/>
        </w:rPr>
        <w:t xml:space="preserve"> &amp; Context</w:t>
      </w:r>
    </w:p>
    <w:p w14:paraId="3A67E53F" w14:textId="40C63285" w:rsidR="00A561F6" w:rsidRPr="0012497B" w:rsidRDefault="00A561F6" w:rsidP="0012497B">
      <w:pPr>
        <w:pStyle w:val="ListParagraph"/>
        <w:numPr>
          <w:ilvl w:val="0"/>
          <w:numId w:val="54"/>
        </w:numPr>
        <w:spacing w:after="0" w:line="240" w:lineRule="auto"/>
        <w:rPr>
          <w:rFonts w:ascii="Gellix" w:hAnsi="Gellix" w:cs="Arial"/>
          <w:sz w:val="21"/>
          <w:szCs w:val="21"/>
        </w:rPr>
      </w:pPr>
      <w:r w:rsidRPr="0012497B">
        <w:rPr>
          <w:rFonts w:ascii="Gellix" w:hAnsi="Gellix" w:cs="Arial"/>
          <w:sz w:val="21"/>
          <w:szCs w:val="21"/>
        </w:rPr>
        <w:t>In recent years, the world has largely galvanised around the need to limit global warming to 1.5°C in line with the goals of the Paris Agreement. The global business community stands resolutely and squarely behind the Paris Agreement and achieving net-zero emissions by 2050</w:t>
      </w:r>
      <w:r w:rsidR="00DC628C" w:rsidRPr="0012497B">
        <w:rPr>
          <w:rFonts w:ascii="Gellix" w:hAnsi="Gellix" w:cs="Arial"/>
          <w:sz w:val="21"/>
          <w:szCs w:val="21"/>
        </w:rPr>
        <w:t xml:space="preserve"> despite the many challenges the current economic (and geopolitical) context present. </w:t>
      </w:r>
      <w:r w:rsidRPr="0012497B">
        <w:rPr>
          <w:rFonts w:ascii="Gellix" w:hAnsi="Gellix" w:cs="Arial"/>
          <w:sz w:val="21"/>
          <w:szCs w:val="21"/>
        </w:rPr>
        <w:t xml:space="preserve">  </w:t>
      </w:r>
    </w:p>
    <w:p w14:paraId="3ED2694B" w14:textId="77777777" w:rsidR="00A561F6" w:rsidRPr="0022441E" w:rsidRDefault="00A561F6" w:rsidP="0022441E">
      <w:pPr>
        <w:spacing w:after="0" w:line="240" w:lineRule="auto"/>
        <w:ind w:left="708"/>
        <w:rPr>
          <w:rFonts w:ascii="Gellix" w:hAnsi="Gellix" w:cs="Arial"/>
          <w:sz w:val="21"/>
          <w:szCs w:val="21"/>
        </w:rPr>
      </w:pPr>
    </w:p>
    <w:p w14:paraId="6C6D9464" w14:textId="51C1D6E8" w:rsidR="004D6313" w:rsidRPr="0012497B" w:rsidRDefault="00A561F6" w:rsidP="0012497B">
      <w:pPr>
        <w:pStyle w:val="ListParagraph"/>
        <w:numPr>
          <w:ilvl w:val="0"/>
          <w:numId w:val="54"/>
        </w:numPr>
        <w:spacing w:after="0" w:line="240" w:lineRule="auto"/>
        <w:rPr>
          <w:rFonts w:ascii="Gellix" w:hAnsi="Gellix" w:cs="Arial"/>
          <w:sz w:val="21"/>
          <w:szCs w:val="21"/>
        </w:rPr>
      </w:pPr>
      <w:r w:rsidRPr="0012497B">
        <w:rPr>
          <w:rFonts w:ascii="Gellix" w:hAnsi="Gellix" w:cs="Arial"/>
          <w:sz w:val="21"/>
          <w:szCs w:val="21"/>
        </w:rPr>
        <w:t>The recent 2023 IPCC report</w:t>
      </w:r>
      <w:r w:rsidRPr="00F070EC">
        <w:rPr>
          <w:rStyle w:val="FootnoteReference"/>
          <w:rFonts w:ascii="Gellix" w:hAnsi="Gellix" w:cs="Arial"/>
          <w:sz w:val="21"/>
          <w:szCs w:val="21"/>
        </w:rPr>
        <w:footnoteReference w:id="2"/>
      </w:r>
      <w:r w:rsidRPr="0012497B">
        <w:rPr>
          <w:rFonts w:ascii="Gellix" w:hAnsi="Gellix" w:cs="Arial"/>
          <w:sz w:val="21"/>
          <w:szCs w:val="21"/>
        </w:rPr>
        <w:t xml:space="preserve"> underscores yet again that without urgent and concerted global </w:t>
      </w:r>
      <w:r w:rsidR="00B9568B" w:rsidRPr="0012497B">
        <w:rPr>
          <w:rFonts w:ascii="Gellix" w:hAnsi="Gellix" w:cs="Arial"/>
          <w:sz w:val="21"/>
          <w:szCs w:val="21"/>
        </w:rPr>
        <w:t xml:space="preserve">mitigation and adaption </w:t>
      </w:r>
      <w:r w:rsidRPr="0012497B">
        <w:rPr>
          <w:rFonts w:ascii="Gellix" w:hAnsi="Gellix" w:cs="Arial"/>
          <w:sz w:val="21"/>
          <w:szCs w:val="21"/>
        </w:rPr>
        <w:t>action – across all sectors and systems – we will miss a rapidly closing window to tackle the climate crisis and prevent the most dramatic impacts on planet and people.</w:t>
      </w:r>
    </w:p>
    <w:p w14:paraId="101DB1DD" w14:textId="77777777" w:rsidR="004D6313" w:rsidRPr="00F070EC" w:rsidRDefault="004D6313" w:rsidP="0022441E">
      <w:pPr>
        <w:spacing w:after="0" w:line="240" w:lineRule="auto"/>
        <w:ind w:left="708"/>
        <w:rPr>
          <w:rFonts w:ascii="Gellix" w:hAnsi="Gellix" w:cs="Arial"/>
          <w:sz w:val="21"/>
          <w:szCs w:val="21"/>
        </w:rPr>
      </w:pPr>
    </w:p>
    <w:p w14:paraId="291E400F" w14:textId="3FFCFF7B" w:rsidR="00A561F6" w:rsidRPr="0012497B" w:rsidRDefault="004D6313" w:rsidP="0012497B">
      <w:pPr>
        <w:pStyle w:val="ListParagraph"/>
        <w:numPr>
          <w:ilvl w:val="0"/>
          <w:numId w:val="54"/>
        </w:numPr>
        <w:spacing w:after="0" w:line="240" w:lineRule="auto"/>
        <w:rPr>
          <w:rFonts w:ascii="Gellix" w:hAnsi="Gellix"/>
          <w:sz w:val="21"/>
          <w:szCs w:val="21"/>
          <w:shd w:val="clear" w:color="auto" w:fill="FFFFFF"/>
        </w:rPr>
      </w:pPr>
      <w:r w:rsidRPr="0012497B">
        <w:rPr>
          <w:rFonts w:ascii="Gellix" w:hAnsi="Gellix"/>
          <w:sz w:val="21"/>
          <w:szCs w:val="21"/>
          <w:shd w:val="clear" w:color="auto" w:fill="FFFFFF"/>
        </w:rPr>
        <w:t>C</w:t>
      </w:r>
      <w:r w:rsidR="00A561F6" w:rsidRPr="0012497B">
        <w:rPr>
          <w:rFonts w:ascii="Gellix" w:hAnsi="Gellix"/>
          <w:sz w:val="21"/>
          <w:szCs w:val="21"/>
          <w:shd w:val="clear" w:color="auto" w:fill="FFFFFF"/>
        </w:rPr>
        <w:t xml:space="preserve">ountries’ current </w:t>
      </w:r>
      <w:r w:rsidR="004C64F2" w:rsidRPr="0012497B">
        <w:rPr>
          <w:rFonts w:ascii="Gellix" w:hAnsi="Gellix"/>
          <w:sz w:val="21"/>
          <w:szCs w:val="21"/>
          <w:shd w:val="clear" w:color="auto" w:fill="FFFFFF"/>
        </w:rPr>
        <w:t>nationally determined contributions</w:t>
      </w:r>
      <w:r w:rsidR="00A111B5" w:rsidRPr="0012497B">
        <w:rPr>
          <w:rFonts w:ascii="Gellix" w:hAnsi="Gellix"/>
          <w:sz w:val="21"/>
          <w:szCs w:val="21"/>
          <w:shd w:val="clear" w:color="auto" w:fill="FFFFFF"/>
        </w:rPr>
        <w:t xml:space="preserve"> (NDCs)</w:t>
      </w:r>
      <w:r w:rsidR="00A561F6" w:rsidRPr="0012497B">
        <w:rPr>
          <w:rFonts w:ascii="Gellix" w:hAnsi="Gellix"/>
          <w:sz w:val="21"/>
          <w:szCs w:val="21"/>
          <w:shd w:val="clear" w:color="auto" w:fill="FFFFFF"/>
        </w:rPr>
        <w:t xml:space="preserve"> remain insufficient to meet the Paris Agreement goals and </w:t>
      </w:r>
      <w:r w:rsidR="00A561F6" w:rsidRPr="0012497B">
        <w:rPr>
          <w:rFonts w:ascii="Gellix" w:hAnsi="Gellix" w:cs="Arial"/>
          <w:sz w:val="21"/>
          <w:szCs w:val="21"/>
        </w:rPr>
        <w:t xml:space="preserve">make it likely that </w:t>
      </w:r>
      <w:r w:rsidR="00353F9A" w:rsidRPr="0012497B">
        <w:rPr>
          <w:rFonts w:ascii="Gellix" w:hAnsi="Gellix" w:cs="Arial"/>
          <w:sz w:val="21"/>
          <w:szCs w:val="21"/>
        </w:rPr>
        <w:t xml:space="preserve">global </w:t>
      </w:r>
      <w:r w:rsidR="00A561F6" w:rsidRPr="0012497B">
        <w:rPr>
          <w:rFonts w:ascii="Gellix" w:hAnsi="Gellix" w:cs="Arial"/>
          <w:sz w:val="21"/>
          <w:szCs w:val="21"/>
        </w:rPr>
        <w:t>warming will exceed 1.5°C during the 21st century and make it harder to limit warming below 2°C</w:t>
      </w:r>
      <w:r w:rsidR="00A561F6" w:rsidRPr="0012497B">
        <w:rPr>
          <w:rFonts w:ascii="Gellix" w:hAnsi="Gellix"/>
          <w:sz w:val="21"/>
          <w:szCs w:val="21"/>
          <w:shd w:val="clear" w:color="auto" w:fill="FFFFFF"/>
        </w:rPr>
        <w:t>.</w:t>
      </w:r>
      <w:r w:rsidR="004418E4" w:rsidRPr="0012497B">
        <w:rPr>
          <w:rFonts w:ascii="Gellix" w:hAnsi="Gellix"/>
          <w:sz w:val="21"/>
          <w:szCs w:val="21"/>
          <w:shd w:val="clear" w:color="auto" w:fill="FFFFFF"/>
        </w:rPr>
        <w:t xml:space="preserve"> This shows clear gaps in ambition, implementation and the enabling conditions to provide a credible global response to the climate crisis.</w:t>
      </w:r>
    </w:p>
    <w:p w14:paraId="319DC3D1" w14:textId="77777777" w:rsidR="004365F2" w:rsidRDefault="004365F2" w:rsidP="0022441E">
      <w:pPr>
        <w:spacing w:after="0" w:line="240" w:lineRule="auto"/>
        <w:ind w:left="708"/>
        <w:rPr>
          <w:rFonts w:ascii="Gellix" w:hAnsi="Gellix"/>
          <w:sz w:val="21"/>
          <w:szCs w:val="21"/>
          <w:shd w:val="clear" w:color="auto" w:fill="FFFFFF"/>
        </w:rPr>
      </w:pPr>
    </w:p>
    <w:p w14:paraId="73952910" w14:textId="73BA03D4" w:rsidR="004365F2" w:rsidRPr="0012497B" w:rsidRDefault="004365F2" w:rsidP="0012497B">
      <w:pPr>
        <w:pStyle w:val="ListParagraph"/>
        <w:numPr>
          <w:ilvl w:val="0"/>
          <w:numId w:val="54"/>
        </w:numPr>
        <w:spacing w:after="0" w:line="240" w:lineRule="auto"/>
        <w:rPr>
          <w:rFonts w:ascii="Gellix" w:hAnsi="Gellix" w:cs="Arial"/>
          <w:sz w:val="21"/>
          <w:szCs w:val="21"/>
        </w:rPr>
      </w:pPr>
      <w:r w:rsidRPr="0012497B">
        <w:rPr>
          <w:rFonts w:ascii="Gellix" w:hAnsi="Gellix"/>
          <w:sz w:val="21"/>
          <w:szCs w:val="21"/>
          <w:shd w:val="clear" w:color="auto" w:fill="FFFFFF"/>
        </w:rPr>
        <w:t>COP28</w:t>
      </w:r>
      <w:r w:rsidR="00671A64" w:rsidRPr="0012497B">
        <w:rPr>
          <w:rFonts w:ascii="Gellix" w:hAnsi="Gellix"/>
          <w:sz w:val="21"/>
          <w:szCs w:val="21"/>
          <w:shd w:val="clear" w:color="auto" w:fill="FFFFFF"/>
        </w:rPr>
        <w:t>, and the first Global Stocktake</w:t>
      </w:r>
      <w:r w:rsidR="00097044" w:rsidRPr="0012497B">
        <w:rPr>
          <w:rFonts w:ascii="Gellix" w:hAnsi="Gellix"/>
          <w:sz w:val="21"/>
          <w:szCs w:val="21"/>
          <w:shd w:val="clear" w:color="auto" w:fill="FFFFFF"/>
        </w:rPr>
        <w:t xml:space="preserve"> (GST) </w:t>
      </w:r>
      <w:r w:rsidR="005F3447" w:rsidRPr="0012497B">
        <w:rPr>
          <w:rFonts w:ascii="Gellix" w:hAnsi="Gellix"/>
          <w:sz w:val="21"/>
          <w:szCs w:val="21"/>
          <w:shd w:val="clear" w:color="auto" w:fill="FFFFFF"/>
        </w:rPr>
        <w:t>of</w:t>
      </w:r>
      <w:r w:rsidR="00097044" w:rsidRPr="0012497B">
        <w:rPr>
          <w:rFonts w:ascii="Gellix" w:hAnsi="Gellix"/>
          <w:sz w:val="21"/>
          <w:szCs w:val="21"/>
          <w:shd w:val="clear" w:color="auto" w:fill="FFFFFF"/>
        </w:rPr>
        <w:t xml:space="preserve"> the Paris Agreement</w:t>
      </w:r>
      <w:r w:rsidR="000A3E2D" w:rsidRPr="0012497B">
        <w:rPr>
          <w:rFonts w:ascii="Gellix" w:hAnsi="Gellix"/>
          <w:sz w:val="21"/>
          <w:szCs w:val="21"/>
          <w:shd w:val="clear" w:color="auto" w:fill="FFFFFF"/>
        </w:rPr>
        <w:t xml:space="preserve">, represent a </w:t>
      </w:r>
      <w:r w:rsidR="00D301A4" w:rsidRPr="0012497B">
        <w:rPr>
          <w:rFonts w:ascii="Gellix" w:hAnsi="Gellix"/>
          <w:sz w:val="21"/>
          <w:szCs w:val="21"/>
          <w:shd w:val="clear" w:color="auto" w:fill="FFFFFF"/>
        </w:rPr>
        <w:t xml:space="preserve">milestone </w:t>
      </w:r>
      <w:r w:rsidR="00AF4D87" w:rsidRPr="0012497B">
        <w:rPr>
          <w:rFonts w:ascii="Gellix" w:hAnsi="Gellix"/>
          <w:sz w:val="21"/>
          <w:szCs w:val="21"/>
          <w:shd w:val="clear" w:color="auto" w:fill="FFFFFF"/>
        </w:rPr>
        <w:t>moment</w:t>
      </w:r>
      <w:r w:rsidR="0052423B" w:rsidRPr="0012497B">
        <w:rPr>
          <w:rFonts w:ascii="Gellix" w:hAnsi="Gellix"/>
          <w:sz w:val="21"/>
          <w:szCs w:val="21"/>
          <w:shd w:val="clear" w:color="auto" w:fill="FFFFFF"/>
        </w:rPr>
        <w:t xml:space="preserve"> for governments to build on the </w:t>
      </w:r>
      <w:hyperlink r:id="rId11" w:history="1">
        <w:r w:rsidR="0052423B" w:rsidRPr="0012497B">
          <w:rPr>
            <w:rStyle w:val="Hyperlink"/>
            <w:rFonts w:ascii="Gellix" w:hAnsi="Gellix" w:cs="Arial"/>
            <w:sz w:val="21"/>
            <w:szCs w:val="21"/>
          </w:rPr>
          <w:t>Sharm el-Sheikh Implementation Plan</w:t>
        </w:r>
      </w:hyperlink>
      <w:r w:rsidR="0052423B" w:rsidRPr="0012497B">
        <w:rPr>
          <w:rFonts w:ascii="Gellix" w:hAnsi="Gellix" w:cs="Arial"/>
          <w:sz w:val="21"/>
          <w:szCs w:val="21"/>
        </w:rPr>
        <w:t xml:space="preserve"> and COP27</w:t>
      </w:r>
      <w:r w:rsidR="001D08A2" w:rsidRPr="0012497B">
        <w:rPr>
          <w:rFonts w:ascii="Gellix" w:hAnsi="Gellix" w:cs="Arial"/>
          <w:sz w:val="21"/>
          <w:szCs w:val="21"/>
        </w:rPr>
        <w:t xml:space="preserve"> achievements</w:t>
      </w:r>
      <w:r w:rsidR="00FF616D" w:rsidRPr="0012497B">
        <w:rPr>
          <w:rFonts w:ascii="Gellix" w:hAnsi="Gellix" w:cs="Arial"/>
          <w:sz w:val="21"/>
          <w:szCs w:val="21"/>
        </w:rPr>
        <w:t>, tha</w:t>
      </w:r>
      <w:r w:rsidR="00472FFC" w:rsidRPr="0012497B">
        <w:rPr>
          <w:rFonts w:ascii="Gellix" w:hAnsi="Gellix" w:cs="Arial"/>
          <w:sz w:val="21"/>
          <w:szCs w:val="21"/>
        </w:rPr>
        <w:t xml:space="preserve">t </w:t>
      </w:r>
      <w:r w:rsidR="00FF616D" w:rsidRPr="0012497B">
        <w:rPr>
          <w:rFonts w:ascii="Gellix" w:hAnsi="Gellix" w:cs="Arial"/>
          <w:sz w:val="21"/>
          <w:szCs w:val="21"/>
        </w:rPr>
        <w:t xml:space="preserve">reaffirmed the </w:t>
      </w:r>
      <w:r w:rsidR="00482AD0" w:rsidRPr="0012497B">
        <w:rPr>
          <w:rFonts w:ascii="Gellix" w:hAnsi="Gellix" w:cs="Arial"/>
          <w:sz w:val="21"/>
          <w:szCs w:val="21"/>
        </w:rPr>
        <w:t xml:space="preserve">countries’ </w:t>
      </w:r>
      <w:r w:rsidR="00FF616D" w:rsidRPr="0012497B">
        <w:rPr>
          <w:rFonts w:ascii="Gellix" w:hAnsi="Gellix" w:cs="Arial"/>
          <w:sz w:val="21"/>
          <w:szCs w:val="21"/>
        </w:rPr>
        <w:t>commitment to set out actions for closing the emission</w:t>
      </w:r>
      <w:r w:rsidR="00065621" w:rsidRPr="0012497B">
        <w:rPr>
          <w:rFonts w:ascii="Gellix" w:hAnsi="Gellix" w:cs="Arial"/>
          <w:sz w:val="21"/>
          <w:szCs w:val="21"/>
        </w:rPr>
        <w:t>s</w:t>
      </w:r>
      <w:r w:rsidR="00FF616D" w:rsidRPr="0012497B">
        <w:rPr>
          <w:rFonts w:ascii="Gellix" w:hAnsi="Gellix" w:cs="Arial"/>
          <w:sz w:val="21"/>
          <w:szCs w:val="21"/>
        </w:rPr>
        <w:t xml:space="preserve"> gap and keep 1.5°C alive</w:t>
      </w:r>
      <w:r w:rsidR="001D08A2" w:rsidRPr="0012497B">
        <w:rPr>
          <w:rFonts w:ascii="Gellix" w:hAnsi="Gellix" w:cs="Arial"/>
          <w:sz w:val="21"/>
          <w:szCs w:val="21"/>
        </w:rPr>
        <w:t>, and</w:t>
      </w:r>
      <w:r w:rsidR="00AC72A3" w:rsidRPr="0012497B">
        <w:rPr>
          <w:rFonts w:ascii="Gellix" w:hAnsi="Gellix" w:cs="Arial"/>
          <w:sz w:val="21"/>
          <w:szCs w:val="21"/>
        </w:rPr>
        <w:t xml:space="preserve"> achieve </w:t>
      </w:r>
      <w:r w:rsidR="00B537A9" w:rsidRPr="0012497B">
        <w:rPr>
          <w:rFonts w:ascii="Gellix" w:hAnsi="Gellix" w:cs="Arial"/>
          <w:sz w:val="21"/>
          <w:szCs w:val="21"/>
        </w:rPr>
        <w:t xml:space="preserve">a clear </w:t>
      </w:r>
      <w:r w:rsidR="006F44DC" w:rsidRPr="0012497B">
        <w:rPr>
          <w:rFonts w:ascii="Gellix" w:hAnsi="Gellix" w:cs="Arial"/>
          <w:sz w:val="21"/>
          <w:szCs w:val="21"/>
        </w:rPr>
        <w:t>roadmap for action</w:t>
      </w:r>
      <w:r w:rsidR="00826607" w:rsidRPr="0012497B">
        <w:rPr>
          <w:rFonts w:ascii="Gellix" w:hAnsi="Gellix" w:cs="Arial"/>
          <w:sz w:val="21"/>
          <w:szCs w:val="21"/>
        </w:rPr>
        <w:t xml:space="preserve"> in this critical decade for action. </w:t>
      </w:r>
    </w:p>
    <w:p w14:paraId="7FA432C6" w14:textId="77777777" w:rsidR="00A561F6" w:rsidRPr="0022441E" w:rsidRDefault="00A561F6" w:rsidP="0022441E">
      <w:pPr>
        <w:spacing w:after="0" w:line="240" w:lineRule="auto"/>
        <w:ind w:left="708"/>
        <w:rPr>
          <w:rFonts w:ascii="Gellix" w:hAnsi="Gellix" w:cs="Arial"/>
          <w:sz w:val="21"/>
          <w:szCs w:val="21"/>
        </w:rPr>
      </w:pPr>
    </w:p>
    <w:p w14:paraId="593CCD37" w14:textId="1895D993" w:rsidR="00A561F6" w:rsidRPr="0012497B" w:rsidRDefault="00A561F6" w:rsidP="0012497B">
      <w:pPr>
        <w:pStyle w:val="ListParagraph"/>
        <w:numPr>
          <w:ilvl w:val="0"/>
          <w:numId w:val="54"/>
        </w:numPr>
        <w:spacing w:after="0" w:line="240" w:lineRule="auto"/>
        <w:rPr>
          <w:rFonts w:ascii="Gellix" w:hAnsi="Gellix" w:cs="Arial"/>
          <w:sz w:val="21"/>
          <w:szCs w:val="21"/>
        </w:rPr>
      </w:pPr>
      <w:r w:rsidRPr="0012497B">
        <w:rPr>
          <w:rFonts w:ascii="Gellix" w:hAnsi="Gellix" w:cs="Arial"/>
          <w:sz w:val="21"/>
          <w:szCs w:val="21"/>
        </w:rPr>
        <w:t xml:space="preserve">Countries </w:t>
      </w:r>
      <w:r w:rsidR="008E1879" w:rsidRPr="0012497B">
        <w:rPr>
          <w:rFonts w:ascii="Gellix" w:hAnsi="Gellix" w:cs="Arial"/>
          <w:sz w:val="21"/>
          <w:szCs w:val="21"/>
        </w:rPr>
        <w:t xml:space="preserve">must now </w:t>
      </w:r>
      <w:r w:rsidRPr="0012497B">
        <w:rPr>
          <w:rFonts w:ascii="Gellix" w:hAnsi="Gellix" w:cs="Arial"/>
          <w:sz w:val="21"/>
          <w:szCs w:val="21"/>
        </w:rPr>
        <w:t>focus on the "how" – on the much needed structural and systems changes and effective decarbonisation policies that provide a level playing field for businesses operating globally, and enable all businesses – from different sizes, sectors and jurisdictions – to take action in line with Paris Agreement goals and a 1.5°C pathway.</w:t>
      </w:r>
    </w:p>
    <w:p w14:paraId="0C99976B" w14:textId="77777777" w:rsidR="00A561F6" w:rsidRPr="0022441E" w:rsidRDefault="00A561F6" w:rsidP="0022441E">
      <w:pPr>
        <w:spacing w:after="0" w:line="240" w:lineRule="auto"/>
        <w:ind w:left="708"/>
        <w:rPr>
          <w:rFonts w:ascii="Gellix" w:hAnsi="Gellix" w:cs="Arial"/>
          <w:sz w:val="21"/>
          <w:szCs w:val="21"/>
        </w:rPr>
      </w:pPr>
    </w:p>
    <w:p w14:paraId="7B528E94" w14:textId="5C3A9212" w:rsidR="00A561F6" w:rsidRPr="0012497B" w:rsidRDefault="00A561F6" w:rsidP="0012497B">
      <w:pPr>
        <w:pStyle w:val="ListParagraph"/>
        <w:numPr>
          <w:ilvl w:val="0"/>
          <w:numId w:val="54"/>
        </w:numPr>
        <w:spacing w:after="0" w:line="240" w:lineRule="auto"/>
        <w:rPr>
          <w:rFonts w:ascii="Gellix" w:hAnsi="Gellix" w:cs="Arial"/>
          <w:sz w:val="21"/>
          <w:szCs w:val="21"/>
        </w:rPr>
      </w:pPr>
      <w:r w:rsidRPr="0012497B">
        <w:rPr>
          <w:rFonts w:ascii="Gellix" w:hAnsi="Gellix" w:cs="Arial"/>
          <w:sz w:val="21"/>
          <w:szCs w:val="21"/>
        </w:rPr>
        <w:t xml:space="preserve">Carbon pricing has long been recognised as </w:t>
      </w:r>
      <w:r w:rsidR="00891159" w:rsidRPr="0012497B">
        <w:rPr>
          <w:rFonts w:ascii="Gellix" w:hAnsi="Gellix" w:cs="Arial"/>
          <w:sz w:val="21"/>
          <w:szCs w:val="21"/>
        </w:rPr>
        <w:t>the most</w:t>
      </w:r>
      <w:r w:rsidRPr="0012497B">
        <w:rPr>
          <w:rFonts w:ascii="Gellix" w:hAnsi="Gellix" w:cs="Arial"/>
          <w:sz w:val="21"/>
          <w:szCs w:val="21"/>
        </w:rPr>
        <w:t xml:space="preserve"> cost-effective means to reduce GHG emissions and achieve count</w:t>
      </w:r>
      <w:r w:rsidR="004C0173" w:rsidRPr="0012497B">
        <w:rPr>
          <w:rFonts w:ascii="Gellix" w:hAnsi="Gellix" w:cs="Arial"/>
          <w:sz w:val="21"/>
          <w:szCs w:val="21"/>
        </w:rPr>
        <w:t>r</w:t>
      </w:r>
      <w:r w:rsidRPr="0012497B">
        <w:rPr>
          <w:rFonts w:ascii="Gellix" w:hAnsi="Gellix" w:cs="Arial"/>
          <w:sz w:val="21"/>
          <w:szCs w:val="21"/>
        </w:rPr>
        <w:t>ies</w:t>
      </w:r>
      <w:r w:rsidR="004C0173" w:rsidRPr="0012497B">
        <w:rPr>
          <w:rFonts w:ascii="Gellix" w:hAnsi="Gellix" w:cs="Arial"/>
          <w:sz w:val="21"/>
          <w:szCs w:val="21"/>
        </w:rPr>
        <w:t>’</w:t>
      </w:r>
      <w:r w:rsidRPr="0012497B">
        <w:rPr>
          <w:rFonts w:ascii="Gellix" w:hAnsi="Gellix" w:cs="Arial"/>
          <w:sz w:val="21"/>
          <w:szCs w:val="21"/>
        </w:rPr>
        <w:t xml:space="preserve"> NDCs. While not the ultimate solution, it is increasingly considered as an</w:t>
      </w:r>
      <w:r w:rsidR="0045641C" w:rsidRPr="0012497B">
        <w:rPr>
          <w:rFonts w:ascii="Gellix" w:hAnsi="Gellix" w:cs="Arial"/>
          <w:sz w:val="21"/>
          <w:szCs w:val="21"/>
        </w:rPr>
        <w:t xml:space="preserve"> essential</w:t>
      </w:r>
      <w:r w:rsidRPr="0012497B">
        <w:rPr>
          <w:rFonts w:ascii="Gellix" w:hAnsi="Gellix" w:cs="Arial"/>
          <w:sz w:val="21"/>
          <w:szCs w:val="21"/>
        </w:rPr>
        <w:t xml:space="preserve"> </w:t>
      </w:r>
      <w:r w:rsidR="00335EFA" w:rsidRPr="0012497B">
        <w:rPr>
          <w:rFonts w:ascii="Gellix" w:hAnsi="Gellix" w:cs="Arial"/>
          <w:sz w:val="21"/>
          <w:szCs w:val="21"/>
        </w:rPr>
        <w:t>tool</w:t>
      </w:r>
      <w:r w:rsidR="00483A25" w:rsidRPr="0012497B">
        <w:rPr>
          <w:rFonts w:ascii="Gellix" w:hAnsi="Gellix" w:cs="Arial"/>
          <w:sz w:val="21"/>
          <w:szCs w:val="21"/>
        </w:rPr>
        <w:t xml:space="preserve">, </w:t>
      </w:r>
      <w:r w:rsidR="009C530B" w:rsidRPr="0012497B">
        <w:rPr>
          <w:rFonts w:ascii="Gellix" w:hAnsi="Gellix" w:cs="Arial"/>
          <w:sz w:val="21"/>
          <w:szCs w:val="21"/>
        </w:rPr>
        <w:t xml:space="preserve">as part of </w:t>
      </w:r>
      <w:r w:rsidR="00542FEC" w:rsidRPr="0012497B">
        <w:rPr>
          <w:rFonts w:ascii="Gellix" w:hAnsi="Gellix" w:cs="Arial"/>
          <w:sz w:val="21"/>
          <w:szCs w:val="21"/>
        </w:rPr>
        <w:t>comprehensive policy package</w:t>
      </w:r>
      <w:r w:rsidR="00483A25" w:rsidRPr="0012497B">
        <w:rPr>
          <w:rFonts w:ascii="Gellix" w:hAnsi="Gellix" w:cs="Arial"/>
          <w:sz w:val="21"/>
          <w:szCs w:val="21"/>
        </w:rPr>
        <w:t xml:space="preserve">, </w:t>
      </w:r>
      <w:r w:rsidRPr="0012497B">
        <w:rPr>
          <w:rFonts w:ascii="Gellix" w:hAnsi="Gellix" w:cs="Arial"/>
          <w:sz w:val="21"/>
          <w:szCs w:val="21"/>
        </w:rPr>
        <w:t xml:space="preserve">to </w:t>
      </w:r>
      <w:r w:rsidR="00AF5A0B" w:rsidRPr="0012497B">
        <w:rPr>
          <w:rFonts w:ascii="Gellix" w:hAnsi="Gellix" w:cs="Arial"/>
          <w:sz w:val="21"/>
          <w:szCs w:val="21"/>
        </w:rPr>
        <w:t xml:space="preserve">governments </w:t>
      </w:r>
      <w:r w:rsidRPr="0012497B">
        <w:rPr>
          <w:rFonts w:ascii="Gellix" w:hAnsi="Gellix" w:cs="Arial"/>
          <w:sz w:val="21"/>
          <w:szCs w:val="21"/>
        </w:rPr>
        <w:t>to achieve current NDCs at the least cost, scale up much needed investment for climate mitigation and adaption efforts and to encourage greater ambition in the future.</w:t>
      </w:r>
    </w:p>
    <w:p w14:paraId="20CE7A05" w14:textId="77777777" w:rsidR="001F1CD6" w:rsidRDefault="001F1CD6" w:rsidP="0022441E">
      <w:pPr>
        <w:spacing w:after="0" w:line="240" w:lineRule="auto"/>
        <w:ind w:left="708"/>
        <w:rPr>
          <w:rFonts w:ascii="Gellix" w:hAnsi="Gellix" w:cs="Arial"/>
          <w:sz w:val="21"/>
          <w:szCs w:val="21"/>
        </w:rPr>
      </w:pPr>
    </w:p>
    <w:p w14:paraId="677D1DDF" w14:textId="13BF9043" w:rsidR="001F4B92" w:rsidRPr="0012497B" w:rsidRDefault="001F4B92" w:rsidP="0012497B">
      <w:pPr>
        <w:pStyle w:val="ListParagraph"/>
        <w:numPr>
          <w:ilvl w:val="0"/>
          <w:numId w:val="54"/>
        </w:numPr>
        <w:spacing w:after="0" w:line="240" w:lineRule="auto"/>
        <w:rPr>
          <w:rFonts w:ascii="Gellix" w:hAnsi="Gellix" w:cs="Arial"/>
          <w:sz w:val="21"/>
          <w:szCs w:val="21"/>
        </w:rPr>
      </w:pPr>
      <w:r w:rsidRPr="0012497B">
        <w:rPr>
          <w:rFonts w:ascii="Gellix" w:hAnsi="Gellix" w:cs="Arial"/>
          <w:sz w:val="21"/>
          <w:szCs w:val="21"/>
        </w:rPr>
        <w:t xml:space="preserve">Carbon markets and mechanisms have continuously evolved over the past ten years. 2022 saw several new carbon pricing instruments launched and some scope </w:t>
      </w:r>
      <w:r w:rsidRPr="0012497B">
        <w:rPr>
          <w:rFonts w:ascii="Gellix" w:hAnsi="Gellix" w:cs="Arial"/>
          <w:sz w:val="21"/>
          <w:szCs w:val="21"/>
        </w:rPr>
        <w:lastRenderedPageBreak/>
        <w:t>expansions, the number of implemented instruments increased to 73 with the share of global GHG emissions covered around 23%.</w:t>
      </w:r>
      <w:r w:rsidR="0007311C">
        <w:rPr>
          <w:rStyle w:val="FootnoteReference"/>
          <w:rFonts w:ascii="Gellix" w:hAnsi="Gellix" w:cs="Arial"/>
          <w:sz w:val="21"/>
          <w:szCs w:val="21"/>
        </w:rPr>
        <w:footnoteReference w:id="3"/>
      </w:r>
      <w:r w:rsidRPr="0012497B">
        <w:rPr>
          <w:rFonts w:ascii="Gellix" w:hAnsi="Gellix" w:cs="Arial"/>
          <w:sz w:val="21"/>
          <w:szCs w:val="21"/>
        </w:rPr>
        <w:t xml:space="preserve"> </w:t>
      </w:r>
    </w:p>
    <w:p w14:paraId="45EFE621" w14:textId="77777777" w:rsidR="001F4B92" w:rsidRPr="001F4B92" w:rsidRDefault="001F4B92" w:rsidP="001F4B92">
      <w:pPr>
        <w:spacing w:after="0" w:line="240" w:lineRule="auto"/>
        <w:ind w:left="708"/>
        <w:rPr>
          <w:rFonts w:ascii="Gellix" w:hAnsi="Gellix" w:cs="Arial"/>
          <w:sz w:val="21"/>
          <w:szCs w:val="21"/>
        </w:rPr>
      </w:pPr>
    </w:p>
    <w:p w14:paraId="1F5C4BF8" w14:textId="1AA81519" w:rsidR="001F4B92" w:rsidRPr="0012497B" w:rsidRDefault="000271E7" w:rsidP="0012497B">
      <w:pPr>
        <w:pStyle w:val="ListParagraph"/>
        <w:numPr>
          <w:ilvl w:val="0"/>
          <w:numId w:val="54"/>
        </w:numPr>
        <w:spacing w:after="0" w:line="240" w:lineRule="auto"/>
        <w:rPr>
          <w:rFonts w:ascii="Gellix" w:hAnsi="Gellix" w:cs="Arial"/>
          <w:sz w:val="21"/>
          <w:szCs w:val="21"/>
        </w:rPr>
      </w:pPr>
      <w:r w:rsidRPr="0012497B">
        <w:rPr>
          <w:rFonts w:ascii="Gellix" w:hAnsi="Gellix" w:cs="Arial"/>
          <w:sz w:val="21"/>
          <w:szCs w:val="21"/>
        </w:rPr>
        <w:t xml:space="preserve">Voluntary Carbon Markets </w:t>
      </w:r>
      <w:r w:rsidR="001F4B92" w:rsidRPr="0012497B">
        <w:rPr>
          <w:rFonts w:ascii="Gellix" w:hAnsi="Gellix" w:cs="Arial"/>
          <w:sz w:val="21"/>
          <w:szCs w:val="21"/>
        </w:rPr>
        <w:t xml:space="preserve">continued to expand and we have also seen an increased momentum to address issues that undermine the integrity of carbon credit markets, including efforts by the Integrity Council for the Voluntary Carbon Markets to establish guardrails to increase transparency and integrity and by the Voluntary Carbon Market Integrity initiative to provide guidance to corporates. </w:t>
      </w:r>
    </w:p>
    <w:p w14:paraId="32DB239D" w14:textId="77777777" w:rsidR="001F4B92" w:rsidRPr="001F4B92" w:rsidRDefault="001F4B92" w:rsidP="001F4B92">
      <w:pPr>
        <w:spacing w:after="0" w:line="240" w:lineRule="auto"/>
        <w:ind w:left="708"/>
        <w:rPr>
          <w:rFonts w:ascii="Gellix" w:hAnsi="Gellix" w:cs="Arial"/>
          <w:sz w:val="21"/>
          <w:szCs w:val="21"/>
        </w:rPr>
      </w:pPr>
    </w:p>
    <w:p w14:paraId="1BF2128F" w14:textId="1A4697E1" w:rsidR="001F4B92" w:rsidRPr="0012497B" w:rsidRDefault="001F4B92" w:rsidP="0012497B">
      <w:pPr>
        <w:pStyle w:val="ListParagraph"/>
        <w:numPr>
          <w:ilvl w:val="0"/>
          <w:numId w:val="54"/>
        </w:numPr>
        <w:spacing w:after="0" w:line="240" w:lineRule="auto"/>
        <w:rPr>
          <w:rFonts w:ascii="Gellix" w:hAnsi="Gellix" w:cs="Arial"/>
          <w:sz w:val="21"/>
          <w:szCs w:val="21"/>
        </w:rPr>
      </w:pPr>
      <w:r w:rsidRPr="0012497B">
        <w:rPr>
          <w:rFonts w:ascii="Gellix" w:hAnsi="Gellix" w:cs="Arial"/>
          <w:sz w:val="21"/>
          <w:szCs w:val="21"/>
        </w:rPr>
        <w:t xml:space="preserve">Most importantly, we are seeing early signs of progress on </w:t>
      </w:r>
      <w:r w:rsidR="003E550C" w:rsidRPr="0012497B">
        <w:rPr>
          <w:rFonts w:ascii="Gellix" w:hAnsi="Gellix" w:cs="Arial"/>
          <w:sz w:val="21"/>
          <w:szCs w:val="21"/>
        </w:rPr>
        <w:t xml:space="preserve">the </w:t>
      </w:r>
      <w:r w:rsidRPr="0012497B">
        <w:rPr>
          <w:rFonts w:ascii="Gellix" w:hAnsi="Gellix" w:cs="Arial"/>
          <w:sz w:val="21"/>
          <w:szCs w:val="21"/>
        </w:rPr>
        <w:t>operationalisation</w:t>
      </w:r>
      <w:r w:rsidR="003E550C" w:rsidRPr="0012497B">
        <w:rPr>
          <w:rFonts w:ascii="Gellix" w:hAnsi="Gellix" w:cs="Arial"/>
          <w:sz w:val="21"/>
          <w:szCs w:val="21"/>
        </w:rPr>
        <w:t xml:space="preserve"> of Article 6 of the Paris Agreement on cross-border emissions trading</w:t>
      </w:r>
      <w:r w:rsidRPr="0012497B">
        <w:rPr>
          <w:rFonts w:ascii="Gellix" w:hAnsi="Gellix" w:cs="Arial"/>
          <w:sz w:val="21"/>
          <w:szCs w:val="21"/>
        </w:rPr>
        <w:t>, with not only increased evidence of bilateral agreements but also examples of establishing implementation frameworks and infrastructure to facilitate international cooperation</w:t>
      </w:r>
      <w:r w:rsidR="00B461BB">
        <w:rPr>
          <w:rStyle w:val="FootnoteReference"/>
          <w:rFonts w:ascii="Gellix" w:hAnsi="Gellix" w:cs="Arial"/>
          <w:sz w:val="21"/>
          <w:szCs w:val="21"/>
        </w:rPr>
        <w:footnoteReference w:id="4"/>
      </w:r>
      <w:r w:rsidRPr="0012497B">
        <w:rPr>
          <w:rFonts w:ascii="Gellix" w:hAnsi="Gellix" w:cs="Arial"/>
          <w:sz w:val="21"/>
          <w:szCs w:val="21"/>
        </w:rPr>
        <w:t xml:space="preserve">. </w:t>
      </w:r>
    </w:p>
    <w:p w14:paraId="30BEA73B" w14:textId="77777777" w:rsidR="001F4B92" w:rsidRPr="001F4B92" w:rsidRDefault="001F4B92" w:rsidP="001F4B92">
      <w:pPr>
        <w:spacing w:after="0" w:line="240" w:lineRule="auto"/>
        <w:ind w:left="708"/>
        <w:rPr>
          <w:rFonts w:ascii="Gellix" w:hAnsi="Gellix" w:cs="Arial"/>
          <w:sz w:val="21"/>
          <w:szCs w:val="21"/>
        </w:rPr>
      </w:pPr>
    </w:p>
    <w:p w14:paraId="29B7B7D4" w14:textId="03A37099" w:rsidR="001F1CD6" w:rsidRPr="0012497B" w:rsidRDefault="001F4B92" w:rsidP="0012497B">
      <w:pPr>
        <w:pStyle w:val="ListParagraph"/>
        <w:numPr>
          <w:ilvl w:val="0"/>
          <w:numId w:val="54"/>
        </w:numPr>
        <w:spacing w:after="0" w:line="240" w:lineRule="auto"/>
        <w:rPr>
          <w:rFonts w:ascii="Gellix" w:hAnsi="Gellix" w:cs="Arial"/>
          <w:sz w:val="21"/>
          <w:szCs w:val="21"/>
        </w:rPr>
      </w:pPr>
      <w:r w:rsidRPr="0012497B">
        <w:rPr>
          <w:rFonts w:ascii="Gellix" w:hAnsi="Gellix" w:cs="Arial"/>
          <w:sz w:val="21"/>
          <w:szCs w:val="21"/>
        </w:rPr>
        <w:t>While this is certainly a positive development, the increasingly fragmented international climate policy landscape, uncertainty with regards to implementation of Article 6 mechani</w:t>
      </w:r>
      <w:r w:rsidR="00BC1E3B" w:rsidRPr="0012497B">
        <w:rPr>
          <w:rFonts w:ascii="Gellix" w:hAnsi="Gellix" w:cs="Arial"/>
          <w:sz w:val="21"/>
          <w:szCs w:val="21"/>
        </w:rPr>
        <w:t>s</w:t>
      </w:r>
      <w:r w:rsidRPr="0012497B">
        <w:rPr>
          <w:rFonts w:ascii="Gellix" w:hAnsi="Gellix" w:cs="Arial"/>
          <w:sz w:val="21"/>
          <w:szCs w:val="21"/>
        </w:rPr>
        <w:t xml:space="preserve">ms and its interconnections with and implication on compliance systems and VCMs, as well as the lack of a universal and coordinated approach towards carbon pricing, </w:t>
      </w:r>
      <w:r w:rsidR="00901BA3" w:rsidRPr="0012497B">
        <w:rPr>
          <w:rFonts w:ascii="Gellix" w:hAnsi="Gellix" w:cs="Arial"/>
          <w:sz w:val="21"/>
          <w:szCs w:val="21"/>
        </w:rPr>
        <w:t xml:space="preserve">continues to </w:t>
      </w:r>
      <w:r w:rsidRPr="0012497B">
        <w:rPr>
          <w:rFonts w:ascii="Gellix" w:hAnsi="Gellix" w:cs="Arial"/>
          <w:sz w:val="21"/>
          <w:szCs w:val="21"/>
        </w:rPr>
        <w:t>pose increased challenges and risks to businesses globally.</w:t>
      </w:r>
    </w:p>
    <w:p w14:paraId="2934B223" w14:textId="77777777" w:rsidR="00A561F6" w:rsidRPr="0022441E" w:rsidRDefault="00A561F6" w:rsidP="0022441E">
      <w:pPr>
        <w:spacing w:after="0" w:line="240" w:lineRule="auto"/>
        <w:ind w:left="708"/>
        <w:rPr>
          <w:rFonts w:ascii="Gellix" w:hAnsi="Gellix" w:cs="Arial"/>
          <w:sz w:val="21"/>
          <w:szCs w:val="21"/>
        </w:rPr>
      </w:pPr>
    </w:p>
    <w:p w14:paraId="20B8E4DC" w14:textId="59F4D855" w:rsidR="007626D4" w:rsidRPr="0012497B" w:rsidRDefault="009D448B" w:rsidP="0012497B">
      <w:pPr>
        <w:pStyle w:val="ListParagraph"/>
        <w:numPr>
          <w:ilvl w:val="0"/>
          <w:numId w:val="54"/>
        </w:numPr>
        <w:spacing w:after="0" w:line="240" w:lineRule="auto"/>
        <w:rPr>
          <w:rFonts w:ascii="Gellix" w:hAnsi="Gellix" w:cs="Arial"/>
          <w:sz w:val="21"/>
          <w:szCs w:val="21"/>
        </w:rPr>
      </w:pPr>
      <w:r w:rsidRPr="0012497B">
        <w:rPr>
          <w:rFonts w:ascii="Gellix" w:hAnsi="Gellix" w:cs="Arial"/>
          <w:sz w:val="21"/>
          <w:szCs w:val="21"/>
        </w:rPr>
        <w:t>The International Chamber of Commerce (</w:t>
      </w:r>
      <w:r w:rsidR="00A561F6" w:rsidRPr="0012497B">
        <w:rPr>
          <w:rFonts w:ascii="Gellix" w:hAnsi="Gellix" w:cs="Arial"/>
          <w:sz w:val="21"/>
          <w:szCs w:val="21"/>
        </w:rPr>
        <w:t>ICC</w:t>
      </w:r>
      <w:r w:rsidRPr="0012497B">
        <w:rPr>
          <w:rFonts w:ascii="Gellix" w:hAnsi="Gellix" w:cs="Arial"/>
          <w:sz w:val="21"/>
          <w:szCs w:val="21"/>
        </w:rPr>
        <w:t>)</w:t>
      </w:r>
      <w:r w:rsidR="00A561F6" w:rsidRPr="0012497B">
        <w:rPr>
          <w:rFonts w:ascii="Gellix" w:hAnsi="Gellix" w:cs="Arial"/>
          <w:sz w:val="21"/>
          <w:szCs w:val="21"/>
        </w:rPr>
        <w:t xml:space="preserve">, as the institutional representative of 45 million companies in over 130 countries and as the official UNFCCC Focal Point for Business and Industry, </w:t>
      </w:r>
      <w:r w:rsidR="007B4BA7" w:rsidRPr="0012497B">
        <w:rPr>
          <w:rFonts w:ascii="Gellix" w:hAnsi="Gellix"/>
          <w:sz w:val="21"/>
          <w:szCs w:val="21"/>
        </w:rPr>
        <w:t xml:space="preserve">strongly supports the use of market-based approaches and the successful implementation of a new phase of emissions trading under Article 6 and </w:t>
      </w:r>
      <w:r w:rsidR="00A561F6" w:rsidRPr="0012497B">
        <w:rPr>
          <w:rFonts w:ascii="Gellix" w:hAnsi="Gellix" w:cs="Arial"/>
          <w:sz w:val="21"/>
          <w:szCs w:val="21"/>
        </w:rPr>
        <w:t xml:space="preserve">has </w:t>
      </w:r>
      <w:r w:rsidR="007B4BA7" w:rsidRPr="0012497B">
        <w:rPr>
          <w:rFonts w:ascii="Gellix" w:hAnsi="Gellix" w:cs="Arial"/>
          <w:sz w:val="21"/>
          <w:szCs w:val="21"/>
        </w:rPr>
        <w:t xml:space="preserve">been playing a key role </w:t>
      </w:r>
      <w:r w:rsidR="00A561F6" w:rsidRPr="0012497B">
        <w:rPr>
          <w:rFonts w:ascii="Gellix" w:hAnsi="Gellix" w:cs="Arial"/>
          <w:sz w:val="21"/>
          <w:szCs w:val="21"/>
        </w:rPr>
        <w:t>in contributing business perspectives to ongoing developments in this space</w:t>
      </w:r>
      <w:r w:rsidR="007626D4" w:rsidRPr="0012497B">
        <w:rPr>
          <w:rFonts w:ascii="Gellix" w:hAnsi="Gellix" w:cs="Arial"/>
          <w:sz w:val="21"/>
          <w:szCs w:val="21"/>
        </w:rPr>
        <w:t xml:space="preserve">. </w:t>
      </w:r>
    </w:p>
    <w:p w14:paraId="13F26B6C" w14:textId="77777777" w:rsidR="007626D4" w:rsidRDefault="007626D4" w:rsidP="0022441E">
      <w:pPr>
        <w:spacing w:after="0" w:line="240" w:lineRule="auto"/>
        <w:ind w:left="708"/>
        <w:rPr>
          <w:rFonts w:ascii="Gellix" w:hAnsi="Gellix" w:cs="Arial"/>
          <w:sz w:val="21"/>
          <w:szCs w:val="21"/>
        </w:rPr>
      </w:pPr>
    </w:p>
    <w:p w14:paraId="65A2B19E" w14:textId="7E43513D" w:rsidR="00A561F6" w:rsidRPr="0012497B" w:rsidRDefault="007626D4" w:rsidP="0012497B">
      <w:pPr>
        <w:pStyle w:val="ListParagraph"/>
        <w:numPr>
          <w:ilvl w:val="0"/>
          <w:numId w:val="54"/>
        </w:numPr>
        <w:spacing w:after="0" w:line="240" w:lineRule="auto"/>
        <w:rPr>
          <w:rFonts w:ascii="Gellix" w:hAnsi="Gellix" w:cs="Arial"/>
          <w:sz w:val="21"/>
          <w:szCs w:val="21"/>
        </w:rPr>
      </w:pPr>
      <w:r w:rsidRPr="0012497B">
        <w:rPr>
          <w:rFonts w:ascii="Gellix" w:hAnsi="Gellix" w:cs="Arial"/>
          <w:sz w:val="21"/>
          <w:szCs w:val="21"/>
        </w:rPr>
        <w:t>ICC strongly encourages greater consistency, clarity and co-ordination between regional, national and supranational carbon pricing systems and increased linking</w:t>
      </w:r>
      <w:r w:rsidR="00B81BC2" w:rsidRPr="0012497B">
        <w:rPr>
          <w:rFonts w:ascii="Gellix" w:hAnsi="Gellix" w:cs="Arial"/>
          <w:sz w:val="21"/>
          <w:szCs w:val="21"/>
        </w:rPr>
        <w:t>,</w:t>
      </w:r>
      <w:r w:rsidRPr="0012497B">
        <w:rPr>
          <w:rFonts w:ascii="Gellix" w:hAnsi="Gellix" w:cs="Arial"/>
          <w:sz w:val="21"/>
          <w:szCs w:val="21"/>
        </w:rPr>
        <w:t xml:space="preserve"> </w:t>
      </w:r>
      <w:r w:rsidR="00490BB7" w:rsidRPr="0012497B">
        <w:rPr>
          <w:rFonts w:ascii="Gellix" w:hAnsi="Gellix" w:cs="Arial"/>
          <w:sz w:val="21"/>
          <w:szCs w:val="21"/>
        </w:rPr>
        <w:t>further</w:t>
      </w:r>
      <w:r w:rsidRPr="0012497B">
        <w:rPr>
          <w:rFonts w:ascii="Gellix" w:hAnsi="Gellix" w:cs="Arial"/>
          <w:sz w:val="21"/>
          <w:szCs w:val="21"/>
        </w:rPr>
        <w:t xml:space="preserve"> making a strong case for a successful agreement at COP28 on outstanding elements to fully operationalise of Article 6 of the Paris Agreement without delay.</w:t>
      </w:r>
    </w:p>
    <w:p w14:paraId="2D84F07D" w14:textId="77777777" w:rsidR="00A561F6" w:rsidRPr="0022441E" w:rsidRDefault="00A561F6" w:rsidP="0022441E">
      <w:pPr>
        <w:spacing w:after="0" w:line="240" w:lineRule="auto"/>
        <w:ind w:left="708"/>
        <w:rPr>
          <w:rFonts w:ascii="Gellix" w:hAnsi="Gellix" w:cs="Arial"/>
          <w:sz w:val="21"/>
          <w:szCs w:val="21"/>
        </w:rPr>
      </w:pPr>
    </w:p>
    <w:p w14:paraId="600AA913" w14:textId="3FE20F66" w:rsidR="00A561F6" w:rsidRPr="0012497B" w:rsidRDefault="00A97AA7" w:rsidP="0012497B">
      <w:pPr>
        <w:pStyle w:val="ListParagraph"/>
        <w:numPr>
          <w:ilvl w:val="0"/>
          <w:numId w:val="54"/>
        </w:numPr>
        <w:spacing w:after="0" w:line="240" w:lineRule="auto"/>
        <w:rPr>
          <w:rFonts w:ascii="Gellix" w:hAnsi="Gellix" w:cs="Arial"/>
          <w:sz w:val="21"/>
          <w:szCs w:val="21"/>
        </w:rPr>
      </w:pPr>
      <w:r w:rsidRPr="0012497B">
        <w:rPr>
          <w:rFonts w:ascii="Gellix" w:hAnsi="Gellix" w:cs="Arial"/>
          <w:sz w:val="21"/>
          <w:szCs w:val="21"/>
        </w:rPr>
        <w:t>S</w:t>
      </w:r>
      <w:r w:rsidR="00A561F6" w:rsidRPr="0012497B">
        <w:rPr>
          <w:rFonts w:ascii="Gellix" w:hAnsi="Gellix" w:cs="Arial"/>
          <w:sz w:val="21"/>
          <w:szCs w:val="21"/>
        </w:rPr>
        <w:t>ince 2021</w:t>
      </w:r>
      <w:r w:rsidR="00201C73" w:rsidRPr="0012497B">
        <w:rPr>
          <w:rFonts w:ascii="Gellix" w:hAnsi="Gellix" w:cs="Arial"/>
          <w:sz w:val="21"/>
          <w:szCs w:val="21"/>
        </w:rPr>
        <w:t xml:space="preserve">, </w:t>
      </w:r>
      <w:r w:rsidR="00490BB7" w:rsidRPr="0012497B">
        <w:rPr>
          <w:rFonts w:ascii="Gellix" w:hAnsi="Gellix" w:cs="Arial"/>
          <w:sz w:val="21"/>
          <w:szCs w:val="21"/>
        </w:rPr>
        <w:t>ICC has</w:t>
      </w:r>
      <w:r w:rsidR="00201C73" w:rsidRPr="0012497B">
        <w:rPr>
          <w:rFonts w:ascii="Gellix" w:hAnsi="Gellix" w:cs="Arial"/>
          <w:sz w:val="21"/>
          <w:szCs w:val="21"/>
        </w:rPr>
        <w:t xml:space="preserve"> </w:t>
      </w:r>
      <w:r w:rsidR="00A561F6" w:rsidRPr="0012497B">
        <w:rPr>
          <w:rFonts w:ascii="Gellix" w:hAnsi="Gellix" w:cs="Arial"/>
          <w:sz w:val="21"/>
          <w:szCs w:val="21"/>
        </w:rPr>
        <w:t xml:space="preserve">drawn on the experience of its global membership in more than 130 countries to develop work in this area, emphasizing the need for predictable, effective and smartly designed carbon pricing as well as a coherent international approach which is the absolute key to unlock the full environmental and economic benefits of market-based policies.  </w:t>
      </w:r>
    </w:p>
    <w:p w14:paraId="14052A8D" w14:textId="77777777" w:rsidR="00A561F6" w:rsidRPr="0022441E" w:rsidRDefault="00A561F6" w:rsidP="0022441E">
      <w:pPr>
        <w:spacing w:after="0" w:line="240" w:lineRule="auto"/>
        <w:ind w:left="708"/>
        <w:rPr>
          <w:rFonts w:ascii="Gellix" w:hAnsi="Gellix" w:cs="Arial"/>
          <w:sz w:val="21"/>
          <w:szCs w:val="21"/>
        </w:rPr>
      </w:pPr>
    </w:p>
    <w:p w14:paraId="253E253D" w14:textId="79ED40CF" w:rsidR="00A561F6" w:rsidRPr="0012497B" w:rsidRDefault="00A561F6" w:rsidP="0012497B">
      <w:pPr>
        <w:pStyle w:val="ListParagraph"/>
        <w:numPr>
          <w:ilvl w:val="0"/>
          <w:numId w:val="54"/>
        </w:numPr>
        <w:spacing w:after="0" w:line="240" w:lineRule="auto"/>
        <w:rPr>
          <w:rFonts w:ascii="Gellix" w:hAnsi="Gellix" w:cs="Arial"/>
          <w:sz w:val="21"/>
          <w:szCs w:val="21"/>
        </w:rPr>
      </w:pPr>
      <w:r w:rsidRPr="0012497B">
        <w:rPr>
          <w:rFonts w:ascii="Gellix" w:hAnsi="Gellix" w:cs="Arial"/>
          <w:sz w:val="21"/>
          <w:szCs w:val="21"/>
        </w:rPr>
        <w:lastRenderedPageBreak/>
        <w:t xml:space="preserve">In 2021, </w:t>
      </w:r>
      <w:r w:rsidR="00801F77" w:rsidRPr="0012497B">
        <w:rPr>
          <w:rFonts w:ascii="Gellix" w:hAnsi="Gellix" w:cs="Arial"/>
          <w:sz w:val="21"/>
          <w:szCs w:val="21"/>
        </w:rPr>
        <w:t xml:space="preserve">at </w:t>
      </w:r>
      <w:r w:rsidRPr="0012497B">
        <w:rPr>
          <w:rFonts w:ascii="Gellix" w:hAnsi="Gellix" w:cs="Arial"/>
          <w:sz w:val="21"/>
          <w:szCs w:val="21"/>
        </w:rPr>
        <w:t xml:space="preserve">COP26, </w:t>
      </w:r>
      <w:r w:rsidR="00801F77" w:rsidRPr="0012497B">
        <w:rPr>
          <w:rFonts w:ascii="Gellix" w:hAnsi="Gellix" w:cs="Arial"/>
          <w:sz w:val="21"/>
          <w:szCs w:val="21"/>
        </w:rPr>
        <w:t xml:space="preserve">ICC launched </w:t>
      </w:r>
      <w:r w:rsidRPr="0012497B">
        <w:rPr>
          <w:rFonts w:ascii="Gellix" w:hAnsi="Gellix" w:cs="Arial"/>
          <w:sz w:val="21"/>
          <w:szCs w:val="21"/>
        </w:rPr>
        <w:t xml:space="preserve">10 key </w:t>
      </w:r>
      <w:hyperlink r:id="rId12" w:history="1">
        <w:r w:rsidRPr="0012497B">
          <w:rPr>
            <w:rStyle w:val="Hyperlink"/>
            <w:rFonts w:ascii="Gellix" w:hAnsi="Gellix" w:cs="Arial"/>
            <w:sz w:val="21"/>
            <w:szCs w:val="21"/>
          </w:rPr>
          <w:t>carbon pricing principles</w:t>
        </w:r>
      </w:hyperlink>
      <w:r w:rsidRPr="0012497B">
        <w:rPr>
          <w:rFonts w:ascii="Gellix" w:hAnsi="Gellix" w:cs="Arial"/>
          <w:sz w:val="21"/>
          <w:szCs w:val="21"/>
        </w:rPr>
        <w:t xml:space="preserve"> that set out an essential foundation for the convergence required to meet this goal.</w:t>
      </w:r>
      <w:r w:rsidR="00801F77" w:rsidRPr="0012497B">
        <w:rPr>
          <w:rFonts w:ascii="Gellix" w:hAnsi="Gellix" w:cs="Arial"/>
          <w:sz w:val="21"/>
          <w:szCs w:val="21"/>
        </w:rPr>
        <w:t xml:space="preserve"> </w:t>
      </w:r>
      <w:r w:rsidRPr="0012497B">
        <w:rPr>
          <w:rFonts w:ascii="Gellix" w:hAnsi="Gellix" w:cs="Arial"/>
          <w:sz w:val="21"/>
          <w:szCs w:val="21"/>
        </w:rPr>
        <w:t>At COP2</w:t>
      </w:r>
      <w:r w:rsidR="00DF1370" w:rsidRPr="0012497B">
        <w:rPr>
          <w:rFonts w:ascii="Gellix" w:hAnsi="Gellix" w:cs="Arial"/>
          <w:sz w:val="21"/>
          <w:szCs w:val="21"/>
        </w:rPr>
        <w:t>7</w:t>
      </w:r>
      <w:r w:rsidRPr="0012497B">
        <w:rPr>
          <w:rFonts w:ascii="Gellix" w:hAnsi="Gellix" w:cs="Arial"/>
          <w:sz w:val="21"/>
          <w:szCs w:val="21"/>
        </w:rPr>
        <w:t xml:space="preserve"> in 202</w:t>
      </w:r>
      <w:r w:rsidR="00DF1370" w:rsidRPr="0012497B">
        <w:rPr>
          <w:rFonts w:ascii="Gellix" w:hAnsi="Gellix" w:cs="Arial"/>
          <w:sz w:val="21"/>
          <w:szCs w:val="21"/>
        </w:rPr>
        <w:t>2</w:t>
      </w:r>
      <w:r w:rsidRPr="0012497B">
        <w:rPr>
          <w:rFonts w:ascii="Gellix" w:hAnsi="Gellix" w:cs="Arial"/>
          <w:sz w:val="21"/>
          <w:szCs w:val="21"/>
        </w:rPr>
        <w:t xml:space="preserve">, ICC presented further work focusing specifically on the practical elements and </w:t>
      </w:r>
      <w:hyperlink r:id="rId13" w:history="1">
        <w:r w:rsidRPr="0012497B">
          <w:rPr>
            <w:rStyle w:val="Hyperlink"/>
            <w:rFonts w:ascii="Gellix" w:hAnsi="Gellix" w:cs="Arial"/>
            <w:sz w:val="21"/>
            <w:szCs w:val="21"/>
          </w:rPr>
          <w:t>critical design features for carbon pricing mechanisms</w:t>
        </w:r>
      </w:hyperlink>
      <w:r w:rsidRPr="0012497B">
        <w:rPr>
          <w:rFonts w:ascii="Gellix" w:hAnsi="Gellix" w:cs="Arial"/>
          <w:sz w:val="21"/>
          <w:szCs w:val="21"/>
        </w:rPr>
        <w:t>, also taking into account further technical discussions on Article 6 of the Paris Agreement and its operationalisation.</w:t>
      </w:r>
    </w:p>
    <w:p w14:paraId="0744ECA6" w14:textId="77777777" w:rsidR="009E3DAE" w:rsidRPr="0022441E" w:rsidRDefault="009E3DAE" w:rsidP="0022441E">
      <w:pPr>
        <w:spacing w:after="0" w:line="240" w:lineRule="auto"/>
        <w:ind w:left="708"/>
        <w:rPr>
          <w:rFonts w:ascii="Gellix" w:hAnsi="Gellix" w:cs="Arial"/>
          <w:sz w:val="21"/>
          <w:szCs w:val="21"/>
        </w:rPr>
      </w:pPr>
    </w:p>
    <w:p w14:paraId="0227C547" w14:textId="498D07BE" w:rsidR="009E3DAE" w:rsidRPr="0012497B" w:rsidRDefault="009E3DAE" w:rsidP="0012497B">
      <w:pPr>
        <w:pStyle w:val="ListParagraph"/>
        <w:numPr>
          <w:ilvl w:val="0"/>
          <w:numId w:val="54"/>
        </w:numPr>
        <w:spacing w:after="0" w:line="240" w:lineRule="auto"/>
        <w:rPr>
          <w:rFonts w:ascii="Gellix" w:hAnsi="Gellix" w:cs="Arial"/>
          <w:sz w:val="21"/>
          <w:szCs w:val="21"/>
        </w:rPr>
      </w:pPr>
      <w:r w:rsidRPr="0012497B">
        <w:rPr>
          <w:rFonts w:ascii="Gellix" w:hAnsi="Gellix" w:cs="Arial"/>
          <w:sz w:val="21"/>
          <w:szCs w:val="21"/>
        </w:rPr>
        <w:t xml:space="preserve">In </w:t>
      </w:r>
      <w:r w:rsidR="009D448B" w:rsidRPr="0012497B">
        <w:rPr>
          <w:rFonts w:ascii="Gellix" w:hAnsi="Gellix" w:cs="Arial"/>
          <w:sz w:val="21"/>
          <w:szCs w:val="21"/>
        </w:rPr>
        <w:t xml:space="preserve">this process ICC has engaged with various stakeholders including </w:t>
      </w:r>
      <w:r w:rsidR="001C5691" w:rsidRPr="0012497B">
        <w:rPr>
          <w:rFonts w:ascii="Gellix" w:hAnsi="Gellix" w:cs="Arial"/>
          <w:sz w:val="21"/>
          <w:szCs w:val="21"/>
        </w:rPr>
        <w:t>governments, business representatives and academia</w:t>
      </w:r>
      <w:r w:rsidR="001D77EF" w:rsidRPr="0012497B">
        <w:rPr>
          <w:rFonts w:ascii="Gellix" w:hAnsi="Gellix" w:cs="Arial"/>
          <w:sz w:val="21"/>
          <w:szCs w:val="21"/>
        </w:rPr>
        <w:t xml:space="preserve">, </w:t>
      </w:r>
      <w:r w:rsidR="0001648D" w:rsidRPr="0012497B">
        <w:rPr>
          <w:rFonts w:ascii="Gellix" w:hAnsi="Gellix" w:cs="Arial"/>
          <w:sz w:val="21"/>
          <w:szCs w:val="21"/>
        </w:rPr>
        <w:t xml:space="preserve">in which </w:t>
      </w:r>
      <w:r w:rsidR="00F900E3" w:rsidRPr="0012497B">
        <w:rPr>
          <w:rFonts w:ascii="Gellix" w:hAnsi="Gellix" w:cs="Arial"/>
          <w:sz w:val="21"/>
          <w:szCs w:val="21"/>
        </w:rPr>
        <w:t xml:space="preserve">some key emerging issues have </w:t>
      </w:r>
      <w:r w:rsidR="006023E0" w:rsidRPr="0012497B">
        <w:rPr>
          <w:rFonts w:ascii="Gellix" w:hAnsi="Gellix" w:cs="Arial"/>
          <w:sz w:val="21"/>
          <w:szCs w:val="21"/>
        </w:rPr>
        <w:t xml:space="preserve">come to the fore </w:t>
      </w:r>
      <w:r w:rsidR="0051349A" w:rsidRPr="0012497B">
        <w:rPr>
          <w:rFonts w:ascii="Gellix" w:hAnsi="Gellix" w:cs="Arial"/>
          <w:sz w:val="21"/>
          <w:szCs w:val="21"/>
        </w:rPr>
        <w:t xml:space="preserve">as </w:t>
      </w:r>
      <w:r w:rsidR="00AF5122" w:rsidRPr="0012497B">
        <w:rPr>
          <w:rFonts w:ascii="Gellix" w:hAnsi="Gellix" w:cs="Arial"/>
          <w:sz w:val="21"/>
          <w:szCs w:val="21"/>
        </w:rPr>
        <w:t xml:space="preserve">potentially undermining the effectiveness of carbon pricing mechanisms.  </w:t>
      </w:r>
      <w:r w:rsidR="00633127" w:rsidRPr="0012497B">
        <w:rPr>
          <w:rFonts w:ascii="Gellix" w:hAnsi="Gellix" w:cs="Arial"/>
          <w:sz w:val="21"/>
          <w:szCs w:val="21"/>
        </w:rPr>
        <w:t>Some of these key</w:t>
      </w:r>
      <w:r w:rsidR="0015139F" w:rsidRPr="0012497B">
        <w:rPr>
          <w:rFonts w:ascii="Gellix" w:hAnsi="Gellix" w:cs="Arial"/>
          <w:sz w:val="21"/>
          <w:szCs w:val="21"/>
        </w:rPr>
        <w:t xml:space="preserve"> </w:t>
      </w:r>
      <w:r w:rsidR="00FB6B90" w:rsidRPr="0012497B">
        <w:rPr>
          <w:rFonts w:ascii="Gellix" w:hAnsi="Gellix" w:cs="Arial"/>
          <w:sz w:val="21"/>
          <w:szCs w:val="21"/>
        </w:rPr>
        <w:t>issues are related to carbon leakage, linking of carbon pricing systems a</w:t>
      </w:r>
      <w:r w:rsidR="00066331" w:rsidRPr="0012497B">
        <w:rPr>
          <w:rFonts w:ascii="Gellix" w:hAnsi="Gellix" w:cs="Arial"/>
          <w:sz w:val="21"/>
          <w:szCs w:val="21"/>
        </w:rPr>
        <w:t xml:space="preserve">s well as </w:t>
      </w:r>
      <w:r w:rsidR="00DB3BE0" w:rsidRPr="0012497B">
        <w:rPr>
          <w:rFonts w:ascii="Gellix" w:hAnsi="Gellix" w:cs="Arial"/>
          <w:sz w:val="21"/>
          <w:szCs w:val="21"/>
        </w:rPr>
        <w:t>disparate</w:t>
      </w:r>
      <w:r w:rsidR="00FB6B90" w:rsidRPr="0012497B">
        <w:rPr>
          <w:rFonts w:ascii="Gellix" w:hAnsi="Gellix" w:cs="Arial"/>
          <w:sz w:val="21"/>
          <w:szCs w:val="21"/>
        </w:rPr>
        <w:t xml:space="preserve"> </w:t>
      </w:r>
      <w:r w:rsidR="0011614E" w:rsidRPr="0012497B">
        <w:rPr>
          <w:rFonts w:ascii="Gellix" w:hAnsi="Gellix" w:cs="Arial"/>
          <w:sz w:val="21"/>
          <w:szCs w:val="21"/>
        </w:rPr>
        <w:t>carbon pricing levels</w:t>
      </w:r>
      <w:r w:rsidR="00D93E0E" w:rsidRPr="0012497B">
        <w:rPr>
          <w:rFonts w:ascii="Gellix" w:hAnsi="Gellix" w:cs="Arial"/>
          <w:sz w:val="21"/>
          <w:szCs w:val="21"/>
        </w:rPr>
        <w:t>.</w:t>
      </w:r>
    </w:p>
    <w:p w14:paraId="614C43C6" w14:textId="77777777" w:rsidR="00D93E0E" w:rsidRPr="0022441E" w:rsidRDefault="00D93E0E" w:rsidP="0022441E">
      <w:pPr>
        <w:spacing w:after="0" w:line="240" w:lineRule="auto"/>
        <w:ind w:left="708"/>
        <w:rPr>
          <w:rFonts w:ascii="Gellix" w:hAnsi="Gellix" w:cs="Arial"/>
          <w:sz w:val="21"/>
          <w:szCs w:val="21"/>
        </w:rPr>
      </w:pPr>
    </w:p>
    <w:p w14:paraId="041B4BB0" w14:textId="36BD8E72" w:rsidR="00D93E0E" w:rsidRPr="0012497B" w:rsidRDefault="00946A73" w:rsidP="0012497B">
      <w:pPr>
        <w:pStyle w:val="ListParagraph"/>
        <w:numPr>
          <w:ilvl w:val="0"/>
          <w:numId w:val="54"/>
        </w:numPr>
        <w:spacing w:after="0" w:line="240" w:lineRule="auto"/>
        <w:jc w:val="both"/>
        <w:rPr>
          <w:rFonts w:ascii="Gellix" w:hAnsi="Gellix" w:cs="Arial"/>
          <w:sz w:val="21"/>
          <w:szCs w:val="21"/>
        </w:rPr>
      </w:pPr>
      <w:r w:rsidRPr="0012497B">
        <w:rPr>
          <w:rFonts w:ascii="Gellix" w:hAnsi="Gellix" w:cs="Arial"/>
          <w:sz w:val="21"/>
          <w:szCs w:val="21"/>
        </w:rPr>
        <w:t>This</w:t>
      </w:r>
      <w:r w:rsidR="00D93E0E" w:rsidRPr="0012497B">
        <w:rPr>
          <w:rFonts w:ascii="Gellix" w:hAnsi="Gellix" w:cs="Arial"/>
          <w:sz w:val="21"/>
          <w:szCs w:val="21"/>
        </w:rPr>
        <w:t xml:space="preserve"> third </w:t>
      </w:r>
      <w:r w:rsidRPr="0012497B">
        <w:rPr>
          <w:rFonts w:ascii="Gellix" w:hAnsi="Gellix" w:cs="Arial"/>
          <w:sz w:val="21"/>
          <w:szCs w:val="21"/>
        </w:rPr>
        <w:t xml:space="preserve">ICC </w:t>
      </w:r>
      <w:r w:rsidR="00D93E0E" w:rsidRPr="0012497B">
        <w:rPr>
          <w:rFonts w:ascii="Gellix" w:hAnsi="Gellix" w:cs="Arial"/>
          <w:sz w:val="21"/>
          <w:szCs w:val="21"/>
        </w:rPr>
        <w:t>report</w:t>
      </w:r>
      <w:r w:rsidR="00BE42A4" w:rsidRPr="0012497B">
        <w:rPr>
          <w:rFonts w:ascii="Gellix" w:hAnsi="Gellix" w:cs="Arial"/>
          <w:sz w:val="21"/>
          <w:szCs w:val="21"/>
        </w:rPr>
        <w:t xml:space="preserve"> identifies these </w:t>
      </w:r>
      <w:r w:rsidR="00616674" w:rsidRPr="0012497B">
        <w:rPr>
          <w:rFonts w:ascii="Gellix" w:hAnsi="Gellix" w:cs="Arial"/>
          <w:sz w:val="21"/>
          <w:szCs w:val="21"/>
        </w:rPr>
        <w:t>issues and outlines</w:t>
      </w:r>
      <w:r w:rsidR="00BE42A4" w:rsidRPr="0012497B">
        <w:rPr>
          <w:rFonts w:ascii="Gellix" w:hAnsi="Gellix" w:cs="Arial"/>
          <w:sz w:val="21"/>
          <w:szCs w:val="21"/>
        </w:rPr>
        <w:t xml:space="preserve"> key challenges that undermine the effectiveness of </w:t>
      </w:r>
      <w:r w:rsidR="00956F1E" w:rsidRPr="0012497B">
        <w:rPr>
          <w:rFonts w:ascii="Gellix" w:hAnsi="Gellix" w:cs="Arial"/>
          <w:sz w:val="21"/>
          <w:szCs w:val="21"/>
        </w:rPr>
        <w:t xml:space="preserve">carbon pricing mechanisms arising from </w:t>
      </w:r>
      <w:r w:rsidR="00F06CB0" w:rsidRPr="0012497B">
        <w:rPr>
          <w:rFonts w:ascii="Gellix" w:hAnsi="Gellix" w:cs="Arial"/>
          <w:sz w:val="21"/>
          <w:szCs w:val="21"/>
        </w:rPr>
        <w:t xml:space="preserve">the </w:t>
      </w:r>
      <w:r w:rsidR="00AD18C4" w:rsidRPr="0012497B">
        <w:rPr>
          <w:rFonts w:ascii="Gellix" w:hAnsi="Gellix" w:cs="Arial"/>
          <w:sz w:val="21"/>
          <w:szCs w:val="21"/>
        </w:rPr>
        <w:t>73</w:t>
      </w:r>
      <w:r w:rsidR="008B6E92" w:rsidRPr="0012497B">
        <w:rPr>
          <w:rFonts w:ascii="Gellix" w:hAnsi="Gellix" w:cs="Arial"/>
          <w:sz w:val="21"/>
          <w:szCs w:val="21"/>
        </w:rPr>
        <w:t xml:space="preserve"> existing systems globally</w:t>
      </w:r>
      <w:r w:rsidR="000C3FC5">
        <w:rPr>
          <w:rStyle w:val="FootnoteReference"/>
          <w:rFonts w:ascii="Gellix" w:hAnsi="Gellix" w:cs="Arial"/>
          <w:sz w:val="21"/>
          <w:szCs w:val="21"/>
        </w:rPr>
        <w:footnoteReference w:id="5"/>
      </w:r>
      <w:r w:rsidR="000A1247" w:rsidRPr="0012497B">
        <w:rPr>
          <w:rFonts w:ascii="Gellix" w:hAnsi="Gellix" w:cs="Arial"/>
          <w:sz w:val="21"/>
          <w:szCs w:val="21"/>
        </w:rPr>
        <w:t xml:space="preserve"> and provides </w:t>
      </w:r>
      <w:r w:rsidR="00751A39" w:rsidRPr="0012497B">
        <w:rPr>
          <w:rFonts w:ascii="Gellix" w:hAnsi="Gellix" w:cs="Arial"/>
          <w:sz w:val="21"/>
          <w:szCs w:val="21"/>
        </w:rPr>
        <w:t xml:space="preserve">a business perspective </w:t>
      </w:r>
      <w:r w:rsidR="0089018E" w:rsidRPr="0012497B">
        <w:rPr>
          <w:rFonts w:ascii="Gellix" w:hAnsi="Gellix" w:cs="Arial"/>
          <w:sz w:val="21"/>
          <w:szCs w:val="21"/>
        </w:rPr>
        <w:t>with p</w:t>
      </w:r>
      <w:r w:rsidR="00272E0F" w:rsidRPr="0012497B">
        <w:rPr>
          <w:rFonts w:ascii="Gellix" w:hAnsi="Gellix" w:cs="Arial"/>
          <w:sz w:val="21"/>
          <w:szCs w:val="21"/>
        </w:rPr>
        <w:t xml:space="preserve">roposals for consideration by policymakers in addressing these </w:t>
      </w:r>
      <w:r w:rsidR="00F94B50" w:rsidRPr="0012497B">
        <w:rPr>
          <w:rFonts w:ascii="Gellix" w:hAnsi="Gellix" w:cs="Arial"/>
          <w:sz w:val="21"/>
          <w:szCs w:val="21"/>
        </w:rPr>
        <w:t>issues</w:t>
      </w:r>
      <w:r w:rsidR="008E5B02" w:rsidRPr="0012497B">
        <w:rPr>
          <w:rFonts w:ascii="Gellix" w:hAnsi="Gellix" w:cs="Arial"/>
          <w:sz w:val="21"/>
          <w:szCs w:val="21"/>
        </w:rPr>
        <w:t xml:space="preserve"> </w:t>
      </w:r>
      <w:r w:rsidR="00F94B50" w:rsidRPr="0012497B">
        <w:rPr>
          <w:rFonts w:ascii="Gellix" w:hAnsi="Gellix" w:cs="Arial"/>
          <w:sz w:val="21"/>
          <w:szCs w:val="21"/>
        </w:rPr>
        <w:t>and mitiga</w:t>
      </w:r>
      <w:r w:rsidR="008E5B02" w:rsidRPr="0012497B">
        <w:rPr>
          <w:rFonts w:ascii="Gellix" w:hAnsi="Gellix" w:cs="Arial"/>
          <w:sz w:val="21"/>
          <w:szCs w:val="21"/>
        </w:rPr>
        <w:t>ting the risks these challenges present.</w:t>
      </w:r>
      <w:r w:rsidR="00995373" w:rsidRPr="0012497B">
        <w:rPr>
          <w:rFonts w:ascii="Gellix" w:hAnsi="Gellix" w:cs="Arial"/>
          <w:sz w:val="21"/>
          <w:szCs w:val="21"/>
        </w:rPr>
        <w:t xml:space="preserve">  </w:t>
      </w:r>
    </w:p>
    <w:p w14:paraId="646EDC54" w14:textId="77777777" w:rsidR="006414D8" w:rsidRPr="00E00C0E" w:rsidRDefault="006414D8" w:rsidP="0022441E">
      <w:pPr>
        <w:spacing w:after="0" w:line="240" w:lineRule="auto"/>
        <w:jc w:val="both"/>
        <w:rPr>
          <w:rFonts w:ascii="Gellix" w:hAnsi="Gellix"/>
          <w:sz w:val="21"/>
          <w:szCs w:val="21"/>
        </w:rPr>
      </w:pPr>
    </w:p>
    <w:p w14:paraId="38BC3FCA" w14:textId="3634432A" w:rsidR="00F6637D" w:rsidRPr="0012497B" w:rsidRDefault="008B3386" w:rsidP="0012497B">
      <w:pPr>
        <w:spacing w:after="0" w:line="240" w:lineRule="auto"/>
        <w:jc w:val="both"/>
        <w:rPr>
          <w:rFonts w:ascii="Gellix" w:hAnsi="Gellix"/>
          <w:i/>
          <w:sz w:val="21"/>
          <w:szCs w:val="21"/>
        </w:rPr>
      </w:pPr>
      <w:r w:rsidRPr="0012497B">
        <w:rPr>
          <w:rFonts w:ascii="Gellix" w:hAnsi="Gellix"/>
          <w:b/>
          <w:bCs/>
          <w:i/>
          <w:iCs/>
          <w:sz w:val="21"/>
          <w:szCs w:val="21"/>
        </w:rPr>
        <w:t>What the ICC report will cover:</w:t>
      </w:r>
    </w:p>
    <w:p w14:paraId="0DA90DBA" w14:textId="77BB532E" w:rsidR="00257D97" w:rsidRPr="0012497B" w:rsidRDefault="00257D97" w:rsidP="0012497B">
      <w:pPr>
        <w:pStyle w:val="ListParagraph"/>
        <w:numPr>
          <w:ilvl w:val="0"/>
          <w:numId w:val="54"/>
        </w:numPr>
        <w:spacing w:after="0" w:line="240" w:lineRule="auto"/>
        <w:jc w:val="both"/>
        <w:rPr>
          <w:rFonts w:ascii="Gellix" w:hAnsi="Gellix"/>
          <w:sz w:val="21"/>
          <w:szCs w:val="21"/>
        </w:rPr>
      </w:pPr>
      <w:r w:rsidRPr="0012497B">
        <w:rPr>
          <w:rFonts w:ascii="Gellix" w:hAnsi="Gellix"/>
          <w:sz w:val="21"/>
          <w:szCs w:val="21"/>
        </w:rPr>
        <w:t>ICC acknowledges that there are both growing concerns regarding the risks of carbon leakage as well as uncertainty as to its existence.</w:t>
      </w:r>
      <w:r w:rsidR="00926DB9" w:rsidRPr="0012497B">
        <w:rPr>
          <w:rFonts w:ascii="Gellix" w:hAnsi="Gellix"/>
          <w:sz w:val="21"/>
          <w:szCs w:val="21"/>
        </w:rPr>
        <w:t xml:space="preserve"> </w:t>
      </w:r>
      <w:r w:rsidRPr="0012497B">
        <w:rPr>
          <w:rFonts w:ascii="Gellix" w:hAnsi="Gellix"/>
          <w:sz w:val="21"/>
          <w:szCs w:val="21"/>
        </w:rPr>
        <w:t>This report will shed further light on this issue, drawing from existing work on the topic, and further emphasi</w:t>
      </w:r>
      <w:r w:rsidR="00926DB9" w:rsidRPr="0012497B">
        <w:rPr>
          <w:rFonts w:ascii="Gellix" w:hAnsi="Gellix"/>
          <w:sz w:val="21"/>
          <w:szCs w:val="21"/>
        </w:rPr>
        <w:t>s</w:t>
      </w:r>
      <w:r w:rsidRPr="0012497B">
        <w:rPr>
          <w:rFonts w:ascii="Gellix" w:hAnsi="Gellix"/>
          <w:sz w:val="21"/>
          <w:szCs w:val="21"/>
        </w:rPr>
        <w:t xml:space="preserve">ing the relevance of addressing this issue.  </w:t>
      </w:r>
    </w:p>
    <w:p w14:paraId="7F8F7A06" w14:textId="77777777" w:rsidR="00DB17D0" w:rsidRPr="00E00C0E" w:rsidRDefault="00DB17D0" w:rsidP="00DB17D0">
      <w:pPr>
        <w:spacing w:after="0" w:line="240" w:lineRule="auto"/>
        <w:ind w:left="708"/>
        <w:jc w:val="both"/>
        <w:rPr>
          <w:rFonts w:ascii="Gellix" w:hAnsi="Gellix" w:cs="Arial"/>
          <w:sz w:val="21"/>
          <w:szCs w:val="21"/>
        </w:rPr>
      </w:pPr>
    </w:p>
    <w:p w14:paraId="533B7178" w14:textId="76565D73" w:rsidR="00A85BCD" w:rsidRPr="0012497B" w:rsidRDefault="008A0138" w:rsidP="0012497B">
      <w:pPr>
        <w:pStyle w:val="ListParagraph"/>
        <w:numPr>
          <w:ilvl w:val="0"/>
          <w:numId w:val="54"/>
        </w:numPr>
        <w:spacing w:after="0" w:line="240" w:lineRule="auto"/>
        <w:jc w:val="both"/>
        <w:rPr>
          <w:rFonts w:ascii="Gellix" w:hAnsi="Gellix"/>
          <w:sz w:val="21"/>
          <w:szCs w:val="21"/>
        </w:rPr>
      </w:pPr>
      <w:r w:rsidRPr="0012497B">
        <w:rPr>
          <w:rFonts w:ascii="Gellix" w:hAnsi="Gellix"/>
          <w:sz w:val="21"/>
          <w:szCs w:val="21"/>
        </w:rPr>
        <w:t>In accordance with ICC’s view for greater international cooperation</w:t>
      </w:r>
      <w:r w:rsidR="00EC149B" w:rsidRPr="0012497B">
        <w:rPr>
          <w:rFonts w:ascii="Gellix" w:hAnsi="Gellix"/>
          <w:sz w:val="21"/>
          <w:szCs w:val="21"/>
        </w:rPr>
        <w:t xml:space="preserve"> </w:t>
      </w:r>
      <w:r w:rsidR="004D25FB" w:rsidRPr="0012497B">
        <w:rPr>
          <w:rFonts w:ascii="Gellix" w:hAnsi="Gellix"/>
          <w:sz w:val="21"/>
          <w:szCs w:val="21"/>
        </w:rPr>
        <w:t>and</w:t>
      </w:r>
      <w:r w:rsidR="00EC149B" w:rsidRPr="0012497B">
        <w:rPr>
          <w:rFonts w:ascii="Gellix" w:hAnsi="Gellix"/>
          <w:sz w:val="21"/>
          <w:szCs w:val="21"/>
        </w:rPr>
        <w:t xml:space="preserve"> consistency, t</w:t>
      </w:r>
      <w:r w:rsidR="00974250" w:rsidRPr="0012497B">
        <w:rPr>
          <w:rFonts w:ascii="Gellix" w:hAnsi="Gellix"/>
          <w:sz w:val="21"/>
          <w:szCs w:val="21"/>
        </w:rPr>
        <w:t xml:space="preserve">he ICC </w:t>
      </w:r>
      <w:r w:rsidR="002B375E" w:rsidRPr="0012497B">
        <w:rPr>
          <w:rFonts w:ascii="Gellix" w:hAnsi="Gellix"/>
          <w:sz w:val="21"/>
          <w:szCs w:val="21"/>
        </w:rPr>
        <w:t xml:space="preserve">report </w:t>
      </w:r>
      <w:r w:rsidR="00C26E5D" w:rsidRPr="0012497B">
        <w:rPr>
          <w:rFonts w:ascii="Gellix" w:hAnsi="Gellix"/>
          <w:sz w:val="21"/>
          <w:szCs w:val="21"/>
        </w:rPr>
        <w:t xml:space="preserve">further </w:t>
      </w:r>
      <w:r w:rsidR="00853D36" w:rsidRPr="0012497B">
        <w:rPr>
          <w:rFonts w:ascii="Gellix" w:hAnsi="Gellix"/>
          <w:sz w:val="21"/>
          <w:szCs w:val="21"/>
        </w:rPr>
        <w:t>seek</w:t>
      </w:r>
      <w:r w:rsidR="00C26E5D" w:rsidRPr="0012497B">
        <w:rPr>
          <w:rFonts w:ascii="Gellix" w:hAnsi="Gellix"/>
          <w:sz w:val="21"/>
          <w:szCs w:val="21"/>
        </w:rPr>
        <w:t>s</w:t>
      </w:r>
      <w:r w:rsidR="00853D36" w:rsidRPr="0012497B">
        <w:rPr>
          <w:rFonts w:ascii="Gellix" w:hAnsi="Gellix"/>
          <w:sz w:val="21"/>
          <w:szCs w:val="21"/>
        </w:rPr>
        <w:t xml:space="preserve"> to demystify</w:t>
      </w:r>
      <w:r w:rsidR="00E8437A" w:rsidRPr="0012497B">
        <w:rPr>
          <w:rFonts w:ascii="Gellix" w:hAnsi="Gellix"/>
          <w:sz w:val="21"/>
          <w:szCs w:val="21"/>
        </w:rPr>
        <w:t xml:space="preserve"> </w:t>
      </w:r>
      <w:r w:rsidR="004D2EB0" w:rsidRPr="0012497B">
        <w:rPr>
          <w:rFonts w:ascii="Gellix" w:hAnsi="Gellix"/>
          <w:sz w:val="21"/>
          <w:szCs w:val="21"/>
        </w:rPr>
        <w:t>the</w:t>
      </w:r>
      <w:r w:rsidR="002108A2" w:rsidRPr="0012497B">
        <w:rPr>
          <w:rFonts w:ascii="Gellix" w:hAnsi="Gellix"/>
          <w:sz w:val="21"/>
          <w:szCs w:val="21"/>
        </w:rPr>
        <w:t xml:space="preserve"> “Triangle” of the</w:t>
      </w:r>
      <w:r w:rsidR="004D2EB0" w:rsidRPr="0012497B">
        <w:rPr>
          <w:rFonts w:ascii="Gellix" w:hAnsi="Gellix"/>
          <w:sz w:val="21"/>
          <w:szCs w:val="21"/>
        </w:rPr>
        <w:t xml:space="preserve"> three major</w:t>
      </w:r>
      <w:r w:rsidR="00C26E5D" w:rsidRPr="0012497B">
        <w:rPr>
          <w:rFonts w:ascii="Gellix" w:hAnsi="Gellix"/>
          <w:sz w:val="21"/>
          <w:szCs w:val="21"/>
        </w:rPr>
        <w:t xml:space="preserve">, </w:t>
      </w:r>
      <w:r w:rsidR="00C57EE7" w:rsidRPr="0012497B">
        <w:rPr>
          <w:rFonts w:ascii="Gellix" w:hAnsi="Gellix"/>
          <w:sz w:val="21"/>
          <w:szCs w:val="21"/>
        </w:rPr>
        <w:t>existing</w:t>
      </w:r>
      <w:r w:rsidR="004D2EB0" w:rsidRPr="0012497B">
        <w:rPr>
          <w:rFonts w:ascii="Gellix" w:hAnsi="Gellix"/>
          <w:sz w:val="21"/>
          <w:szCs w:val="21"/>
        </w:rPr>
        <w:t xml:space="preserve"> carbon pricing segments</w:t>
      </w:r>
      <w:r w:rsidR="00C26E5D" w:rsidRPr="0012497B">
        <w:rPr>
          <w:rFonts w:ascii="Gellix" w:hAnsi="Gellix"/>
          <w:sz w:val="21"/>
          <w:szCs w:val="21"/>
        </w:rPr>
        <w:t xml:space="preserve"> </w:t>
      </w:r>
      <w:r w:rsidR="004A5102" w:rsidRPr="0012497B">
        <w:rPr>
          <w:rFonts w:ascii="Gellix" w:hAnsi="Gellix"/>
          <w:sz w:val="21"/>
          <w:szCs w:val="21"/>
        </w:rPr>
        <w:t>–</w:t>
      </w:r>
      <w:r w:rsidR="00881D19" w:rsidRPr="0012497B">
        <w:rPr>
          <w:rFonts w:ascii="Gellix" w:hAnsi="Gellix"/>
          <w:sz w:val="21"/>
          <w:szCs w:val="21"/>
        </w:rPr>
        <w:t xml:space="preserve"> (A) Compliance Markets, (B) Voluntary Carbon Markets and (C) International Mechanisms, in particular Article 6 of the Paris Agreement</w:t>
      </w:r>
      <w:r w:rsidR="00670091" w:rsidRPr="0012497B">
        <w:rPr>
          <w:rFonts w:ascii="Gellix" w:hAnsi="Gellix"/>
          <w:sz w:val="21"/>
          <w:szCs w:val="21"/>
        </w:rPr>
        <w:t>,</w:t>
      </w:r>
      <w:r w:rsidR="002B0D8A" w:rsidRPr="0012497B">
        <w:rPr>
          <w:rFonts w:ascii="Gellix" w:hAnsi="Gellix"/>
          <w:sz w:val="21"/>
          <w:szCs w:val="21"/>
        </w:rPr>
        <w:t xml:space="preserve"> </w:t>
      </w:r>
      <w:r w:rsidR="00670091" w:rsidRPr="0012497B">
        <w:rPr>
          <w:rFonts w:ascii="Gellix" w:hAnsi="Gellix"/>
          <w:sz w:val="21"/>
          <w:szCs w:val="21"/>
        </w:rPr>
        <w:t xml:space="preserve">recognising </w:t>
      </w:r>
      <w:r w:rsidR="00502B8D" w:rsidRPr="0012497B">
        <w:rPr>
          <w:rFonts w:ascii="Gellix" w:hAnsi="Gellix"/>
          <w:sz w:val="21"/>
          <w:szCs w:val="21"/>
        </w:rPr>
        <w:t>th</w:t>
      </w:r>
      <w:r w:rsidR="008B3484" w:rsidRPr="0012497B">
        <w:rPr>
          <w:rFonts w:ascii="Gellix" w:hAnsi="Gellix"/>
          <w:sz w:val="21"/>
          <w:szCs w:val="21"/>
        </w:rPr>
        <w:t>e</w:t>
      </w:r>
      <w:r w:rsidR="002A508A" w:rsidRPr="0012497B">
        <w:rPr>
          <w:rFonts w:ascii="Gellix" w:hAnsi="Gellix"/>
          <w:sz w:val="21"/>
          <w:szCs w:val="21"/>
        </w:rPr>
        <w:t xml:space="preserve"> </w:t>
      </w:r>
      <w:r w:rsidR="001E301B" w:rsidRPr="0012497B">
        <w:rPr>
          <w:rFonts w:ascii="Gellix" w:hAnsi="Gellix"/>
          <w:sz w:val="21"/>
          <w:szCs w:val="21"/>
        </w:rPr>
        <w:t>distinct purpose of each system for a common goal</w:t>
      </w:r>
      <w:r w:rsidR="00293B71" w:rsidRPr="0012497B">
        <w:rPr>
          <w:rFonts w:ascii="Gellix" w:hAnsi="Gellix"/>
          <w:sz w:val="21"/>
          <w:szCs w:val="21"/>
        </w:rPr>
        <w:t xml:space="preserve"> and </w:t>
      </w:r>
      <w:r w:rsidR="002B0D8A" w:rsidRPr="0012497B">
        <w:rPr>
          <w:rFonts w:ascii="Gellix" w:hAnsi="Gellix"/>
          <w:sz w:val="21"/>
          <w:szCs w:val="21"/>
        </w:rPr>
        <w:t xml:space="preserve"> </w:t>
      </w:r>
    </w:p>
    <w:p w14:paraId="1318F8BC" w14:textId="77777777" w:rsidR="00A85BCD" w:rsidRDefault="00A85BCD" w:rsidP="008E0505">
      <w:pPr>
        <w:spacing w:after="0" w:line="240" w:lineRule="auto"/>
        <w:ind w:left="708"/>
        <w:jc w:val="both"/>
        <w:rPr>
          <w:rFonts w:ascii="Gellix" w:hAnsi="Gellix"/>
          <w:sz w:val="21"/>
          <w:szCs w:val="21"/>
        </w:rPr>
      </w:pPr>
    </w:p>
    <w:p w14:paraId="719B9289" w14:textId="12885F33" w:rsidR="008E0505" w:rsidRPr="0012497B" w:rsidRDefault="001A417E" w:rsidP="0012497B">
      <w:pPr>
        <w:pStyle w:val="ListParagraph"/>
        <w:numPr>
          <w:ilvl w:val="0"/>
          <w:numId w:val="54"/>
        </w:numPr>
        <w:spacing w:after="0" w:line="240" w:lineRule="auto"/>
        <w:jc w:val="both"/>
        <w:rPr>
          <w:rFonts w:ascii="Gellix" w:hAnsi="Gellix"/>
          <w:sz w:val="21"/>
          <w:szCs w:val="21"/>
        </w:rPr>
      </w:pPr>
      <w:r w:rsidRPr="0012497B">
        <w:rPr>
          <w:rFonts w:ascii="Gellix" w:hAnsi="Gellix"/>
          <w:sz w:val="21"/>
          <w:szCs w:val="21"/>
        </w:rPr>
        <w:t xml:space="preserve">We particularly </w:t>
      </w:r>
      <w:r w:rsidR="008E0505" w:rsidRPr="0012497B">
        <w:rPr>
          <w:rFonts w:ascii="Gellix" w:hAnsi="Gellix"/>
          <w:sz w:val="21"/>
          <w:szCs w:val="21"/>
        </w:rPr>
        <w:t>recognise that</w:t>
      </w:r>
      <w:r w:rsidRPr="0012497B">
        <w:rPr>
          <w:rFonts w:ascii="Gellix" w:hAnsi="Gellix"/>
          <w:sz w:val="21"/>
          <w:szCs w:val="21"/>
        </w:rPr>
        <w:t xml:space="preserve"> Article 6</w:t>
      </w:r>
      <w:r w:rsidR="008E0505" w:rsidRPr="0012497B">
        <w:rPr>
          <w:rFonts w:ascii="Gellix" w:hAnsi="Gellix"/>
          <w:sz w:val="21"/>
          <w:szCs w:val="21"/>
        </w:rPr>
        <w:t xml:space="preserve"> systems and processes are still very much </w:t>
      </w:r>
      <w:r w:rsidR="008D4BFD" w:rsidRPr="0012497B">
        <w:rPr>
          <w:rFonts w:ascii="Gellix" w:hAnsi="Gellix"/>
          <w:sz w:val="21"/>
          <w:szCs w:val="21"/>
        </w:rPr>
        <w:t>in development</w:t>
      </w:r>
      <w:r w:rsidR="008E0505" w:rsidRPr="0012497B">
        <w:rPr>
          <w:rFonts w:ascii="Gellix" w:hAnsi="Gellix"/>
          <w:sz w:val="21"/>
          <w:szCs w:val="21"/>
        </w:rPr>
        <w:t xml:space="preserve"> and will need to evolve </w:t>
      </w:r>
      <w:r w:rsidR="00060B55" w:rsidRPr="0012497B">
        <w:rPr>
          <w:rFonts w:ascii="Gellix" w:hAnsi="Gellix"/>
          <w:sz w:val="21"/>
          <w:szCs w:val="21"/>
        </w:rPr>
        <w:t>further</w:t>
      </w:r>
      <w:r w:rsidR="008E0505" w:rsidRPr="0012497B">
        <w:rPr>
          <w:rFonts w:ascii="Gellix" w:hAnsi="Gellix"/>
          <w:sz w:val="21"/>
          <w:szCs w:val="21"/>
        </w:rPr>
        <w:t xml:space="preserve"> in the coming months and years, before </w:t>
      </w:r>
      <w:r w:rsidR="00D90084" w:rsidRPr="0012497B">
        <w:rPr>
          <w:rFonts w:ascii="Gellix" w:hAnsi="Gellix"/>
          <w:sz w:val="21"/>
          <w:szCs w:val="21"/>
        </w:rPr>
        <w:t>impacts and interlinkages with</w:t>
      </w:r>
      <w:r w:rsidR="008873A6" w:rsidRPr="0012497B">
        <w:rPr>
          <w:rFonts w:ascii="Gellix" w:hAnsi="Gellix"/>
          <w:sz w:val="21"/>
          <w:szCs w:val="21"/>
        </w:rPr>
        <w:t xml:space="preserve"> existing compliance and voluntary </w:t>
      </w:r>
      <w:r w:rsidR="00D72134" w:rsidRPr="0012497B">
        <w:rPr>
          <w:rFonts w:ascii="Gellix" w:hAnsi="Gellix"/>
          <w:sz w:val="21"/>
          <w:szCs w:val="21"/>
        </w:rPr>
        <w:t>carbon markets</w:t>
      </w:r>
      <w:r w:rsidR="00D90084" w:rsidRPr="0012497B">
        <w:rPr>
          <w:rFonts w:ascii="Gellix" w:hAnsi="Gellix"/>
          <w:sz w:val="21"/>
          <w:szCs w:val="21"/>
        </w:rPr>
        <w:t xml:space="preserve"> </w:t>
      </w:r>
      <w:r w:rsidR="008873A6" w:rsidRPr="0012497B">
        <w:rPr>
          <w:rFonts w:ascii="Gellix" w:hAnsi="Gellix"/>
          <w:sz w:val="21"/>
          <w:szCs w:val="21"/>
        </w:rPr>
        <w:t xml:space="preserve">as well as </w:t>
      </w:r>
      <w:r w:rsidR="008E0505" w:rsidRPr="0012497B">
        <w:rPr>
          <w:rFonts w:ascii="Gellix" w:hAnsi="Gellix"/>
          <w:sz w:val="21"/>
          <w:szCs w:val="21"/>
        </w:rPr>
        <w:t xml:space="preserve">benefits </w:t>
      </w:r>
      <w:r w:rsidRPr="0012497B">
        <w:rPr>
          <w:rFonts w:ascii="Gellix" w:hAnsi="Gellix"/>
          <w:sz w:val="21"/>
          <w:szCs w:val="21"/>
        </w:rPr>
        <w:t xml:space="preserve">and opportunity for cooperation and alignment </w:t>
      </w:r>
      <w:r w:rsidR="008E0505" w:rsidRPr="0012497B">
        <w:rPr>
          <w:rFonts w:ascii="Gellix" w:hAnsi="Gellix"/>
          <w:sz w:val="21"/>
          <w:szCs w:val="21"/>
        </w:rPr>
        <w:t>can be fully realised.</w:t>
      </w:r>
    </w:p>
    <w:p w14:paraId="2FB91FF8" w14:textId="7851818F" w:rsidR="00E05F99" w:rsidRPr="00E00C0E" w:rsidRDefault="00E05F99" w:rsidP="0022441E">
      <w:pPr>
        <w:spacing w:after="0" w:line="240" w:lineRule="auto"/>
        <w:ind w:left="708"/>
        <w:jc w:val="both"/>
        <w:rPr>
          <w:rFonts w:ascii="Gellix" w:hAnsi="Gellix"/>
          <w:sz w:val="21"/>
          <w:szCs w:val="21"/>
        </w:rPr>
      </w:pPr>
    </w:p>
    <w:p w14:paraId="50AAC4C7" w14:textId="1CBC382C" w:rsidR="00033230" w:rsidRPr="0012497B" w:rsidRDefault="005418B9" w:rsidP="0012497B">
      <w:pPr>
        <w:pStyle w:val="ListParagraph"/>
        <w:numPr>
          <w:ilvl w:val="0"/>
          <w:numId w:val="54"/>
        </w:numPr>
        <w:spacing w:after="0" w:line="240" w:lineRule="auto"/>
        <w:jc w:val="both"/>
        <w:rPr>
          <w:rFonts w:ascii="Gellix" w:hAnsi="Gellix"/>
          <w:sz w:val="21"/>
          <w:szCs w:val="21"/>
        </w:rPr>
      </w:pPr>
      <w:r w:rsidRPr="0012497B">
        <w:rPr>
          <w:rFonts w:ascii="Gellix" w:hAnsi="Gellix"/>
          <w:sz w:val="21"/>
          <w:szCs w:val="21"/>
        </w:rPr>
        <w:t>Finally</w:t>
      </w:r>
      <w:r w:rsidR="00836AC4" w:rsidRPr="0012497B">
        <w:rPr>
          <w:rFonts w:ascii="Gellix" w:hAnsi="Gellix"/>
          <w:sz w:val="21"/>
          <w:szCs w:val="21"/>
        </w:rPr>
        <w:t xml:space="preserve">, the report will </w:t>
      </w:r>
      <w:r w:rsidRPr="0012497B">
        <w:rPr>
          <w:rFonts w:ascii="Gellix" w:hAnsi="Gellix"/>
          <w:sz w:val="21"/>
          <w:szCs w:val="21"/>
        </w:rPr>
        <w:t xml:space="preserve">also </w:t>
      </w:r>
      <w:r w:rsidR="00836AC4" w:rsidRPr="0012497B">
        <w:rPr>
          <w:rFonts w:ascii="Gellix" w:hAnsi="Gellix"/>
          <w:sz w:val="21"/>
          <w:szCs w:val="21"/>
        </w:rPr>
        <w:t>reflect on existing carbon price levels</w:t>
      </w:r>
      <w:r w:rsidR="0084714E" w:rsidRPr="0012497B">
        <w:rPr>
          <w:rFonts w:ascii="Gellix" w:hAnsi="Gellix"/>
          <w:sz w:val="21"/>
          <w:szCs w:val="21"/>
        </w:rPr>
        <w:t xml:space="preserve"> globally</w:t>
      </w:r>
      <w:r w:rsidR="00B82087" w:rsidRPr="0012497B">
        <w:rPr>
          <w:rFonts w:ascii="Gellix" w:hAnsi="Gellix"/>
          <w:sz w:val="21"/>
          <w:szCs w:val="21"/>
        </w:rPr>
        <w:t xml:space="preserve"> and how </w:t>
      </w:r>
      <w:r w:rsidR="00730823" w:rsidRPr="0012497B">
        <w:rPr>
          <w:rFonts w:ascii="Gellix" w:hAnsi="Gellix"/>
          <w:sz w:val="21"/>
          <w:szCs w:val="21"/>
        </w:rPr>
        <w:t xml:space="preserve">inflationary pressures </w:t>
      </w:r>
      <w:r w:rsidR="00B82087" w:rsidRPr="0012497B">
        <w:rPr>
          <w:rFonts w:ascii="Gellix" w:hAnsi="Gellix"/>
          <w:sz w:val="21"/>
          <w:szCs w:val="21"/>
        </w:rPr>
        <w:t xml:space="preserve">can </w:t>
      </w:r>
      <w:r w:rsidR="00A545A6" w:rsidRPr="0012497B">
        <w:rPr>
          <w:rFonts w:ascii="Gellix" w:hAnsi="Gellix"/>
          <w:sz w:val="21"/>
          <w:szCs w:val="21"/>
        </w:rPr>
        <w:t>affect</w:t>
      </w:r>
      <w:r w:rsidR="00B82087" w:rsidRPr="0012497B">
        <w:rPr>
          <w:rFonts w:ascii="Gellix" w:hAnsi="Gellix"/>
          <w:sz w:val="21"/>
          <w:szCs w:val="21"/>
        </w:rPr>
        <w:t xml:space="preserve"> </w:t>
      </w:r>
      <w:r w:rsidR="00730823" w:rsidRPr="0012497B">
        <w:rPr>
          <w:rFonts w:ascii="Gellix" w:hAnsi="Gellix"/>
          <w:sz w:val="21"/>
          <w:szCs w:val="21"/>
        </w:rPr>
        <w:t xml:space="preserve">a push for </w:t>
      </w:r>
      <w:r w:rsidR="00B82087" w:rsidRPr="0012497B">
        <w:rPr>
          <w:rFonts w:ascii="Gellix" w:hAnsi="Gellix"/>
          <w:sz w:val="21"/>
          <w:szCs w:val="21"/>
        </w:rPr>
        <w:t>higher carbon pric</w:t>
      </w:r>
      <w:r w:rsidR="00425565" w:rsidRPr="0012497B">
        <w:rPr>
          <w:rFonts w:ascii="Gellix" w:hAnsi="Gellix"/>
          <w:sz w:val="21"/>
          <w:szCs w:val="21"/>
        </w:rPr>
        <w:t xml:space="preserve">es as well as </w:t>
      </w:r>
      <w:r w:rsidR="00A918CB" w:rsidRPr="0012497B">
        <w:rPr>
          <w:rFonts w:ascii="Gellix" w:hAnsi="Gellix"/>
          <w:sz w:val="21"/>
          <w:szCs w:val="21"/>
        </w:rPr>
        <w:t xml:space="preserve">alternatively </w:t>
      </w:r>
      <w:r w:rsidR="00AF21C8" w:rsidRPr="0012497B">
        <w:rPr>
          <w:rFonts w:ascii="Gellix" w:hAnsi="Gellix"/>
          <w:sz w:val="21"/>
          <w:szCs w:val="21"/>
        </w:rPr>
        <w:t xml:space="preserve">how carbon pricing impacts inflation. </w:t>
      </w:r>
    </w:p>
    <w:p w14:paraId="207C3665" w14:textId="77777777" w:rsidR="00974250" w:rsidRDefault="00974250" w:rsidP="0082353C">
      <w:pPr>
        <w:spacing w:after="0" w:line="240" w:lineRule="auto"/>
        <w:jc w:val="both"/>
        <w:rPr>
          <w:rFonts w:ascii="Gellix" w:hAnsi="Gellix"/>
          <w:sz w:val="21"/>
          <w:szCs w:val="21"/>
        </w:rPr>
      </w:pPr>
    </w:p>
    <w:p w14:paraId="67B997F6" w14:textId="77777777" w:rsidR="00554709" w:rsidRDefault="00554709" w:rsidP="0082353C">
      <w:pPr>
        <w:spacing w:after="0" w:line="240" w:lineRule="auto"/>
        <w:jc w:val="both"/>
        <w:rPr>
          <w:rFonts w:ascii="Gellix" w:hAnsi="Gellix"/>
          <w:sz w:val="21"/>
          <w:szCs w:val="21"/>
        </w:rPr>
      </w:pPr>
    </w:p>
    <w:p w14:paraId="7EE4E5DE" w14:textId="77777777" w:rsidR="00554709" w:rsidRDefault="00554709" w:rsidP="0082353C">
      <w:pPr>
        <w:spacing w:after="0" w:line="240" w:lineRule="auto"/>
        <w:jc w:val="both"/>
        <w:rPr>
          <w:rFonts w:ascii="Gellix" w:hAnsi="Gellix"/>
          <w:sz w:val="21"/>
          <w:szCs w:val="21"/>
        </w:rPr>
      </w:pPr>
    </w:p>
    <w:p w14:paraId="50421BF2" w14:textId="77777777" w:rsidR="00554709" w:rsidRDefault="00554709" w:rsidP="0082353C">
      <w:pPr>
        <w:spacing w:after="0" w:line="240" w:lineRule="auto"/>
        <w:jc w:val="both"/>
        <w:rPr>
          <w:rFonts w:ascii="Gellix" w:hAnsi="Gellix"/>
          <w:sz w:val="21"/>
          <w:szCs w:val="21"/>
        </w:rPr>
      </w:pPr>
    </w:p>
    <w:p w14:paraId="3DAC93B5" w14:textId="77777777" w:rsidR="00554709" w:rsidRDefault="00554709" w:rsidP="0082353C">
      <w:pPr>
        <w:spacing w:after="0" w:line="240" w:lineRule="auto"/>
        <w:jc w:val="both"/>
        <w:rPr>
          <w:rFonts w:ascii="Gellix" w:hAnsi="Gellix"/>
          <w:sz w:val="21"/>
          <w:szCs w:val="21"/>
        </w:rPr>
      </w:pPr>
    </w:p>
    <w:p w14:paraId="694C5CE6" w14:textId="77777777" w:rsidR="00554709" w:rsidRPr="00E00C0E" w:rsidRDefault="00554709" w:rsidP="0082353C">
      <w:pPr>
        <w:spacing w:after="0" w:line="240" w:lineRule="auto"/>
        <w:jc w:val="both"/>
        <w:rPr>
          <w:rFonts w:ascii="Gellix" w:hAnsi="Gellix"/>
          <w:sz w:val="21"/>
          <w:szCs w:val="21"/>
        </w:rPr>
      </w:pPr>
    </w:p>
    <w:p w14:paraId="75A1E789" w14:textId="77777777" w:rsidR="00652FE7" w:rsidRPr="00E00C0E" w:rsidRDefault="00652FE7" w:rsidP="0022441E">
      <w:pPr>
        <w:spacing w:after="0" w:line="240" w:lineRule="auto"/>
        <w:ind w:left="708"/>
        <w:rPr>
          <w:rFonts w:ascii="Gellix" w:hAnsi="Gellix"/>
          <w:sz w:val="21"/>
          <w:szCs w:val="21"/>
          <w:lang w:val="en-US"/>
        </w:rPr>
      </w:pPr>
    </w:p>
    <w:p w14:paraId="35229464" w14:textId="37A26456" w:rsidR="00A31867" w:rsidRPr="002675A4" w:rsidRDefault="00A31867" w:rsidP="002675A4">
      <w:pPr>
        <w:pStyle w:val="ListParagraph"/>
        <w:numPr>
          <w:ilvl w:val="0"/>
          <w:numId w:val="43"/>
        </w:numPr>
        <w:spacing w:after="0" w:line="240" w:lineRule="auto"/>
        <w:rPr>
          <w:rFonts w:ascii="Gellix" w:hAnsi="Gellix"/>
          <w:b/>
          <w:color w:val="00B0F0"/>
          <w:sz w:val="28"/>
          <w:szCs w:val="28"/>
          <w:lang w:val="en-US"/>
        </w:rPr>
      </w:pPr>
      <w:r w:rsidRPr="00DC4736">
        <w:rPr>
          <w:rFonts w:ascii="Gellix" w:hAnsi="Gellix"/>
          <w:b/>
          <w:color w:val="007DFF"/>
          <w:sz w:val="28"/>
          <w:szCs w:val="28"/>
          <w:lang w:val="en-US"/>
        </w:rPr>
        <w:lastRenderedPageBreak/>
        <w:t>ICC Proposals for Effective Carbon Pricing</w:t>
      </w:r>
      <w:r w:rsidR="002E4FAE" w:rsidRPr="00DC4736">
        <w:rPr>
          <w:rFonts w:ascii="Gellix" w:hAnsi="Gellix"/>
          <w:b/>
          <w:color w:val="007DFF"/>
          <w:sz w:val="28"/>
          <w:szCs w:val="28"/>
          <w:lang w:val="en-US"/>
        </w:rPr>
        <w:t xml:space="preserve"> </w:t>
      </w:r>
      <w:r w:rsidR="009A2A63">
        <w:rPr>
          <w:rFonts w:ascii="Gellix" w:hAnsi="Gellix"/>
          <w:b/>
          <w:color w:val="007DFF"/>
          <w:sz w:val="28"/>
          <w:szCs w:val="28"/>
          <w:lang w:val="en-US"/>
        </w:rPr>
        <w:t>[</w:t>
      </w:r>
      <w:r w:rsidR="009A2A63" w:rsidRPr="00920B4B">
        <w:rPr>
          <w:rFonts w:ascii="Gellix" w:hAnsi="Gellix"/>
          <w:b/>
          <w:color w:val="007DFF"/>
          <w:sz w:val="28"/>
          <w:szCs w:val="28"/>
          <w:highlight w:val="yellow"/>
          <w:lang w:val="en-US"/>
        </w:rPr>
        <w:t>TO BE COMPLETED</w:t>
      </w:r>
      <w:r w:rsidR="009A2A63">
        <w:rPr>
          <w:rFonts w:ascii="Gellix" w:hAnsi="Gellix"/>
          <w:b/>
          <w:color w:val="007DFF"/>
          <w:sz w:val="28"/>
          <w:szCs w:val="28"/>
          <w:lang w:val="en-US"/>
        </w:rPr>
        <w:t xml:space="preserve">] </w:t>
      </w:r>
      <w:r w:rsidR="0033668B" w:rsidRPr="002675A4">
        <w:rPr>
          <w:rFonts w:ascii="Gellix" w:hAnsi="Gellix"/>
          <w:i/>
          <w:sz w:val="21"/>
          <w:szCs w:val="21"/>
          <w:lang w:val="en-US"/>
        </w:rPr>
        <w:t>[</w:t>
      </w:r>
      <w:r w:rsidR="009F5AFC" w:rsidRPr="002675A4">
        <w:rPr>
          <w:rFonts w:ascii="Gellix" w:hAnsi="Gellix"/>
          <w:i/>
          <w:sz w:val="21"/>
          <w:szCs w:val="21"/>
          <w:lang w:val="en-US"/>
        </w:rPr>
        <w:t>P</w:t>
      </w:r>
      <w:r w:rsidR="0033668B" w:rsidRPr="002675A4">
        <w:rPr>
          <w:rFonts w:ascii="Gellix" w:hAnsi="Gellix"/>
          <w:i/>
          <w:sz w:val="21"/>
          <w:szCs w:val="21"/>
          <w:lang w:val="en-US"/>
        </w:rPr>
        <w:t>laced upfront in the report</w:t>
      </w:r>
      <w:r w:rsidR="009D532E" w:rsidRPr="002675A4">
        <w:rPr>
          <w:rFonts w:ascii="Gellix" w:hAnsi="Gellix"/>
          <w:i/>
          <w:sz w:val="21"/>
          <w:szCs w:val="21"/>
          <w:lang w:val="en-US"/>
        </w:rPr>
        <w:t xml:space="preserve">: </w:t>
      </w:r>
      <w:r w:rsidR="0033668B" w:rsidRPr="002675A4">
        <w:rPr>
          <w:rFonts w:ascii="Gellix" w:hAnsi="Gellix"/>
          <w:i/>
          <w:sz w:val="21"/>
          <w:szCs w:val="21"/>
          <w:lang w:val="en-US"/>
        </w:rPr>
        <w:t xml:space="preserve">to be completed based on work in </w:t>
      </w:r>
      <w:r w:rsidR="0076309A" w:rsidRPr="002675A4">
        <w:rPr>
          <w:rFonts w:ascii="Gellix" w:hAnsi="Gellix"/>
          <w:i/>
          <w:sz w:val="21"/>
          <w:szCs w:val="21"/>
          <w:lang w:val="en-US"/>
        </w:rPr>
        <w:t>further sections below]</w:t>
      </w:r>
    </w:p>
    <w:p w14:paraId="3D78C22B" w14:textId="77777777" w:rsidR="00A31867" w:rsidRPr="00E00C0E" w:rsidRDefault="00A31867" w:rsidP="0022441E">
      <w:pPr>
        <w:pStyle w:val="ListParagraph"/>
        <w:spacing w:after="0" w:line="240" w:lineRule="auto"/>
        <w:rPr>
          <w:rFonts w:ascii="Gellix" w:hAnsi="Gellix"/>
          <w:b/>
          <w:i/>
          <w:sz w:val="21"/>
          <w:szCs w:val="21"/>
          <w:lang w:val="en-US"/>
        </w:rPr>
      </w:pPr>
    </w:p>
    <w:p w14:paraId="1DB353C3" w14:textId="77777777" w:rsidR="006C6B67" w:rsidRDefault="006C6B67" w:rsidP="006C6B67">
      <w:pPr>
        <w:spacing w:after="0" w:line="240" w:lineRule="auto"/>
        <w:rPr>
          <w:rFonts w:ascii="Gellix" w:hAnsi="Gellix"/>
          <w:i/>
          <w:sz w:val="21"/>
          <w:szCs w:val="21"/>
          <w:lang w:val="en-US"/>
        </w:rPr>
      </w:pPr>
    </w:p>
    <w:p w14:paraId="50BE4BB5" w14:textId="32167831" w:rsidR="004F0689" w:rsidRPr="00CA3F06" w:rsidRDefault="006C6B67" w:rsidP="00CA3F06">
      <w:pPr>
        <w:pStyle w:val="ListParagraph"/>
        <w:numPr>
          <w:ilvl w:val="0"/>
          <w:numId w:val="55"/>
        </w:numPr>
        <w:spacing w:after="0" w:line="240" w:lineRule="auto"/>
        <w:ind w:left="720"/>
        <w:jc w:val="both"/>
        <w:rPr>
          <w:rFonts w:ascii="Gellix" w:hAnsi="Gellix"/>
          <w:sz w:val="21"/>
          <w:szCs w:val="21"/>
        </w:rPr>
      </w:pPr>
      <w:r w:rsidRPr="00CA3F06">
        <w:rPr>
          <w:rFonts w:ascii="Gellix" w:hAnsi="Gellix"/>
          <w:sz w:val="21"/>
          <w:szCs w:val="21"/>
        </w:rPr>
        <w:t>In ICC’s view,</w:t>
      </w:r>
      <w:r w:rsidR="00BC23B8" w:rsidRPr="00CA3F06">
        <w:rPr>
          <w:rFonts w:ascii="Gellix" w:hAnsi="Gellix"/>
          <w:sz w:val="21"/>
          <w:szCs w:val="21"/>
        </w:rPr>
        <w:t xml:space="preserve"> effective and smartly designed carbon pricing can play an important role in accelerating global decarbonisation toward net-zero and sustainable future. In order to achieve this, carbon pricing </w:t>
      </w:r>
      <w:r w:rsidR="00C52253" w:rsidRPr="00CA3F06">
        <w:rPr>
          <w:rFonts w:ascii="Gellix" w:hAnsi="Gellix"/>
          <w:sz w:val="21"/>
          <w:szCs w:val="21"/>
        </w:rPr>
        <w:t xml:space="preserve">systems and markets </w:t>
      </w:r>
      <w:r w:rsidR="00BC23B8" w:rsidRPr="00CA3F06">
        <w:rPr>
          <w:rFonts w:ascii="Gellix" w:hAnsi="Gellix"/>
          <w:sz w:val="21"/>
          <w:szCs w:val="21"/>
        </w:rPr>
        <w:t>need to be consistent</w:t>
      </w:r>
      <w:r w:rsidR="004F0689" w:rsidRPr="00CA3F06">
        <w:rPr>
          <w:rFonts w:ascii="Gellix" w:hAnsi="Gellix"/>
          <w:sz w:val="21"/>
          <w:szCs w:val="21"/>
        </w:rPr>
        <w:t xml:space="preserve"> with the Paris</w:t>
      </w:r>
    </w:p>
    <w:p w14:paraId="32CED168" w14:textId="77777777" w:rsidR="00E100A2" w:rsidRDefault="00EE6513" w:rsidP="00E100A2">
      <w:pPr>
        <w:pStyle w:val="ListParagraph"/>
        <w:spacing w:after="0" w:line="240" w:lineRule="auto"/>
        <w:jc w:val="both"/>
        <w:rPr>
          <w:rFonts w:ascii="Gellix" w:hAnsi="Gellix"/>
          <w:sz w:val="21"/>
          <w:szCs w:val="21"/>
        </w:rPr>
      </w:pPr>
      <w:r w:rsidRPr="00CA3F06">
        <w:rPr>
          <w:rFonts w:ascii="Gellix" w:hAnsi="Gellix"/>
          <w:sz w:val="21"/>
          <w:szCs w:val="21"/>
        </w:rPr>
        <w:t xml:space="preserve">Climate </w:t>
      </w:r>
      <w:r w:rsidR="004F0689" w:rsidRPr="00CA3F06">
        <w:rPr>
          <w:rFonts w:ascii="Gellix" w:hAnsi="Gellix"/>
          <w:sz w:val="21"/>
          <w:szCs w:val="21"/>
        </w:rPr>
        <w:t>A</w:t>
      </w:r>
      <w:r w:rsidRPr="00CA3F06">
        <w:rPr>
          <w:rFonts w:ascii="Gellix" w:hAnsi="Gellix"/>
          <w:sz w:val="21"/>
          <w:szCs w:val="21"/>
        </w:rPr>
        <w:t>ccord</w:t>
      </w:r>
      <w:r w:rsidR="00DB736E" w:rsidRPr="00CA3F06">
        <w:rPr>
          <w:rFonts w:ascii="Gellix" w:hAnsi="Gellix"/>
          <w:sz w:val="21"/>
          <w:szCs w:val="21"/>
        </w:rPr>
        <w:t xml:space="preserve">, </w:t>
      </w:r>
      <w:r w:rsidR="00CD4880" w:rsidRPr="00CA3F06">
        <w:rPr>
          <w:rFonts w:ascii="Gellix" w:hAnsi="Gellix"/>
          <w:sz w:val="21"/>
          <w:szCs w:val="21"/>
        </w:rPr>
        <w:t>keeping a limit of 1.5°C</w:t>
      </w:r>
      <w:r w:rsidR="00783FE7" w:rsidRPr="00CA3F06">
        <w:rPr>
          <w:rFonts w:ascii="Gellix" w:hAnsi="Gellix"/>
          <w:sz w:val="21"/>
          <w:szCs w:val="21"/>
        </w:rPr>
        <w:t xml:space="preserve"> </w:t>
      </w:r>
      <w:r w:rsidR="00CD4880" w:rsidRPr="00CA3F06">
        <w:rPr>
          <w:rFonts w:ascii="Gellix" w:hAnsi="Gellix"/>
          <w:sz w:val="21"/>
          <w:szCs w:val="21"/>
        </w:rPr>
        <w:t>temperature rise within reach and achievement of global net-zero emissions by</w:t>
      </w:r>
      <w:r w:rsidR="00783FE7" w:rsidRPr="00CA3F06">
        <w:rPr>
          <w:rFonts w:ascii="Gellix" w:hAnsi="Gellix"/>
          <w:sz w:val="21"/>
          <w:szCs w:val="21"/>
        </w:rPr>
        <w:t xml:space="preserve"> </w:t>
      </w:r>
      <w:r w:rsidR="00CD4880" w:rsidRPr="00CA3F06">
        <w:rPr>
          <w:rFonts w:ascii="Gellix" w:hAnsi="Gellix"/>
          <w:sz w:val="21"/>
          <w:szCs w:val="21"/>
        </w:rPr>
        <w:t>2050</w:t>
      </w:r>
      <w:r w:rsidR="00422932" w:rsidRPr="00CA3F06">
        <w:rPr>
          <w:rFonts w:ascii="Gellix" w:hAnsi="Gellix"/>
          <w:sz w:val="21"/>
          <w:szCs w:val="21"/>
        </w:rPr>
        <w:t>.</w:t>
      </w:r>
    </w:p>
    <w:p w14:paraId="5672BEC9" w14:textId="0B0DFDD0" w:rsidR="00E100A2" w:rsidRDefault="00422932" w:rsidP="00E100A2">
      <w:pPr>
        <w:pStyle w:val="ListParagraph"/>
        <w:spacing w:after="0" w:line="240" w:lineRule="auto"/>
        <w:jc w:val="both"/>
        <w:rPr>
          <w:rFonts w:ascii="Gellix" w:hAnsi="Gellix"/>
          <w:sz w:val="21"/>
          <w:szCs w:val="21"/>
        </w:rPr>
      </w:pPr>
      <w:r w:rsidRPr="00CA3F06">
        <w:rPr>
          <w:rFonts w:ascii="Gellix" w:hAnsi="Gellix"/>
          <w:sz w:val="21"/>
          <w:szCs w:val="21"/>
        </w:rPr>
        <w:t xml:space="preserve"> </w:t>
      </w:r>
    </w:p>
    <w:p w14:paraId="16C0087E" w14:textId="0A6B6E4A" w:rsidR="00EE6513" w:rsidRPr="00E100A2" w:rsidRDefault="00B17304" w:rsidP="00E100A2">
      <w:pPr>
        <w:pStyle w:val="ListParagraph"/>
        <w:numPr>
          <w:ilvl w:val="0"/>
          <w:numId w:val="56"/>
        </w:numPr>
        <w:spacing w:after="0" w:line="240" w:lineRule="auto"/>
        <w:jc w:val="both"/>
        <w:rPr>
          <w:rFonts w:ascii="Gellix" w:hAnsi="Gellix"/>
          <w:sz w:val="21"/>
          <w:szCs w:val="21"/>
        </w:rPr>
      </w:pPr>
      <w:r w:rsidRPr="00E100A2">
        <w:rPr>
          <w:rFonts w:ascii="Gellix" w:hAnsi="Gellix"/>
          <w:sz w:val="21"/>
          <w:szCs w:val="21"/>
        </w:rPr>
        <w:t xml:space="preserve">They need </w:t>
      </w:r>
      <w:r w:rsidR="00DB736E" w:rsidRPr="00E100A2">
        <w:rPr>
          <w:rFonts w:ascii="Gellix" w:hAnsi="Gellix"/>
          <w:sz w:val="21"/>
          <w:szCs w:val="21"/>
        </w:rPr>
        <w:t xml:space="preserve">first and foremost </w:t>
      </w:r>
      <w:r w:rsidRPr="00E100A2">
        <w:rPr>
          <w:rFonts w:ascii="Gellix" w:hAnsi="Gellix"/>
          <w:sz w:val="21"/>
          <w:szCs w:val="21"/>
        </w:rPr>
        <w:t>contribute to</w:t>
      </w:r>
      <w:r w:rsidR="00783FE7" w:rsidRPr="00E100A2">
        <w:rPr>
          <w:rFonts w:ascii="Gellix" w:hAnsi="Gellix"/>
          <w:sz w:val="21"/>
          <w:szCs w:val="21"/>
        </w:rPr>
        <w:t xml:space="preserve"> </w:t>
      </w:r>
      <w:r w:rsidRPr="00E100A2">
        <w:rPr>
          <w:rFonts w:ascii="Gellix" w:hAnsi="Gellix"/>
          <w:sz w:val="21"/>
          <w:szCs w:val="21"/>
        </w:rPr>
        <w:t>immediate</w:t>
      </w:r>
      <w:r w:rsidR="00DA7CAB" w:rsidRPr="00E100A2">
        <w:rPr>
          <w:rFonts w:ascii="Gellix" w:hAnsi="Gellix"/>
          <w:sz w:val="21"/>
          <w:szCs w:val="21"/>
        </w:rPr>
        <w:t xml:space="preserve"> </w:t>
      </w:r>
      <w:r w:rsidRPr="00E100A2">
        <w:rPr>
          <w:rFonts w:ascii="Gellix" w:hAnsi="Gellix"/>
          <w:sz w:val="21"/>
          <w:szCs w:val="21"/>
        </w:rPr>
        <w:t xml:space="preserve">efforts to reduce </w:t>
      </w:r>
      <w:r w:rsidR="00E26C8B" w:rsidRPr="00E100A2">
        <w:rPr>
          <w:rFonts w:ascii="Gellix" w:hAnsi="Gellix"/>
          <w:sz w:val="21"/>
          <w:szCs w:val="21"/>
        </w:rPr>
        <w:t xml:space="preserve">GHG </w:t>
      </w:r>
      <w:r w:rsidRPr="00E100A2">
        <w:rPr>
          <w:rFonts w:ascii="Gellix" w:hAnsi="Gellix"/>
          <w:sz w:val="21"/>
          <w:szCs w:val="21"/>
        </w:rPr>
        <w:t>emissions in line with science-aligned pathways</w:t>
      </w:r>
      <w:r w:rsidR="00E26C8B" w:rsidRPr="00E100A2">
        <w:rPr>
          <w:rFonts w:ascii="Gellix" w:hAnsi="Gellix"/>
          <w:sz w:val="21"/>
          <w:szCs w:val="21"/>
        </w:rPr>
        <w:t xml:space="preserve"> and help countries and </w:t>
      </w:r>
      <w:r w:rsidR="00C814BB" w:rsidRPr="00E100A2">
        <w:rPr>
          <w:rFonts w:ascii="Gellix" w:hAnsi="Gellix"/>
          <w:sz w:val="21"/>
          <w:szCs w:val="21"/>
        </w:rPr>
        <w:t xml:space="preserve">the private sector to achieve set emissions targets. </w:t>
      </w:r>
      <w:r w:rsidR="00E26C8B" w:rsidRPr="00E100A2">
        <w:rPr>
          <w:rFonts w:ascii="Gellix" w:hAnsi="Gellix"/>
          <w:sz w:val="21"/>
          <w:szCs w:val="21"/>
        </w:rPr>
        <w:t xml:space="preserve"> </w:t>
      </w:r>
    </w:p>
    <w:p w14:paraId="426CBA20" w14:textId="77777777" w:rsidR="00EE6513" w:rsidRDefault="00EE6513" w:rsidP="00CA3F06">
      <w:pPr>
        <w:spacing w:after="0" w:line="240" w:lineRule="auto"/>
        <w:jc w:val="both"/>
        <w:rPr>
          <w:rFonts w:ascii="Gellix" w:hAnsi="Gellix"/>
          <w:sz w:val="21"/>
          <w:szCs w:val="21"/>
        </w:rPr>
      </w:pPr>
    </w:p>
    <w:p w14:paraId="6C79B6AB" w14:textId="77777777" w:rsidR="00E100A2" w:rsidRDefault="00025317" w:rsidP="00E100A2">
      <w:pPr>
        <w:pStyle w:val="ListParagraph"/>
        <w:numPr>
          <w:ilvl w:val="0"/>
          <w:numId w:val="55"/>
        </w:numPr>
        <w:spacing w:after="0" w:line="240" w:lineRule="auto"/>
        <w:ind w:left="720"/>
        <w:jc w:val="both"/>
        <w:rPr>
          <w:rFonts w:ascii="Gellix" w:hAnsi="Gellix"/>
          <w:sz w:val="21"/>
          <w:szCs w:val="21"/>
        </w:rPr>
      </w:pPr>
      <w:r w:rsidRPr="00CA3F06">
        <w:rPr>
          <w:rFonts w:ascii="Gellix" w:hAnsi="Gellix"/>
          <w:sz w:val="21"/>
          <w:szCs w:val="21"/>
        </w:rPr>
        <w:t>I</w:t>
      </w:r>
      <w:r w:rsidR="006C6B67" w:rsidRPr="00CA3F06">
        <w:rPr>
          <w:rFonts w:ascii="Gellix" w:hAnsi="Gellix"/>
          <w:sz w:val="21"/>
          <w:szCs w:val="21"/>
        </w:rPr>
        <w:t>n additio</w:t>
      </w:r>
      <w:r w:rsidRPr="00CA3F06">
        <w:rPr>
          <w:rFonts w:ascii="Gellix" w:hAnsi="Gellix"/>
          <w:sz w:val="21"/>
          <w:szCs w:val="21"/>
        </w:rPr>
        <w:t xml:space="preserve">n, </w:t>
      </w:r>
      <w:r w:rsidR="00880EA4" w:rsidRPr="00CA3F06">
        <w:rPr>
          <w:rFonts w:ascii="Gellix" w:hAnsi="Gellix"/>
          <w:sz w:val="21"/>
          <w:szCs w:val="21"/>
        </w:rPr>
        <w:t xml:space="preserve">it is imperative that </w:t>
      </w:r>
      <w:r w:rsidRPr="00CA3F06">
        <w:rPr>
          <w:rFonts w:ascii="Gellix" w:hAnsi="Gellix"/>
          <w:sz w:val="21"/>
          <w:szCs w:val="21"/>
        </w:rPr>
        <w:t xml:space="preserve">carbon pricing </w:t>
      </w:r>
      <w:r w:rsidR="006C6B67" w:rsidRPr="00CA3F06">
        <w:rPr>
          <w:rFonts w:ascii="Gellix" w:hAnsi="Gellix"/>
          <w:sz w:val="21"/>
          <w:szCs w:val="21"/>
        </w:rPr>
        <w:t>provides a predictable framework that facilitates both</w:t>
      </w:r>
      <w:r w:rsidR="00363D2F" w:rsidRPr="00CA3F06">
        <w:rPr>
          <w:rFonts w:ascii="Gellix" w:hAnsi="Gellix"/>
          <w:sz w:val="21"/>
          <w:szCs w:val="21"/>
        </w:rPr>
        <w:t xml:space="preserve"> </w:t>
      </w:r>
      <w:r w:rsidR="006C6B67" w:rsidRPr="00CA3F06">
        <w:rPr>
          <w:rFonts w:ascii="Gellix" w:hAnsi="Gellix"/>
          <w:sz w:val="21"/>
          <w:szCs w:val="21"/>
        </w:rPr>
        <w:t>national</w:t>
      </w:r>
      <w:r w:rsidR="00763541" w:rsidRPr="00CA3F06">
        <w:rPr>
          <w:rFonts w:ascii="Gellix" w:hAnsi="Gellix"/>
          <w:sz w:val="21"/>
          <w:szCs w:val="21"/>
        </w:rPr>
        <w:t xml:space="preserve">, subnational and </w:t>
      </w:r>
      <w:r w:rsidR="006C6B67" w:rsidRPr="00CA3F06">
        <w:rPr>
          <w:rFonts w:ascii="Gellix" w:hAnsi="Gellix"/>
          <w:sz w:val="21"/>
          <w:szCs w:val="21"/>
        </w:rPr>
        <w:t xml:space="preserve">international cooperation for greater consistency, </w:t>
      </w:r>
      <w:r w:rsidR="00133C9B" w:rsidRPr="00CA3F06">
        <w:rPr>
          <w:rFonts w:ascii="Gellix" w:hAnsi="Gellix"/>
          <w:sz w:val="21"/>
          <w:szCs w:val="21"/>
        </w:rPr>
        <w:t xml:space="preserve">and most importantly </w:t>
      </w:r>
      <w:r w:rsidR="00945850" w:rsidRPr="00CA3F06">
        <w:rPr>
          <w:rFonts w:ascii="Gellix" w:hAnsi="Gellix"/>
          <w:sz w:val="21"/>
          <w:szCs w:val="21"/>
        </w:rPr>
        <w:t>unlock</w:t>
      </w:r>
      <w:r w:rsidR="009B05D6" w:rsidRPr="00CA3F06">
        <w:rPr>
          <w:rFonts w:ascii="Gellix" w:hAnsi="Gellix"/>
          <w:sz w:val="21"/>
          <w:szCs w:val="21"/>
        </w:rPr>
        <w:t>s</w:t>
      </w:r>
      <w:r w:rsidR="00945850" w:rsidRPr="00CA3F06">
        <w:rPr>
          <w:rFonts w:ascii="Gellix" w:hAnsi="Gellix"/>
          <w:sz w:val="21"/>
          <w:szCs w:val="21"/>
        </w:rPr>
        <w:t xml:space="preserve"> social benefits and ensures a </w:t>
      </w:r>
      <w:r w:rsidR="006C6B67" w:rsidRPr="00CA3F06">
        <w:rPr>
          <w:rFonts w:ascii="Gellix" w:hAnsi="Gellix"/>
          <w:sz w:val="21"/>
          <w:szCs w:val="21"/>
        </w:rPr>
        <w:t>just transition with access to affordable</w:t>
      </w:r>
      <w:r w:rsidR="00C35B9B" w:rsidRPr="00CA3F06">
        <w:rPr>
          <w:rFonts w:ascii="Gellix" w:hAnsi="Gellix"/>
          <w:sz w:val="21"/>
          <w:szCs w:val="21"/>
        </w:rPr>
        <w:t xml:space="preserve">, sustainable and </w:t>
      </w:r>
      <w:r w:rsidR="006C6B67" w:rsidRPr="00CA3F06">
        <w:rPr>
          <w:rFonts w:ascii="Gellix" w:hAnsi="Gellix"/>
          <w:sz w:val="21"/>
          <w:szCs w:val="21"/>
        </w:rPr>
        <w:t>low-carbon energy sources</w:t>
      </w:r>
      <w:r w:rsidR="009B05D6" w:rsidRPr="00CA3F06">
        <w:rPr>
          <w:rFonts w:ascii="Gellix" w:hAnsi="Gellix"/>
          <w:sz w:val="21"/>
          <w:szCs w:val="21"/>
        </w:rPr>
        <w:t xml:space="preserve"> for all. </w:t>
      </w:r>
      <w:r w:rsidR="006C6B67" w:rsidRPr="00CA3F06">
        <w:rPr>
          <w:rFonts w:ascii="Gellix" w:hAnsi="Gellix"/>
          <w:sz w:val="21"/>
          <w:szCs w:val="21"/>
        </w:rPr>
        <w:t xml:space="preserve">  </w:t>
      </w:r>
    </w:p>
    <w:p w14:paraId="47D8983A" w14:textId="77777777" w:rsidR="00E100A2" w:rsidRDefault="00E100A2" w:rsidP="00E100A2">
      <w:pPr>
        <w:spacing w:after="0" w:line="240" w:lineRule="auto"/>
        <w:jc w:val="both"/>
        <w:rPr>
          <w:rFonts w:ascii="Gellix" w:hAnsi="Gellix"/>
          <w:b/>
          <w:sz w:val="21"/>
          <w:szCs w:val="21"/>
        </w:rPr>
      </w:pPr>
    </w:p>
    <w:p w14:paraId="5EC42FF8" w14:textId="00A15222" w:rsidR="00E100A2" w:rsidRPr="00E100A2" w:rsidRDefault="00E100A2" w:rsidP="00E100A2">
      <w:pPr>
        <w:spacing w:after="0" w:line="240" w:lineRule="auto"/>
        <w:jc w:val="both"/>
        <w:rPr>
          <w:rFonts w:ascii="Gellix" w:hAnsi="Gellix"/>
          <w:b/>
          <w:sz w:val="21"/>
          <w:szCs w:val="21"/>
        </w:rPr>
      </w:pPr>
      <w:r w:rsidRPr="00E100A2">
        <w:rPr>
          <w:rFonts w:ascii="Gellix" w:hAnsi="Gellix"/>
          <w:b/>
          <w:sz w:val="21"/>
          <w:szCs w:val="21"/>
        </w:rPr>
        <w:t>ICC proposals and key considerations for policymakers</w:t>
      </w:r>
    </w:p>
    <w:p w14:paraId="0322FB3F" w14:textId="77777777" w:rsidR="00E100A2" w:rsidRPr="00E100A2" w:rsidRDefault="00E100A2" w:rsidP="00E100A2">
      <w:pPr>
        <w:spacing w:after="0" w:line="240" w:lineRule="auto"/>
        <w:jc w:val="both"/>
        <w:rPr>
          <w:rFonts w:ascii="Gellix" w:hAnsi="Gellix"/>
          <w:sz w:val="21"/>
          <w:szCs w:val="21"/>
        </w:rPr>
      </w:pPr>
    </w:p>
    <w:p w14:paraId="283E4C37" w14:textId="40CCA63F" w:rsidR="00A63CAA" w:rsidRPr="00E100A2" w:rsidRDefault="003A0B1F" w:rsidP="00E100A2">
      <w:pPr>
        <w:pStyle w:val="ListParagraph"/>
        <w:numPr>
          <w:ilvl w:val="0"/>
          <w:numId w:val="55"/>
        </w:numPr>
        <w:spacing w:after="0" w:line="240" w:lineRule="auto"/>
        <w:ind w:left="720"/>
        <w:jc w:val="both"/>
        <w:rPr>
          <w:rFonts w:ascii="Gellix" w:hAnsi="Gellix"/>
          <w:sz w:val="21"/>
          <w:szCs w:val="21"/>
        </w:rPr>
      </w:pPr>
      <w:r w:rsidRPr="00E100A2">
        <w:rPr>
          <w:rFonts w:ascii="Gellix" w:hAnsi="Gellix"/>
          <w:sz w:val="21"/>
          <w:szCs w:val="21"/>
        </w:rPr>
        <w:t xml:space="preserve">Based </w:t>
      </w:r>
      <w:r w:rsidR="00AE06D5" w:rsidRPr="00E100A2">
        <w:rPr>
          <w:rFonts w:ascii="Gellix" w:hAnsi="Gellix"/>
          <w:sz w:val="21"/>
          <w:szCs w:val="21"/>
        </w:rPr>
        <w:t>on</w:t>
      </w:r>
      <w:r w:rsidR="00FF3BCB" w:rsidRPr="00E100A2">
        <w:rPr>
          <w:rFonts w:ascii="Gellix" w:hAnsi="Gellix"/>
          <w:sz w:val="21"/>
          <w:szCs w:val="21"/>
        </w:rPr>
        <w:t xml:space="preserve"> </w:t>
      </w:r>
      <w:r w:rsidR="00A42947" w:rsidRPr="00E100A2">
        <w:rPr>
          <w:rFonts w:ascii="Gellix" w:hAnsi="Gellix"/>
          <w:sz w:val="21"/>
          <w:szCs w:val="21"/>
        </w:rPr>
        <w:t xml:space="preserve">the </w:t>
      </w:r>
      <w:r w:rsidR="008F2282" w:rsidRPr="00E100A2">
        <w:rPr>
          <w:rFonts w:ascii="Gellix" w:hAnsi="Gellix"/>
          <w:sz w:val="21"/>
          <w:szCs w:val="21"/>
        </w:rPr>
        <w:t>analysis</w:t>
      </w:r>
      <w:r w:rsidR="00030A20" w:rsidRPr="00E100A2">
        <w:rPr>
          <w:rFonts w:ascii="Gellix" w:hAnsi="Gellix"/>
          <w:sz w:val="21"/>
          <w:szCs w:val="21"/>
        </w:rPr>
        <w:t xml:space="preserve"> hereafter </w:t>
      </w:r>
      <w:r w:rsidR="005A762B" w:rsidRPr="00E100A2">
        <w:rPr>
          <w:rFonts w:ascii="Gellix" w:hAnsi="Gellix"/>
          <w:sz w:val="21"/>
          <w:szCs w:val="21"/>
        </w:rPr>
        <w:t xml:space="preserve">undertaken by the </w:t>
      </w:r>
      <w:r w:rsidR="00030A20" w:rsidRPr="00E100A2">
        <w:rPr>
          <w:rFonts w:ascii="Gellix" w:hAnsi="Gellix"/>
          <w:sz w:val="21"/>
          <w:szCs w:val="21"/>
        </w:rPr>
        <w:t>ICC technical working group on carbon pricing</w:t>
      </w:r>
      <w:r w:rsidR="001926A6" w:rsidRPr="00E100A2">
        <w:rPr>
          <w:rFonts w:ascii="Gellix" w:hAnsi="Gellix"/>
          <w:sz w:val="21"/>
          <w:szCs w:val="21"/>
        </w:rPr>
        <w:t xml:space="preserve"> as well as </w:t>
      </w:r>
      <w:r w:rsidR="00AF49E1">
        <w:rPr>
          <w:rFonts w:ascii="Gellix" w:hAnsi="Gellix"/>
          <w:sz w:val="21"/>
          <w:szCs w:val="21"/>
        </w:rPr>
        <w:t>previous</w:t>
      </w:r>
      <w:r w:rsidR="00896B23">
        <w:rPr>
          <w:rFonts w:ascii="Gellix" w:hAnsi="Gellix"/>
          <w:sz w:val="21"/>
          <w:szCs w:val="21"/>
        </w:rPr>
        <w:t xml:space="preserve"> work and </w:t>
      </w:r>
      <w:r w:rsidR="005A762B" w:rsidRPr="00E100A2">
        <w:rPr>
          <w:rFonts w:ascii="Gellix" w:hAnsi="Gellix"/>
          <w:sz w:val="21"/>
          <w:szCs w:val="21"/>
        </w:rPr>
        <w:t xml:space="preserve">further exchanges with </w:t>
      </w:r>
      <w:r w:rsidR="001926A6" w:rsidRPr="00E100A2">
        <w:rPr>
          <w:rFonts w:ascii="Gellix" w:hAnsi="Gellix"/>
          <w:sz w:val="21"/>
          <w:szCs w:val="21"/>
        </w:rPr>
        <w:t>governments and academia</w:t>
      </w:r>
      <w:r w:rsidR="002B5EB8" w:rsidRPr="00E100A2">
        <w:rPr>
          <w:rFonts w:ascii="Gellix" w:hAnsi="Gellix"/>
          <w:sz w:val="21"/>
          <w:szCs w:val="21"/>
        </w:rPr>
        <w:t xml:space="preserve">, countries should consider the following </w:t>
      </w:r>
      <w:r w:rsidR="00AF49E1">
        <w:rPr>
          <w:rFonts w:ascii="Gellix" w:hAnsi="Gellix"/>
          <w:sz w:val="21"/>
          <w:szCs w:val="21"/>
        </w:rPr>
        <w:t xml:space="preserve">immediate </w:t>
      </w:r>
      <w:r w:rsidR="002B5EB8" w:rsidRPr="00E100A2">
        <w:rPr>
          <w:rFonts w:ascii="Gellix" w:hAnsi="Gellix"/>
          <w:sz w:val="21"/>
          <w:szCs w:val="21"/>
        </w:rPr>
        <w:t>action</w:t>
      </w:r>
      <w:r w:rsidR="001926A6" w:rsidRPr="00E100A2">
        <w:rPr>
          <w:rFonts w:ascii="Gellix" w:hAnsi="Gellix"/>
          <w:sz w:val="21"/>
          <w:szCs w:val="21"/>
        </w:rPr>
        <w:t>s</w:t>
      </w:r>
      <w:r w:rsidR="002B5EB8" w:rsidRPr="00E100A2">
        <w:rPr>
          <w:rFonts w:ascii="Gellix" w:hAnsi="Gellix"/>
          <w:sz w:val="21"/>
          <w:szCs w:val="21"/>
        </w:rPr>
        <w:t xml:space="preserve"> to support the development of </w:t>
      </w:r>
      <w:r w:rsidR="00EF1685" w:rsidRPr="00E100A2">
        <w:rPr>
          <w:rFonts w:ascii="Gellix" w:hAnsi="Gellix"/>
          <w:sz w:val="21"/>
          <w:szCs w:val="21"/>
        </w:rPr>
        <w:t>effective carbon pricing</w:t>
      </w:r>
      <w:r w:rsidR="001926A6" w:rsidRPr="00E100A2">
        <w:rPr>
          <w:rFonts w:ascii="Gellix" w:hAnsi="Gellix"/>
          <w:sz w:val="21"/>
          <w:szCs w:val="21"/>
        </w:rPr>
        <w:t xml:space="preserve"> systems</w:t>
      </w:r>
      <w:r w:rsidR="00A846A0">
        <w:rPr>
          <w:rFonts w:ascii="Gellix" w:hAnsi="Gellix"/>
          <w:sz w:val="21"/>
          <w:szCs w:val="21"/>
        </w:rPr>
        <w:t xml:space="preserve">, </w:t>
      </w:r>
      <w:r w:rsidR="00007263">
        <w:rPr>
          <w:rFonts w:ascii="Gellix" w:hAnsi="Gellix"/>
          <w:sz w:val="21"/>
          <w:szCs w:val="21"/>
        </w:rPr>
        <w:t xml:space="preserve">that can lead, </w:t>
      </w:r>
      <w:r w:rsidR="00CE587E" w:rsidRPr="00E100A2">
        <w:rPr>
          <w:rFonts w:ascii="Gellix" w:hAnsi="Gellix"/>
          <w:sz w:val="21"/>
          <w:szCs w:val="21"/>
        </w:rPr>
        <w:t xml:space="preserve">in the medium </w:t>
      </w:r>
      <w:r w:rsidR="00007263">
        <w:rPr>
          <w:rFonts w:ascii="Gellix" w:hAnsi="Gellix"/>
          <w:sz w:val="21"/>
          <w:szCs w:val="21"/>
        </w:rPr>
        <w:t xml:space="preserve">and long </w:t>
      </w:r>
      <w:r w:rsidR="00CE587E" w:rsidRPr="00E100A2">
        <w:rPr>
          <w:rFonts w:ascii="Gellix" w:hAnsi="Gellix"/>
          <w:sz w:val="21"/>
          <w:szCs w:val="21"/>
        </w:rPr>
        <w:t>term</w:t>
      </w:r>
      <w:r w:rsidR="005359E3">
        <w:rPr>
          <w:rFonts w:ascii="Gellix" w:hAnsi="Gellix"/>
          <w:sz w:val="21"/>
          <w:szCs w:val="21"/>
        </w:rPr>
        <w:t xml:space="preserve">, to </w:t>
      </w:r>
      <w:r w:rsidR="00F67E8C">
        <w:rPr>
          <w:rFonts w:ascii="Gellix" w:hAnsi="Gellix"/>
          <w:sz w:val="21"/>
          <w:szCs w:val="21"/>
        </w:rPr>
        <w:t xml:space="preserve">the </w:t>
      </w:r>
      <w:r w:rsidR="00CE587E" w:rsidRPr="00E100A2">
        <w:rPr>
          <w:rFonts w:ascii="Gellix" w:hAnsi="Gellix"/>
          <w:sz w:val="21"/>
          <w:szCs w:val="21"/>
        </w:rPr>
        <w:t xml:space="preserve">creation </w:t>
      </w:r>
      <w:r w:rsidR="00BF4BA1" w:rsidRPr="00E100A2">
        <w:rPr>
          <w:rFonts w:ascii="Gellix" w:hAnsi="Gellix"/>
          <w:sz w:val="21"/>
          <w:szCs w:val="21"/>
        </w:rPr>
        <w:t>of a</w:t>
      </w:r>
      <w:r w:rsidR="00CE587E" w:rsidRPr="00E100A2">
        <w:rPr>
          <w:rFonts w:ascii="Gellix" w:hAnsi="Gellix"/>
          <w:sz w:val="21"/>
          <w:szCs w:val="21"/>
        </w:rPr>
        <w:t xml:space="preserve"> sustained and robust global carbon market</w:t>
      </w:r>
      <w:r w:rsidR="001926A6" w:rsidRPr="00E100A2">
        <w:rPr>
          <w:rFonts w:ascii="Gellix" w:hAnsi="Gellix"/>
          <w:sz w:val="21"/>
          <w:szCs w:val="21"/>
        </w:rPr>
        <w:t xml:space="preserve">: </w:t>
      </w:r>
    </w:p>
    <w:p w14:paraId="21D56E0C" w14:textId="77777777" w:rsidR="0002769E" w:rsidRDefault="0002769E" w:rsidP="0002769E">
      <w:pPr>
        <w:spacing w:after="0" w:line="240" w:lineRule="auto"/>
        <w:ind w:left="708"/>
        <w:jc w:val="both"/>
        <w:rPr>
          <w:rFonts w:ascii="Gellix" w:hAnsi="Gellix"/>
          <w:b/>
          <w:sz w:val="21"/>
          <w:szCs w:val="21"/>
        </w:rPr>
      </w:pPr>
    </w:p>
    <w:p w14:paraId="43600D8B" w14:textId="32DC2F56" w:rsidR="00491ECE" w:rsidRDefault="009B7F6D" w:rsidP="00736431">
      <w:pPr>
        <w:pStyle w:val="ListParagraph"/>
        <w:numPr>
          <w:ilvl w:val="0"/>
          <w:numId w:val="51"/>
        </w:numPr>
        <w:spacing w:after="0" w:line="240" w:lineRule="auto"/>
        <w:rPr>
          <w:rFonts w:ascii="Gellix" w:hAnsi="Gellix"/>
          <w:sz w:val="21"/>
          <w:szCs w:val="21"/>
          <w:lang w:val="en-US"/>
        </w:rPr>
      </w:pPr>
      <w:r w:rsidRPr="00454FFE">
        <w:rPr>
          <w:rFonts w:ascii="Gellix" w:hAnsi="Gellix"/>
          <w:b/>
          <w:bCs/>
          <w:sz w:val="21"/>
          <w:szCs w:val="21"/>
          <w:lang w:val="en-US"/>
        </w:rPr>
        <w:t>Policy-makers should address carbon leakage concerns</w:t>
      </w:r>
      <w:r w:rsidR="00747F9A">
        <w:rPr>
          <w:rFonts w:ascii="Gellix" w:hAnsi="Gellix"/>
          <w:b/>
          <w:bCs/>
          <w:sz w:val="21"/>
          <w:szCs w:val="21"/>
          <w:lang w:val="en-US"/>
        </w:rPr>
        <w:t xml:space="preserve"> by developing measures that </w:t>
      </w:r>
      <w:r w:rsidR="00747F9A" w:rsidRPr="00747F9A">
        <w:rPr>
          <w:rFonts w:ascii="Gellix" w:hAnsi="Gellix"/>
          <w:b/>
          <w:bCs/>
          <w:sz w:val="21"/>
          <w:szCs w:val="21"/>
          <w:lang w:val="en-US"/>
        </w:rPr>
        <w:t>genuinely</w:t>
      </w:r>
      <w:r w:rsidR="00747F9A">
        <w:rPr>
          <w:rFonts w:ascii="Gellix" w:hAnsi="Gellix"/>
          <w:b/>
          <w:bCs/>
          <w:sz w:val="21"/>
          <w:szCs w:val="21"/>
          <w:lang w:val="en-US"/>
        </w:rPr>
        <w:t xml:space="preserve"> </w:t>
      </w:r>
      <w:r w:rsidR="00747F9A" w:rsidRPr="00747F9A">
        <w:rPr>
          <w:rFonts w:ascii="Gellix" w:hAnsi="Gellix"/>
          <w:b/>
          <w:bCs/>
          <w:sz w:val="21"/>
          <w:szCs w:val="21"/>
          <w:lang w:val="en-US"/>
        </w:rPr>
        <w:t xml:space="preserve">prevent </w:t>
      </w:r>
      <w:r w:rsidR="00F6186B">
        <w:rPr>
          <w:rFonts w:ascii="Gellix" w:hAnsi="Gellix"/>
          <w:b/>
          <w:bCs/>
          <w:sz w:val="21"/>
          <w:szCs w:val="21"/>
          <w:lang w:val="en-US"/>
        </w:rPr>
        <w:t>risk</w:t>
      </w:r>
      <w:r w:rsidR="00120A95">
        <w:rPr>
          <w:rFonts w:ascii="Gellix" w:hAnsi="Gellix"/>
          <w:b/>
          <w:bCs/>
          <w:sz w:val="21"/>
          <w:szCs w:val="21"/>
          <w:lang w:val="en-US"/>
        </w:rPr>
        <w:t>s</w:t>
      </w:r>
      <w:r w:rsidR="00F6186B">
        <w:rPr>
          <w:rFonts w:ascii="Gellix" w:hAnsi="Gellix"/>
          <w:b/>
          <w:bCs/>
          <w:sz w:val="21"/>
          <w:szCs w:val="21"/>
          <w:lang w:val="en-US"/>
        </w:rPr>
        <w:t xml:space="preserve"> for </w:t>
      </w:r>
      <w:r w:rsidR="00F6186B" w:rsidRPr="00F6186B">
        <w:rPr>
          <w:rFonts w:ascii="Gellix" w:hAnsi="Gellix"/>
          <w:b/>
          <w:bCs/>
          <w:sz w:val="21"/>
          <w:szCs w:val="21"/>
          <w:lang w:val="en-US"/>
        </w:rPr>
        <w:t xml:space="preserve">relocation of </w:t>
      </w:r>
      <w:r w:rsidR="00F6186B">
        <w:rPr>
          <w:rFonts w:ascii="Gellix" w:hAnsi="Gellix"/>
          <w:b/>
          <w:bCs/>
          <w:sz w:val="21"/>
          <w:szCs w:val="21"/>
          <w:lang w:val="en-US"/>
        </w:rPr>
        <w:t>in country</w:t>
      </w:r>
      <w:r w:rsidR="00F6186B" w:rsidRPr="00F6186B">
        <w:rPr>
          <w:rFonts w:ascii="Gellix" w:hAnsi="Gellix"/>
          <w:b/>
          <w:bCs/>
          <w:sz w:val="21"/>
          <w:szCs w:val="21"/>
          <w:lang w:val="en-US"/>
        </w:rPr>
        <w:t>-based production (and associated emissions) to countries with less</w:t>
      </w:r>
      <w:r w:rsidR="00F6186B">
        <w:rPr>
          <w:rFonts w:ascii="Gellix" w:hAnsi="Gellix"/>
          <w:b/>
          <w:bCs/>
          <w:sz w:val="21"/>
          <w:szCs w:val="21"/>
          <w:lang w:val="en-US"/>
        </w:rPr>
        <w:t xml:space="preserve"> ambitious climate goals, </w:t>
      </w:r>
      <w:r>
        <w:rPr>
          <w:rFonts w:ascii="Gellix" w:hAnsi="Gellix"/>
          <w:sz w:val="21"/>
          <w:szCs w:val="21"/>
          <w:lang w:val="en-US"/>
        </w:rPr>
        <w:t xml:space="preserve">in particular </w:t>
      </w:r>
      <w:r w:rsidRPr="009B7F6D">
        <w:rPr>
          <w:rFonts w:ascii="Gellix" w:hAnsi="Gellix"/>
          <w:sz w:val="21"/>
          <w:szCs w:val="21"/>
          <w:lang w:val="en-US"/>
        </w:rPr>
        <w:t>for those sectors in global</w:t>
      </w:r>
      <w:r>
        <w:rPr>
          <w:rFonts w:ascii="Gellix" w:hAnsi="Gellix"/>
          <w:sz w:val="21"/>
          <w:szCs w:val="21"/>
          <w:lang w:val="en-US"/>
        </w:rPr>
        <w:t xml:space="preserve"> </w:t>
      </w:r>
      <w:r w:rsidRPr="009B7F6D">
        <w:rPr>
          <w:rFonts w:ascii="Gellix" w:hAnsi="Gellix"/>
          <w:sz w:val="21"/>
          <w:szCs w:val="21"/>
          <w:lang w:val="en-US"/>
        </w:rPr>
        <w:t>competition and for those that are not in a position to pass on additional costs arising</w:t>
      </w:r>
      <w:r w:rsidR="00454FFE">
        <w:rPr>
          <w:rFonts w:ascii="Gellix" w:hAnsi="Gellix"/>
          <w:sz w:val="21"/>
          <w:szCs w:val="21"/>
          <w:lang w:val="en-US"/>
        </w:rPr>
        <w:t xml:space="preserve"> </w:t>
      </w:r>
      <w:r w:rsidRPr="00454FFE">
        <w:rPr>
          <w:rFonts w:ascii="Gellix" w:hAnsi="Gellix"/>
          <w:sz w:val="21"/>
          <w:szCs w:val="21"/>
          <w:lang w:val="en-US"/>
        </w:rPr>
        <w:t>through carbon pricing.</w:t>
      </w:r>
      <w:r w:rsidR="00593820">
        <w:rPr>
          <w:rFonts w:ascii="Gellix" w:hAnsi="Gellix"/>
          <w:sz w:val="21"/>
          <w:szCs w:val="21"/>
          <w:lang w:val="en-US"/>
        </w:rPr>
        <w:t xml:space="preserve"> </w:t>
      </w:r>
    </w:p>
    <w:p w14:paraId="7A2FD445" w14:textId="77777777" w:rsidR="00491ECE" w:rsidRDefault="00491ECE" w:rsidP="00491ECE">
      <w:pPr>
        <w:pStyle w:val="ListParagraph"/>
        <w:spacing w:after="0" w:line="240" w:lineRule="auto"/>
        <w:rPr>
          <w:rFonts w:ascii="Gellix" w:hAnsi="Gellix"/>
          <w:sz w:val="21"/>
          <w:szCs w:val="21"/>
          <w:lang w:val="en-US"/>
        </w:rPr>
      </w:pPr>
    </w:p>
    <w:p w14:paraId="0407293A" w14:textId="45759F3A" w:rsidR="009B7F6D" w:rsidRDefault="00736431" w:rsidP="000622BE">
      <w:pPr>
        <w:pStyle w:val="ListParagraph"/>
        <w:numPr>
          <w:ilvl w:val="0"/>
          <w:numId w:val="51"/>
        </w:numPr>
        <w:spacing w:after="0" w:line="240" w:lineRule="auto"/>
        <w:rPr>
          <w:rFonts w:ascii="Gellix" w:hAnsi="Gellix"/>
          <w:sz w:val="21"/>
          <w:szCs w:val="21"/>
          <w:lang w:val="en-US"/>
        </w:rPr>
      </w:pPr>
      <w:r w:rsidRPr="0062021C">
        <w:rPr>
          <w:rFonts w:ascii="Gellix" w:hAnsi="Gellix"/>
          <w:sz w:val="21"/>
          <w:szCs w:val="21"/>
          <w:lang w:val="en-US"/>
        </w:rPr>
        <w:t>Any such approaches to prevent carbon leakage</w:t>
      </w:r>
      <w:r w:rsidR="0095792C" w:rsidRPr="0062021C">
        <w:rPr>
          <w:rFonts w:ascii="Gellix" w:hAnsi="Gellix"/>
          <w:sz w:val="21"/>
          <w:szCs w:val="21"/>
          <w:lang w:val="en-US"/>
        </w:rPr>
        <w:t xml:space="preserve"> </w:t>
      </w:r>
      <w:r w:rsidRPr="0062021C">
        <w:rPr>
          <w:rFonts w:ascii="Gellix" w:hAnsi="Gellix"/>
          <w:sz w:val="21"/>
          <w:szCs w:val="21"/>
          <w:lang w:val="en-US"/>
        </w:rPr>
        <w:t>should be</w:t>
      </w:r>
      <w:r w:rsidRPr="000622BE">
        <w:rPr>
          <w:rFonts w:ascii="Gellix" w:hAnsi="Gellix"/>
          <w:b/>
          <w:bCs/>
          <w:sz w:val="21"/>
          <w:szCs w:val="21"/>
          <w:lang w:val="en-US"/>
        </w:rPr>
        <w:t xml:space="preserve"> considered and designed carefully and proportionately</w:t>
      </w:r>
      <w:r w:rsidR="00F9078C" w:rsidRPr="000622BE">
        <w:rPr>
          <w:rFonts w:ascii="Gellix" w:hAnsi="Gellix"/>
          <w:b/>
          <w:bCs/>
          <w:sz w:val="21"/>
          <w:szCs w:val="21"/>
          <w:lang w:val="en-US"/>
        </w:rPr>
        <w:t>.</w:t>
      </w:r>
      <w:r w:rsidR="00F9078C">
        <w:rPr>
          <w:rFonts w:ascii="Gellix" w:hAnsi="Gellix"/>
          <w:sz w:val="21"/>
          <w:szCs w:val="21"/>
          <w:lang w:val="en-US"/>
        </w:rPr>
        <w:t xml:space="preserve"> </w:t>
      </w:r>
      <w:r w:rsidR="00981C71" w:rsidRPr="00C260B3">
        <w:rPr>
          <w:rFonts w:ascii="Gellix" w:hAnsi="Gellix"/>
          <w:b/>
          <w:bCs/>
          <w:sz w:val="21"/>
          <w:szCs w:val="21"/>
          <w:lang w:val="en-US"/>
        </w:rPr>
        <w:t>Meaningful and timely e</w:t>
      </w:r>
      <w:r w:rsidR="00F9078C" w:rsidRPr="00C260B3">
        <w:rPr>
          <w:rFonts w:ascii="Gellix" w:hAnsi="Gellix"/>
          <w:b/>
          <w:bCs/>
          <w:sz w:val="21"/>
          <w:szCs w:val="21"/>
          <w:lang w:val="en-US"/>
        </w:rPr>
        <w:t xml:space="preserve">ngagement </w:t>
      </w:r>
      <w:r w:rsidR="001030B4" w:rsidRPr="00C260B3">
        <w:rPr>
          <w:rFonts w:ascii="Gellix" w:hAnsi="Gellix"/>
          <w:b/>
          <w:bCs/>
          <w:sz w:val="21"/>
          <w:szCs w:val="21"/>
          <w:lang w:val="en-US"/>
        </w:rPr>
        <w:t>and consultation</w:t>
      </w:r>
      <w:r w:rsidR="009C7224" w:rsidRPr="00C260B3">
        <w:rPr>
          <w:rFonts w:ascii="Gellix" w:hAnsi="Gellix"/>
          <w:b/>
          <w:bCs/>
          <w:sz w:val="21"/>
          <w:szCs w:val="21"/>
          <w:lang w:val="en-US"/>
        </w:rPr>
        <w:t xml:space="preserve"> and full transparency</w:t>
      </w:r>
      <w:r w:rsidR="009C7224" w:rsidRPr="001030B4">
        <w:rPr>
          <w:rFonts w:ascii="Gellix" w:hAnsi="Gellix"/>
          <w:sz w:val="21"/>
          <w:szCs w:val="21"/>
          <w:lang w:val="en-US"/>
        </w:rPr>
        <w:t xml:space="preserve"> of the regime’s implementation and operation</w:t>
      </w:r>
      <w:r w:rsidR="001030B4">
        <w:rPr>
          <w:rFonts w:ascii="Gellix" w:hAnsi="Gellix"/>
          <w:sz w:val="21"/>
          <w:szCs w:val="21"/>
          <w:lang w:val="en-US"/>
        </w:rPr>
        <w:t xml:space="preserve"> </w:t>
      </w:r>
      <w:r w:rsidR="00F9078C" w:rsidRPr="00F9078C">
        <w:rPr>
          <w:rFonts w:ascii="Gellix" w:hAnsi="Gellix"/>
          <w:sz w:val="21"/>
          <w:szCs w:val="21"/>
          <w:lang w:val="en-US"/>
        </w:rPr>
        <w:t>with</w:t>
      </w:r>
      <w:r w:rsidR="000622BE">
        <w:rPr>
          <w:rFonts w:ascii="Gellix" w:hAnsi="Gellix"/>
          <w:sz w:val="21"/>
          <w:szCs w:val="21"/>
          <w:lang w:val="en-US"/>
        </w:rPr>
        <w:t xml:space="preserve"> </w:t>
      </w:r>
      <w:r w:rsidR="00F9078C" w:rsidRPr="000622BE">
        <w:rPr>
          <w:rFonts w:ascii="Gellix" w:hAnsi="Gellix"/>
          <w:sz w:val="21"/>
          <w:szCs w:val="21"/>
          <w:lang w:val="en-US"/>
        </w:rPr>
        <w:t>foreign governments</w:t>
      </w:r>
      <w:r w:rsidR="001030B4">
        <w:rPr>
          <w:rFonts w:ascii="Gellix" w:hAnsi="Gellix"/>
          <w:sz w:val="21"/>
          <w:szCs w:val="21"/>
          <w:lang w:val="en-US"/>
        </w:rPr>
        <w:t>, trading partners</w:t>
      </w:r>
      <w:r w:rsidR="00F9078C" w:rsidRPr="000622BE">
        <w:rPr>
          <w:rFonts w:ascii="Gellix" w:hAnsi="Gellix"/>
          <w:sz w:val="21"/>
          <w:szCs w:val="21"/>
          <w:lang w:val="en-US"/>
        </w:rPr>
        <w:t xml:space="preserve"> and businesses is imperative to avoid any administrative complexity</w:t>
      </w:r>
      <w:r w:rsidR="000622BE" w:rsidRPr="000622BE">
        <w:rPr>
          <w:rFonts w:ascii="Gellix" w:hAnsi="Gellix"/>
          <w:sz w:val="21"/>
          <w:szCs w:val="21"/>
          <w:lang w:val="en-US"/>
        </w:rPr>
        <w:t xml:space="preserve"> </w:t>
      </w:r>
      <w:r w:rsidR="00F9078C" w:rsidRPr="000622BE">
        <w:rPr>
          <w:rFonts w:ascii="Gellix" w:hAnsi="Gellix"/>
          <w:sz w:val="21"/>
          <w:szCs w:val="21"/>
          <w:lang w:val="en-US"/>
        </w:rPr>
        <w:t>that would put additional hurdles on businesses.</w:t>
      </w:r>
    </w:p>
    <w:p w14:paraId="123728AA" w14:textId="77777777" w:rsidR="00F66F21" w:rsidRPr="00F66F21" w:rsidRDefault="00F66F21" w:rsidP="00F66F21">
      <w:pPr>
        <w:pStyle w:val="ListParagraph"/>
        <w:rPr>
          <w:rFonts w:ascii="Gellix" w:hAnsi="Gellix"/>
          <w:sz w:val="21"/>
          <w:szCs w:val="21"/>
          <w:lang w:val="en-US"/>
        </w:rPr>
      </w:pPr>
    </w:p>
    <w:p w14:paraId="5BF9A8A0" w14:textId="249883DC" w:rsidR="00C1675F" w:rsidRDefault="009879EE" w:rsidP="000622BE">
      <w:pPr>
        <w:pStyle w:val="ListParagraph"/>
        <w:numPr>
          <w:ilvl w:val="0"/>
          <w:numId w:val="51"/>
        </w:numPr>
        <w:spacing w:after="0" w:line="240" w:lineRule="auto"/>
        <w:rPr>
          <w:rFonts w:ascii="Gellix" w:hAnsi="Gellix"/>
          <w:sz w:val="21"/>
          <w:szCs w:val="21"/>
          <w:lang w:val="en-US"/>
        </w:rPr>
      </w:pPr>
      <w:r>
        <w:rPr>
          <w:rFonts w:ascii="Gellix" w:hAnsi="Gellix"/>
          <w:sz w:val="21"/>
          <w:szCs w:val="21"/>
          <w:lang w:val="en-US"/>
        </w:rPr>
        <w:t>When developing and implementing</w:t>
      </w:r>
      <w:r w:rsidR="00F67E8C" w:rsidRPr="00BA23B2">
        <w:rPr>
          <w:rFonts w:ascii="Gellix" w:hAnsi="Gellix"/>
          <w:sz w:val="21"/>
          <w:szCs w:val="21"/>
          <w:lang w:val="en-US"/>
        </w:rPr>
        <w:t xml:space="preserve"> measures to prevent carbon leakage, such </w:t>
      </w:r>
      <w:r w:rsidR="00376C8A" w:rsidRPr="00BA23B2">
        <w:rPr>
          <w:rFonts w:ascii="Gellix" w:hAnsi="Gellix"/>
          <w:sz w:val="21"/>
          <w:szCs w:val="21"/>
          <w:lang w:val="en-US"/>
        </w:rPr>
        <w:t xml:space="preserve">carbon </w:t>
      </w:r>
      <w:r w:rsidR="00073F47" w:rsidRPr="00BA23B2">
        <w:rPr>
          <w:rFonts w:ascii="Gellix" w:hAnsi="Gellix"/>
          <w:sz w:val="21"/>
          <w:szCs w:val="21"/>
          <w:lang w:val="en-US"/>
        </w:rPr>
        <w:t>adjustment mechanisms</w:t>
      </w:r>
      <w:r w:rsidR="00376C8A" w:rsidRPr="00BA23B2">
        <w:rPr>
          <w:rFonts w:ascii="Gellix" w:hAnsi="Gellix"/>
          <w:sz w:val="21"/>
          <w:szCs w:val="21"/>
          <w:lang w:val="en-US"/>
        </w:rPr>
        <w:t xml:space="preserve"> (BCAs)</w:t>
      </w:r>
      <w:r w:rsidR="00073F47" w:rsidRPr="00BA23B2">
        <w:rPr>
          <w:rFonts w:ascii="Gellix" w:hAnsi="Gellix"/>
          <w:sz w:val="21"/>
          <w:szCs w:val="21"/>
          <w:lang w:val="en-US"/>
        </w:rPr>
        <w:t xml:space="preserve">, </w:t>
      </w:r>
      <w:r w:rsidR="00032743" w:rsidRPr="00BA23B2">
        <w:rPr>
          <w:rFonts w:ascii="Gellix" w:hAnsi="Gellix"/>
          <w:sz w:val="21"/>
          <w:szCs w:val="21"/>
          <w:lang w:val="en-US"/>
        </w:rPr>
        <w:t>governments should consider the</w:t>
      </w:r>
      <w:r w:rsidR="00F66F21" w:rsidRPr="00BA23B2">
        <w:rPr>
          <w:rFonts w:ascii="Gellix" w:hAnsi="Gellix"/>
          <w:sz w:val="21"/>
          <w:szCs w:val="21"/>
          <w:lang w:val="en-US"/>
        </w:rPr>
        <w:t xml:space="preserve"> following </w:t>
      </w:r>
      <w:r w:rsidR="000D047A" w:rsidRPr="00BA23B2">
        <w:rPr>
          <w:rFonts w:ascii="Gellix" w:hAnsi="Gellix"/>
          <w:sz w:val="21"/>
          <w:szCs w:val="21"/>
          <w:lang w:val="en-US"/>
        </w:rPr>
        <w:t xml:space="preserve">broader principles and </w:t>
      </w:r>
      <w:r w:rsidR="004B0FFB" w:rsidRPr="00BA23B2">
        <w:rPr>
          <w:rFonts w:ascii="Gellix" w:hAnsi="Gellix"/>
          <w:sz w:val="21"/>
          <w:szCs w:val="21"/>
          <w:lang w:val="en-US"/>
        </w:rPr>
        <w:t>best practice</w:t>
      </w:r>
      <w:r w:rsidR="004A2057">
        <w:rPr>
          <w:rFonts w:ascii="Gellix" w:hAnsi="Gellix"/>
          <w:sz w:val="21"/>
          <w:szCs w:val="21"/>
          <w:lang w:val="en-US"/>
        </w:rPr>
        <w:t xml:space="preserve">, </w:t>
      </w:r>
      <w:r w:rsidR="00073F47" w:rsidRPr="00073F47">
        <w:rPr>
          <w:rFonts w:ascii="Gellix" w:hAnsi="Gellix"/>
          <w:sz w:val="21"/>
          <w:szCs w:val="21"/>
          <w:lang w:val="en-US"/>
        </w:rPr>
        <w:t xml:space="preserve">in a view of </w:t>
      </w:r>
      <w:proofErr w:type="spellStart"/>
      <w:r w:rsidR="00073F47" w:rsidRPr="00073F47">
        <w:rPr>
          <w:rFonts w:ascii="Gellix" w:hAnsi="Gellix"/>
          <w:sz w:val="21"/>
          <w:szCs w:val="21"/>
          <w:lang w:val="en-US"/>
        </w:rPr>
        <w:t>minimi</w:t>
      </w:r>
      <w:r w:rsidR="00073F47">
        <w:rPr>
          <w:rFonts w:ascii="Gellix" w:hAnsi="Gellix"/>
          <w:sz w:val="21"/>
          <w:szCs w:val="21"/>
          <w:lang w:val="en-US"/>
        </w:rPr>
        <w:t>s</w:t>
      </w:r>
      <w:r w:rsidR="00073F47" w:rsidRPr="00073F47">
        <w:rPr>
          <w:rFonts w:ascii="Gellix" w:hAnsi="Gellix"/>
          <w:sz w:val="21"/>
          <w:szCs w:val="21"/>
          <w:lang w:val="en-US"/>
        </w:rPr>
        <w:t>ing</w:t>
      </w:r>
      <w:proofErr w:type="spellEnd"/>
      <w:r w:rsidR="00073F47" w:rsidRPr="00073F47">
        <w:rPr>
          <w:rFonts w:ascii="Gellix" w:hAnsi="Gellix"/>
          <w:sz w:val="21"/>
          <w:szCs w:val="21"/>
          <w:lang w:val="en-US"/>
        </w:rPr>
        <w:t xml:space="preserve"> </w:t>
      </w:r>
      <w:r w:rsidR="00073F47">
        <w:rPr>
          <w:rFonts w:ascii="Gellix" w:hAnsi="Gellix"/>
          <w:sz w:val="21"/>
          <w:szCs w:val="21"/>
          <w:lang w:val="en-US"/>
        </w:rPr>
        <w:t xml:space="preserve">any potential </w:t>
      </w:r>
      <w:r w:rsidR="00073F47" w:rsidRPr="00073F47">
        <w:rPr>
          <w:rFonts w:ascii="Gellix" w:hAnsi="Gellix"/>
          <w:sz w:val="21"/>
          <w:szCs w:val="21"/>
          <w:lang w:val="en-US"/>
        </w:rPr>
        <w:t>negative impact</w:t>
      </w:r>
      <w:r w:rsidR="004B0FFB">
        <w:rPr>
          <w:rFonts w:ascii="Gellix" w:hAnsi="Gellix"/>
          <w:sz w:val="21"/>
          <w:szCs w:val="21"/>
          <w:lang w:val="en-US"/>
        </w:rPr>
        <w:t>s</w:t>
      </w:r>
      <w:r w:rsidR="00073F47" w:rsidRPr="00073F47">
        <w:rPr>
          <w:rFonts w:ascii="Gellix" w:hAnsi="Gellix"/>
          <w:sz w:val="21"/>
          <w:szCs w:val="21"/>
          <w:lang w:val="en-US"/>
        </w:rPr>
        <w:t xml:space="preserve"> </w:t>
      </w:r>
      <w:r w:rsidR="00C175C4">
        <w:rPr>
          <w:rFonts w:ascii="Gellix" w:hAnsi="Gellix"/>
          <w:sz w:val="21"/>
          <w:szCs w:val="21"/>
          <w:lang w:val="en-US"/>
        </w:rPr>
        <w:t>and consequences on international commerce</w:t>
      </w:r>
      <w:r w:rsidR="00C1675F">
        <w:rPr>
          <w:rFonts w:ascii="Gellix" w:hAnsi="Gellix"/>
          <w:sz w:val="21"/>
          <w:szCs w:val="21"/>
          <w:lang w:val="en-US"/>
        </w:rPr>
        <w:t xml:space="preserve">: </w:t>
      </w:r>
    </w:p>
    <w:p w14:paraId="13C6F3CB" w14:textId="77777777" w:rsidR="00C1675F" w:rsidRPr="00C1675F" w:rsidRDefault="00C1675F" w:rsidP="00C1675F">
      <w:pPr>
        <w:pStyle w:val="ListParagraph"/>
        <w:rPr>
          <w:rFonts w:ascii="Gellix" w:hAnsi="Gellix"/>
          <w:sz w:val="21"/>
          <w:szCs w:val="21"/>
          <w:lang w:val="en-US"/>
        </w:rPr>
      </w:pPr>
    </w:p>
    <w:p w14:paraId="397A4747" w14:textId="17F45AB0" w:rsidR="00531C90" w:rsidRDefault="007B74E0" w:rsidP="00531C90">
      <w:pPr>
        <w:pStyle w:val="ListParagraph"/>
        <w:numPr>
          <w:ilvl w:val="0"/>
          <w:numId w:val="52"/>
        </w:numPr>
        <w:jc w:val="both"/>
        <w:rPr>
          <w:rFonts w:ascii="Gellix" w:hAnsi="Gellix" w:cs="Arial"/>
          <w:color w:val="000000"/>
          <w:sz w:val="21"/>
          <w:szCs w:val="21"/>
        </w:rPr>
      </w:pPr>
      <w:r w:rsidRPr="00920B4B">
        <w:rPr>
          <w:rFonts w:ascii="Gellix" w:hAnsi="Gellix" w:cs="Arial"/>
          <w:b/>
          <w:bCs/>
          <w:color w:val="000000"/>
          <w:sz w:val="21"/>
          <w:szCs w:val="21"/>
        </w:rPr>
        <w:t xml:space="preserve">Primacy of leakage protection </w:t>
      </w:r>
      <w:r w:rsidR="00E500AF" w:rsidRPr="00920B4B">
        <w:rPr>
          <w:rFonts w:ascii="Gellix" w:hAnsi="Gellix" w:cs="Arial"/>
          <w:b/>
          <w:bCs/>
          <w:color w:val="000000"/>
          <w:sz w:val="21"/>
          <w:szCs w:val="21"/>
        </w:rPr>
        <w:t>and c</w:t>
      </w:r>
      <w:r w:rsidR="00250549" w:rsidRPr="00920B4B">
        <w:rPr>
          <w:rFonts w:ascii="Gellix" w:hAnsi="Gellix" w:cs="Arial"/>
          <w:b/>
          <w:bCs/>
          <w:color w:val="000000"/>
          <w:sz w:val="21"/>
          <w:szCs w:val="21"/>
        </w:rPr>
        <w:t>lear climate measur</w:t>
      </w:r>
      <w:r w:rsidR="00DA1075" w:rsidRPr="00920B4B">
        <w:rPr>
          <w:rFonts w:ascii="Gellix" w:hAnsi="Gellix" w:cs="Arial"/>
          <w:b/>
          <w:bCs/>
          <w:color w:val="000000"/>
          <w:sz w:val="21"/>
          <w:szCs w:val="21"/>
        </w:rPr>
        <w:t>e</w:t>
      </w:r>
      <w:r w:rsidR="00C72187">
        <w:rPr>
          <w:rFonts w:ascii="Gellix" w:hAnsi="Gellix" w:cs="Arial"/>
          <w:b/>
          <w:bCs/>
          <w:color w:val="000000"/>
          <w:sz w:val="21"/>
          <w:szCs w:val="21"/>
        </w:rPr>
        <w:t xml:space="preserve">. </w:t>
      </w:r>
      <w:r w:rsidR="00C72187" w:rsidRPr="00C72187">
        <w:rPr>
          <w:rFonts w:ascii="Gellix" w:hAnsi="Gellix" w:cs="Arial"/>
          <w:color w:val="000000"/>
          <w:sz w:val="21"/>
          <w:szCs w:val="21"/>
        </w:rPr>
        <w:t>Measures, such as</w:t>
      </w:r>
      <w:r w:rsidR="00C72187">
        <w:rPr>
          <w:rFonts w:ascii="Gellix" w:hAnsi="Gellix" w:cs="Arial"/>
          <w:b/>
          <w:bCs/>
          <w:color w:val="000000"/>
          <w:sz w:val="21"/>
          <w:szCs w:val="21"/>
        </w:rPr>
        <w:t xml:space="preserve"> </w:t>
      </w:r>
      <w:r w:rsidR="00DA1075" w:rsidRPr="00920B4B">
        <w:rPr>
          <w:rFonts w:ascii="Gellix" w:hAnsi="Gellix" w:cs="Arial"/>
          <w:color w:val="000000"/>
          <w:sz w:val="21"/>
          <w:szCs w:val="21"/>
        </w:rPr>
        <w:t>BCA should seek to prevent leakage</w:t>
      </w:r>
      <w:r w:rsidR="00B42901" w:rsidRPr="00920B4B">
        <w:rPr>
          <w:rFonts w:ascii="Gellix" w:hAnsi="Gellix" w:cs="Arial"/>
          <w:color w:val="000000"/>
          <w:sz w:val="21"/>
          <w:szCs w:val="21"/>
        </w:rPr>
        <w:t xml:space="preserve"> – </w:t>
      </w:r>
      <w:r w:rsidR="00DA1075" w:rsidRPr="00920B4B">
        <w:rPr>
          <w:rFonts w:ascii="Gellix" w:hAnsi="Gellix" w:cs="Arial"/>
          <w:color w:val="000000"/>
          <w:sz w:val="21"/>
          <w:szCs w:val="21"/>
        </w:rPr>
        <w:t xml:space="preserve">an environmental objective that involves enabling </w:t>
      </w:r>
      <w:r w:rsidR="00DA1075" w:rsidRPr="00920B4B">
        <w:rPr>
          <w:rFonts w:ascii="Gellix" w:hAnsi="Gellix" w:cs="Arial"/>
          <w:color w:val="000000"/>
          <w:sz w:val="21"/>
          <w:szCs w:val="21"/>
        </w:rPr>
        <w:lastRenderedPageBreak/>
        <w:t>domestic climate ambition. It</w:t>
      </w:r>
      <w:r w:rsidR="00F4326C" w:rsidRPr="00920B4B">
        <w:rPr>
          <w:rFonts w:ascii="Gellix" w:hAnsi="Gellix" w:cs="Arial"/>
          <w:color w:val="000000"/>
          <w:sz w:val="21"/>
          <w:szCs w:val="21"/>
        </w:rPr>
        <w:t xml:space="preserve"> needs to </w:t>
      </w:r>
      <w:r w:rsidR="0072476C" w:rsidRPr="00920B4B">
        <w:rPr>
          <w:rFonts w:ascii="Gellix" w:hAnsi="Gellix" w:cs="Arial"/>
          <w:color w:val="000000"/>
          <w:sz w:val="21"/>
          <w:szCs w:val="21"/>
        </w:rPr>
        <w:t>support increased ambition on climate mitigation</w:t>
      </w:r>
      <w:r w:rsidR="00B47645" w:rsidRPr="00920B4B">
        <w:rPr>
          <w:rFonts w:ascii="Gellix" w:hAnsi="Gellix" w:cs="Arial"/>
          <w:color w:val="000000"/>
          <w:sz w:val="21"/>
          <w:szCs w:val="21"/>
        </w:rPr>
        <w:t xml:space="preserve"> and the achievement of a country’s </w:t>
      </w:r>
      <w:r w:rsidR="00F4326C" w:rsidRPr="00920B4B">
        <w:rPr>
          <w:rFonts w:ascii="Gellix" w:hAnsi="Gellix" w:cs="Arial"/>
          <w:color w:val="000000"/>
          <w:sz w:val="21"/>
          <w:szCs w:val="21"/>
        </w:rPr>
        <w:t>climate targets under the Paris Climate Agreement.</w:t>
      </w:r>
    </w:p>
    <w:p w14:paraId="4FAB2065" w14:textId="77777777" w:rsidR="00531C90" w:rsidRDefault="00531C90" w:rsidP="00531C90">
      <w:pPr>
        <w:pStyle w:val="ListParagraph"/>
        <w:ind w:left="1080"/>
        <w:jc w:val="both"/>
        <w:rPr>
          <w:rFonts w:ascii="Gellix" w:hAnsi="Gellix" w:cs="Arial"/>
          <w:color w:val="000000"/>
          <w:sz w:val="21"/>
          <w:szCs w:val="21"/>
        </w:rPr>
      </w:pPr>
    </w:p>
    <w:p w14:paraId="4174D517" w14:textId="1D3A5212" w:rsidR="005059FE" w:rsidRDefault="00250549" w:rsidP="00531C90">
      <w:pPr>
        <w:pStyle w:val="ListParagraph"/>
        <w:numPr>
          <w:ilvl w:val="0"/>
          <w:numId w:val="52"/>
        </w:numPr>
        <w:jc w:val="both"/>
        <w:rPr>
          <w:rFonts w:ascii="Gellix" w:hAnsi="Gellix" w:cs="Arial"/>
          <w:color w:val="000000"/>
          <w:sz w:val="21"/>
          <w:szCs w:val="21"/>
        </w:rPr>
      </w:pPr>
      <w:r w:rsidRPr="00531C90">
        <w:rPr>
          <w:rFonts w:ascii="Gellix" w:hAnsi="Gellix" w:cs="Arial"/>
          <w:b/>
          <w:bCs/>
          <w:color w:val="000000"/>
          <w:sz w:val="21"/>
          <w:szCs w:val="21"/>
        </w:rPr>
        <w:t>Non-discriminatory</w:t>
      </w:r>
      <w:r w:rsidR="002B5190" w:rsidRPr="00531C90">
        <w:rPr>
          <w:rFonts w:ascii="Gellix" w:hAnsi="Gellix" w:cs="Arial"/>
          <w:b/>
          <w:bCs/>
          <w:color w:val="000000"/>
          <w:sz w:val="21"/>
          <w:szCs w:val="21"/>
        </w:rPr>
        <w:t xml:space="preserve"> and alignment with international trade rules</w:t>
      </w:r>
      <w:r w:rsidRPr="00531C90">
        <w:rPr>
          <w:rFonts w:ascii="Gellix" w:hAnsi="Gellix" w:cs="Arial"/>
          <w:color w:val="000000"/>
          <w:sz w:val="21"/>
          <w:szCs w:val="21"/>
        </w:rPr>
        <w:t xml:space="preserve">. </w:t>
      </w:r>
      <w:r w:rsidR="009F18AD" w:rsidRPr="00F9078C">
        <w:rPr>
          <w:rFonts w:ascii="Gellix" w:hAnsi="Gellix"/>
          <w:sz w:val="21"/>
          <w:szCs w:val="21"/>
          <w:lang w:val="en-US"/>
        </w:rPr>
        <w:t>They should</w:t>
      </w:r>
      <w:r w:rsidR="009F18AD">
        <w:rPr>
          <w:rFonts w:ascii="Gellix" w:hAnsi="Gellix"/>
          <w:sz w:val="21"/>
          <w:szCs w:val="21"/>
          <w:lang w:val="en-US"/>
        </w:rPr>
        <w:t xml:space="preserve"> </w:t>
      </w:r>
      <w:r w:rsidR="009F18AD" w:rsidRPr="00F9078C">
        <w:rPr>
          <w:rFonts w:ascii="Gellix" w:hAnsi="Gellix"/>
          <w:sz w:val="21"/>
          <w:szCs w:val="21"/>
          <w:lang w:val="en-US"/>
        </w:rPr>
        <w:t>be compatible with international treaties and agreements, most notably with WTO rules</w:t>
      </w:r>
      <w:r w:rsidR="009F18AD">
        <w:rPr>
          <w:rFonts w:ascii="Gellix" w:hAnsi="Gellix"/>
          <w:sz w:val="21"/>
          <w:szCs w:val="21"/>
          <w:lang w:val="en-US"/>
        </w:rPr>
        <w:t xml:space="preserve"> </w:t>
      </w:r>
      <w:r w:rsidR="009F18AD" w:rsidRPr="00F9078C">
        <w:rPr>
          <w:rFonts w:ascii="Gellix" w:hAnsi="Gellix"/>
          <w:sz w:val="21"/>
          <w:szCs w:val="21"/>
          <w:lang w:val="en-US"/>
        </w:rPr>
        <w:t>and non-discrimination principles</w:t>
      </w:r>
      <w:r w:rsidR="009F18AD">
        <w:rPr>
          <w:rFonts w:ascii="Gellix" w:hAnsi="Gellix"/>
          <w:sz w:val="21"/>
          <w:szCs w:val="21"/>
          <w:lang w:val="en-US"/>
        </w:rPr>
        <w:t xml:space="preserve">, </w:t>
      </w:r>
      <w:r w:rsidRPr="00531C90">
        <w:rPr>
          <w:rFonts w:ascii="Gellix" w:hAnsi="Gellix" w:cs="Arial"/>
          <w:color w:val="000000"/>
          <w:sz w:val="21"/>
          <w:szCs w:val="21"/>
        </w:rPr>
        <w:t>considering, in particular, GATT</w:t>
      </w:r>
      <w:r w:rsidRPr="00920B4B">
        <w:rPr>
          <w:rStyle w:val="FootnoteReference"/>
          <w:rFonts w:ascii="Gellix" w:hAnsi="Gellix" w:cs="Arial"/>
          <w:color w:val="000000"/>
          <w:sz w:val="21"/>
          <w:szCs w:val="21"/>
        </w:rPr>
        <w:footnoteReference w:id="6"/>
      </w:r>
      <w:r w:rsidRPr="00531C90">
        <w:rPr>
          <w:rFonts w:ascii="Gellix" w:hAnsi="Gellix" w:cs="Arial"/>
          <w:color w:val="000000"/>
          <w:sz w:val="21"/>
          <w:szCs w:val="21"/>
        </w:rPr>
        <w:t xml:space="preserve"> provisions. This concludes that </w:t>
      </w:r>
      <w:r w:rsidR="00963E28">
        <w:rPr>
          <w:rFonts w:ascii="Gellix" w:hAnsi="Gellix" w:cs="Arial"/>
          <w:color w:val="000000"/>
          <w:sz w:val="21"/>
          <w:szCs w:val="21"/>
        </w:rPr>
        <w:t xml:space="preserve">measures should </w:t>
      </w:r>
      <w:r w:rsidRPr="00531C90">
        <w:rPr>
          <w:rFonts w:ascii="Gellix" w:hAnsi="Gellix" w:cs="Arial"/>
          <w:color w:val="000000"/>
          <w:sz w:val="21"/>
          <w:szCs w:val="21"/>
        </w:rPr>
        <w:t xml:space="preserve">respect both the Most-Favoured-Nation principle on equal treatment between imported products of different </w:t>
      </w:r>
      <w:r w:rsidR="00557F8C" w:rsidRPr="00531C90">
        <w:rPr>
          <w:rFonts w:ascii="Gellix" w:hAnsi="Gellix" w:cs="Arial"/>
          <w:color w:val="000000"/>
          <w:sz w:val="21"/>
          <w:szCs w:val="21"/>
        </w:rPr>
        <w:t xml:space="preserve">trading  countries </w:t>
      </w:r>
      <w:r w:rsidRPr="00531C90">
        <w:rPr>
          <w:rFonts w:ascii="Gellix" w:hAnsi="Gellix" w:cs="Arial"/>
          <w:color w:val="000000"/>
          <w:sz w:val="21"/>
          <w:szCs w:val="21"/>
        </w:rPr>
        <w:t xml:space="preserve">as well as the National-Treatment principle, ensuring equal treatment between domestic </w:t>
      </w:r>
      <w:r w:rsidR="00F61E46" w:rsidRPr="00531C90">
        <w:rPr>
          <w:rFonts w:ascii="Gellix" w:hAnsi="Gellix" w:cs="Arial"/>
          <w:color w:val="000000"/>
          <w:sz w:val="21"/>
          <w:szCs w:val="21"/>
        </w:rPr>
        <w:t>and imported goods</w:t>
      </w:r>
      <w:r w:rsidRPr="00531C90">
        <w:rPr>
          <w:rFonts w:ascii="Gellix" w:hAnsi="Gellix" w:cs="Arial"/>
          <w:color w:val="000000"/>
          <w:sz w:val="21"/>
          <w:szCs w:val="21"/>
        </w:rPr>
        <w:t>.</w:t>
      </w:r>
    </w:p>
    <w:p w14:paraId="3246A067" w14:textId="77777777" w:rsidR="00531C90" w:rsidRPr="00531C90" w:rsidRDefault="00531C90" w:rsidP="00531C90">
      <w:pPr>
        <w:pStyle w:val="ListParagraph"/>
        <w:rPr>
          <w:rFonts w:ascii="Gellix" w:hAnsi="Gellix" w:cs="Arial"/>
          <w:color w:val="000000"/>
          <w:sz w:val="21"/>
          <w:szCs w:val="21"/>
        </w:rPr>
      </w:pPr>
    </w:p>
    <w:p w14:paraId="40DA3D5C" w14:textId="4391DE31" w:rsidR="00250549" w:rsidRPr="00531C90" w:rsidRDefault="00531C90" w:rsidP="00531C90">
      <w:pPr>
        <w:pStyle w:val="ListParagraph"/>
        <w:numPr>
          <w:ilvl w:val="0"/>
          <w:numId w:val="52"/>
        </w:numPr>
        <w:jc w:val="both"/>
        <w:rPr>
          <w:rFonts w:ascii="Gellix" w:hAnsi="Gellix" w:cs="Arial"/>
          <w:color w:val="000000"/>
          <w:sz w:val="21"/>
          <w:szCs w:val="21"/>
        </w:rPr>
      </w:pPr>
      <w:r w:rsidRPr="00920B4B">
        <w:rPr>
          <w:rFonts w:ascii="Gellix" w:hAnsi="Gellix" w:cs="Arial"/>
          <w:b/>
          <w:bCs/>
          <w:color w:val="000000"/>
          <w:sz w:val="21"/>
          <w:szCs w:val="21"/>
        </w:rPr>
        <w:t>Transparent and robust accounting.</w:t>
      </w:r>
      <w:r w:rsidRPr="00920B4B">
        <w:rPr>
          <w:rFonts w:ascii="Gellix" w:hAnsi="Gellix" w:cs="Arial"/>
          <w:color w:val="000000"/>
          <w:sz w:val="21"/>
          <w:szCs w:val="21"/>
        </w:rPr>
        <w:t xml:space="preserve"> BCAs require a robust monitoring, reporting and verification system (MRV) that should be transparent but at the same time pose minimal administrative and legal burdens for business, providing clear guidelines on accounting and measurement standards. </w:t>
      </w:r>
      <w:r w:rsidRPr="00920B4B">
        <w:rPr>
          <w:rFonts w:ascii="Gellix" w:hAnsi="Gellix"/>
          <w:sz w:val="21"/>
          <w:szCs w:val="21"/>
        </w:rPr>
        <w:t>Using an internationally based MRV system optimises chances for international alignment.</w:t>
      </w:r>
    </w:p>
    <w:p w14:paraId="47F461E0" w14:textId="77777777" w:rsidR="005059FE" w:rsidRPr="00920B4B" w:rsidRDefault="005059FE" w:rsidP="005059FE">
      <w:pPr>
        <w:pStyle w:val="ListParagraph"/>
        <w:ind w:left="1080"/>
        <w:jc w:val="both"/>
        <w:rPr>
          <w:rFonts w:ascii="Gellix" w:hAnsi="Gellix" w:cs="Arial"/>
          <w:color w:val="000000"/>
          <w:sz w:val="21"/>
          <w:szCs w:val="21"/>
        </w:rPr>
      </w:pPr>
    </w:p>
    <w:p w14:paraId="3E332478" w14:textId="77777777" w:rsidR="00920B4B" w:rsidRDefault="00250549" w:rsidP="00920B4B">
      <w:pPr>
        <w:pStyle w:val="ListParagraph"/>
        <w:numPr>
          <w:ilvl w:val="0"/>
          <w:numId w:val="52"/>
        </w:numPr>
        <w:jc w:val="both"/>
        <w:rPr>
          <w:rFonts w:ascii="Gellix" w:hAnsi="Gellix" w:cs="Arial"/>
          <w:color w:val="000000"/>
          <w:sz w:val="21"/>
          <w:szCs w:val="21"/>
        </w:rPr>
      </w:pPr>
      <w:r w:rsidRPr="00920B4B">
        <w:rPr>
          <w:rFonts w:ascii="Gellix" w:hAnsi="Gellix" w:cs="Arial"/>
          <w:b/>
          <w:bCs/>
          <w:color w:val="000000"/>
          <w:sz w:val="21"/>
          <w:szCs w:val="21"/>
        </w:rPr>
        <w:t>Enable linkage.</w:t>
      </w:r>
      <w:r w:rsidRPr="00920B4B">
        <w:rPr>
          <w:rFonts w:ascii="Gellix" w:hAnsi="Gellix" w:cs="Arial"/>
          <w:color w:val="000000"/>
          <w:sz w:val="21"/>
          <w:szCs w:val="21"/>
        </w:rPr>
        <w:t xml:space="preserve"> A BCA </w:t>
      </w:r>
      <w:r w:rsidR="006C50BB" w:rsidRPr="00920B4B">
        <w:rPr>
          <w:rFonts w:ascii="Gellix" w:hAnsi="Gellix" w:cs="Arial"/>
          <w:color w:val="000000"/>
          <w:sz w:val="21"/>
          <w:szCs w:val="21"/>
        </w:rPr>
        <w:t xml:space="preserve">should </w:t>
      </w:r>
      <w:r w:rsidRPr="00920B4B">
        <w:rPr>
          <w:rFonts w:ascii="Gellix" w:hAnsi="Gellix" w:cs="Arial"/>
          <w:color w:val="000000"/>
          <w:sz w:val="21"/>
          <w:szCs w:val="21"/>
        </w:rPr>
        <w:t xml:space="preserve">be designed </w:t>
      </w:r>
      <w:r w:rsidR="004C303A" w:rsidRPr="00920B4B">
        <w:rPr>
          <w:rFonts w:ascii="Gellix" w:hAnsi="Gellix" w:cs="Arial"/>
          <w:color w:val="000000"/>
          <w:sz w:val="21"/>
          <w:szCs w:val="21"/>
        </w:rPr>
        <w:t xml:space="preserve">in a way </w:t>
      </w:r>
      <w:r w:rsidRPr="00920B4B">
        <w:rPr>
          <w:rFonts w:ascii="Gellix" w:hAnsi="Gellix" w:cs="Arial"/>
          <w:color w:val="000000"/>
          <w:sz w:val="21"/>
          <w:szCs w:val="21"/>
        </w:rPr>
        <w:t xml:space="preserve">so that they provide the possibility for corresponding transfers of allowances or can be linked with third country BCAs in an attempt to create </w:t>
      </w:r>
      <w:r w:rsidR="0054224D" w:rsidRPr="00920B4B">
        <w:rPr>
          <w:rFonts w:ascii="Gellix" w:hAnsi="Gellix" w:cs="Arial"/>
          <w:color w:val="000000"/>
          <w:sz w:val="21"/>
          <w:szCs w:val="21"/>
        </w:rPr>
        <w:t xml:space="preserve">a </w:t>
      </w:r>
      <w:r w:rsidR="000442A1" w:rsidRPr="00920B4B">
        <w:rPr>
          <w:rFonts w:ascii="Gellix" w:hAnsi="Gellix" w:cs="Arial"/>
          <w:color w:val="000000"/>
          <w:sz w:val="21"/>
          <w:szCs w:val="21"/>
        </w:rPr>
        <w:t xml:space="preserve">“carbon club” </w:t>
      </w:r>
      <w:r w:rsidRPr="00920B4B">
        <w:rPr>
          <w:rFonts w:ascii="Gellix" w:hAnsi="Gellix" w:cs="Arial"/>
          <w:color w:val="000000"/>
          <w:sz w:val="21"/>
          <w:szCs w:val="21"/>
        </w:rPr>
        <w:t>between countries with high climate ambitions.</w:t>
      </w:r>
    </w:p>
    <w:p w14:paraId="2A22F4C5" w14:textId="77777777" w:rsidR="0028065F" w:rsidRPr="0028065F" w:rsidRDefault="0028065F" w:rsidP="0028065F">
      <w:pPr>
        <w:pStyle w:val="ListParagraph"/>
        <w:rPr>
          <w:rFonts w:ascii="Gellix" w:hAnsi="Gellix" w:cs="Arial"/>
          <w:color w:val="000000"/>
          <w:sz w:val="21"/>
          <w:szCs w:val="21"/>
        </w:rPr>
      </w:pPr>
    </w:p>
    <w:p w14:paraId="7452DE31" w14:textId="0731D4C2" w:rsidR="0028065F" w:rsidRDefault="0028065F" w:rsidP="00920B4B">
      <w:pPr>
        <w:pStyle w:val="ListParagraph"/>
        <w:numPr>
          <w:ilvl w:val="0"/>
          <w:numId w:val="52"/>
        </w:numPr>
        <w:jc w:val="both"/>
        <w:rPr>
          <w:rFonts w:ascii="Gellix" w:hAnsi="Gellix" w:cs="Arial"/>
          <w:color w:val="000000"/>
          <w:sz w:val="21"/>
          <w:szCs w:val="21"/>
        </w:rPr>
      </w:pPr>
      <w:r w:rsidRPr="0028065F">
        <w:rPr>
          <w:rFonts w:ascii="Gellix" w:hAnsi="Gellix" w:cs="Arial"/>
          <w:b/>
          <w:bCs/>
          <w:color w:val="000000"/>
          <w:sz w:val="21"/>
          <w:szCs w:val="21"/>
        </w:rPr>
        <w:t>Recognising equivalences</w:t>
      </w:r>
      <w:r>
        <w:rPr>
          <w:rFonts w:ascii="Gellix" w:hAnsi="Gellix" w:cs="Arial"/>
          <w:color w:val="000000"/>
          <w:sz w:val="21"/>
          <w:szCs w:val="21"/>
        </w:rPr>
        <w:t>.</w:t>
      </w:r>
      <w:r w:rsidR="000A7600">
        <w:rPr>
          <w:rFonts w:ascii="Gellix" w:hAnsi="Gellix" w:cs="Arial"/>
          <w:color w:val="000000"/>
          <w:sz w:val="21"/>
          <w:szCs w:val="21"/>
        </w:rPr>
        <w:t xml:space="preserve"> E</w:t>
      </w:r>
      <w:r w:rsidR="000A7600" w:rsidRPr="000A7600">
        <w:rPr>
          <w:rFonts w:ascii="Gellix" w:hAnsi="Gellix" w:cs="Arial"/>
          <w:color w:val="000000"/>
          <w:sz w:val="21"/>
          <w:szCs w:val="21"/>
        </w:rPr>
        <w:t xml:space="preserve">quivalent measures </w:t>
      </w:r>
      <w:r w:rsidR="00460681">
        <w:rPr>
          <w:rFonts w:ascii="Gellix" w:hAnsi="Gellix" w:cs="Arial"/>
          <w:color w:val="000000"/>
          <w:sz w:val="21"/>
          <w:szCs w:val="21"/>
        </w:rPr>
        <w:t>taken by countries</w:t>
      </w:r>
      <w:r w:rsidR="00046D7B">
        <w:rPr>
          <w:rFonts w:ascii="Gellix" w:hAnsi="Gellix" w:cs="Arial"/>
          <w:color w:val="000000"/>
          <w:sz w:val="21"/>
          <w:szCs w:val="21"/>
        </w:rPr>
        <w:t xml:space="preserve">, in particular by developing and least developed countries </w:t>
      </w:r>
      <w:r w:rsidR="00460681">
        <w:rPr>
          <w:rFonts w:ascii="Gellix" w:hAnsi="Gellix" w:cs="Arial"/>
          <w:color w:val="000000"/>
          <w:sz w:val="21"/>
          <w:szCs w:val="21"/>
        </w:rPr>
        <w:t xml:space="preserve">domestically </w:t>
      </w:r>
      <w:r w:rsidR="008B3868">
        <w:rPr>
          <w:rFonts w:ascii="Gellix" w:hAnsi="Gellix" w:cs="Arial"/>
          <w:color w:val="000000"/>
          <w:sz w:val="21"/>
          <w:szCs w:val="21"/>
        </w:rPr>
        <w:t>to incentivise increase</w:t>
      </w:r>
      <w:r w:rsidR="0074595E">
        <w:rPr>
          <w:rFonts w:ascii="Gellix" w:hAnsi="Gellix" w:cs="Arial"/>
          <w:color w:val="000000"/>
          <w:sz w:val="21"/>
          <w:szCs w:val="21"/>
        </w:rPr>
        <w:t>s</w:t>
      </w:r>
      <w:r w:rsidR="008B3868">
        <w:rPr>
          <w:rFonts w:ascii="Gellix" w:hAnsi="Gellix" w:cs="Arial"/>
          <w:color w:val="000000"/>
          <w:sz w:val="21"/>
          <w:szCs w:val="21"/>
        </w:rPr>
        <w:t xml:space="preserve"> emissions reductions, </w:t>
      </w:r>
      <w:r w:rsidR="000A7600" w:rsidRPr="000A7600">
        <w:rPr>
          <w:rFonts w:ascii="Gellix" w:hAnsi="Gellix" w:cs="Arial"/>
          <w:color w:val="000000"/>
          <w:sz w:val="21"/>
          <w:szCs w:val="21"/>
        </w:rPr>
        <w:t>should be</w:t>
      </w:r>
      <w:r w:rsidR="0074595E">
        <w:rPr>
          <w:rFonts w:ascii="Gellix" w:hAnsi="Gellix" w:cs="Arial"/>
          <w:color w:val="000000"/>
          <w:sz w:val="21"/>
          <w:szCs w:val="21"/>
        </w:rPr>
        <w:t xml:space="preserve"> taken in account and</w:t>
      </w:r>
      <w:r w:rsidR="000A7600" w:rsidRPr="000A7600">
        <w:rPr>
          <w:rFonts w:ascii="Gellix" w:hAnsi="Gellix" w:cs="Arial"/>
          <w:color w:val="000000"/>
          <w:sz w:val="21"/>
          <w:szCs w:val="21"/>
        </w:rPr>
        <w:t xml:space="preserve"> recognised to the extent that they reduce the risk of leakage, and that credit for carbon-equivalent (CO2-e) costs already incurred by exporters should be granted</w:t>
      </w:r>
      <w:r w:rsidR="00046D7B">
        <w:rPr>
          <w:rFonts w:ascii="Gellix" w:hAnsi="Gellix" w:cs="Arial"/>
          <w:color w:val="000000"/>
          <w:sz w:val="21"/>
          <w:szCs w:val="21"/>
        </w:rPr>
        <w:t>.</w:t>
      </w:r>
    </w:p>
    <w:p w14:paraId="787E7D7D" w14:textId="77777777" w:rsidR="00531C90" w:rsidRPr="00531C90" w:rsidRDefault="00531C90" w:rsidP="00531C90">
      <w:pPr>
        <w:pStyle w:val="ListParagraph"/>
        <w:rPr>
          <w:rFonts w:ascii="Gellix" w:hAnsi="Gellix" w:cs="Arial"/>
          <w:color w:val="000000"/>
          <w:sz w:val="21"/>
          <w:szCs w:val="21"/>
        </w:rPr>
      </w:pPr>
    </w:p>
    <w:p w14:paraId="4ED5BB47" w14:textId="2B83A23F" w:rsidR="00531C90" w:rsidRDefault="00531C90" w:rsidP="00DD4ADB">
      <w:pPr>
        <w:pStyle w:val="ListParagraph"/>
        <w:numPr>
          <w:ilvl w:val="0"/>
          <w:numId w:val="52"/>
        </w:numPr>
        <w:jc w:val="both"/>
        <w:rPr>
          <w:rFonts w:ascii="Gellix" w:hAnsi="Gellix" w:cs="Arial"/>
          <w:color w:val="000000"/>
          <w:sz w:val="21"/>
          <w:szCs w:val="21"/>
        </w:rPr>
      </w:pPr>
      <w:r w:rsidRPr="00920B4B">
        <w:rPr>
          <w:rFonts w:ascii="Gellix" w:hAnsi="Gellix" w:cs="Arial"/>
          <w:b/>
          <w:bCs/>
          <w:color w:val="000000"/>
          <w:sz w:val="21"/>
          <w:szCs w:val="21"/>
        </w:rPr>
        <w:t xml:space="preserve">Purpose-directed revenue use. </w:t>
      </w:r>
      <w:r w:rsidRPr="00920B4B">
        <w:rPr>
          <w:rFonts w:ascii="Gellix" w:hAnsi="Gellix" w:cs="Arial"/>
          <w:color w:val="000000"/>
          <w:sz w:val="21"/>
          <w:szCs w:val="21"/>
        </w:rPr>
        <w:t>A BCA proposal should include provisions on the use of proceeds. A significant portion of the revenue should be used for the purpose of climate mitigation and adaptation purposes, especially in developing countries. Share of proceeds should also be allocated to support developing countries and their exporting industries to comply with the BCA regime.</w:t>
      </w:r>
      <w:r w:rsidR="00611039">
        <w:rPr>
          <w:rFonts w:ascii="Gellix" w:hAnsi="Gellix" w:cs="Arial"/>
          <w:color w:val="000000"/>
          <w:sz w:val="21"/>
          <w:szCs w:val="21"/>
        </w:rPr>
        <w:t xml:space="preserve"> </w:t>
      </w:r>
    </w:p>
    <w:p w14:paraId="7541F3C1" w14:textId="77777777" w:rsidR="003944B2" w:rsidRPr="003944B2" w:rsidRDefault="003944B2" w:rsidP="003944B2">
      <w:pPr>
        <w:pStyle w:val="ListParagraph"/>
        <w:rPr>
          <w:rFonts w:ascii="Gellix" w:hAnsi="Gellix" w:cs="Arial"/>
          <w:color w:val="000000"/>
          <w:sz w:val="21"/>
          <w:szCs w:val="21"/>
        </w:rPr>
      </w:pPr>
    </w:p>
    <w:p w14:paraId="77E7089A" w14:textId="32E00E9A" w:rsidR="003944B2" w:rsidRPr="00402916" w:rsidRDefault="0073414B" w:rsidP="00DD4ADB">
      <w:pPr>
        <w:pStyle w:val="ListParagraph"/>
        <w:numPr>
          <w:ilvl w:val="0"/>
          <w:numId w:val="52"/>
        </w:numPr>
        <w:jc w:val="both"/>
        <w:rPr>
          <w:rFonts w:ascii="Gellix" w:hAnsi="Gellix" w:cs="Arial"/>
          <w:color w:val="000000"/>
          <w:sz w:val="21"/>
          <w:szCs w:val="21"/>
        </w:rPr>
      </w:pPr>
      <w:r w:rsidRPr="00137625">
        <w:rPr>
          <w:rFonts w:ascii="Gellix" w:hAnsi="Gellix" w:cs="Arial"/>
          <w:b/>
          <w:bCs/>
          <w:color w:val="000000"/>
          <w:sz w:val="21"/>
          <w:szCs w:val="21"/>
        </w:rPr>
        <w:t xml:space="preserve">Support </w:t>
      </w:r>
      <w:r w:rsidR="00137625" w:rsidRPr="00137625">
        <w:rPr>
          <w:rFonts w:ascii="Gellix" w:hAnsi="Gellix" w:cs="Arial"/>
          <w:b/>
          <w:bCs/>
          <w:color w:val="000000"/>
          <w:sz w:val="21"/>
          <w:szCs w:val="21"/>
        </w:rPr>
        <w:t>for SMEs, in particular in developing economies.</w:t>
      </w:r>
      <w:r w:rsidR="00173EE2">
        <w:rPr>
          <w:rFonts w:ascii="Gellix" w:hAnsi="Gellix" w:cs="Arial"/>
          <w:b/>
          <w:bCs/>
          <w:color w:val="000000"/>
          <w:sz w:val="21"/>
          <w:szCs w:val="21"/>
        </w:rPr>
        <w:t xml:space="preserve"> </w:t>
      </w:r>
      <w:r w:rsidR="00173EE2" w:rsidRPr="00173EE2">
        <w:rPr>
          <w:rFonts w:ascii="Gellix" w:hAnsi="Gellix" w:cs="Arial"/>
          <w:color w:val="000000"/>
          <w:sz w:val="21"/>
          <w:szCs w:val="21"/>
        </w:rPr>
        <w:t>To the extent</w:t>
      </w:r>
      <w:r w:rsidR="00002789" w:rsidRPr="00173EE2">
        <w:rPr>
          <w:rFonts w:ascii="Gellix" w:hAnsi="Gellix" w:cs="Arial"/>
          <w:color w:val="000000"/>
          <w:sz w:val="21"/>
          <w:szCs w:val="21"/>
        </w:rPr>
        <w:t xml:space="preserve"> </w:t>
      </w:r>
      <w:r w:rsidR="00002789" w:rsidRPr="00402916">
        <w:rPr>
          <w:rFonts w:ascii="Gellix" w:hAnsi="Gellix" w:cs="Arial"/>
          <w:color w:val="000000"/>
          <w:sz w:val="21"/>
          <w:szCs w:val="21"/>
        </w:rPr>
        <w:t xml:space="preserve">possible </w:t>
      </w:r>
      <w:r w:rsidR="003F427B">
        <w:rPr>
          <w:rFonts w:ascii="Gellix" w:hAnsi="Gellix" w:cs="Arial"/>
          <w:color w:val="000000"/>
          <w:sz w:val="21"/>
          <w:szCs w:val="21"/>
        </w:rPr>
        <w:t>carve outs</w:t>
      </w:r>
      <w:r w:rsidR="00DA6324" w:rsidRPr="00402916">
        <w:rPr>
          <w:rFonts w:ascii="Gellix" w:hAnsi="Gellix" w:cs="Arial"/>
          <w:color w:val="000000"/>
          <w:sz w:val="21"/>
          <w:szCs w:val="21"/>
        </w:rPr>
        <w:t xml:space="preserve"> for </w:t>
      </w:r>
      <w:r w:rsidR="003F427B">
        <w:rPr>
          <w:rFonts w:ascii="Gellix" w:hAnsi="Gellix" w:cs="Arial"/>
          <w:color w:val="000000"/>
          <w:sz w:val="21"/>
          <w:szCs w:val="21"/>
        </w:rPr>
        <w:t>M</w:t>
      </w:r>
      <w:r w:rsidR="00DA6324" w:rsidRPr="00402916">
        <w:rPr>
          <w:rFonts w:ascii="Gellix" w:hAnsi="Gellix" w:cs="Arial"/>
          <w:color w:val="000000"/>
          <w:sz w:val="21"/>
          <w:szCs w:val="21"/>
        </w:rPr>
        <w:t xml:space="preserve">SMEs, in particular in Least </w:t>
      </w:r>
      <w:r w:rsidR="00C72B59" w:rsidRPr="00402916">
        <w:rPr>
          <w:rFonts w:ascii="Gellix" w:hAnsi="Gellix" w:cs="Arial"/>
          <w:color w:val="000000"/>
          <w:sz w:val="21"/>
          <w:szCs w:val="21"/>
        </w:rPr>
        <w:t>Developed</w:t>
      </w:r>
      <w:r w:rsidR="00173EE2">
        <w:rPr>
          <w:rFonts w:ascii="Gellix" w:hAnsi="Gellix" w:cs="Arial"/>
          <w:color w:val="000000"/>
          <w:sz w:val="21"/>
          <w:szCs w:val="21"/>
        </w:rPr>
        <w:t xml:space="preserve"> Countries</w:t>
      </w:r>
      <w:r w:rsidR="00C72B59" w:rsidRPr="00402916">
        <w:rPr>
          <w:rFonts w:ascii="Gellix" w:hAnsi="Gellix" w:cs="Arial"/>
          <w:color w:val="000000"/>
          <w:sz w:val="21"/>
          <w:szCs w:val="21"/>
        </w:rPr>
        <w:t>, f</w:t>
      </w:r>
      <w:r w:rsidR="000C5AAF" w:rsidRPr="00402916">
        <w:rPr>
          <w:rFonts w:ascii="Gellix" w:hAnsi="Gellix" w:cs="Arial"/>
          <w:color w:val="000000"/>
          <w:sz w:val="21"/>
          <w:szCs w:val="21"/>
        </w:rPr>
        <w:t xml:space="preserve">rom </w:t>
      </w:r>
      <w:r w:rsidR="00652EAB" w:rsidRPr="00402916">
        <w:rPr>
          <w:rFonts w:ascii="Gellix" w:hAnsi="Gellix" w:cs="Arial"/>
          <w:color w:val="000000"/>
          <w:sz w:val="21"/>
          <w:szCs w:val="21"/>
        </w:rPr>
        <w:t>border carbon tax should</w:t>
      </w:r>
      <w:r w:rsidR="00173EE2">
        <w:rPr>
          <w:rFonts w:ascii="Gellix" w:hAnsi="Gellix" w:cs="Arial"/>
          <w:color w:val="000000"/>
          <w:sz w:val="21"/>
          <w:szCs w:val="21"/>
        </w:rPr>
        <w:t xml:space="preserve"> be</w:t>
      </w:r>
      <w:r w:rsidR="00652EAB" w:rsidRPr="00402916">
        <w:rPr>
          <w:rFonts w:ascii="Gellix" w:hAnsi="Gellix" w:cs="Arial"/>
          <w:color w:val="000000"/>
          <w:sz w:val="21"/>
          <w:szCs w:val="21"/>
        </w:rPr>
        <w:t xml:space="preserve"> considered. </w:t>
      </w:r>
      <w:r w:rsidR="00E55393" w:rsidRPr="00402916">
        <w:rPr>
          <w:rFonts w:ascii="Gellix" w:hAnsi="Gellix" w:cs="Arial"/>
          <w:color w:val="000000"/>
          <w:sz w:val="21"/>
          <w:szCs w:val="21"/>
        </w:rPr>
        <w:t xml:space="preserve">Alternatively, a staged approach for small </w:t>
      </w:r>
      <w:r w:rsidR="00402916" w:rsidRPr="00402916">
        <w:rPr>
          <w:rFonts w:ascii="Gellix" w:hAnsi="Gellix" w:cs="Arial"/>
          <w:color w:val="000000"/>
          <w:sz w:val="21"/>
          <w:szCs w:val="21"/>
        </w:rPr>
        <w:t>enterprises</w:t>
      </w:r>
      <w:r w:rsidR="00E55393" w:rsidRPr="00402916">
        <w:rPr>
          <w:rFonts w:ascii="Gellix" w:hAnsi="Gellix" w:cs="Arial"/>
          <w:color w:val="000000"/>
          <w:sz w:val="21"/>
          <w:szCs w:val="21"/>
        </w:rPr>
        <w:t xml:space="preserve">, below a </w:t>
      </w:r>
      <w:r w:rsidR="000B08C4" w:rsidRPr="00402916">
        <w:rPr>
          <w:rFonts w:ascii="Gellix" w:hAnsi="Gellix" w:cs="Arial"/>
          <w:color w:val="000000"/>
          <w:sz w:val="21"/>
          <w:szCs w:val="21"/>
        </w:rPr>
        <w:t xml:space="preserve">certain </w:t>
      </w:r>
      <w:r w:rsidR="00875417" w:rsidRPr="00402916">
        <w:rPr>
          <w:rFonts w:ascii="Gellix" w:hAnsi="Gellix" w:cs="Arial"/>
          <w:color w:val="000000"/>
          <w:sz w:val="21"/>
          <w:szCs w:val="21"/>
        </w:rPr>
        <w:t xml:space="preserve">export volume should be applied in order to help build </w:t>
      </w:r>
      <w:r w:rsidR="00755D85" w:rsidRPr="00402916">
        <w:rPr>
          <w:rFonts w:ascii="Gellix" w:hAnsi="Gellix" w:cs="Arial"/>
          <w:color w:val="000000"/>
          <w:sz w:val="21"/>
          <w:szCs w:val="21"/>
        </w:rPr>
        <w:t>needed capacities and capabilities</w:t>
      </w:r>
      <w:r w:rsidR="00887EA1">
        <w:rPr>
          <w:rFonts w:ascii="Gellix" w:hAnsi="Gellix" w:cs="Arial"/>
          <w:color w:val="000000"/>
          <w:sz w:val="21"/>
          <w:szCs w:val="21"/>
        </w:rPr>
        <w:t xml:space="preserve"> for reporting and compliance</w:t>
      </w:r>
      <w:r w:rsidR="00755D85" w:rsidRPr="00402916">
        <w:rPr>
          <w:rFonts w:ascii="Gellix" w:hAnsi="Gellix" w:cs="Arial"/>
          <w:color w:val="000000"/>
          <w:sz w:val="21"/>
          <w:szCs w:val="21"/>
        </w:rPr>
        <w:t>. This should be couple</w:t>
      </w:r>
      <w:r w:rsidR="00887EA1">
        <w:rPr>
          <w:rFonts w:ascii="Gellix" w:hAnsi="Gellix" w:cs="Arial"/>
          <w:color w:val="000000"/>
          <w:sz w:val="21"/>
          <w:szCs w:val="21"/>
        </w:rPr>
        <w:t>d</w:t>
      </w:r>
      <w:r w:rsidR="00755D85" w:rsidRPr="00402916">
        <w:rPr>
          <w:rFonts w:ascii="Gellix" w:hAnsi="Gellix" w:cs="Arial"/>
          <w:color w:val="000000"/>
          <w:sz w:val="21"/>
          <w:szCs w:val="21"/>
        </w:rPr>
        <w:t xml:space="preserve"> </w:t>
      </w:r>
      <w:r w:rsidR="00EB116E">
        <w:rPr>
          <w:rFonts w:ascii="Gellix" w:hAnsi="Gellix" w:cs="Arial"/>
          <w:color w:val="000000"/>
          <w:sz w:val="21"/>
          <w:szCs w:val="21"/>
        </w:rPr>
        <w:t>with</w:t>
      </w:r>
      <w:r w:rsidR="00E44430">
        <w:rPr>
          <w:rFonts w:ascii="Gellix" w:hAnsi="Gellix" w:cs="Arial"/>
          <w:color w:val="000000"/>
          <w:sz w:val="21"/>
          <w:szCs w:val="21"/>
        </w:rPr>
        <w:t xml:space="preserve"> sufficient</w:t>
      </w:r>
      <w:r w:rsidR="00887EA1">
        <w:rPr>
          <w:rFonts w:ascii="Gellix" w:hAnsi="Gellix" w:cs="Arial"/>
          <w:color w:val="000000"/>
          <w:sz w:val="21"/>
          <w:szCs w:val="21"/>
        </w:rPr>
        <w:t xml:space="preserve"> </w:t>
      </w:r>
      <w:r w:rsidR="00BF4C20">
        <w:rPr>
          <w:rFonts w:ascii="Gellix" w:hAnsi="Gellix" w:cs="Arial"/>
          <w:color w:val="000000"/>
          <w:sz w:val="21"/>
          <w:szCs w:val="21"/>
        </w:rPr>
        <w:t xml:space="preserve">capacity building </w:t>
      </w:r>
      <w:r w:rsidR="00EA6A5C">
        <w:rPr>
          <w:rFonts w:ascii="Gellix" w:hAnsi="Gellix" w:cs="Arial"/>
          <w:color w:val="000000"/>
          <w:sz w:val="21"/>
          <w:szCs w:val="21"/>
        </w:rPr>
        <w:t xml:space="preserve">and financial </w:t>
      </w:r>
      <w:r w:rsidR="00A77A90">
        <w:rPr>
          <w:rFonts w:ascii="Gellix" w:hAnsi="Gellix" w:cs="Arial"/>
          <w:color w:val="000000"/>
          <w:sz w:val="21"/>
          <w:szCs w:val="21"/>
        </w:rPr>
        <w:t xml:space="preserve">support </w:t>
      </w:r>
      <w:r w:rsidR="00EB116E">
        <w:rPr>
          <w:rFonts w:ascii="Gellix" w:hAnsi="Gellix" w:cs="Arial"/>
          <w:color w:val="000000"/>
          <w:sz w:val="21"/>
          <w:szCs w:val="21"/>
        </w:rPr>
        <w:t xml:space="preserve">to </w:t>
      </w:r>
      <w:r w:rsidR="00A77A90">
        <w:rPr>
          <w:rFonts w:ascii="Gellix" w:hAnsi="Gellix" w:cs="Arial"/>
          <w:color w:val="000000"/>
          <w:sz w:val="21"/>
          <w:szCs w:val="21"/>
        </w:rPr>
        <w:t>alleviate compliance and administrative costs.</w:t>
      </w:r>
      <w:r w:rsidR="00BF4C20">
        <w:rPr>
          <w:rFonts w:ascii="Gellix" w:hAnsi="Gellix" w:cs="Arial"/>
          <w:color w:val="000000"/>
          <w:sz w:val="21"/>
          <w:szCs w:val="21"/>
        </w:rPr>
        <w:t xml:space="preserve"> </w:t>
      </w:r>
    </w:p>
    <w:p w14:paraId="1972D772" w14:textId="77777777" w:rsidR="00531C90" w:rsidRPr="00531C90" w:rsidRDefault="00531C90" w:rsidP="00531C90">
      <w:pPr>
        <w:pStyle w:val="ListParagraph"/>
        <w:rPr>
          <w:rFonts w:ascii="Gellix" w:hAnsi="Gellix" w:cs="Arial"/>
          <w:color w:val="000000"/>
          <w:sz w:val="21"/>
          <w:szCs w:val="21"/>
        </w:rPr>
      </w:pPr>
    </w:p>
    <w:p w14:paraId="0471B67F" w14:textId="439B07A5" w:rsidR="00531C90" w:rsidRPr="00531C90" w:rsidRDefault="00531C90" w:rsidP="00531C90">
      <w:pPr>
        <w:pStyle w:val="ListParagraph"/>
        <w:numPr>
          <w:ilvl w:val="0"/>
          <w:numId w:val="52"/>
        </w:numPr>
        <w:jc w:val="both"/>
        <w:rPr>
          <w:rFonts w:ascii="Gellix" w:hAnsi="Gellix" w:cs="Arial"/>
          <w:color w:val="000000"/>
          <w:sz w:val="21"/>
          <w:szCs w:val="21"/>
        </w:rPr>
      </w:pPr>
      <w:r w:rsidRPr="00920B4B">
        <w:rPr>
          <w:rFonts w:ascii="Gellix" w:hAnsi="Gellix" w:cs="Arial"/>
          <w:b/>
          <w:bCs/>
          <w:color w:val="000000"/>
          <w:sz w:val="21"/>
          <w:szCs w:val="21"/>
        </w:rPr>
        <w:t>Promote cooperative climate action.</w:t>
      </w:r>
      <w:r w:rsidRPr="00920B4B">
        <w:rPr>
          <w:rFonts w:ascii="Gellix" w:hAnsi="Gellix" w:cs="Arial"/>
          <w:color w:val="000000"/>
          <w:sz w:val="21"/>
          <w:szCs w:val="21"/>
        </w:rPr>
        <w:t xml:space="preserve"> It is important that BCAs do not hinder global efforts in climate action but promote increased collaboration and coordination. BCAs should therefore take into account and be compatible with national climate policies and pricing mechanisms, avoiding overlapping measures (e.g., double taxation), advancing international consensus on carbon pricing as well as providing incentives without harming investments in </w:t>
      </w:r>
    </w:p>
    <w:p w14:paraId="4B0ADC2C" w14:textId="77777777" w:rsidR="00920B4B" w:rsidRPr="00920B4B" w:rsidRDefault="00920B4B" w:rsidP="00920B4B">
      <w:pPr>
        <w:pStyle w:val="ListParagraph"/>
        <w:rPr>
          <w:rFonts w:ascii="Gellix" w:hAnsi="Gellix" w:cs="Arial"/>
          <w:b/>
          <w:bCs/>
          <w:color w:val="000000"/>
          <w:sz w:val="21"/>
          <w:szCs w:val="21"/>
        </w:rPr>
      </w:pPr>
    </w:p>
    <w:p w14:paraId="693E46B4" w14:textId="256F699B" w:rsidR="005059FE" w:rsidRPr="00920B4B" w:rsidRDefault="005059FE" w:rsidP="00920B4B">
      <w:pPr>
        <w:pStyle w:val="ListParagraph"/>
        <w:numPr>
          <w:ilvl w:val="0"/>
          <w:numId w:val="52"/>
        </w:numPr>
        <w:jc w:val="both"/>
        <w:rPr>
          <w:rFonts w:ascii="Gellix" w:hAnsi="Gellix" w:cs="Arial"/>
          <w:color w:val="000000"/>
          <w:sz w:val="21"/>
          <w:szCs w:val="21"/>
        </w:rPr>
      </w:pPr>
      <w:r w:rsidRPr="00920B4B">
        <w:rPr>
          <w:rFonts w:ascii="Gellix" w:hAnsi="Gellix" w:cs="Arial"/>
          <w:b/>
          <w:bCs/>
          <w:color w:val="000000"/>
          <w:sz w:val="21"/>
          <w:szCs w:val="21"/>
        </w:rPr>
        <w:t>Supporting sustainable development.</w:t>
      </w:r>
      <w:r w:rsidRPr="00920B4B">
        <w:rPr>
          <w:rFonts w:ascii="Gellix" w:hAnsi="Gellix" w:cs="Arial"/>
          <w:color w:val="000000"/>
          <w:sz w:val="21"/>
          <w:szCs w:val="21"/>
        </w:rPr>
        <w:t xml:space="preserve"> A BCA must be coherent with sustainable development policy objectives</w:t>
      </w:r>
      <w:r w:rsidRPr="00920B4B">
        <w:rPr>
          <w:rStyle w:val="CommentReference"/>
          <w:rFonts w:ascii="Gellix" w:hAnsi="Gellix" w:cs="Arial"/>
          <w:sz w:val="21"/>
          <w:szCs w:val="21"/>
        </w:rPr>
        <w:t>, including access to affordable and clean energy, economic growth, reducing inequalities as well as climate action, av</w:t>
      </w:r>
      <w:r w:rsidRPr="00920B4B">
        <w:rPr>
          <w:rFonts w:ascii="Gellix" w:hAnsi="Gellix" w:cs="Arial"/>
          <w:color w:val="000000"/>
          <w:sz w:val="21"/>
          <w:szCs w:val="21"/>
        </w:rPr>
        <w:t>oiding negative impacts on developing economies. Countries should undertake a risk assessment on the effect of a BCA on developing economies exports and competitiveness.</w:t>
      </w:r>
    </w:p>
    <w:p w14:paraId="50F73B74" w14:textId="363AFC46" w:rsidR="000622BE" w:rsidRPr="00483786" w:rsidRDefault="00710C11" w:rsidP="00483786">
      <w:pPr>
        <w:pStyle w:val="ListParagraph"/>
        <w:spacing w:after="0" w:line="240" w:lineRule="auto"/>
        <w:ind w:left="1080"/>
        <w:rPr>
          <w:rFonts w:ascii="Gellix" w:hAnsi="Gellix"/>
          <w:sz w:val="21"/>
          <w:szCs w:val="21"/>
          <w:lang w:val="en-US"/>
        </w:rPr>
      </w:pPr>
      <w:r w:rsidRPr="00920B4B">
        <w:rPr>
          <w:rFonts w:ascii="Gellix" w:hAnsi="Gellix"/>
          <w:sz w:val="21"/>
          <w:szCs w:val="21"/>
          <w:lang w:val="en-US"/>
        </w:rPr>
        <w:t xml:space="preserve"> </w:t>
      </w:r>
    </w:p>
    <w:p w14:paraId="26F7C718" w14:textId="77777777" w:rsidR="00320A85" w:rsidRDefault="00BE1729" w:rsidP="009B6488">
      <w:pPr>
        <w:pStyle w:val="ListParagraph"/>
        <w:numPr>
          <w:ilvl w:val="0"/>
          <w:numId w:val="51"/>
        </w:numPr>
        <w:spacing w:after="0" w:line="240" w:lineRule="auto"/>
        <w:rPr>
          <w:rFonts w:ascii="Gellix" w:hAnsi="Gellix"/>
          <w:sz w:val="21"/>
          <w:szCs w:val="21"/>
        </w:rPr>
      </w:pPr>
      <w:r>
        <w:rPr>
          <w:rFonts w:ascii="Gellix" w:hAnsi="Gellix"/>
          <w:b/>
          <w:bCs/>
          <w:sz w:val="21"/>
          <w:szCs w:val="21"/>
        </w:rPr>
        <w:t>L</w:t>
      </w:r>
      <w:r w:rsidR="001F4C26" w:rsidRPr="001F4C26">
        <w:rPr>
          <w:rFonts w:ascii="Gellix" w:hAnsi="Gellix"/>
          <w:b/>
          <w:bCs/>
          <w:sz w:val="21"/>
          <w:szCs w:val="21"/>
        </w:rPr>
        <w:t xml:space="preserve">inking </w:t>
      </w:r>
      <w:r w:rsidR="00B83463" w:rsidRPr="00920B4B">
        <w:rPr>
          <w:rFonts w:ascii="Gellix" w:hAnsi="Gellix"/>
          <w:b/>
          <w:bCs/>
          <w:sz w:val="21"/>
          <w:szCs w:val="21"/>
        </w:rPr>
        <w:t xml:space="preserve">carbon systems </w:t>
      </w:r>
      <w:r w:rsidR="00B83463">
        <w:rPr>
          <w:rFonts w:ascii="Gellix" w:hAnsi="Gellix"/>
          <w:b/>
          <w:bCs/>
          <w:sz w:val="21"/>
          <w:szCs w:val="21"/>
        </w:rPr>
        <w:t xml:space="preserve">and </w:t>
      </w:r>
      <w:r w:rsidR="001F4C26" w:rsidRPr="001F4C26">
        <w:rPr>
          <w:rFonts w:ascii="Gellix" w:hAnsi="Gellix"/>
          <w:b/>
          <w:bCs/>
          <w:sz w:val="21"/>
          <w:szCs w:val="21"/>
        </w:rPr>
        <w:t xml:space="preserve">international cooperation, </w:t>
      </w:r>
      <w:r w:rsidR="00B83463">
        <w:rPr>
          <w:rFonts w:ascii="Gellix" w:hAnsi="Gellix"/>
          <w:b/>
          <w:bCs/>
          <w:sz w:val="21"/>
          <w:szCs w:val="21"/>
        </w:rPr>
        <w:t xml:space="preserve">most importantly </w:t>
      </w:r>
      <w:r w:rsidR="001F4C26" w:rsidRPr="001F4C26">
        <w:rPr>
          <w:rFonts w:ascii="Gellix" w:hAnsi="Gellix"/>
          <w:b/>
          <w:bCs/>
          <w:sz w:val="21"/>
          <w:szCs w:val="21"/>
        </w:rPr>
        <w:t xml:space="preserve">under Article 6 of the Paris Agreement </w:t>
      </w:r>
      <w:r w:rsidR="00057EBA" w:rsidRPr="00920B4B">
        <w:rPr>
          <w:rFonts w:ascii="Gellix" w:hAnsi="Gellix"/>
          <w:b/>
          <w:bCs/>
          <w:sz w:val="21"/>
          <w:szCs w:val="21"/>
        </w:rPr>
        <w:t>can increase the benefits of carbon pricing</w:t>
      </w:r>
      <w:r w:rsidR="00057EBA" w:rsidRPr="001F4C26">
        <w:rPr>
          <w:rFonts w:ascii="Gellix" w:hAnsi="Gellix"/>
          <w:b/>
          <w:bCs/>
          <w:sz w:val="21"/>
          <w:szCs w:val="21"/>
        </w:rPr>
        <w:t xml:space="preserve"> </w:t>
      </w:r>
      <w:r w:rsidR="001F4C26" w:rsidRPr="001F4C26">
        <w:rPr>
          <w:rFonts w:ascii="Gellix" w:hAnsi="Gellix"/>
          <w:b/>
          <w:bCs/>
          <w:sz w:val="21"/>
          <w:szCs w:val="21"/>
        </w:rPr>
        <w:t xml:space="preserve">and </w:t>
      </w:r>
      <w:r w:rsidR="00057EBA">
        <w:rPr>
          <w:rFonts w:ascii="Gellix" w:hAnsi="Gellix"/>
          <w:b/>
          <w:bCs/>
          <w:sz w:val="21"/>
          <w:szCs w:val="21"/>
        </w:rPr>
        <w:t xml:space="preserve">lead to </w:t>
      </w:r>
      <w:r w:rsidR="000F2F6F">
        <w:rPr>
          <w:rFonts w:ascii="Gellix" w:hAnsi="Gellix"/>
          <w:b/>
          <w:bCs/>
          <w:sz w:val="21"/>
          <w:szCs w:val="21"/>
        </w:rPr>
        <w:t xml:space="preserve">higher </w:t>
      </w:r>
      <w:r w:rsidR="001F4C26" w:rsidRPr="001F4C26">
        <w:rPr>
          <w:rFonts w:ascii="Gellix" w:hAnsi="Gellix"/>
          <w:b/>
          <w:bCs/>
          <w:sz w:val="21"/>
          <w:szCs w:val="21"/>
        </w:rPr>
        <w:t>climate ambition by governments and businesses</w:t>
      </w:r>
      <w:r>
        <w:rPr>
          <w:rFonts w:ascii="Gellix" w:hAnsi="Gellix"/>
          <w:b/>
          <w:bCs/>
          <w:sz w:val="21"/>
          <w:szCs w:val="21"/>
        </w:rPr>
        <w:t>.</w:t>
      </w:r>
      <w:r w:rsidR="008E363F">
        <w:rPr>
          <w:rFonts w:ascii="Gellix" w:hAnsi="Gellix"/>
          <w:sz w:val="21"/>
          <w:szCs w:val="21"/>
        </w:rPr>
        <w:t xml:space="preserve"> The Paris Agreement’s bottom-up </w:t>
      </w:r>
      <w:r w:rsidR="00FC1F0A">
        <w:rPr>
          <w:rFonts w:ascii="Gellix" w:hAnsi="Gellix"/>
          <w:sz w:val="21"/>
          <w:szCs w:val="21"/>
        </w:rPr>
        <w:t>climate regime</w:t>
      </w:r>
      <w:r w:rsidR="00FE7721">
        <w:rPr>
          <w:rFonts w:ascii="Gellix" w:hAnsi="Gellix"/>
          <w:sz w:val="21"/>
          <w:szCs w:val="21"/>
        </w:rPr>
        <w:t xml:space="preserve"> creates specific challenges for governance of international </w:t>
      </w:r>
      <w:r w:rsidR="000D3AD3">
        <w:rPr>
          <w:rFonts w:ascii="Gellix" w:hAnsi="Gellix"/>
          <w:sz w:val="21"/>
          <w:szCs w:val="21"/>
        </w:rPr>
        <w:t>carbon markets</w:t>
      </w:r>
      <w:r w:rsidR="005B29B2">
        <w:rPr>
          <w:rFonts w:ascii="Gellix" w:hAnsi="Gellix"/>
          <w:sz w:val="21"/>
          <w:szCs w:val="21"/>
        </w:rPr>
        <w:t>, that continue to be</w:t>
      </w:r>
      <w:r w:rsidR="000D3AD3">
        <w:rPr>
          <w:rFonts w:ascii="Gellix" w:hAnsi="Gellix"/>
          <w:sz w:val="21"/>
          <w:szCs w:val="21"/>
        </w:rPr>
        <w:t xml:space="preserve"> part of the “crunch issues” </w:t>
      </w:r>
      <w:r w:rsidR="00B7234A">
        <w:rPr>
          <w:rFonts w:ascii="Gellix" w:hAnsi="Gellix"/>
          <w:sz w:val="21"/>
          <w:szCs w:val="21"/>
        </w:rPr>
        <w:t xml:space="preserve">heavily debated in the Article 6 negotiations. </w:t>
      </w:r>
    </w:p>
    <w:p w14:paraId="5F1978A8" w14:textId="77777777" w:rsidR="00320A85" w:rsidRDefault="00320A85" w:rsidP="00320A85">
      <w:pPr>
        <w:pStyle w:val="ListParagraph"/>
        <w:spacing w:after="0" w:line="240" w:lineRule="auto"/>
        <w:rPr>
          <w:rFonts w:ascii="Gellix" w:hAnsi="Gellix"/>
          <w:sz w:val="21"/>
          <w:szCs w:val="21"/>
        </w:rPr>
      </w:pPr>
    </w:p>
    <w:p w14:paraId="4E2EE230" w14:textId="0A9DB445" w:rsidR="00320A85" w:rsidRDefault="00B7234A" w:rsidP="00320A85">
      <w:pPr>
        <w:pStyle w:val="ListParagraph"/>
        <w:spacing w:after="0" w:line="240" w:lineRule="auto"/>
        <w:rPr>
          <w:rFonts w:ascii="Gellix" w:hAnsi="Gellix"/>
          <w:sz w:val="21"/>
          <w:szCs w:val="21"/>
        </w:rPr>
      </w:pPr>
      <w:r>
        <w:rPr>
          <w:rFonts w:ascii="Gellix" w:hAnsi="Gellix"/>
          <w:sz w:val="21"/>
          <w:szCs w:val="21"/>
        </w:rPr>
        <w:t>L</w:t>
      </w:r>
      <w:r w:rsidR="00BE1729" w:rsidRPr="00920B4B">
        <w:rPr>
          <w:rFonts w:ascii="Gellix" w:hAnsi="Gellix"/>
          <w:sz w:val="21"/>
          <w:szCs w:val="21"/>
        </w:rPr>
        <w:t xml:space="preserve">inking </w:t>
      </w:r>
      <w:r w:rsidR="009E4639">
        <w:rPr>
          <w:rFonts w:ascii="Gellix" w:hAnsi="Gellix"/>
          <w:sz w:val="21"/>
          <w:szCs w:val="21"/>
        </w:rPr>
        <w:t xml:space="preserve">and aligning </w:t>
      </w:r>
      <w:r w:rsidR="00BE1729" w:rsidRPr="00920B4B">
        <w:rPr>
          <w:rFonts w:ascii="Gellix" w:hAnsi="Gellix"/>
          <w:sz w:val="21"/>
          <w:szCs w:val="21"/>
        </w:rPr>
        <w:t xml:space="preserve">carbon pricing </w:t>
      </w:r>
      <w:r w:rsidR="009E4639">
        <w:rPr>
          <w:rFonts w:ascii="Gellix" w:hAnsi="Gellix"/>
          <w:sz w:val="21"/>
          <w:szCs w:val="21"/>
        </w:rPr>
        <w:t>mechanism</w:t>
      </w:r>
      <w:r w:rsidR="00BE1729" w:rsidRPr="00920B4B">
        <w:rPr>
          <w:rFonts w:ascii="Gellix" w:hAnsi="Gellix"/>
          <w:sz w:val="21"/>
          <w:szCs w:val="21"/>
        </w:rPr>
        <w:t xml:space="preserve"> is key to connect fragmented policy efforts</w:t>
      </w:r>
      <w:r w:rsidR="00F033FE">
        <w:rPr>
          <w:rFonts w:ascii="Gellix" w:hAnsi="Gellix"/>
          <w:sz w:val="21"/>
          <w:szCs w:val="21"/>
        </w:rPr>
        <w:t xml:space="preserve">, </w:t>
      </w:r>
      <w:r w:rsidR="009F67B3">
        <w:rPr>
          <w:rFonts w:ascii="Gellix" w:hAnsi="Gellix"/>
          <w:sz w:val="21"/>
          <w:szCs w:val="21"/>
        </w:rPr>
        <w:t xml:space="preserve">overcome existing </w:t>
      </w:r>
      <w:r w:rsidR="008345F7">
        <w:rPr>
          <w:rFonts w:ascii="Gellix" w:hAnsi="Gellix"/>
          <w:sz w:val="21"/>
          <w:szCs w:val="21"/>
        </w:rPr>
        <w:t>complexities</w:t>
      </w:r>
      <w:r w:rsidR="005C6E97">
        <w:rPr>
          <w:rFonts w:ascii="Gellix" w:hAnsi="Gellix"/>
          <w:sz w:val="21"/>
          <w:szCs w:val="21"/>
        </w:rPr>
        <w:t xml:space="preserve"> and maint</w:t>
      </w:r>
      <w:r w:rsidR="00AC581B">
        <w:rPr>
          <w:rFonts w:ascii="Gellix" w:hAnsi="Gellix"/>
          <w:sz w:val="21"/>
          <w:szCs w:val="21"/>
        </w:rPr>
        <w:t>ain their relevance in the era of the Paris Accord</w:t>
      </w:r>
      <w:r w:rsidR="00BE1729" w:rsidRPr="00920B4B">
        <w:rPr>
          <w:rFonts w:ascii="Gellix" w:hAnsi="Gellix"/>
          <w:sz w:val="21"/>
          <w:szCs w:val="21"/>
        </w:rPr>
        <w:t xml:space="preserve">. </w:t>
      </w:r>
    </w:p>
    <w:p w14:paraId="08492ADE" w14:textId="77777777" w:rsidR="00320A85" w:rsidRDefault="00320A85" w:rsidP="00320A85">
      <w:pPr>
        <w:pStyle w:val="ListParagraph"/>
        <w:spacing w:after="0" w:line="240" w:lineRule="auto"/>
        <w:rPr>
          <w:rFonts w:ascii="Gellix" w:hAnsi="Gellix"/>
          <w:sz w:val="21"/>
          <w:szCs w:val="21"/>
        </w:rPr>
      </w:pPr>
    </w:p>
    <w:p w14:paraId="16EFA9F1" w14:textId="77A822BA" w:rsidR="009B6488" w:rsidRDefault="00BE1729" w:rsidP="00320A85">
      <w:pPr>
        <w:pStyle w:val="ListParagraph"/>
        <w:spacing w:after="0" w:line="240" w:lineRule="auto"/>
        <w:rPr>
          <w:rFonts w:ascii="Gellix" w:hAnsi="Gellix"/>
          <w:sz w:val="21"/>
          <w:szCs w:val="21"/>
        </w:rPr>
      </w:pPr>
      <w:r w:rsidRPr="00920B4B">
        <w:rPr>
          <w:rFonts w:ascii="Gellix" w:hAnsi="Gellix"/>
          <w:sz w:val="21"/>
          <w:szCs w:val="21"/>
        </w:rPr>
        <w:t>Linking can improve cost effectiveness by lowering the overall economic costs for certain sectors as well as reduce carbon leakage risks and competitive disadvantages. At the same time, it can increase coordination, alignment and the economically viable options for mitigation actions in different regions and can reduce complexity of carbon pricing coverage for cross border production processes and supply lines.</w:t>
      </w:r>
    </w:p>
    <w:p w14:paraId="45922744" w14:textId="77777777" w:rsidR="009B6488" w:rsidRDefault="009B6488" w:rsidP="009B6488">
      <w:pPr>
        <w:pStyle w:val="ListParagraph"/>
        <w:spacing w:after="0" w:line="240" w:lineRule="auto"/>
        <w:rPr>
          <w:rFonts w:ascii="Gellix" w:hAnsi="Gellix"/>
          <w:sz w:val="21"/>
          <w:szCs w:val="21"/>
        </w:rPr>
      </w:pPr>
    </w:p>
    <w:p w14:paraId="6EC742ED" w14:textId="0037B846" w:rsidR="009B6488" w:rsidRPr="009A6097" w:rsidRDefault="003C62BF" w:rsidP="009B6488">
      <w:pPr>
        <w:pStyle w:val="ListParagraph"/>
        <w:numPr>
          <w:ilvl w:val="0"/>
          <w:numId w:val="51"/>
        </w:numPr>
        <w:spacing w:after="0" w:line="240" w:lineRule="auto"/>
        <w:rPr>
          <w:rFonts w:ascii="Gellix" w:hAnsi="Gellix"/>
          <w:sz w:val="21"/>
          <w:szCs w:val="21"/>
        </w:rPr>
      </w:pPr>
      <w:r w:rsidRPr="009A6097">
        <w:rPr>
          <w:rFonts w:ascii="Gellix" w:hAnsi="Gellix"/>
          <w:sz w:val="21"/>
          <w:szCs w:val="21"/>
        </w:rPr>
        <w:t xml:space="preserve">Given the challenges that can derive from linking carbon pricing systems, there is a strong need for </w:t>
      </w:r>
      <w:r w:rsidRPr="009A6097">
        <w:rPr>
          <w:rFonts w:ascii="Gellix" w:hAnsi="Gellix"/>
          <w:b/>
          <w:bCs/>
          <w:sz w:val="21"/>
          <w:szCs w:val="21"/>
        </w:rPr>
        <w:t xml:space="preserve">coordination and compatibility </w:t>
      </w:r>
      <w:r w:rsidR="00070D4D" w:rsidRPr="009A6097">
        <w:rPr>
          <w:rFonts w:ascii="Gellix" w:hAnsi="Gellix"/>
          <w:b/>
          <w:bCs/>
          <w:sz w:val="21"/>
          <w:szCs w:val="21"/>
        </w:rPr>
        <w:t xml:space="preserve">of </w:t>
      </w:r>
      <w:r w:rsidR="003B6832">
        <w:rPr>
          <w:rFonts w:ascii="Gellix" w:hAnsi="Gellix"/>
          <w:b/>
          <w:bCs/>
          <w:sz w:val="21"/>
          <w:szCs w:val="21"/>
        </w:rPr>
        <w:t xml:space="preserve">all </w:t>
      </w:r>
      <w:r w:rsidR="00070D4D" w:rsidRPr="009A6097">
        <w:rPr>
          <w:rFonts w:ascii="Gellix" w:hAnsi="Gellix"/>
          <w:b/>
          <w:bCs/>
          <w:sz w:val="21"/>
          <w:szCs w:val="21"/>
        </w:rPr>
        <w:t xml:space="preserve">design features across </w:t>
      </w:r>
      <w:r w:rsidR="00C34813" w:rsidRPr="009A6097">
        <w:rPr>
          <w:rFonts w:ascii="Gellix" w:hAnsi="Gellix"/>
          <w:b/>
          <w:bCs/>
          <w:sz w:val="21"/>
          <w:szCs w:val="21"/>
        </w:rPr>
        <w:t xml:space="preserve">linked </w:t>
      </w:r>
      <w:r w:rsidR="00070D4D" w:rsidRPr="009A6097">
        <w:rPr>
          <w:rFonts w:ascii="Gellix" w:hAnsi="Gellix"/>
          <w:b/>
          <w:bCs/>
          <w:sz w:val="21"/>
          <w:szCs w:val="21"/>
        </w:rPr>
        <w:t>systems</w:t>
      </w:r>
      <w:r w:rsidRPr="009A6097">
        <w:rPr>
          <w:rFonts w:ascii="Gellix" w:hAnsi="Gellix"/>
          <w:sz w:val="21"/>
          <w:szCs w:val="21"/>
        </w:rPr>
        <w:t>, to make sure that linking works effectively and that the environmental integrity of allowances across systems is maintained.</w:t>
      </w:r>
      <w:r w:rsidR="009B6488" w:rsidRPr="009A6097">
        <w:rPr>
          <w:rFonts w:ascii="Gellix" w:hAnsi="Gellix"/>
          <w:sz w:val="21"/>
          <w:szCs w:val="21"/>
        </w:rPr>
        <w:t xml:space="preserve"> </w:t>
      </w:r>
    </w:p>
    <w:p w14:paraId="6D5F7ED2" w14:textId="77777777" w:rsidR="009B6488" w:rsidRPr="009B6488" w:rsidRDefault="009B6488" w:rsidP="009B6488">
      <w:pPr>
        <w:pStyle w:val="ListParagraph"/>
        <w:rPr>
          <w:sz w:val="21"/>
          <w:szCs w:val="21"/>
        </w:rPr>
      </w:pPr>
    </w:p>
    <w:p w14:paraId="00E60900" w14:textId="4027BA14" w:rsidR="00DD0D01" w:rsidRDefault="009B6488" w:rsidP="009B6488">
      <w:pPr>
        <w:pStyle w:val="ListParagraph"/>
        <w:spacing w:after="0" w:line="240" w:lineRule="auto"/>
        <w:rPr>
          <w:rFonts w:ascii="Gellix" w:hAnsi="Gellix"/>
          <w:sz w:val="21"/>
          <w:szCs w:val="21"/>
        </w:rPr>
      </w:pPr>
      <w:r w:rsidRPr="009B6488">
        <w:rPr>
          <w:rFonts w:ascii="Gellix" w:hAnsi="Gellix"/>
          <w:sz w:val="21"/>
          <w:szCs w:val="21"/>
        </w:rPr>
        <w:t>Key consideration</w:t>
      </w:r>
      <w:r w:rsidR="004F4A4A">
        <w:rPr>
          <w:rFonts w:ascii="Gellix" w:hAnsi="Gellix"/>
          <w:sz w:val="21"/>
          <w:szCs w:val="21"/>
        </w:rPr>
        <w:t>s</w:t>
      </w:r>
      <w:r w:rsidRPr="009B6488">
        <w:rPr>
          <w:rFonts w:ascii="Gellix" w:hAnsi="Gellix"/>
          <w:sz w:val="21"/>
          <w:szCs w:val="21"/>
        </w:rPr>
        <w:t xml:space="preserve"> to take into account </w:t>
      </w:r>
      <w:r w:rsidR="00C23774">
        <w:rPr>
          <w:rFonts w:ascii="Gellix" w:hAnsi="Gellix"/>
          <w:sz w:val="21"/>
          <w:szCs w:val="21"/>
        </w:rPr>
        <w:t xml:space="preserve">in preparation </w:t>
      </w:r>
      <w:r w:rsidR="00DC6144">
        <w:rPr>
          <w:rFonts w:ascii="Gellix" w:hAnsi="Gellix"/>
          <w:sz w:val="21"/>
          <w:szCs w:val="21"/>
        </w:rPr>
        <w:t xml:space="preserve">for effective linking of carbon pricing systems </w:t>
      </w:r>
      <w:r w:rsidRPr="009B6488">
        <w:rPr>
          <w:rFonts w:ascii="Gellix" w:hAnsi="Gellix"/>
          <w:sz w:val="21"/>
          <w:szCs w:val="21"/>
        </w:rPr>
        <w:t>include</w:t>
      </w:r>
      <w:r>
        <w:rPr>
          <w:rFonts w:ascii="Gellix" w:hAnsi="Gellix"/>
          <w:sz w:val="21"/>
          <w:szCs w:val="21"/>
        </w:rPr>
        <w:t xml:space="preserve">: </w:t>
      </w:r>
    </w:p>
    <w:p w14:paraId="470698AF" w14:textId="77777777" w:rsidR="00DD0D01" w:rsidRDefault="009B6488" w:rsidP="00DD0D01">
      <w:pPr>
        <w:pStyle w:val="ListParagraph"/>
        <w:numPr>
          <w:ilvl w:val="0"/>
          <w:numId w:val="73"/>
        </w:numPr>
        <w:spacing w:after="0" w:line="240" w:lineRule="auto"/>
        <w:rPr>
          <w:rFonts w:ascii="Gellix" w:hAnsi="Gellix"/>
          <w:sz w:val="21"/>
          <w:szCs w:val="21"/>
        </w:rPr>
      </w:pPr>
      <w:r w:rsidRPr="009B6488">
        <w:rPr>
          <w:rFonts w:ascii="Gellix" w:hAnsi="Gellix"/>
          <w:sz w:val="21"/>
          <w:szCs w:val="21"/>
        </w:rPr>
        <w:t>respective current and future levels of ambition</w:t>
      </w:r>
      <w:r w:rsidR="00795B34">
        <w:rPr>
          <w:rFonts w:ascii="Gellix" w:hAnsi="Gellix"/>
          <w:sz w:val="21"/>
          <w:szCs w:val="21"/>
        </w:rPr>
        <w:t xml:space="preserve">; </w:t>
      </w:r>
    </w:p>
    <w:p w14:paraId="73A7D1DF" w14:textId="77777777" w:rsidR="00DD0D01" w:rsidRDefault="00C13B02" w:rsidP="00DD0D01">
      <w:pPr>
        <w:pStyle w:val="ListParagraph"/>
        <w:numPr>
          <w:ilvl w:val="0"/>
          <w:numId w:val="73"/>
        </w:numPr>
        <w:spacing w:after="0" w:line="240" w:lineRule="auto"/>
        <w:rPr>
          <w:rFonts w:ascii="Gellix" w:hAnsi="Gellix"/>
          <w:sz w:val="21"/>
          <w:szCs w:val="21"/>
        </w:rPr>
      </w:pPr>
      <w:r w:rsidRPr="009B6488">
        <w:rPr>
          <w:rFonts w:ascii="Gellix" w:hAnsi="Gellix"/>
          <w:sz w:val="21"/>
          <w:szCs w:val="21"/>
        </w:rPr>
        <w:t>voluntary or mandatory nature of the system</w:t>
      </w:r>
      <w:r>
        <w:rPr>
          <w:rFonts w:ascii="Gellix" w:hAnsi="Gellix"/>
          <w:sz w:val="21"/>
          <w:szCs w:val="21"/>
        </w:rPr>
        <w:t xml:space="preserve">; </w:t>
      </w:r>
    </w:p>
    <w:p w14:paraId="5F782101" w14:textId="77777777" w:rsidR="00DD0D01" w:rsidRDefault="009B6488" w:rsidP="00DD0D01">
      <w:pPr>
        <w:pStyle w:val="ListParagraph"/>
        <w:numPr>
          <w:ilvl w:val="0"/>
          <w:numId w:val="73"/>
        </w:numPr>
        <w:spacing w:after="0" w:line="240" w:lineRule="auto"/>
        <w:rPr>
          <w:rFonts w:ascii="Gellix" w:hAnsi="Gellix"/>
          <w:sz w:val="21"/>
          <w:szCs w:val="21"/>
        </w:rPr>
      </w:pPr>
      <w:r w:rsidRPr="009B6488">
        <w:rPr>
          <w:rFonts w:ascii="Gellix" w:hAnsi="Gellix"/>
          <w:sz w:val="21"/>
          <w:szCs w:val="21"/>
        </w:rPr>
        <w:t>standards for environmental integrity</w:t>
      </w:r>
      <w:r w:rsidR="00795B34">
        <w:rPr>
          <w:rFonts w:ascii="Gellix" w:hAnsi="Gellix"/>
          <w:sz w:val="21"/>
          <w:szCs w:val="21"/>
        </w:rPr>
        <w:t xml:space="preserve">; </w:t>
      </w:r>
    </w:p>
    <w:p w14:paraId="320BB4B6" w14:textId="77777777" w:rsidR="00DD0D01" w:rsidRDefault="009B6488" w:rsidP="00DD0D01">
      <w:pPr>
        <w:pStyle w:val="ListParagraph"/>
        <w:numPr>
          <w:ilvl w:val="0"/>
          <w:numId w:val="73"/>
        </w:numPr>
        <w:spacing w:after="0" w:line="240" w:lineRule="auto"/>
        <w:rPr>
          <w:rFonts w:ascii="Gellix" w:hAnsi="Gellix"/>
          <w:sz w:val="21"/>
          <w:szCs w:val="21"/>
        </w:rPr>
      </w:pPr>
      <w:r w:rsidRPr="009B6488">
        <w:rPr>
          <w:rFonts w:ascii="Gellix" w:hAnsi="Gellix"/>
          <w:sz w:val="21"/>
          <w:szCs w:val="21"/>
        </w:rPr>
        <w:t>strategies for stabilising prices, and direction of future ETS policy</w:t>
      </w:r>
      <w:r w:rsidR="00C13B02">
        <w:rPr>
          <w:rFonts w:ascii="Gellix" w:hAnsi="Gellix"/>
          <w:sz w:val="21"/>
          <w:szCs w:val="21"/>
        </w:rPr>
        <w:t>;</w:t>
      </w:r>
    </w:p>
    <w:p w14:paraId="21195DD4" w14:textId="77777777" w:rsidR="00DD0D01" w:rsidRDefault="009B6488" w:rsidP="00DD0D01">
      <w:pPr>
        <w:pStyle w:val="ListParagraph"/>
        <w:numPr>
          <w:ilvl w:val="0"/>
          <w:numId w:val="73"/>
        </w:numPr>
        <w:spacing w:after="0" w:line="240" w:lineRule="auto"/>
        <w:rPr>
          <w:rFonts w:ascii="Gellix" w:hAnsi="Gellix"/>
          <w:sz w:val="21"/>
          <w:szCs w:val="21"/>
        </w:rPr>
      </w:pPr>
      <w:r w:rsidRPr="009B6488">
        <w:rPr>
          <w:rFonts w:ascii="Gellix" w:hAnsi="Gellix"/>
          <w:sz w:val="21"/>
          <w:szCs w:val="21"/>
        </w:rPr>
        <w:t xml:space="preserve">the type </w:t>
      </w:r>
      <w:r w:rsidR="001D3692">
        <w:rPr>
          <w:rFonts w:ascii="Gellix" w:hAnsi="Gellix"/>
          <w:sz w:val="21"/>
          <w:szCs w:val="21"/>
        </w:rPr>
        <w:t xml:space="preserve">and stringency </w:t>
      </w:r>
      <w:r w:rsidRPr="009B6488">
        <w:rPr>
          <w:rFonts w:ascii="Gellix" w:hAnsi="Gellix"/>
          <w:sz w:val="21"/>
          <w:szCs w:val="21"/>
        </w:rPr>
        <w:t>of cap</w:t>
      </w:r>
      <w:r w:rsidR="00C30555">
        <w:rPr>
          <w:rFonts w:ascii="Gellix" w:hAnsi="Gellix"/>
          <w:sz w:val="21"/>
          <w:szCs w:val="21"/>
        </w:rPr>
        <w:t xml:space="preserve">; </w:t>
      </w:r>
    </w:p>
    <w:p w14:paraId="0A55130E" w14:textId="77777777" w:rsidR="00DD0D01" w:rsidRDefault="009B6488" w:rsidP="00DD0D01">
      <w:pPr>
        <w:pStyle w:val="ListParagraph"/>
        <w:numPr>
          <w:ilvl w:val="0"/>
          <w:numId w:val="73"/>
        </w:numPr>
        <w:spacing w:after="0" w:line="240" w:lineRule="auto"/>
        <w:rPr>
          <w:rFonts w:ascii="Gellix" w:hAnsi="Gellix"/>
          <w:sz w:val="21"/>
          <w:szCs w:val="21"/>
        </w:rPr>
      </w:pPr>
      <w:r w:rsidRPr="009B6488">
        <w:rPr>
          <w:rFonts w:ascii="Gellix" w:hAnsi="Gellix"/>
          <w:sz w:val="21"/>
          <w:szCs w:val="21"/>
        </w:rPr>
        <w:t>the Price or Supply Adjustment Mechanisms (PSAMs)</w:t>
      </w:r>
      <w:r w:rsidR="00C30555">
        <w:rPr>
          <w:rFonts w:ascii="Gellix" w:hAnsi="Gellix"/>
          <w:sz w:val="21"/>
          <w:szCs w:val="21"/>
        </w:rPr>
        <w:t xml:space="preserve">; </w:t>
      </w:r>
    </w:p>
    <w:p w14:paraId="0CAE5EDD" w14:textId="77777777" w:rsidR="00DD0D01" w:rsidRDefault="009B6488" w:rsidP="00DD0D01">
      <w:pPr>
        <w:pStyle w:val="ListParagraph"/>
        <w:numPr>
          <w:ilvl w:val="0"/>
          <w:numId w:val="73"/>
        </w:numPr>
        <w:spacing w:after="0" w:line="240" w:lineRule="auto"/>
        <w:rPr>
          <w:rFonts w:ascii="Gellix" w:hAnsi="Gellix"/>
          <w:sz w:val="21"/>
          <w:szCs w:val="21"/>
        </w:rPr>
      </w:pPr>
      <w:r w:rsidRPr="009B6488">
        <w:rPr>
          <w:rFonts w:ascii="Gellix" w:hAnsi="Gellix"/>
          <w:sz w:val="21"/>
          <w:szCs w:val="21"/>
        </w:rPr>
        <w:t>the use and environmental integrity of offset credits</w:t>
      </w:r>
      <w:r w:rsidR="00C30555">
        <w:rPr>
          <w:rFonts w:ascii="Gellix" w:hAnsi="Gellix"/>
          <w:sz w:val="21"/>
          <w:szCs w:val="21"/>
        </w:rPr>
        <w:t xml:space="preserve">; </w:t>
      </w:r>
    </w:p>
    <w:p w14:paraId="191491AC" w14:textId="32FA6C18" w:rsidR="00DD0D01" w:rsidRDefault="00C30555" w:rsidP="00DD0D01">
      <w:pPr>
        <w:pStyle w:val="ListParagraph"/>
        <w:numPr>
          <w:ilvl w:val="0"/>
          <w:numId w:val="73"/>
        </w:numPr>
        <w:spacing w:after="0" w:line="240" w:lineRule="auto"/>
        <w:rPr>
          <w:rFonts w:ascii="Gellix" w:hAnsi="Gellix"/>
          <w:sz w:val="21"/>
          <w:szCs w:val="21"/>
        </w:rPr>
      </w:pPr>
      <w:r w:rsidRPr="00C72910">
        <w:rPr>
          <w:rFonts w:ascii="Gellix" w:hAnsi="Gellix"/>
          <w:sz w:val="21"/>
          <w:szCs w:val="21"/>
        </w:rPr>
        <w:t>the robustness of MRV systems</w:t>
      </w:r>
      <w:r w:rsidR="00DD0D01">
        <w:rPr>
          <w:rFonts w:ascii="Gellix" w:hAnsi="Gellix"/>
          <w:sz w:val="21"/>
          <w:szCs w:val="21"/>
        </w:rPr>
        <w:t xml:space="preserve">; </w:t>
      </w:r>
      <w:r>
        <w:rPr>
          <w:rFonts w:ascii="Gellix" w:hAnsi="Gellix"/>
          <w:sz w:val="21"/>
          <w:szCs w:val="21"/>
        </w:rPr>
        <w:t xml:space="preserve"> </w:t>
      </w:r>
    </w:p>
    <w:p w14:paraId="29A34F5B" w14:textId="77777777" w:rsidR="00DF3F73" w:rsidRDefault="009B6488" w:rsidP="00DD0D01">
      <w:pPr>
        <w:pStyle w:val="ListParagraph"/>
        <w:numPr>
          <w:ilvl w:val="0"/>
          <w:numId w:val="73"/>
        </w:numPr>
        <w:spacing w:after="0" w:line="240" w:lineRule="auto"/>
        <w:rPr>
          <w:rFonts w:ascii="Gellix" w:hAnsi="Gellix"/>
          <w:sz w:val="21"/>
          <w:szCs w:val="21"/>
        </w:rPr>
      </w:pPr>
      <w:r w:rsidRPr="009B6488">
        <w:rPr>
          <w:rFonts w:ascii="Gellix" w:hAnsi="Gellix"/>
          <w:sz w:val="21"/>
          <w:szCs w:val="21"/>
        </w:rPr>
        <w:t>potential for linking with further systems</w:t>
      </w:r>
      <w:r w:rsidR="00DF3F73">
        <w:rPr>
          <w:rFonts w:ascii="Gellix" w:hAnsi="Gellix"/>
          <w:sz w:val="21"/>
          <w:szCs w:val="21"/>
        </w:rPr>
        <w:t xml:space="preserve">; and </w:t>
      </w:r>
    </w:p>
    <w:p w14:paraId="18753C4B" w14:textId="1A394F28" w:rsidR="009B6488" w:rsidRPr="009B6488" w:rsidRDefault="00DF3F73" w:rsidP="00DD0D01">
      <w:pPr>
        <w:pStyle w:val="ListParagraph"/>
        <w:numPr>
          <w:ilvl w:val="0"/>
          <w:numId w:val="73"/>
        </w:numPr>
        <w:spacing w:after="0" w:line="240" w:lineRule="auto"/>
        <w:rPr>
          <w:rFonts w:ascii="Gellix" w:hAnsi="Gellix"/>
          <w:sz w:val="21"/>
          <w:szCs w:val="21"/>
        </w:rPr>
      </w:pPr>
      <w:r w:rsidRPr="00C72910">
        <w:rPr>
          <w:rFonts w:ascii="Gellix" w:hAnsi="Gellix"/>
          <w:sz w:val="21"/>
          <w:szCs w:val="21"/>
        </w:rPr>
        <w:lastRenderedPageBreak/>
        <w:t>capacity of regulators to manage risks of misconduct in the secondary market</w:t>
      </w:r>
      <w:r w:rsidR="009B6488" w:rsidRPr="009B6488">
        <w:rPr>
          <w:rFonts w:ascii="Gellix" w:hAnsi="Gellix"/>
          <w:sz w:val="21"/>
          <w:szCs w:val="21"/>
        </w:rPr>
        <w:t xml:space="preserve"> </w:t>
      </w:r>
    </w:p>
    <w:p w14:paraId="5E44A572" w14:textId="77777777" w:rsidR="005A232C" w:rsidRPr="00055437" w:rsidRDefault="005A232C" w:rsidP="00055437">
      <w:pPr>
        <w:spacing w:after="0" w:line="240" w:lineRule="auto"/>
        <w:rPr>
          <w:rFonts w:ascii="Gellix" w:hAnsi="Gellix"/>
          <w:sz w:val="21"/>
          <w:szCs w:val="21"/>
        </w:rPr>
      </w:pPr>
    </w:p>
    <w:p w14:paraId="5574E156" w14:textId="30A17424" w:rsidR="00965E9F" w:rsidRPr="00AA351A" w:rsidRDefault="00EC29BE" w:rsidP="00AA351A">
      <w:pPr>
        <w:pStyle w:val="ListParagraph"/>
        <w:numPr>
          <w:ilvl w:val="0"/>
          <w:numId w:val="51"/>
        </w:numPr>
        <w:rPr>
          <w:rFonts w:ascii="Gellix" w:hAnsi="Gellix"/>
          <w:b/>
          <w:bCs/>
          <w:sz w:val="21"/>
          <w:szCs w:val="21"/>
        </w:rPr>
      </w:pPr>
      <w:r w:rsidRPr="00794688">
        <w:rPr>
          <w:rFonts w:ascii="Gellix" w:hAnsi="Gellix"/>
          <w:sz w:val="21"/>
          <w:szCs w:val="21"/>
        </w:rPr>
        <w:t xml:space="preserve">In view of the existence of three major carbon </w:t>
      </w:r>
      <w:r w:rsidR="00EA36F1" w:rsidRPr="00794688">
        <w:rPr>
          <w:rFonts w:ascii="Gellix" w:hAnsi="Gellix"/>
          <w:sz w:val="21"/>
          <w:szCs w:val="21"/>
        </w:rPr>
        <w:t>market segme</w:t>
      </w:r>
      <w:r w:rsidR="001677A9" w:rsidRPr="00794688">
        <w:rPr>
          <w:rFonts w:ascii="Gellix" w:hAnsi="Gellix"/>
          <w:sz w:val="21"/>
          <w:szCs w:val="21"/>
        </w:rPr>
        <w:t>nts,</w:t>
      </w:r>
      <w:r w:rsidR="00303ABE" w:rsidRPr="00794688">
        <w:rPr>
          <w:rFonts w:ascii="Gellix" w:hAnsi="Gellix"/>
          <w:sz w:val="21"/>
          <w:szCs w:val="21"/>
        </w:rPr>
        <w:t xml:space="preserve"> (A) Compliance Markets, (B) Voluntary Carbon Markets and (C) International Mechanisms, in particular Article 6 of the Paris Agreement</w:t>
      </w:r>
      <w:r w:rsidR="0013615E" w:rsidRPr="00794688">
        <w:rPr>
          <w:rFonts w:ascii="Gellix" w:hAnsi="Gellix"/>
          <w:sz w:val="21"/>
          <w:szCs w:val="21"/>
        </w:rPr>
        <w:t xml:space="preserve">, </w:t>
      </w:r>
      <w:r w:rsidR="0013615E" w:rsidRPr="00794688">
        <w:rPr>
          <w:rFonts w:ascii="Gellix" w:hAnsi="Gellix"/>
          <w:b/>
          <w:bCs/>
          <w:sz w:val="21"/>
          <w:szCs w:val="21"/>
        </w:rPr>
        <w:t xml:space="preserve">governments should </w:t>
      </w:r>
      <w:r w:rsidR="00E5419C" w:rsidRPr="00794688">
        <w:rPr>
          <w:rFonts w:ascii="Gellix" w:hAnsi="Gellix"/>
          <w:b/>
          <w:bCs/>
          <w:sz w:val="21"/>
          <w:szCs w:val="21"/>
        </w:rPr>
        <w:t xml:space="preserve">work towards </w:t>
      </w:r>
      <w:r w:rsidR="000E5383" w:rsidRPr="00794688">
        <w:rPr>
          <w:rFonts w:ascii="Gellix" w:hAnsi="Gellix"/>
          <w:b/>
          <w:bCs/>
          <w:sz w:val="21"/>
          <w:szCs w:val="21"/>
        </w:rPr>
        <w:t xml:space="preserve">increased </w:t>
      </w:r>
      <w:r w:rsidR="00E5419C" w:rsidRPr="00794688">
        <w:rPr>
          <w:rFonts w:ascii="Gellix" w:hAnsi="Gellix"/>
          <w:b/>
          <w:bCs/>
          <w:sz w:val="21"/>
          <w:szCs w:val="21"/>
        </w:rPr>
        <w:t xml:space="preserve">alignment </w:t>
      </w:r>
      <w:r w:rsidR="00EA301B" w:rsidRPr="00794688">
        <w:rPr>
          <w:rFonts w:ascii="Gellix" w:hAnsi="Gellix"/>
          <w:b/>
          <w:bCs/>
          <w:sz w:val="21"/>
          <w:szCs w:val="21"/>
        </w:rPr>
        <w:t xml:space="preserve">and harmonisation </w:t>
      </w:r>
      <w:r w:rsidR="00E5419C" w:rsidRPr="00794688">
        <w:rPr>
          <w:rFonts w:ascii="Gellix" w:hAnsi="Gellix"/>
          <w:b/>
          <w:bCs/>
          <w:sz w:val="21"/>
          <w:szCs w:val="21"/>
        </w:rPr>
        <w:t>of key criteria</w:t>
      </w:r>
      <w:r w:rsidR="00F23407">
        <w:rPr>
          <w:rFonts w:ascii="Gellix" w:hAnsi="Gellix"/>
          <w:b/>
          <w:bCs/>
          <w:sz w:val="21"/>
          <w:szCs w:val="21"/>
        </w:rPr>
        <w:t xml:space="preserve">, in particular </w:t>
      </w:r>
      <w:r w:rsidR="00E5419C" w:rsidRPr="00794688">
        <w:rPr>
          <w:rFonts w:ascii="Gellix" w:hAnsi="Gellix"/>
          <w:b/>
          <w:bCs/>
          <w:sz w:val="21"/>
          <w:szCs w:val="21"/>
        </w:rPr>
        <w:t>accounting</w:t>
      </w:r>
      <w:r w:rsidR="00CF6C73" w:rsidRPr="00794688">
        <w:rPr>
          <w:rFonts w:ascii="Gellix" w:hAnsi="Gellix"/>
          <w:b/>
          <w:bCs/>
          <w:sz w:val="21"/>
          <w:szCs w:val="21"/>
        </w:rPr>
        <w:t xml:space="preserve"> rules</w:t>
      </w:r>
      <w:r w:rsidR="00DE2361" w:rsidRPr="00794688">
        <w:rPr>
          <w:rFonts w:ascii="Gellix" w:hAnsi="Gellix"/>
          <w:b/>
          <w:bCs/>
          <w:sz w:val="21"/>
          <w:szCs w:val="21"/>
        </w:rPr>
        <w:t xml:space="preserve"> and frameworks</w:t>
      </w:r>
      <w:r w:rsidR="000E5383" w:rsidRPr="00794688">
        <w:rPr>
          <w:rFonts w:ascii="Gellix" w:hAnsi="Gellix"/>
          <w:b/>
          <w:bCs/>
          <w:sz w:val="21"/>
          <w:szCs w:val="21"/>
        </w:rPr>
        <w:t xml:space="preserve">, while respecting the </w:t>
      </w:r>
      <w:r w:rsidR="00962546" w:rsidRPr="00794688">
        <w:rPr>
          <w:rFonts w:ascii="Gellix" w:hAnsi="Gellix"/>
          <w:b/>
          <w:bCs/>
          <w:sz w:val="21"/>
          <w:szCs w:val="21"/>
        </w:rPr>
        <w:t xml:space="preserve">different </w:t>
      </w:r>
      <w:r w:rsidR="00635233">
        <w:rPr>
          <w:rFonts w:ascii="Gellix" w:hAnsi="Gellix"/>
          <w:b/>
          <w:bCs/>
          <w:sz w:val="21"/>
          <w:szCs w:val="21"/>
        </w:rPr>
        <w:t xml:space="preserve">purposes </w:t>
      </w:r>
      <w:r w:rsidR="00F23407">
        <w:rPr>
          <w:rFonts w:ascii="Gellix" w:hAnsi="Gellix"/>
          <w:b/>
          <w:bCs/>
          <w:sz w:val="21"/>
          <w:szCs w:val="21"/>
        </w:rPr>
        <w:t xml:space="preserve">of </w:t>
      </w:r>
      <w:r w:rsidR="00962546" w:rsidRPr="00794688">
        <w:rPr>
          <w:rFonts w:ascii="Gellix" w:hAnsi="Gellix"/>
          <w:b/>
          <w:bCs/>
          <w:sz w:val="21"/>
          <w:szCs w:val="21"/>
        </w:rPr>
        <w:t>respective systems.</w:t>
      </w:r>
      <w:r w:rsidR="00794688" w:rsidRPr="00794688">
        <w:rPr>
          <w:rFonts w:ascii="Gellix" w:hAnsi="Gellix"/>
          <w:b/>
          <w:bCs/>
          <w:sz w:val="21"/>
          <w:szCs w:val="21"/>
        </w:rPr>
        <w:t xml:space="preserve"> </w:t>
      </w:r>
      <w:r w:rsidR="00794688" w:rsidRPr="00AA351A">
        <w:rPr>
          <w:rFonts w:ascii="Gellix" w:hAnsi="Gellix"/>
          <w:sz w:val="21"/>
          <w:szCs w:val="21"/>
        </w:rPr>
        <w:t xml:space="preserve">This can help reduce administrative complexity and hurdles for governments and businesses that want to participate in carbon </w:t>
      </w:r>
      <w:r w:rsidR="00AA351A" w:rsidRPr="00AA351A">
        <w:rPr>
          <w:rFonts w:ascii="Gellix" w:hAnsi="Gellix"/>
          <w:sz w:val="21"/>
          <w:szCs w:val="21"/>
        </w:rPr>
        <w:t>markets</w:t>
      </w:r>
      <w:r w:rsidR="00A96558">
        <w:rPr>
          <w:rFonts w:ascii="Gellix" w:hAnsi="Gellix"/>
          <w:sz w:val="21"/>
          <w:szCs w:val="21"/>
        </w:rPr>
        <w:t xml:space="preserve">. </w:t>
      </w:r>
    </w:p>
    <w:p w14:paraId="1A50275F" w14:textId="77777777" w:rsidR="00303ABE" w:rsidRPr="00965E9F" w:rsidRDefault="00303ABE" w:rsidP="00303ABE">
      <w:pPr>
        <w:pStyle w:val="ListParagraph"/>
        <w:spacing w:after="0" w:line="240" w:lineRule="auto"/>
        <w:rPr>
          <w:rFonts w:ascii="Gellix" w:hAnsi="Gellix"/>
          <w:sz w:val="21"/>
          <w:szCs w:val="21"/>
        </w:rPr>
      </w:pPr>
    </w:p>
    <w:p w14:paraId="18B61473" w14:textId="354C9174" w:rsidR="00CA0D1F" w:rsidRPr="00CA0D1F" w:rsidRDefault="0054555F" w:rsidP="00CA0D1F">
      <w:pPr>
        <w:pStyle w:val="ListParagraph"/>
        <w:numPr>
          <w:ilvl w:val="0"/>
          <w:numId w:val="51"/>
        </w:numPr>
        <w:spacing w:after="0" w:line="240" w:lineRule="auto"/>
        <w:rPr>
          <w:rFonts w:ascii="Gellix" w:hAnsi="Gellix"/>
          <w:sz w:val="21"/>
          <w:szCs w:val="21"/>
        </w:rPr>
      </w:pPr>
      <w:r>
        <w:rPr>
          <w:rFonts w:ascii="Gellix" w:hAnsi="Gellix"/>
          <w:b/>
          <w:bCs/>
          <w:sz w:val="21"/>
          <w:szCs w:val="21"/>
        </w:rPr>
        <w:t xml:space="preserve">At COP28, countries </w:t>
      </w:r>
      <w:r w:rsidR="00226780">
        <w:rPr>
          <w:rFonts w:ascii="Gellix" w:hAnsi="Gellix"/>
          <w:b/>
          <w:bCs/>
          <w:sz w:val="21"/>
          <w:szCs w:val="21"/>
        </w:rPr>
        <w:t>must</w:t>
      </w:r>
      <w:r>
        <w:rPr>
          <w:rFonts w:ascii="Gellix" w:hAnsi="Gellix"/>
          <w:b/>
          <w:bCs/>
          <w:sz w:val="21"/>
          <w:szCs w:val="21"/>
        </w:rPr>
        <w:t xml:space="preserve"> agree on</w:t>
      </w:r>
      <w:r w:rsidRPr="0054555F">
        <w:rPr>
          <w:rFonts w:ascii="Gellix" w:hAnsi="Gellix"/>
          <w:b/>
          <w:bCs/>
          <w:sz w:val="21"/>
          <w:szCs w:val="21"/>
        </w:rPr>
        <w:t xml:space="preserve"> </w:t>
      </w:r>
      <w:r w:rsidR="001D2FEB">
        <w:rPr>
          <w:rFonts w:ascii="Gellix" w:hAnsi="Gellix"/>
          <w:b/>
          <w:bCs/>
          <w:sz w:val="21"/>
          <w:szCs w:val="21"/>
        </w:rPr>
        <w:t xml:space="preserve">critical </w:t>
      </w:r>
      <w:r>
        <w:rPr>
          <w:rFonts w:ascii="Gellix" w:hAnsi="Gellix"/>
          <w:b/>
          <w:bCs/>
          <w:sz w:val="21"/>
          <w:szCs w:val="21"/>
        </w:rPr>
        <w:t xml:space="preserve">outstanding elements </w:t>
      </w:r>
      <w:r w:rsidR="009616BA">
        <w:rPr>
          <w:rFonts w:ascii="Gellix" w:hAnsi="Gellix"/>
          <w:b/>
          <w:bCs/>
          <w:sz w:val="21"/>
          <w:szCs w:val="21"/>
        </w:rPr>
        <w:t xml:space="preserve">to fully operationalise </w:t>
      </w:r>
      <w:r w:rsidRPr="0054555F">
        <w:rPr>
          <w:rFonts w:ascii="Gellix" w:hAnsi="Gellix"/>
          <w:b/>
          <w:bCs/>
          <w:sz w:val="21"/>
          <w:szCs w:val="21"/>
        </w:rPr>
        <w:t xml:space="preserve">Article 6 </w:t>
      </w:r>
      <w:r w:rsidR="009616BA">
        <w:rPr>
          <w:rFonts w:ascii="Gellix" w:hAnsi="Gellix"/>
          <w:b/>
          <w:bCs/>
          <w:sz w:val="21"/>
          <w:szCs w:val="21"/>
        </w:rPr>
        <w:t>of the Paris Agreement</w:t>
      </w:r>
      <w:r w:rsidR="00055437">
        <w:rPr>
          <w:rFonts w:ascii="Gellix" w:hAnsi="Gellix"/>
          <w:b/>
          <w:bCs/>
          <w:sz w:val="21"/>
          <w:szCs w:val="21"/>
        </w:rPr>
        <w:t xml:space="preserve"> without further delay and set </w:t>
      </w:r>
      <w:r w:rsidRPr="0054555F">
        <w:rPr>
          <w:rFonts w:ascii="Gellix" w:hAnsi="Gellix"/>
          <w:b/>
          <w:bCs/>
          <w:sz w:val="21"/>
          <w:szCs w:val="21"/>
        </w:rPr>
        <w:t>the foundations for a functioning, high-integrity cross-border carbon market</w:t>
      </w:r>
      <w:r w:rsidR="00D0084F">
        <w:rPr>
          <w:rFonts w:ascii="Gellix" w:hAnsi="Gellix"/>
          <w:b/>
          <w:bCs/>
          <w:sz w:val="21"/>
          <w:szCs w:val="21"/>
        </w:rPr>
        <w:t xml:space="preserve">. </w:t>
      </w:r>
    </w:p>
    <w:p w14:paraId="1C3B3C52" w14:textId="77777777" w:rsidR="00CA0D1F" w:rsidRPr="00CA0D1F" w:rsidRDefault="00CA0D1F" w:rsidP="00CA0D1F">
      <w:pPr>
        <w:pStyle w:val="ListParagraph"/>
        <w:rPr>
          <w:rFonts w:ascii="Gellix" w:hAnsi="Gellix"/>
          <w:sz w:val="21"/>
          <w:szCs w:val="21"/>
        </w:rPr>
      </w:pPr>
    </w:p>
    <w:p w14:paraId="26FBABDA" w14:textId="77777777" w:rsidR="0001789B" w:rsidRDefault="001C5605" w:rsidP="00CA0D1F">
      <w:pPr>
        <w:pStyle w:val="ListParagraph"/>
        <w:spacing w:after="0" w:line="240" w:lineRule="auto"/>
        <w:rPr>
          <w:rFonts w:ascii="Gellix" w:hAnsi="Gellix"/>
          <w:sz w:val="21"/>
          <w:szCs w:val="21"/>
        </w:rPr>
      </w:pPr>
      <w:r w:rsidRPr="00CA0D1F">
        <w:rPr>
          <w:rFonts w:ascii="Gellix" w:hAnsi="Gellix"/>
          <w:sz w:val="21"/>
          <w:szCs w:val="21"/>
        </w:rPr>
        <w:t>B</w:t>
      </w:r>
      <w:r w:rsidR="007A5205" w:rsidRPr="00CA0D1F">
        <w:rPr>
          <w:rFonts w:ascii="Gellix" w:hAnsi="Gellix"/>
          <w:sz w:val="21"/>
          <w:szCs w:val="21"/>
        </w:rPr>
        <w:t>usiness call</w:t>
      </w:r>
      <w:r w:rsidR="0045104F" w:rsidRPr="00CA0D1F">
        <w:rPr>
          <w:rFonts w:ascii="Gellix" w:hAnsi="Gellix"/>
          <w:sz w:val="21"/>
          <w:szCs w:val="21"/>
        </w:rPr>
        <w:t>s</w:t>
      </w:r>
      <w:r w:rsidR="007A5205" w:rsidRPr="00CA0D1F">
        <w:rPr>
          <w:rFonts w:ascii="Gellix" w:hAnsi="Gellix"/>
          <w:sz w:val="21"/>
          <w:szCs w:val="21"/>
        </w:rPr>
        <w:t xml:space="preserve"> on </w:t>
      </w:r>
      <w:r w:rsidR="0045104F" w:rsidRPr="00CA0D1F">
        <w:rPr>
          <w:rFonts w:ascii="Gellix" w:hAnsi="Gellix"/>
          <w:sz w:val="21"/>
          <w:szCs w:val="21"/>
        </w:rPr>
        <w:t xml:space="preserve">governments to </w:t>
      </w:r>
      <w:r w:rsidR="00534CA1" w:rsidRPr="00CA0D1F">
        <w:rPr>
          <w:rFonts w:ascii="Gellix" w:hAnsi="Gellix"/>
          <w:sz w:val="21"/>
          <w:szCs w:val="21"/>
        </w:rPr>
        <w:t>part</w:t>
      </w:r>
      <w:r w:rsidR="00904750" w:rsidRPr="00CA0D1F">
        <w:rPr>
          <w:rFonts w:ascii="Gellix" w:hAnsi="Gellix"/>
          <w:sz w:val="21"/>
          <w:szCs w:val="21"/>
        </w:rPr>
        <w:t xml:space="preserve">icularly </w:t>
      </w:r>
      <w:r w:rsidR="00401B55" w:rsidRPr="00CA0D1F">
        <w:rPr>
          <w:rFonts w:ascii="Gellix" w:hAnsi="Gellix"/>
          <w:sz w:val="21"/>
          <w:szCs w:val="21"/>
        </w:rPr>
        <w:t xml:space="preserve">build on already existing experiences under Article 6.2, focus on national implementation and </w:t>
      </w:r>
      <w:r w:rsidR="00DD4E8D" w:rsidRPr="00CA0D1F">
        <w:rPr>
          <w:rFonts w:ascii="Gellix" w:hAnsi="Gellix"/>
          <w:sz w:val="21"/>
          <w:szCs w:val="21"/>
        </w:rPr>
        <w:t xml:space="preserve">find a compromise on the outstanding details of reporting requirements. </w:t>
      </w:r>
    </w:p>
    <w:p w14:paraId="34DE1C1D" w14:textId="77777777" w:rsidR="0001789B" w:rsidRDefault="0001789B" w:rsidP="00CA0D1F">
      <w:pPr>
        <w:pStyle w:val="ListParagraph"/>
        <w:spacing w:after="0" w:line="240" w:lineRule="auto"/>
        <w:rPr>
          <w:rFonts w:ascii="Gellix" w:hAnsi="Gellix"/>
          <w:sz w:val="21"/>
          <w:szCs w:val="21"/>
        </w:rPr>
      </w:pPr>
    </w:p>
    <w:p w14:paraId="4C0B541F" w14:textId="5C7F9F5F" w:rsidR="00352D72" w:rsidRPr="00CA0D1F" w:rsidRDefault="00DD4E8D" w:rsidP="00CA0D1F">
      <w:pPr>
        <w:pStyle w:val="ListParagraph"/>
        <w:spacing w:after="0" w:line="240" w:lineRule="auto"/>
        <w:rPr>
          <w:rFonts w:ascii="Gellix" w:hAnsi="Gellix"/>
          <w:sz w:val="21"/>
          <w:szCs w:val="21"/>
        </w:rPr>
      </w:pPr>
      <w:r w:rsidRPr="00CA0D1F">
        <w:rPr>
          <w:rFonts w:ascii="Gellix" w:hAnsi="Gellix"/>
          <w:sz w:val="21"/>
          <w:szCs w:val="21"/>
        </w:rPr>
        <w:t>The Article 6.4 Supervisory Body must make steady progress in operationalising the 6.4 crediting mechanism so projects can begin to register and investments can flow.</w:t>
      </w:r>
      <w:r w:rsidR="00266719" w:rsidRPr="00CA0D1F">
        <w:rPr>
          <w:rFonts w:ascii="Gellix" w:hAnsi="Gellix"/>
          <w:sz w:val="21"/>
          <w:szCs w:val="21"/>
        </w:rPr>
        <w:t xml:space="preserve"> </w:t>
      </w:r>
      <w:r w:rsidR="00352D72" w:rsidRPr="00CA0D1F">
        <w:rPr>
          <w:rFonts w:ascii="Gellix" w:hAnsi="Gellix"/>
          <w:sz w:val="21"/>
          <w:szCs w:val="21"/>
        </w:rPr>
        <w:t>A functioning Article 6.4 mechanism has the potential to provide a plug-and-play solution for countries that want to use market mechanisms but do not have the technical capacity or political conditions to implement complex domestic legislation</w:t>
      </w:r>
      <w:r w:rsidR="00CD6B9E">
        <w:rPr>
          <w:rFonts w:ascii="Gellix" w:hAnsi="Gellix"/>
          <w:sz w:val="21"/>
          <w:szCs w:val="21"/>
        </w:rPr>
        <w:t xml:space="preserve">. In order to achieve broad participation in Article 6, in particular </w:t>
      </w:r>
      <w:r w:rsidR="006E0371">
        <w:rPr>
          <w:rFonts w:ascii="Gellix" w:hAnsi="Gellix"/>
          <w:sz w:val="21"/>
          <w:szCs w:val="21"/>
        </w:rPr>
        <w:t>from the Global South</w:t>
      </w:r>
      <w:r w:rsidR="00561DAF">
        <w:rPr>
          <w:rFonts w:ascii="Gellix" w:hAnsi="Gellix"/>
          <w:sz w:val="21"/>
          <w:szCs w:val="21"/>
        </w:rPr>
        <w:t xml:space="preserve">, </w:t>
      </w:r>
      <w:r w:rsidR="00473B52">
        <w:rPr>
          <w:rFonts w:ascii="Gellix" w:hAnsi="Gellix"/>
          <w:sz w:val="21"/>
          <w:szCs w:val="21"/>
        </w:rPr>
        <w:t xml:space="preserve">extensive capacity building </w:t>
      </w:r>
      <w:r w:rsidR="00A454A3">
        <w:rPr>
          <w:rFonts w:ascii="Gellix" w:hAnsi="Gellix"/>
          <w:sz w:val="21"/>
          <w:szCs w:val="21"/>
        </w:rPr>
        <w:t>support will be essential</w:t>
      </w:r>
      <w:r w:rsidR="00A22C76">
        <w:rPr>
          <w:rFonts w:ascii="Gellix" w:hAnsi="Gellix"/>
          <w:sz w:val="21"/>
          <w:szCs w:val="21"/>
        </w:rPr>
        <w:t xml:space="preserve"> to strengthen institutional capacities to participate in these new markets.</w:t>
      </w:r>
    </w:p>
    <w:p w14:paraId="69A70ABE" w14:textId="77777777" w:rsidR="00352D72" w:rsidRPr="00352D72" w:rsidRDefault="00352D72" w:rsidP="00352D72">
      <w:pPr>
        <w:pStyle w:val="ListParagraph"/>
        <w:rPr>
          <w:rFonts w:ascii="Gellix" w:hAnsi="Gellix"/>
          <w:sz w:val="21"/>
          <w:szCs w:val="21"/>
        </w:rPr>
      </w:pPr>
    </w:p>
    <w:p w14:paraId="0E8B8DA2" w14:textId="0F6F153E" w:rsidR="00E4702E" w:rsidRPr="00D32A57" w:rsidRDefault="002746F7" w:rsidP="00CA0D1F">
      <w:pPr>
        <w:pStyle w:val="ListParagraph"/>
        <w:spacing w:after="0" w:line="240" w:lineRule="auto"/>
        <w:rPr>
          <w:rFonts w:ascii="Gellix" w:hAnsi="Gellix"/>
          <w:sz w:val="21"/>
          <w:szCs w:val="21"/>
        </w:rPr>
      </w:pPr>
      <w:r>
        <w:rPr>
          <w:rFonts w:ascii="Gellix" w:hAnsi="Gellix"/>
          <w:sz w:val="21"/>
          <w:szCs w:val="21"/>
        </w:rPr>
        <w:t>E</w:t>
      </w:r>
      <w:r w:rsidR="00266719" w:rsidRPr="00266719">
        <w:rPr>
          <w:rFonts w:ascii="Gellix" w:hAnsi="Gellix"/>
          <w:sz w:val="21"/>
          <w:szCs w:val="21"/>
        </w:rPr>
        <w:t xml:space="preserve">qual treatment </w:t>
      </w:r>
      <w:r>
        <w:rPr>
          <w:rFonts w:ascii="Gellix" w:hAnsi="Gellix"/>
          <w:sz w:val="21"/>
          <w:szCs w:val="21"/>
        </w:rPr>
        <w:t xml:space="preserve">should </w:t>
      </w:r>
      <w:r w:rsidR="00CA0D1F">
        <w:rPr>
          <w:rFonts w:ascii="Gellix" w:hAnsi="Gellix"/>
          <w:sz w:val="21"/>
          <w:szCs w:val="21"/>
        </w:rPr>
        <w:t xml:space="preserve">also </w:t>
      </w:r>
      <w:r>
        <w:rPr>
          <w:rFonts w:ascii="Gellix" w:hAnsi="Gellix"/>
          <w:sz w:val="21"/>
          <w:szCs w:val="21"/>
        </w:rPr>
        <w:t xml:space="preserve">be given </w:t>
      </w:r>
      <w:r w:rsidR="00266719" w:rsidRPr="00266719">
        <w:rPr>
          <w:rFonts w:ascii="Gellix" w:hAnsi="Gellix"/>
          <w:sz w:val="21"/>
          <w:szCs w:val="21"/>
        </w:rPr>
        <w:t>to a wide range of activities and technologies that reduce or remove emissions</w:t>
      </w:r>
      <w:r>
        <w:rPr>
          <w:rFonts w:ascii="Gellix" w:hAnsi="Gellix"/>
          <w:sz w:val="21"/>
          <w:szCs w:val="21"/>
        </w:rPr>
        <w:t xml:space="preserve"> and</w:t>
      </w:r>
      <w:r w:rsidR="00266719" w:rsidRPr="00266719">
        <w:rPr>
          <w:rFonts w:ascii="Gellix" w:hAnsi="Gellix"/>
          <w:sz w:val="21"/>
          <w:szCs w:val="21"/>
        </w:rPr>
        <w:t xml:space="preserve"> practices and experiences that are market-tested, including standards and practices from the voluntary carbon markets</w:t>
      </w:r>
      <w:r>
        <w:rPr>
          <w:rFonts w:ascii="Gellix" w:hAnsi="Gellix"/>
          <w:sz w:val="21"/>
          <w:szCs w:val="21"/>
        </w:rPr>
        <w:t xml:space="preserve"> should be considered. </w:t>
      </w:r>
    </w:p>
    <w:p w14:paraId="1AC53833" w14:textId="77777777" w:rsidR="00E4702E" w:rsidRPr="00E4702E" w:rsidRDefault="00E4702E" w:rsidP="00E4702E">
      <w:pPr>
        <w:pStyle w:val="ListParagraph"/>
        <w:rPr>
          <w:rFonts w:ascii="Gellix" w:hAnsi="Gellix"/>
          <w:b/>
          <w:bCs/>
          <w:sz w:val="21"/>
          <w:szCs w:val="21"/>
        </w:rPr>
      </w:pPr>
    </w:p>
    <w:p w14:paraId="45A6435B" w14:textId="5BAA8136" w:rsidR="008B0909" w:rsidRPr="002244EE" w:rsidRDefault="008B0909" w:rsidP="002244EE">
      <w:pPr>
        <w:pStyle w:val="ListParagraph"/>
        <w:numPr>
          <w:ilvl w:val="0"/>
          <w:numId w:val="51"/>
        </w:numPr>
        <w:rPr>
          <w:rFonts w:ascii="Gellix" w:hAnsi="Gellix"/>
          <w:b/>
          <w:bCs/>
          <w:sz w:val="21"/>
          <w:szCs w:val="21"/>
        </w:rPr>
      </w:pPr>
      <w:r w:rsidRPr="008B0909">
        <w:rPr>
          <w:rFonts w:ascii="Gellix" w:hAnsi="Gellix"/>
          <w:b/>
          <w:bCs/>
          <w:sz w:val="21"/>
          <w:szCs w:val="21"/>
        </w:rPr>
        <w:t xml:space="preserve">It is essential that the detailed rules </w:t>
      </w:r>
      <w:r w:rsidR="00D0143A">
        <w:rPr>
          <w:rFonts w:ascii="Gellix" w:hAnsi="Gellix"/>
          <w:b/>
          <w:bCs/>
          <w:sz w:val="21"/>
          <w:szCs w:val="21"/>
        </w:rPr>
        <w:t xml:space="preserve">for Article </w:t>
      </w:r>
      <w:r w:rsidRPr="008B0909">
        <w:rPr>
          <w:rFonts w:ascii="Gellix" w:hAnsi="Gellix"/>
          <w:b/>
          <w:bCs/>
          <w:sz w:val="21"/>
          <w:szCs w:val="21"/>
        </w:rPr>
        <w:t xml:space="preserve">6.2 cooperation and the </w:t>
      </w:r>
      <w:r w:rsidR="00D0143A">
        <w:rPr>
          <w:rFonts w:ascii="Gellix" w:hAnsi="Gellix"/>
          <w:b/>
          <w:bCs/>
          <w:sz w:val="21"/>
          <w:szCs w:val="21"/>
        </w:rPr>
        <w:t xml:space="preserve">Article </w:t>
      </w:r>
      <w:r w:rsidRPr="008B0909">
        <w:rPr>
          <w:rFonts w:ascii="Gellix" w:hAnsi="Gellix"/>
          <w:b/>
          <w:bCs/>
          <w:sz w:val="21"/>
          <w:szCs w:val="21"/>
        </w:rPr>
        <w:t xml:space="preserve">6.4 mechanism both fulfil the </w:t>
      </w:r>
      <w:r w:rsidR="00D0143A">
        <w:rPr>
          <w:rFonts w:ascii="Gellix" w:hAnsi="Gellix"/>
          <w:b/>
          <w:bCs/>
          <w:sz w:val="21"/>
          <w:szCs w:val="21"/>
        </w:rPr>
        <w:t>“</w:t>
      </w:r>
      <w:r w:rsidRPr="008B0909">
        <w:rPr>
          <w:rFonts w:ascii="Gellix" w:hAnsi="Gellix"/>
          <w:b/>
          <w:bCs/>
          <w:sz w:val="21"/>
          <w:szCs w:val="21"/>
        </w:rPr>
        <w:t>Rulebook</w:t>
      </w:r>
      <w:r w:rsidR="00D0143A">
        <w:rPr>
          <w:rFonts w:ascii="Gellix" w:hAnsi="Gellix"/>
          <w:b/>
          <w:bCs/>
          <w:sz w:val="21"/>
          <w:szCs w:val="21"/>
        </w:rPr>
        <w:t>”</w:t>
      </w:r>
      <w:r w:rsidRPr="008B0909">
        <w:rPr>
          <w:rFonts w:ascii="Gellix" w:hAnsi="Gellix"/>
          <w:b/>
          <w:bCs/>
          <w:sz w:val="21"/>
          <w:szCs w:val="21"/>
        </w:rPr>
        <w:t xml:space="preserve"> mandate for environmental integrity</w:t>
      </w:r>
      <w:r w:rsidR="00F776A1">
        <w:rPr>
          <w:rFonts w:ascii="Gellix" w:hAnsi="Gellix"/>
          <w:b/>
          <w:bCs/>
          <w:sz w:val="21"/>
          <w:szCs w:val="21"/>
        </w:rPr>
        <w:t xml:space="preserve">. </w:t>
      </w:r>
      <w:r w:rsidR="00C26FE5" w:rsidRPr="00055437">
        <w:rPr>
          <w:rFonts w:ascii="Gellix" w:hAnsi="Gellix"/>
          <w:sz w:val="21"/>
          <w:szCs w:val="21"/>
        </w:rPr>
        <w:t>From a business perspective, there must be no re-opening or re-negotiation of the “rulebook” secured in Glasgow.</w:t>
      </w:r>
      <w:r w:rsidR="00C26FE5">
        <w:rPr>
          <w:rFonts w:ascii="Gellix" w:hAnsi="Gellix"/>
          <w:b/>
          <w:bCs/>
          <w:sz w:val="21"/>
          <w:szCs w:val="21"/>
        </w:rPr>
        <w:t xml:space="preserve"> </w:t>
      </w:r>
      <w:r w:rsidR="00735F0F" w:rsidRPr="00735F0F">
        <w:rPr>
          <w:rFonts w:ascii="Gellix" w:hAnsi="Gellix"/>
          <w:sz w:val="21"/>
          <w:szCs w:val="21"/>
        </w:rPr>
        <w:t xml:space="preserve">Robust and transparent reporting, </w:t>
      </w:r>
      <w:r w:rsidR="002244EE" w:rsidRPr="00735F0F">
        <w:rPr>
          <w:rFonts w:ascii="Gellix" w:hAnsi="Gellix"/>
          <w:sz w:val="21"/>
          <w:szCs w:val="21"/>
        </w:rPr>
        <w:t>ambitious baseline-setting, additionality assessment, avoidance of emissions lock in, emissions leakage accounting, permanence, and the avoidance of all forms of double-counting</w:t>
      </w:r>
      <w:r w:rsidR="00735F0F">
        <w:rPr>
          <w:rFonts w:ascii="Gellix" w:hAnsi="Gellix"/>
          <w:sz w:val="21"/>
          <w:szCs w:val="21"/>
        </w:rPr>
        <w:t xml:space="preserve"> are critical principles to take in to consideration in this regard.</w:t>
      </w:r>
    </w:p>
    <w:p w14:paraId="0975E023" w14:textId="77777777" w:rsidR="00164442" w:rsidRPr="00164442" w:rsidRDefault="00164442" w:rsidP="008B0909">
      <w:pPr>
        <w:pStyle w:val="ListParagraph"/>
        <w:spacing w:after="0" w:line="240" w:lineRule="auto"/>
        <w:rPr>
          <w:rFonts w:ascii="Gellix" w:hAnsi="Gellix"/>
          <w:sz w:val="21"/>
          <w:szCs w:val="21"/>
        </w:rPr>
      </w:pPr>
    </w:p>
    <w:p w14:paraId="0A2446E1" w14:textId="77777777" w:rsidR="00164442" w:rsidRPr="00164442" w:rsidRDefault="00164442" w:rsidP="00164442">
      <w:pPr>
        <w:pStyle w:val="ListParagraph"/>
        <w:rPr>
          <w:rFonts w:ascii="Gellix" w:hAnsi="Gellix"/>
          <w:b/>
          <w:bCs/>
          <w:sz w:val="21"/>
          <w:szCs w:val="21"/>
        </w:rPr>
      </w:pPr>
    </w:p>
    <w:p w14:paraId="0E4D7A70" w14:textId="20CFF2E1" w:rsidR="00483786" w:rsidRPr="00E44430" w:rsidRDefault="005A232C" w:rsidP="00BE1729">
      <w:pPr>
        <w:pStyle w:val="ListParagraph"/>
        <w:numPr>
          <w:ilvl w:val="0"/>
          <w:numId w:val="51"/>
        </w:numPr>
        <w:spacing w:after="0" w:line="240" w:lineRule="auto"/>
        <w:rPr>
          <w:rFonts w:ascii="Gellix" w:hAnsi="Gellix"/>
          <w:sz w:val="21"/>
          <w:szCs w:val="21"/>
        </w:rPr>
      </w:pPr>
      <w:r>
        <w:rPr>
          <w:rFonts w:ascii="Gellix" w:hAnsi="Gellix"/>
          <w:b/>
          <w:bCs/>
          <w:sz w:val="21"/>
          <w:szCs w:val="21"/>
        </w:rPr>
        <w:t>[</w:t>
      </w:r>
      <w:r w:rsidR="00C75DAB">
        <w:rPr>
          <w:rFonts w:ascii="Gellix" w:hAnsi="Gellix"/>
          <w:b/>
          <w:bCs/>
          <w:sz w:val="21"/>
          <w:szCs w:val="21"/>
        </w:rPr>
        <w:t>CARBON PRICE LEVEL</w:t>
      </w:r>
      <w:r w:rsidR="00432D14">
        <w:rPr>
          <w:rFonts w:ascii="Gellix" w:hAnsi="Gellix"/>
          <w:b/>
          <w:bCs/>
          <w:sz w:val="21"/>
          <w:szCs w:val="21"/>
        </w:rPr>
        <w:t>S</w:t>
      </w:r>
      <w:r w:rsidR="00C75DAB">
        <w:rPr>
          <w:rFonts w:ascii="Gellix" w:hAnsi="Gellix"/>
          <w:b/>
          <w:bCs/>
          <w:sz w:val="21"/>
          <w:szCs w:val="21"/>
        </w:rPr>
        <w:t xml:space="preserve"> </w:t>
      </w:r>
      <w:r w:rsidR="00081ACC">
        <w:rPr>
          <w:rFonts w:ascii="Gellix" w:hAnsi="Gellix"/>
          <w:b/>
          <w:bCs/>
          <w:sz w:val="21"/>
          <w:szCs w:val="21"/>
        </w:rPr>
        <w:t>&amp;</w:t>
      </w:r>
      <w:r w:rsidR="00C75DAB">
        <w:rPr>
          <w:rFonts w:ascii="Gellix" w:hAnsi="Gellix"/>
          <w:b/>
          <w:bCs/>
          <w:sz w:val="21"/>
          <w:szCs w:val="21"/>
        </w:rPr>
        <w:t xml:space="preserve"> INFLATION TO FOLLOW</w:t>
      </w:r>
      <w:r>
        <w:rPr>
          <w:rFonts w:ascii="Gellix" w:hAnsi="Gellix"/>
          <w:b/>
          <w:bCs/>
          <w:sz w:val="21"/>
          <w:szCs w:val="21"/>
        </w:rPr>
        <w:t>]</w:t>
      </w:r>
    </w:p>
    <w:p w14:paraId="17F526BB" w14:textId="77777777" w:rsidR="00E44430" w:rsidRDefault="00E44430" w:rsidP="00E44430">
      <w:pPr>
        <w:spacing w:after="0" w:line="240" w:lineRule="auto"/>
        <w:rPr>
          <w:rFonts w:ascii="Gellix" w:hAnsi="Gellix"/>
          <w:sz w:val="21"/>
          <w:szCs w:val="21"/>
        </w:rPr>
      </w:pPr>
    </w:p>
    <w:p w14:paraId="74C82E39" w14:textId="77777777" w:rsidR="00E44430" w:rsidRDefault="00E44430" w:rsidP="00E44430">
      <w:pPr>
        <w:spacing w:after="0" w:line="240" w:lineRule="auto"/>
        <w:rPr>
          <w:rFonts w:ascii="Gellix" w:hAnsi="Gellix"/>
          <w:sz w:val="21"/>
          <w:szCs w:val="21"/>
        </w:rPr>
      </w:pPr>
    </w:p>
    <w:p w14:paraId="71228214" w14:textId="77777777" w:rsidR="00E44430" w:rsidRPr="00E44430" w:rsidRDefault="00E44430" w:rsidP="00E44430">
      <w:pPr>
        <w:spacing w:after="0" w:line="240" w:lineRule="auto"/>
        <w:rPr>
          <w:rFonts w:ascii="Gellix" w:hAnsi="Gellix"/>
          <w:sz w:val="21"/>
          <w:szCs w:val="21"/>
        </w:rPr>
      </w:pPr>
    </w:p>
    <w:p w14:paraId="31DD50BE" w14:textId="7011E878" w:rsidR="00074B63" w:rsidRPr="00C26FE5" w:rsidRDefault="001F4C26" w:rsidP="00C26FE5">
      <w:pPr>
        <w:pStyle w:val="ListParagraph"/>
        <w:spacing w:line="240" w:lineRule="auto"/>
        <w:rPr>
          <w:rFonts w:ascii="Gellix" w:hAnsi="Gellix"/>
          <w:b/>
          <w:bCs/>
          <w:sz w:val="21"/>
          <w:szCs w:val="21"/>
        </w:rPr>
      </w:pPr>
      <w:r w:rsidRPr="001F4C26">
        <w:rPr>
          <w:rFonts w:ascii="Gellix" w:hAnsi="Gellix"/>
          <w:sz w:val="21"/>
          <w:szCs w:val="21"/>
        </w:rPr>
        <w:t xml:space="preserve"> </w:t>
      </w:r>
    </w:p>
    <w:p w14:paraId="1D07818D" w14:textId="428EE627" w:rsidR="009535A3" w:rsidRPr="0049504E" w:rsidRDefault="00BB1675" w:rsidP="0049504E">
      <w:pPr>
        <w:pStyle w:val="ListParagraph"/>
        <w:numPr>
          <w:ilvl w:val="0"/>
          <w:numId w:val="43"/>
        </w:numPr>
        <w:spacing w:after="0" w:line="240" w:lineRule="auto"/>
        <w:rPr>
          <w:rFonts w:ascii="Gellix" w:hAnsi="Gellix"/>
          <w:b/>
          <w:color w:val="007DFF"/>
          <w:sz w:val="32"/>
          <w:szCs w:val="32"/>
          <w:lang w:val="en-US"/>
        </w:rPr>
      </w:pPr>
      <w:r>
        <w:rPr>
          <w:rFonts w:ascii="Gellix" w:hAnsi="Gellix"/>
          <w:b/>
          <w:color w:val="007DFF"/>
          <w:sz w:val="32"/>
          <w:szCs w:val="32"/>
          <w:lang w:val="en-US"/>
        </w:rPr>
        <w:lastRenderedPageBreak/>
        <w:t xml:space="preserve">Challenges &amp; Opportunities </w:t>
      </w:r>
    </w:p>
    <w:p w14:paraId="14EEA772" w14:textId="77777777" w:rsidR="00F03884" w:rsidRPr="00F03884" w:rsidRDefault="00F03884" w:rsidP="00F03884">
      <w:pPr>
        <w:pStyle w:val="ListParagraph"/>
        <w:spacing w:after="0" w:line="240" w:lineRule="auto"/>
        <w:ind w:left="1080"/>
        <w:rPr>
          <w:rFonts w:ascii="Gellix" w:hAnsi="Gellix"/>
          <w:b/>
          <w:sz w:val="21"/>
          <w:szCs w:val="21"/>
          <w:lang w:val="en-US"/>
        </w:rPr>
      </w:pPr>
    </w:p>
    <w:p w14:paraId="77D9D6E0" w14:textId="7FA3D3D5" w:rsidR="00C72DA7" w:rsidRPr="00BB1675" w:rsidRDefault="00AB6C90" w:rsidP="0022441E">
      <w:pPr>
        <w:pStyle w:val="ListParagraph"/>
        <w:numPr>
          <w:ilvl w:val="0"/>
          <w:numId w:val="5"/>
        </w:numPr>
        <w:spacing w:after="0" w:line="240" w:lineRule="auto"/>
        <w:rPr>
          <w:rFonts w:ascii="Gellix" w:hAnsi="Gellix"/>
          <w:b/>
          <w:color w:val="007DFF"/>
          <w:sz w:val="28"/>
          <w:szCs w:val="28"/>
          <w:lang w:val="en-US"/>
        </w:rPr>
      </w:pPr>
      <w:r w:rsidRPr="00BB1675">
        <w:rPr>
          <w:rFonts w:ascii="Gellix" w:hAnsi="Gellix"/>
          <w:b/>
          <w:color w:val="007DFF"/>
          <w:sz w:val="28"/>
          <w:szCs w:val="28"/>
          <w:lang w:val="en-US"/>
        </w:rPr>
        <w:t xml:space="preserve">Carbon </w:t>
      </w:r>
      <w:r w:rsidR="00C72DA7" w:rsidRPr="00BB1675">
        <w:rPr>
          <w:rFonts w:ascii="Gellix" w:hAnsi="Gellix"/>
          <w:b/>
          <w:color w:val="007DFF"/>
          <w:sz w:val="28"/>
          <w:szCs w:val="28"/>
          <w:lang w:val="en-US"/>
        </w:rPr>
        <w:t>Leakage</w:t>
      </w:r>
    </w:p>
    <w:p w14:paraId="43D869AF" w14:textId="77777777" w:rsidR="00E07541" w:rsidRPr="00E00C0E" w:rsidRDefault="00E07541" w:rsidP="0022441E">
      <w:pPr>
        <w:spacing w:after="0" w:line="240" w:lineRule="auto"/>
        <w:ind w:left="360"/>
        <w:rPr>
          <w:rFonts w:ascii="Gellix" w:hAnsi="Gellix"/>
          <w:b/>
          <w:color w:val="4472C4" w:themeColor="accent1"/>
          <w:sz w:val="21"/>
          <w:szCs w:val="21"/>
        </w:rPr>
      </w:pPr>
    </w:p>
    <w:p w14:paraId="04D0CEEB" w14:textId="77777777" w:rsidR="00DC1371" w:rsidRPr="00145777" w:rsidRDefault="00962580" w:rsidP="00145777">
      <w:pPr>
        <w:pStyle w:val="ListParagraph"/>
        <w:numPr>
          <w:ilvl w:val="0"/>
          <w:numId w:val="57"/>
        </w:numPr>
        <w:spacing w:after="0" w:line="240" w:lineRule="auto"/>
        <w:ind w:left="720"/>
        <w:rPr>
          <w:rStyle w:val="normaltextrun"/>
          <w:rFonts w:ascii="Gellix" w:hAnsi="Gellix"/>
          <w:color w:val="000000"/>
          <w:sz w:val="21"/>
          <w:szCs w:val="21"/>
          <w:shd w:val="clear" w:color="auto" w:fill="FFFFFF"/>
        </w:rPr>
      </w:pPr>
      <w:r w:rsidRPr="00145777">
        <w:rPr>
          <w:rStyle w:val="normaltextrun"/>
          <w:rFonts w:ascii="Gellix" w:hAnsi="Gellix"/>
          <w:color w:val="000000"/>
          <w:sz w:val="21"/>
          <w:szCs w:val="21"/>
          <w:shd w:val="clear" w:color="auto" w:fill="FFFFFF"/>
        </w:rPr>
        <w:t>As c</w:t>
      </w:r>
      <w:r w:rsidR="00D252E6" w:rsidRPr="00145777">
        <w:rPr>
          <w:rStyle w:val="normaltextrun"/>
          <w:rFonts w:ascii="Gellix" w:hAnsi="Gellix"/>
          <w:color w:val="000000"/>
          <w:sz w:val="21"/>
          <w:szCs w:val="21"/>
          <w:shd w:val="clear" w:color="auto" w:fill="FFFFFF"/>
        </w:rPr>
        <w:t xml:space="preserve">ountries apply different measures to reduce </w:t>
      </w:r>
      <w:r w:rsidR="00C56207" w:rsidRPr="00145777">
        <w:rPr>
          <w:rStyle w:val="normaltextrun"/>
          <w:rFonts w:ascii="Gellix" w:hAnsi="Gellix"/>
          <w:color w:val="000000"/>
          <w:sz w:val="21"/>
          <w:szCs w:val="21"/>
          <w:shd w:val="clear" w:color="auto" w:fill="FFFFFF"/>
        </w:rPr>
        <w:t xml:space="preserve">their </w:t>
      </w:r>
      <w:r w:rsidR="00D252E6" w:rsidRPr="00145777">
        <w:rPr>
          <w:rStyle w:val="normaltextrun"/>
          <w:rFonts w:ascii="Gellix" w:hAnsi="Gellix"/>
          <w:color w:val="000000"/>
          <w:sz w:val="21"/>
          <w:szCs w:val="21"/>
          <w:shd w:val="clear" w:color="auto" w:fill="FFFFFF"/>
        </w:rPr>
        <w:t xml:space="preserve">carbon emissions, </w:t>
      </w:r>
      <w:r w:rsidR="004B121C" w:rsidRPr="00145777">
        <w:rPr>
          <w:rStyle w:val="normaltextrun"/>
          <w:rFonts w:ascii="Gellix" w:hAnsi="Gellix"/>
          <w:color w:val="000000"/>
          <w:sz w:val="21"/>
          <w:szCs w:val="21"/>
          <w:shd w:val="clear" w:color="auto" w:fill="FFFFFF"/>
        </w:rPr>
        <w:t>t</w:t>
      </w:r>
      <w:r w:rsidR="00A51883" w:rsidRPr="00145777">
        <w:rPr>
          <w:rStyle w:val="normaltextrun"/>
          <w:rFonts w:ascii="Gellix" w:hAnsi="Gellix"/>
          <w:color w:val="000000"/>
          <w:sz w:val="21"/>
          <w:szCs w:val="21"/>
          <w:shd w:val="clear" w:color="auto" w:fill="FFFFFF"/>
        </w:rPr>
        <w:t>hese measures</w:t>
      </w:r>
      <w:r w:rsidR="00ED47A7" w:rsidRPr="00145777">
        <w:rPr>
          <w:rStyle w:val="normaltextrun"/>
          <w:rFonts w:ascii="Gellix" w:hAnsi="Gellix"/>
          <w:color w:val="000000"/>
          <w:sz w:val="21"/>
          <w:szCs w:val="21"/>
          <w:shd w:val="clear" w:color="auto" w:fill="FFFFFF"/>
        </w:rPr>
        <w:t xml:space="preserve">, whether by </w:t>
      </w:r>
      <w:r w:rsidR="006209E5" w:rsidRPr="00145777">
        <w:rPr>
          <w:rStyle w:val="normaltextrun"/>
          <w:rFonts w:ascii="Gellix" w:hAnsi="Gellix"/>
          <w:color w:val="000000"/>
          <w:sz w:val="21"/>
          <w:szCs w:val="21"/>
          <w:shd w:val="clear" w:color="auto" w:fill="FFFFFF"/>
        </w:rPr>
        <w:t>explicit carbon pricing or regulation create</w:t>
      </w:r>
      <w:r w:rsidR="00020DA4" w:rsidRPr="00145777">
        <w:rPr>
          <w:rStyle w:val="normaltextrun"/>
          <w:rFonts w:ascii="Gellix" w:hAnsi="Gellix"/>
          <w:color w:val="000000"/>
          <w:sz w:val="21"/>
          <w:szCs w:val="21"/>
          <w:shd w:val="clear" w:color="auto" w:fill="FFFFFF"/>
        </w:rPr>
        <w:t xml:space="preserve"> a cost implication for</w:t>
      </w:r>
      <w:r w:rsidR="003979A9" w:rsidRPr="00145777">
        <w:rPr>
          <w:rStyle w:val="normaltextrun"/>
          <w:rFonts w:ascii="Gellix" w:hAnsi="Gellix"/>
          <w:color w:val="000000"/>
          <w:sz w:val="21"/>
          <w:szCs w:val="21"/>
          <w:shd w:val="clear" w:color="auto" w:fill="FFFFFF"/>
        </w:rPr>
        <w:t xml:space="preserve"> the</w:t>
      </w:r>
      <w:r w:rsidR="00020DA4" w:rsidRPr="00145777">
        <w:rPr>
          <w:rStyle w:val="normaltextrun"/>
          <w:rFonts w:ascii="Gellix" w:hAnsi="Gellix"/>
          <w:color w:val="000000"/>
          <w:sz w:val="21"/>
          <w:szCs w:val="21"/>
          <w:shd w:val="clear" w:color="auto" w:fill="FFFFFF"/>
        </w:rPr>
        <w:t xml:space="preserve"> industry</w:t>
      </w:r>
      <w:r w:rsidR="009B3D36" w:rsidRPr="00145777">
        <w:rPr>
          <w:rStyle w:val="normaltextrun"/>
          <w:rFonts w:ascii="Gellix" w:hAnsi="Gellix"/>
          <w:color w:val="000000"/>
          <w:sz w:val="21"/>
          <w:szCs w:val="21"/>
          <w:shd w:val="clear" w:color="auto" w:fill="FFFFFF"/>
        </w:rPr>
        <w:t xml:space="preserve">, </w:t>
      </w:r>
      <w:r w:rsidR="003979A9" w:rsidRPr="00145777">
        <w:rPr>
          <w:rStyle w:val="normaltextrun"/>
          <w:rFonts w:ascii="Gellix" w:hAnsi="Gellix"/>
          <w:color w:val="000000"/>
          <w:sz w:val="21"/>
          <w:szCs w:val="21"/>
          <w:shd w:val="clear" w:color="auto" w:fill="FFFFFF"/>
        </w:rPr>
        <w:t>particularly</w:t>
      </w:r>
      <w:r w:rsidR="009B3D36" w:rsidRPr="00145777">
        <w:rPr>
          <w:rStyle w:val="normaltextrun"/>
          <w:rFonts w:ascii="Gellix" w:hAnsi="Gellix"/>
          <w:color w:val="000000"/>
          <w:sz w:val="21"/>
          <w:szCs w:val="21"/>
          <w:shd w:val="clear" w:color="auto" w:fill="FFFFFF"/>
        </w:rPr>
        <w:t xml:space="preserve"> i) a cost of abating emissions through technology or changing production</w:t>
      </w:r>
      <w:r w:rsidR="00874171" w:rsidRPr="00145777">
        <w:rPr>
          <w:rStyle w:val="normaltextrun"/>
          <w:rFonts w:ascii="Gellix" w:hAnsi="Gellix"/>
          <w:color w:val="000000"/>
          <w:sz w:val="21"/>
          <w:szCs w:val="21"/>
          <w:shd w:val="clear" w:color="auto" w:fill="FFFFFF"/>
        </w:rPr>
        <w:t xml:space="preserve"> or ii) </w:t>
      </w:r>
      <w:r w:rsidR="009B3D36" w:rsidRPr="00145777">
        <w:rPr>
          <w:rStyle w:val="normaltextrun"/>
          <w:rFonts w:ascii="Gellix" w:hAnsi="Gellix"/>
          <w:color w:val="000000"/>
          <w:sz w:val="21"/>
          <w:szCs w:val="21"/>
          <w:shd w:val="clear" w:color="auto" w:fill="FFFFFF"/>
        </w:rPr>
        <w:t>where a country uses carbon pricing, this will give rise to a separate cost for</w:t>
      </w:r>
      <w:r w:rsidR="00874171" w:rsidRPr="00145777">
        <w:rPr>
          <w:rStyle w:val="normaltextrun"/>
          <w:rFonts w:ascii="Gellix" w:hAnsi="Gellix"/>
          <w:color w:val="000000"/>
          <w:sz w:val="21"/>
          <w:szCs w:val="21"/>
          <w:shd w:val="clear" w:color="auto" w:fill="FFFFFF"/>
        </w:rPr>
        <w:t xml:space="preserve"> </w:t>
      </w:r>
      <w:r w:rsidR="009B3D36" w:rsidRPr="00145777">
        <w:rPr>
          <w:rStyle w:val="normaltextrun"/>
          <w:rFonts w:ascii="Gellix" w:hAnsi="Gellix"/>
          <w:color w:val="000000"/>
          <w:sz w:val="21"/>
          <w:szCs w:val="21"/>
          <w:shd w:val="clear" w:color="auto" w:fill="FFFFFF"/>
        </w:rPr>
        <w:t>the emissions which are produced (cost for the residual emissions</w:t>
      </w:r>
      <w:r w:rsidR="00010CFF" w:rsidRPr="00145777">
        <w:rPr>
          <w:rStyle w:val="normaltextrun"/>
          <w:rFonts w:ascii="Gellix" w:hAnsi="Gellix"/>
          <w:color w:val="000000"/>
          <w:sz w:val="21"/>
          <w:szCs w:val="21"/>
          <w:shd w:val="clear" w:color="auto" w:fill="FFFFFF"/>
        </w:rPr>
        <w:t>)</w:t>
      </w:r>
      <w:r w:rsidR="00874171" w:rsidRPr="00145777">
        <w:rPr>
          <w:rStyle w:val="normaltextrun"/>
          <w:rFonts w:ascii="Gellix" w:hAnsi="Gellix"/>
          <w:color w:val="000000"/>
          <w:sz w:val="21"/>
          <w:szCs w:val="21"/>
          <w:shd w:val="clear" w:color="auto" w:fill="FFFFFF"/>
        </w:rPr>
        <w:t>.</w:t>
      </w:r>
      <w:r w:rsidR="00066C6E" w:rsidRPr="00E00C0E">
        <w:rPr>
          <w:rStyle w:val="FootnoteReference"/>
          <w:rFonts w:ascii="Gellix" w:hAnsi="Gellix"/>
          <w:color w:val="000000"/>
          <w:sz w:val="21"/>
          <w:szCs w:val="21"/>
          <w:shd w:val="clear" w:color="auto" w:fill="FFFFFF"/>
        </w:rPr>
        <w:footnoteReference w:id="7"/>
      </w:r>
      <w:r w:rsidR="009B3D36" w:rsidRPr="00145777">
        <w:rPr>
          <w:rStyle w:val="normaltextrun"/>
          <w:rFonts w:ascii="Gellix" w:hAnsi="Gellix"/>
          <w:color w:val="000000"/>
          <w:sz w:val="21"/>
          <w:szCs w:val="21"/>
          <w:shd w:val="clear" w:color="auto" w:fill="FFFFFF"/>
        </w:rPr>
        <w:t xml:space="preserve"> </w:t>
      </w:r>
    </w:p>
    <w:p w14:paraId="37B874C4" w14:textId="77777777" w:rsidR="00DC1371" w:rsidRDefault="00DC1371" w:rsidP="00145777">
      <w:pPr>
        <w:spacing w:after="0" w:line="240" w:lineRule="auto"/>
        <w:rPr>
          <w:rStyle w:val="normaltextrun"/>
          <w:rFonts w:ascii="Gellix" w:hAnsi="Gellix"/>
          <w:color w:val="000000"/>
          <w:sz w:val="21"/>
          <w:szCs w:val="21"/>
          <w:shd w:val="clear" w:color="auto" w:fill="FFFFFF"/>
        </w:rPr>
      </w:pPr>
    </w:p>
    <w:p w14:paraId="3CEB00EC" w14:textId="3A6461D7" w:rsidR="004261E6" w:rsidRPr="00145777" w:rsidRDefault="0055190A" w:rsidP="00145777">
      <w:pPr>
        <w:pStyle w:val="ListParagraph"/>
        <w:numPr>
          <w:ilvl w:val="0"/>
          <w:numId w:val="57"/>
        </w:numPr>
        <w:spacing w:after="0" w:line="240" w:lineRule="auto"/>
        <w:ind w:left="720"/>
        <w:rPr>
          <w:rStyle w:val="normaltextrun"/>
          <w:rFonts w:ascii="Gellix" w:hAnsi="Gellix"/>
          <w:color w:val="000000" w:themeColor="text1"/>
          <w:sz w:val="21"/>
          <w:szCs w:val="21"/>
        </w:rPr>
      </w:pPr>
      <w:r w:rsidRPr="00145777">
        <w:rPr>
          <w:rStyle w:val="normaltextrun"/>
          <w:rFonts w:ascii="Gellix" w:hAnsi="Gellix"/>
          <w:color w:val="000000"/>
          <w:sz w:val="21"/>
          <w:szCs w:val="21"/>
          <w:shd w:val="clear" w:color="auto" w:fill="FFFFFF"/>
        </w:rPr>
        <w:t>T</w:t>
      </w:r>
      <w:r w:rsidR="00FB331B" w:rsidRPr="00145777">
        <w:rPr>
          <w:rStyle w:val="normaltextrun"/>
          <w:rFonts w:ascii="Gellix" w:hAnsi="Gellix"/>
          <w:color w:val="000000"/>
          <w:sz w:val="21"/>
          <w:szCs w:val="21"/>
          <w:shd w:val="clear" w:color="auto" w:fill="FFFFFF"/>
        </w:rPr>
        <w:t xml:space="preserve">he theory of carbon leakage </w:t>
      </w:r>
      <w:r w:rsidR="001C2067" w:rsidRPr="00145777">
        <w:rPr>
          <w:rStyle w:val="normaltextrun"/>
          <w:rFonts w:ascii="Gellix" w:hAnsi="Gellix"/>
          <w:color w:val="000000"/>
          <w:sz w:val="21"/>
          <w:szCs w:val="21"/>
          <w:shd w:val="clear" w:color="auto" w:fill="FFFFFF"/>
        </w:rPr>
        <w:t xml:space="preserve">refers to </w:t>
      </w:r>
      <w:r w:rsidR="00A20A13" w:rsidRPr="00145777">
        <w:rPr>
          <w:rStyle w:val="normaltextrun"/>
          <w:rFonts w:ascii="Gellix" w:hAnsi="Gellix"/>
          <w:color w:val="000000"/>
          <w:sz w:val="21"/>
          <w:szCs w:val="21"/>
          <w:shd w:val="clear" w:color="auto" w:fill="FFFFFF"/>
        </w:rPr>
        <w:t>“</w:t>
      </w:r>
      <w:r w:rsidR="001C2067" w:rsidRPr="00145777">
        <w:rPr>
          <w:rStyle w:val="normaltextrun"/>
          <w:rFonts w:ascii="Gellix" w:hAnsi="Gellix"/>
          <w:color w:val="000000"/>
          <w:sz w:val="21"/>
          <w:szCs w:val="21"/>
          <w:shd w:val="clear" w:color="auto" w:fill="FFFFFF"/>
        </w:rPr>
        <w:t>the situation that may occur if, for reasons of costs related to climate policies, businesses were to transfer production to other countries with laxer emi</w:t>
      </w:r>
      <w:r w:rsidR="00A20A13" w:rsidRPr="00145777">
        <w:rPr>
          <w:rStyle w:val="normaltextrun"/>
          <w:rFonts w:ascii="Gellix" w:hAnsi="Gellix"/>
          <w:color w:val="000000"/>
          <w:sz w:val="21"/>
          <w:szCs w:val="21"/>
          <w:shd w:val="clear" w:color="auto" w:fill="FFFFFF"/>
        </w:rPr>
        <w:t>ssion constraints</w:t>
      </w:r>
      <w:r w:rsidR="46F80F31" w:rsidRPr="00145777">
        <w:rPr>
          <w:rFonts w:ascii="Gellix" w:hAnsi="Gellix"/>
          <w:sz w:val="21"/>
          <w:szCs w:val="21"/>
        </w:rPr>
        <w:t>”</w:t>
      </w:r>
      <w:r w:rsidR="003C7CAE" w:rsidRPr="00145777">
        <w:rPr>
          <w:rFonts w:ascii="Gellix" w:hAnsi="Gellix" w:cs="Arial"/>
          <w:color w:val="404040"/>
          <w:sz w:val="21"/>
          <w:szCs w:val="21"/>
        </w:rPr>
        <w:t>.</w:t>
      </w:r>
      <w:r w:rsidR="003C7CAE" w:rsidRPr="00A7339E">
        <w:rPr>
          <w:rStyle w:val="FootnoteReference"/>
          <w:rFonts w:ascii="Gellix" w:hAnsi="Gellix" w:cs="Arial"/>
          <w:color w:val="404040"/>
          <w:sz w:val="21"/>
          <w:szCs w:val="21"/>
        </w:rPr>
        <w:footnoteReference w:id="8"/>
      </w:r>
      <w:r w:rsidRPr="00145777">
        <w:rPr>
          <w:rFonts w:ascii="Gellix" w:hAnsi="Gellix" w:cs="Arial"/>
          <w:color w:val="404040"/>
          <w:sz w:val="21"/>
          <w:szCs w:val="21"/>
        </w:rPr>
        <w:t xml:space="preserve">  </w:t>
      </w:r>
    </w:p>
    <w:p w14:paraId="24946C2A" w14:textId="237A8F68" w:rsidR="004261E6" w:rsidRPr="00E00C0E" w:rsidRDefault="004261E6" w:rsidP="00145777">
      <w:pPr>
        <w:spacing w:after="0" w:line="240" w:lineRule="auto"/>
        <w:rPr>
          <w:rFonts w:ascii="Gellix" w:hAnsi="Gellix" w:cs="Arial"/>
          <w:color w:val="404040" w:themeColor="text1" w:themeTint="BF"/>
          <w:sz w:val="21"/>
          <w:szCs w:val="21"/>
        </w:rPr>
      </w:pPr>
    </w:p>
    <w:p w14:paraId="00D5C55C" w14:textId="61148F25" w:rsidR="002F7697" w:rsidRPr="00145777" w:rsidRDefault="0055190A" w:rsidP="00145777">
      <w:pPr>
        <w:pStyle w:val="ListParagraph"/>
        <w:numPr>
          <w:ilvl w:val="0"/>
          <w:numId w:val="57"/>
        </w:numPr>
        <w:spacing w:after="0" w:line="240" w:lineRule="auto"/>
        <w:ind w:left="720"/>
        <w:rPr>
          <w:rStyle w:val="normaltextrun"/>
          <w:rFonts w:ascii="Gellix" w:hAnsi="Gellix"/>
          <w:sz w:val="21"/>
          <w:szCs w:val="21"/>
          <w:shd w:val="clear" w:color="auto" w:fill="FFFFFF"/>
        </w:rPr>
      </w:pPr>
      <w:r w:rsidRPr="00145777">
        <w:rPr>
          <w:rFonts w:ascii="Gellix" w:hAnsi="Gellix" w:cs="Arial"/>
          <w:sz w:val="21"/>
          <w:szCs w:val="21"/>
        </w:rPr>
        <w:t xml:space="preserve">Essentially, carbon leakage </w:t>
      </w:r>
      <w:r w:rsidR="000208EA" w:rsidRPr="00145777">
        <w:rPr>
          <w:rFonts w:ascii="Gellix" w:hAnsi="Gellix" w:cs="Arial"/>
          <w:sz w:val="21"/>
          <w:szCs w:val="21"/>
        </w:rPr>
        <w:t xml:space="preserve">is </w:t>
      </w:r>
      <w:r w:rsidR="00F37F43" w:rsidRPr="00145777">
        <w:rPr>
          <w:rFonts w:ascii="Gellix" w:hAnsi="Gellix" w:cs="Arial"/>
          <w:sz w:val="21"/>
          <w:szCs w:val="21"/>
        </w:rPr>
        <w:t xml:space="preserve">considered as </w:t>
      </w:r>
      <w:r w:rsidR="00B945AD" w:rsidRPr="00145777">
        <w:rPr>
          <w:rFonts w:ascii="Gellix" w:hAnsi="Gellix" w:cs="Arial"/>
          <w:sz w:val="21"/>
          <w:szCs w:val="21"/>
        </w:rPr>
        <w:t>a</w:t>
      </w:r>
      <w:r w:rsidR="000208EA" w:rsidRPr="00145777">
        <w:rPr>
          <w:rFonts w:ascii="Gellix" w:hAnsi="Gellix" w:cs="Arial"/>
          <w:sz w:val="21"/>
          <w:szCs w:val="21"/>
        </w:rPr>
        <w:t xml:space="preserve"> result of </w:t>
      </w:r>
      <w:r w:rsidR="00DE12A6" w:rsidRPr="00145777">
        <w:rPr>
          <w:rStyle w:val="normaltextrun"/>
          <w:rFonts w:ascii="Gellix" w:hAnsi="Gellix"/>
          <w:sz w:val="21"/>
          <w:szCs w:val="21"/>
          <w:shd w:val="clear" w:color="auto" w:fill="FFFFFF"/>
        </w:rPr>
        <w:t xml:space="preserve">asymmetrical- fragmented carbon policies, price differences and sector coverage and the resulting carbon cost, </w:t>
      </w:r>
      <w:r w:rsidR="000208EA" w:rsidRPr="00145777">
        <w:rPr>
          <w:rStyle w:val="normaltextrun"/>
          <w:rFonts w:ascii="Gellix" w:hAnsi="Gellix"/>
          <w:sz w:val="21"/>
          <w:szCs w:val="21"/>
          <w:shd w:val="clear" w:color="auto" w:fill="FFFFFF"/>
        </w:rPr>
        <w:t xml:space="preserve">which </w:t>
      </w:r>
      <w:r w:rsidR="00DE12A6" w:rsidRPr="00145777">
        <w:rPr>
          <w:rStyle w:val="normaltextrun"/>
          <w:rFonts w:ascii="Gellix" w:hAnsi="Gellix"/>
          <w:sz w:val="21"/>
          <w:szCs w:val="21"/>
          <w:shd w:val="clear" w:color="auto" w:fill="FFFFFF"/>
        </w:rPr>
        <w:t>could displace production and/or investment with consequent displacement of activities</w:t>
      </w:r>
      <w:r w:rsidR="00AB35ED" w:rsidRPr="00145777">
        <w:rPr>
          <w:rStyle w:val="normaltextrun"/>
          <w:rFonts w:ascii="Gellix" w:hAnsi="Gellix"/>
          <w:sz w:val="21"/>
          <w:szCs w:val="21"/>
          <w:shd w:val="clear" w:color="auto" w:fill="FFFFFF"/>
        </w:rPr>
        <w:t xml:space="preserve"> potentially </w:t>
      </w:r>
      <w:r w:rsidR="00DE12A6" w:rsidRPr="00145777">
        <w:rPr>
          <w:rStyle w:val="normaltextrun"/>
          <w:rFonts w:ascii="Gellix" w:hAnsi="Gellix"/>
          <w:sz w:val="21"/>
          <w:szCs w:val="21"/>
          <w:shd w:val="clear" w:color="auto" w:fill="FFFFFF"/>
        </w:rPr>
        <w:t xml:space="preserve">producing </w:t>
      </w:r>
      <w:r w:rsidR="00AB35ED" w:rsidRPr="00145777">
        <w:rPr>
          <w:rStyle w:val="normaltextrun"/>
          <w:rFonts w:ascii="Gellix" w:hAnsi="Gellix"/>
          <w:sz w:val="21"/>
          <w:szCs w:val="21"/>
          <w:shd w:val="clear" w:color="auto" w:fill="FFFFFF"/>
        </w:rPr>
        <w:t>higher</w:t>
      </w:r>
      <w:r w:rsidR="00DE12A6" w:rsidRPr="00145777">
        <w:rPr>
          <w:rStyle w:val="normaltextrun"/>
          <w:rFonts w:ascii="Gellix" w:hAnsi="Gellix"/>
          <w:sz w:val="21"/>
          <w:szCs w:val="21"/>
          <w:shd w:val="clear" w:color="auto" w:fill="FFFFFF"/>
        </w:rPr>
        <w:t xml:space="preserve"> emissions.  </w:t>
      </w:r>
      <w:r w:rsidR="4AAEE02D" w:rsidRPr="00145777">
        <w:rPr>
          <w:rStyle w:val="normaltextrun"/>
          <w:rFonts w:ascii="Gellix" w:hAnsi="Gellix"/>
          <w:sz w:val="21"/>
          <w:szCs w:val="21"/>
          <w:shd w:val="clear" w:color="auto" w:fill="FFFFFF"/>
        </w:rPr>
        <w:t>I</w:t>
      </w:r>
      <w:r w:rsidR="4AAEE02D" w:rsidRPr="00145777">
        <w:rPr>
          <w:rStyle w:val="normaltextrun"/>
          <w:rFonts w:ascii="Gellix" w:hAnsi="Gellix"/>
          <w:sz w:val="21"/>
          <w:szCs w:val="21"/>
        </w:rPr>
        <w:t xml:space="preserve">f emissions are shifted to another jurisdiction with less stringent decarbonisation policies, </w:t>
      </w:r>
      <w:r w:rsidR="10BE8EEA" w:rsidRPr="00145777">
        <w:rPr>
          <w:rStyle w:val="normaltextrun"/>
          <w:rFonts w:ascii="Gellix" w:hAnsi="Gellix"/>
          <w:sz w:val="21"/>
          <w:szCs w:val="21"/>
          <w:shd w:val="clear" w:color="auto" w:fill="FFFFFF"/>
        </w:rPr>
        <w:t>c</w:t>
      </w:r>
      <w:r w:rsidR="00B24694" w:rsidRPr="00145777">
        <w:rPr>
          <w:rStyle w:val="normaltextrun"/>
          <w:rFonts w:ascii="Gellix" w:hAnsi="Gellix"/>
          <w:sz w:val="21"/>
          <w:szCs w:val="21"/>
          <w:shd w:val="clear" w:color="auto" w:fill="FFFFFF"/>
        </w:rPr>
        <w:t xml:space="preserve">arbon leakage can undermine </w:t>
      </w:r>
      <w:r w:rsidR="00AB35ED" w:rsidRPr="00145777">
        <w:rPr>
          <w:rStyle w:val="normaltextrun"/>
          <w:rFonts w:ascii="Gellix" w:hAnsi="Gellix"/>
          <w:sz w:val="21"/>
          <w:szCs w:val="21"/>
          <w:shd w:val="clear" w:color="auto" w:fill="FFFFFF"/>
        </w:rPr>
        <w:t>a country’s</w:t>
      </w:r>
      <w:r w:rsidR="5F1372EE" w:rsidRPr="00145777">
        <w:rPr>
          <w:rStyle w:val="normaltextrun"/>
          <w:rFonts w:ascii="Gellix" w:hAnsi="Gellix"/>
          <w:sz w:val="21"/>
          <w:szCs w:val="21"/>
          <w:shd w:val="clear" w:color="auto" w:fill="FFFFFF"/>
        </w:rPr>
        <w:t xml:space="preserve"> unilater</w:t>
      </w:r>
      <w:r w:rsidR="000B32AF" w:rsidRPr="00145777">
        <w:rPr>
          <w:rStyle w:val="normaltextrun"/>
          <w:rFonts w:ascii="Gellix" w:hAnsi="Gellix"/>
          <w:sz w:val="21"/>
          <w:szCs w:val="21"/>
          <w:shd w:val="clear" w:color="auto" w:fill="FFFFFF"/>
        </w:rPr>
        <w:t>al</w:t>
      </w:r>
      <w:r w:rsidR="00AB35ED" w:rsidRPr="00145777">
        <w:rPr>
          <w:rStyle w:val="normaltextrun"/>
          <w:rFonts w:ascii="Gellix" w:hAnsi="Gellix"/>
          <w:sz w:val="21"/>
          <w:szCs w:val="21"/>
          <w:shd w:val="clear" w:color="auto" w:fill="FFFFFF"/>
        </w:rPr>
        <w:t xml:space="preserve"> </w:t>
      </w:r>
      <w:r w:rsidR="00B24694" w:rsidRPr="00145777">
        <w:rPr>
          <w:rStyle w:val="normaltextrun"/>
          <w:rFonts w:ascii="Gellix" w:hAnsi="Gellix"/>
          <w:sz w:val="21"/>
          <w:szCs w:val="21"/>
          <w:shd w:val="clear" w:color="auto" w:fill="FFFFFF"/>
        </w:rPr>
        <w:t>efforts to reduce emissions</w:t>
      </w:r>
      <w:r w:rsidR="009568C0" w:rsidRPr="00145777">
        <w:rPr>
          <w:rStyle w:val="normaltextrun"/>
          <w:rFonts w:ascii="Gellix" w:hAnsi="Gellix"/>
          <w:sz w:val="21"/>
          <w:szCs w:val="21"/>
          <w:shd w:val="clear" w:color="auto" w:fill="FFFFFF"/>
        </w:rPr>
        <w:t xml:space="preserve"> and the effectiveness of carbon pricing</w:t>
      </w:r>
      <w:r w:rsidR="4B51632C" w:rsidRPr="00145777">
        <w:rPr>
          <w:rStyle w:val="normaltextrun"/>
          <w:rFonts w:ascii="Gellix" w:hAnsi="Gellix"/>
          <w:sz w:val="21"/>
          <w:szCs w:val="21"/>
          <w:shd w:val="clear" w:color="auto" w:fill="FFFFFF"/>
        </w:rPr>
        <w:t>.</w:t>
      </w:r>
      <w:r w:rsidR="00D252E6" w:rsidRPr="00B06B90">
        <w:rPr>
          <w:rStyle w:val="FootnoteReference"/>
          <w:rFonts w:ascii="Gellix" w:hAnsi="Gellix"/>
          <w:sz w:val="21"/>
          <w:szCs w:val="21"/>
        </w:rPr>
        <w:footnoteReference w:id="9"/>
      </w:r>
      <w:r w:rsidR="00AB35ED" w:rsidRPr="00145777">
        <w:rPr>
          <w:rStyle w:val="normaltextrun"/>
          <w:rFonts w:ascii="Gellix" w:hAnsi="Gellix"/>
          <w:sz w:val="21"/>
          <w:szCs w:val="21"/>
          <w:shd w:val="clear" w:color="auto" w:fill="FFFFFF"/>
        </w:rPr>
        <w:t xml:space="preserve"> </w:t>
      </w:r>
    </w:p>
    <w:p w14:paraId="6BCEAC57" w14:textId="77777777" w:rsidR="008859B2" w:rsidRPr="00E00C0E" w:rsidRDefault="008859B2" w:rsidP="00145777">
      <w:pPr>
        <w:spacing w:after="0" w:line="240" w:lineRule="auto"/>
        <w:rPr>
          <w:rStyle w:val="normaltextrun"/>
          <w:rFonts w:ascii="Gellix" w:hAnsi="Gellix"/>
          <w:color w:val="000000"/>
          <w:sz w:val="21"/>
          <w:szCs w:val="21"/>
          <w:shd w:val="clear" w:color="auto" w:fill="FFFFFF"/>
        </w:rPr>
      </w:pPr>
    </w:p>
    <w:p w14:paraId="56B7DEF0" w14:textId="6D251BB9" w:rsidR="00BC5A1B" w:rsidRPr="00145777" w:rsidRDefault="00BC5A1B" w:rsidP="00145777">
      <w:pPr>
        <w:pStyle w:val="ListParagraph"/>
        <w:numPr>
          <w:ilvl w:val="0"/>
          <w:numId w:val="57"/>
        </w:numPr>
        <w:spacing w:after="0" w:line="240" w:lineRule="auto"/>
        <w:ind w:left="720"/>
        <w:rPr>
          <w:rStyle w:val="normaltextrun"/>
          <w:rFonts w:ascii="Gellix" w:hAnsi="Gellix"/>
          <w:color w:val="000000"/>
          <w:sz w:val="21"/>
          <w:szCs w:val="21"/>
          <w:shd w:val="clear" w:color="auto" w:fill="FFFFFF"/>
        </w:rPr>
      </w:pPr>
      <w:r w:rsidRPr="00145777">
        <w:rPr>
          <w:rStyle w:val="normaltextrun"/>
          <w:rFonts w:ascii="Gellix" w:hAnsi="Gellix"/>
          <w:color w:val="000000"/>
          <w:sz w:val="21"/>
          <w:szCs w:val="21"/>
          <w:shd w:val="clear" w:color="auto" w:fill="FFFFFF"/>
        </w:rPr>
        <w:t>It should be noted however</w:t>
      </w:r>
      <w:r w:rsidR="00962BE2" w:rsidRPr="00145777">
        <w:rPr>
          <w:rStyle w:val="normaltextrun"/>
          <w:rFonts w:ascii="Gellix" w:hAnsi="Gellix"/>
          <w:color w:val="000000"/>
          <w:sz w:val="21"/>
          <w:szCs w:val="21"/>
          <w:shd w:val="clear" w:color="auto" w:fill="FFFFFF"/>
        </w:rPr>
        <w:t xml:space="preserve"> that </w:t>
      </w:r>
      <w:r w:rsidR="00A7118F" w:rsidRPr="00145777">
        <w:rPr>
          <w:rStyle w:val="normaltextrun"/>
          <w:rFonts w:ascii="Gellix" w:hAnsi="Gellix"/>
          <w:color w:val="000000"/>
          <w:sz w:val="21"/>
          <w:szCs w:val="21"/>
          <w:shd w:val="clear" w:color="auto" w:fill="FFFFFF"/>
        </w:rPr>
        <w:t xml:space="preserve">the existence </w:t>
      </w:r>
      <w:r w:rsidR="003F1C9B" w:rsidRPr="00145777">
        <w:rPr>
          <w:rStyle w:val="normaltextrun"/>
          <w:rFonts w:ascii="Gellix" w:hAnsi="Gellix"/>
          <w:color w:val="000000"/>
          <w:sz w:val="21"/>
          <w:szCs w:val="21"/>
          <w:shd w:val="clear" w:color="auto" w:fill="FFFFFF"/>
        </w:rPr>
        <w:t xml:space="preserve">or risk </w:t>
      </w:r>
      <w:r w:rsidR="00A7118F" w:rsidRPr="00145777">
        <w:rPr>
          <w:rStyle w:val="normaltextrun"/>
          <w:rFonts w:ascii="Gellix" w:hAnsi="Gellix"/>
          <w:color w:val="000000"/>
          <w:sz w:val="21"/>
          <w:szCs w:val="21"/>
          <w:shd w:val="clear" w:color="auto" w:fill="FFFFFF"/>
        </w:rPr>
        <w:t xml:space="preserve">of carbon leakage is not </w:t>
      </w:r>
      <w:r w:rsidR="008E1DB1" w:rsidRPr="00145777">
        <w:rPr>
          <w:rStyle w:val="normaltextrun"/>
          <w:rFonts w:ascii="Gellix" w:hAnsi="Gellix"/>
          <w:color w:val="000000"/>
          <w:sz w:val="21"/>
          <w:szCs w:val="21"/>
          <w:shd w:val="clear" w:color="auto" w:fill="FFFFFF"/>
        </w:rPr>
        <w:t xml:space="preserve">necessarily </w:t>
      </w:r>
      <w:r w:rsidR="00A7118F" w:rsidRPr="00145777">
        <w:rPr>
          <w:rStyle w:val="normaltextrun"/>
          <w:rFonts w:ascii="Gellix" w:hAnsi="Gellix"/>
          <w:color w:val="000000"/>
          <w:sz w:val="21"/>
          <w:szCs w:val="21"/>
          <w:shd w:val="clear" w:color="auto" w:fill="FFFFFF"/>
        </w:rPr>
        <w:t xml:space="preserve">broadly </w:t>
      </w:r>
      <w:r w:rsidR="0086442B" w:rsidRPr="00145777">
        <w:rPr>
          <w:rStyle w:val="normaltextrun"/>
          <w:rFonts w:ascii="Gellix" w:hAnsi="Gellix"/>
          <w:color w:val="000000"/>
          <w:sz w:val="21"/>
          <w:szCs w:val="21"/>
          <w:shd w:val="clear" w:color="auto" w:fill="FFFFFF"/>
        </w:rPr>
        <w:t>acknowledged</w:t>
      </w:r>
      <w:r w:rsidR="003F1C9B" w:rsidRPr="00145777">
        <w:rPr>
          <w:rStyle w:val="normaltextrun"/>
          <w:rFonts w:ascii="Gellix" w:hAnsi="Gellix"/>
          <w:color w:val="000000"/>
          <w:sz w:val="21"/>
          <w:szCs w:val="21"/>
          <w:shd w:val="clear" w:color="auto" w:fill="FFFFFF"/>
        </w:rPr>
        <w:t xml:space="preserve"> or accepted</w:t>
      </w:r>
      <w:r w:rsidR="00671C7E" w:rsidRPr="00145777">
        <w:rPr>
          <w:rStyle w:val="normaltextrun"/>
          <w:rFonts w:ascii="Gellix" w:hAnsi="Gellix"/>
          <w:color w:val="000000"/>
          <w:sz w:val="21"/>
          <w:szCs w:val="21"/>
          <w:shd w:val="clear" w:color="auto" w:fill="FFFFFF"/>
        </w:rPr>
        <w:t>,</w:t>
      </w:r>
      <w:r w:rsidR="002378A7" w:rsidRPr="00145777">
        <w:rPr>
          <w:rStyle w:val="normaltextrun"/>
          <w:rFonts w:ascii="Gellix" w:hAnsi="Gellix"/>
          <w:color w:val="000000"/>
          <w:sz w:val="21"/>
          <w:szCs w:val="21"/>
          <w:shd w:val="clear" w:color="auto" w:fill="FFFFFF"/>
        </w:rPr>
        <w:t xml:space="preserve"> and </w:t>
      </w:r>
      <w:r w:rsidR="001C2F86" w:rsidRPr="00145777">
        <w:rPr>
          <w:rStyle w:val="normaltextrun"/>
          <w:rFonts w:ascii="Gellix" w:hAnsi="Gellix"/>
          <w:color w:val="000000"/>
          <w:sz w:val="21"/>
          <w:szCs w:val="21"/>
          <w:shd w:val="clear" w:color="auto" w:fill="FFFFFF"/>
        </w:rPr>
        <w:t xml:space="preserve">some reports </w:t>
      </w:r>
      <w:r w:rsidR="002378A7" w:rsidRPr="00145777">
        <w:rPr>
          <w:rStyle w:val="normaltextrun"/>
          <w:rFonts w:ascii="Gellix" w:hAnsi="Gellix"/>
          <w:color w:val="000000"/>
          <w:sz w:val="21"/>
          <w:szCs w:val="21"/>
          <w:shd w:val="clear" w:color="auto" w:fill="FFFFFF"/>
        </w:rPr>
        <w:t xml:space="preserve">have </w:t>
      </w:r>
      <w:r w:rsidR="00BF5B73" w:rsidRPr="00145777">
        <w:rPr>
          <w:rStyle w:val="normaltextrun"/>
          <w:rFonts w:ascii="Gellix" w:hAnsi="Gellix"/>
          <w:color w:val="000000"/>
          <w:sz w:val="21"/>
          <w:szCs w:val="21"/>
          <w:shd w:val="clear" w:color="auto" w:fill="FFFFFF"/>
        </w:rPr>
        <w:t>claimed</w:t>
      </w:r>
      <w:r w:rsidR="001C2F86" w:rsidRPr="00145777">
        <w:rPr>
          <w:rStyle w:val="normaltextrun"/>
          <w:rFonts w:ascii="Gellix" w:hAnsi="Gellix"/>
          <w:color w:val="000000"/>
          <w:sz w:val="21"/>
          <w:szCs w:val="21"/>
          <w:shd w:val="clear" w:color="auto" w:fill="FFFFFF"/>
        </w:rPr>
        <w:t xml:space="preserve"> </w:t>
      </w:r>
      <w:r w:rsidR="00B03FC6" w:rsidRPr="00145777">
        <w:rPr>
          <w:rStyle w:val="normaltextrun"/>
          <w:rFonts w:ascii="Gellix" w:hAnsi="Gellix"/>
          <w:color w:val="000000"/>
          <w:sz w:val="21"/>
          <w:szCs w:val="21"/>
          <w:shd w:val="clear" w:color="auto" w:fill="FFFFFF"/>
        </w:rPr>
        <w:t>that there is no evidence of displacement of production or future carbon leakage risk.</w:t>
      </w:r>
      <w:r w:rsidR="00DA3A7A" w:rsidRPr="00E00C0E">
        <w:rPr>
          <w:rStyle w:val="FootnoteReference"/>
          <w:rFonts w:ascii="Gellix" w:hAnsi="Gellix"/>
          <w:color w:val="000000"/>
          <w:sz w:val="21"/>
          <w:szCs w:val="21"/>
          <w:shd w:val="clear" w:color="auto" w:fill="FFFFFF"/>
        </w:rPr>
        <w:footnoteReference w:id="10"/>
      </w:r>
      <w:r w:rsidR="0037738F" w:rsidRPr="00145777">
        <w:rPr>
          <w:rStyle w:val="normaltextrun"/>
          <w:rFonts w:ascii="Gellix" w:hAnsi="Gellix"/>
          <w:color w:val="000000"/>
          <w:sz w:val="21"/>
          <w:szCs w:val="21"/>
          <w:shd w:val="clear" w:color="auto" w:fill="FFFFFF"/>
        </w:rPr>
        <w:t xml:space="preserve">  </w:t>
      </w:r>
    </w:p>
    <w:p w14:paraId="0DE83F35" w14:textId="77777777" w:rsidR="009F572D" w:rsidRPr="00E00C0E" w:rsidRDefault="009F572D" w:rsidP="00145777">
      <w:pPr>
        <w:spacing w:after="0" w:line="240" w:lineRule="auto"/>
        <w:rPr>
          <w:rStyle w:val="normaltextrun"/>
          <w:rFonts w:ascii="Gellix" w:hAnsi="Gellix"/>
          <w:color w:val="000000"/>
          <w:sz w:val="21"/>
          <w:szCs w:val="21"/>
          <w:shd w:val="clear" w:color="auto" w:fill="FFFFFF"/>
        </w:rPr>
      </w:pPr>
    </w:p>
    <w:p w14:paraId="76120EBB" w14:textId="32F60B1B" w:rsidR="004F47EC" w:rsidRPr="00145777" w:rsidRDefault="00977F62" w:rsidP="00145777">
      <w:pPr>
        <w:pStyle w:val="ListParagraph"/>
        <w:numPr>
          <w:ilvl w:val="0"/>
          <w:numId w:val="57"/>
        </w:numPr>
        <w:spacing w:after="0" w:line="240" w:lineRule="auto"/>
        <w:ind w:left="720"/>
        <w:rPr>
          <w:rStyle w:val="normaltextrun"/>
          <w:rFonts w:ascii="Gellix" w:hAnsi="Gellix"/>
          <w:color w:val="000000"/>
          <w:sz w:val="21"/>
          <w:szCs w:val="21"/>
          <w:shd w:val="clear" w:color="auto" w:fill="FFFFFF"/>
        </w:rPr>
      </w:pPr>
      <w:r w:rsidRPr="00145777">
        <w:rPr>
          <w:rStyle w:val="normaltextrun"/>
          <w:rFonts w:ascii="Gellix" w:hAnsi="Gellix"/>
          <w:color w:val="000000"/>
          <w:sz w:val="21"/>
          <w:szCs w:val="21"/>
          <w:shd w:val="clear" w:color="auto" w:fill="FFFFFF"/>
        </w:rPr>
        <w:t xml:space="preserve">Nonetheless, it is clear that </w:t>
      </w:r>
      <w:r w:rsidR="00D47FE2" w:rsidRPr="00145777">
        <w:rPr>
          <w:rStyle w:val="normaltextrun"/>
          <w:rFonts w:ascii="Gellix" w:hAnsi="Gellix"/>
          <w:color w:val="000000"/>
          <w:sz w:val="21"/>
          <w:szCs w:val="21"/>
          <w:shd w:val="clear" w:color="auto" w:fill="FFFFFF"/>
        </w:rPr>
        <w:t xml:space="preserve">there are </w:t>
      </w:r>
      <w:r w:rsidR="00FF557A" w:rsidRPr="00145777">
        <w:rPr>
          <w:rStyle w:val="normaltextrun"/>
          <w:rFonts w:ascii="Gellix" w:hAnsi="Gellix"/>
          <w:color w:val="000000"/>
          <w:sz w:val="21"/>
          <w:szCs w:val="21"/>
          <w:shd w:val="clear" w:color="auto" w:fill="FFFFFF"/>
        </w:rPr>
        <w:t xml:space="preserve">growing concerns regarding </w:t>
      </w:r>
      <w:r w:rsidR="008E30BD" w:rsidRPr="00145777">
        <w:rPr>
          <w:rStyle w:val="normaltextrun"/>
          <w:rFonts w:ascii="Gellix" w:hAnsi="Gellix"/>
          <w:color w:val="000000"/>
          <w:sz w:val="21"/>
          <w:szCs w:val="21"/>
          <w:shd w:val="clear" w:color="auto" w:fill="FFFFFF"/>
        </w:rPr>
        <w:t xml:space="preserve">the risks </w:t>
      </w:r>
      <w:r w:rsidR="002A0D01" w:rsidRPr="00145777">
        <w:rPr>
          <w:rStyle w:val="normaltextrun"/>
          <w:rFonts w:ascii="Gellix" w:hAnsi="Gellix"/>
          <w:color w:val="000000"/>
          <w:sz w:val="21"/>
          <w:szCs w:val="21"/>
          <w:shd w:val="clear" w:color="auto" w:fill="FFFFFF"/>
        </w:rPr>
        <w:t xml:space="preserve">and implications </w:t>
      </w:r>
      <w:r w:rsidR="008E30BD" w:rsidRPr="00145777">
        <w:rPr>
          <w:rStyle w:val="normaltextrun"/>
          <w:rFonts w:ascii="Gellix" w:hAnsi="Gellix"/>
          <w:color w:val="000000"/>
          <w:sz w:val="21"/>
          <w:szCs w:val="21"/>
          <w:shd w:val="clear" w:color="auto" w:fill="FFFFFF"/>
        </w:rPr>
        <w:t>of carbon leakage</w:t>
      </w:r>
      <w:r w:rsidR="00FF557A" w:rsidRPr="00145777">
        <w:rPr>
          <w:rStyle w:val="normaltextrun"/>
          <w:rFonts w:ascii="Gellix" w:hAnsi="Gellix"/>
          <w:color w:val="000000"/>
          <w:sz w:val="21"/>
          <w:szCs w:val="21"/>
          <w:shd w:val="clear" w:color="auto" w:fill="FFFFFF"/>
        </w:rPr>
        <w:t>,</w:t>
      </w:r>
      <w:r w:rsidR="00E67501" w:rsidRPr="00145777">
        <w:rPr>
          <w:rStyle w:val="normaltextrun"/>
          <w:rFonts w:ascii="Gellix" w:hAnsi="Gellix"/>
          <w:color w:val="000000"/>
          <w:sz w:val="21"/>
          <w:szCs w:val="21"/>
          <w:shd w:val="clear" w:color="auto" w:fill="FFFFFF"/>
        </w:rPr>
        <w:t xml:space="preserve"> </w:t>
      </w:r>
      <w:r w:rsidR="00021331" w:rsidRPr="00145777">
        <w:rPr>
          <w:rStyle w:val="normaltextrun"/>
          <w:rFonts w:ascii="Gellix" w:hAnsi="Gellix"/>
          <w:color w:val="000000"/>
          <w:sz w:val="21"/>
          <w:szCs w:val="21"/>
          <w:shd w:val="clear" w:color="auto" w:fill="FFFFFF"/>
        </w:rPr>
        <w:t xml:space="preserve">and that </w:t>
      </w:r>
      <w:r w:rsidR="008E30BD" w:rsidRPr="00145777">
        <w:rPr>
          <w:rStyle w:val="normaltextrun"/>
          <w:rFonts w:ascii="Gellix" w:hAnsi="Gellix"/>
          <w:color w:val="000000"/>
          <w:sz w:val="21"/>
          <w:szCs w:val="21"/>
          <w:shd w:val="clear" w:color="auto" w:fill="FFFFFF"/>
        </w:rPr>
        <w:t>many governments are consider</w:t>
      </w:r>
      <w:r w:rsidR="003553B1" w:rsidRPr="00145777">
        <w:rPr>
          <w:rStyle w:val="normaltextrun"/>
          <w:rFonts w:ascii="Gellix" w:hAnsi="Gellix"/>
          <w:color w:val="000000"/>
          <w:sz w:val="21"/>
          <w:szCs w:val="21"/>
          <w:shd w:val="clear" w:color="auto" w:fill="FFFFFF"/>
        </w:rPr>
        <w:t xml:space="preserve">ing implementing measures </w:t>
      </w:r>
      <w:r w:rsidR="00824733" w:rsidRPr="00145777">
        <w:rPr>
          <w:rStyle w:val="normaltextrun"/>
          <w:rFonts w:ascii="Gellix" w:hAnsi="Gellix"/>
          <w:color w:val="000000"/>
          <w:sz w:val="21"/>
          <w:szCs w:val="21"/>
          <w:shd w:val="clear" w:color="auto" w:fill="FFFFFF"/>
        </w:rPr>
        <w:t xml:space="preserve">or a mix of policies </w:t>
      </w:r>
      <w:r w:rsidR="003553B1" w:rsidRPr="00145777">
        <w:rPr>
          <w:rStyle w:val="normaltextrun"/>
          <w:rFonts w:ascii="Gellix" w:hAnsi="Gellix"/>
          <w:color w:val="000000"/>
          <w:sz w:val="21"/>
          <w:szCs w:val="21"/>
          <w:shd w:val="clear" w:color="auto" w:fill="FFFFFF"/>
        </w:rPr>
        <w:t>to address this issue.</w:t>
      </w:r>
      <w:r w:rsidR="00297919" w:rsidRPr="00145777">
        <w:rPr>
          <w:rStyle w:val="normaltextrun"/>
          <w:rFonts w:ascii="Gellix" w:hAnsi="Gellix"/>
          <w:color w:val="000000"/>
          <w:sz w:val="21"/>
          <w:szCs w:val="21"/>
          <w:shd w:val="clear" w:color="auto" w:fill="FFFFFF"/>
        </w:rPr>
        <w:t xml:space="preserve"> This ICC report </w:t>
      </w:r>
      <w:r w:rsidR="00EB02A1" w:rsidRPr="00145777">
        <w:rPr>
          <w:rStyle w:val="normaltextrun"/>
          <w:rFonts w:ascii="Gellix" w:hAnsi="Gellix"/>
          <w:color w:val="000000"/>
          <w:sz w:val="21"/>
          <w:szCs w:val="21"/>
          <w:shd w:val="clear" w:color="auto" w:fill="FFFFFF"/>
        </w:rPr>
        <w:t>recognises the</w:t>
      </w:r>
      <w:r w:rsidR="003936F2" w:rsidRPr="00145777">
        <w:rPr>
          <w:rStyle w:val="normaltextrun"/>
          <w:rFonts w:ascii="Gellix" w:hAnsi="Gellix"/>
          <w:color w:val="000000"/>
          <w:sz w:val="21"/>
          <w:szCs w:val="21"/>
          <w:shd w:val="clear" w:color="auto" w:fill="FFFFFF"/>
        </w:rPr>
        <w:t xml:space="preserve"> growing </w:t>
      </w:r>
      <w:r w:rsidR="008A137E" w:rsidRPr="00145777">
        <w:rPr>
          <w:rStyle w:val="normaltextrun"/>
          <w:rFonts w:ascii="Gellix" w:hAnsi="Gellix"/>
          <w:color w:val="000000"/>
          <w:sz w:val="21"/>
          <w:szCs w:val="21"/>
          <w:shd w:val="clear" w:color="auto" w:fill="FFFFFF"/>
        </w:rPr>
        <w:t xml:space="preserve">concern </w:t>
      </w:r>
      <w:r w:rsidR="003936F2" w:rsidRPr="00145777">
        <w:rPr>
          <w:rStyle w:val="normaltextrun"/>
          <w:rFonts w:ascii="Gellix" w:hAnsi="Gellix"/>
          <w:color w:val="000000"/>
          <w:sz w:val="21"/>
          <w:szCs w:val="21"/>
          <w:shd w:val="clear" w:color="auto" w:fill="FFFFFF"/>
        </w:rPr>
        <w:t xml:space="preserve">of </w:t>
      </w:r>
      <w:r w:rsidR="007A58EA" w:rsidRPr="00145777">
        <w:rPr>
          <w:rStyle w:val="normaltextrun"/>
          <w:rFonts w:ascii="Gellix" w:hAnsi="Gellix"/>
          <w:color w:val="000000"/>
          <w:sz w:val="21"/>
          <w:szCs w:val="21"/>
          <w:shd w:val="clear" w:color="auto" w:fill="FFFFFF"/>
        </w:rPr>
        <w:t>leakage</w:t>
      </w:r>
      <w:r w:rsidR="003936F2" w:rsidRPr="00145777">
        <w:rPr>
          <w:rStyle w:val="normaltextrun"/>
          <w:rFonts w:ascii="Gellix" w:hAnsi="Gellix"/>
          <w:color w:val="000000"/>
          <w:sz w:val="21"/>
          <w:szCs w:val="21"/>
          <w:shd w:val="clear" w:color="auto" w:fill="FFFFFF"/>
        </w:rPr>
        <w:t xml:space="preserve"> and </w:t>
      </w:r>
      <w:r w:rsidR="007B2B8B" w:rsidRPr="00145777">
        <w:rPr>
          <w:rStyle w:val="normaltextrun"/>
          <w:rFonts w:ascii="Gellix" w:hAnsi="Gellix"/>
          <w:color w:val="000000"/>
          <w:sz w:val="21"/>
          <w:szCs w:val="21"/>
          <w:shd w:val="clear" w:color="auto" w:fill="FFFFFF"/>
        </w:rPr>
        <w:t xml:space="preserve">seeks to </w:t>
      </w:r>
      <w:r w:rsidR="0016600A" w:rsidRPr="00145777">
        <w:rPr>
          <w:rStyle w:val="normaltextrun"/>
          <w:rFonts w:ascii="Gellix" w:hAnsi="Gellix"/>
          <w:color w:val="000000"/>
          <w:sz w:val="21"/>
          <w:szCs w:val="21"/>
          <w:shd w:val="clear" w:color="auto" w:fill="FFFFFF"/>
        </w:rPr>
        <w:t xml:space="preserve">discuss existing </w:t>
      </w:r>
      <w:r w:rsidR="00211957" w:rsidRPr="00145777">
        <w:rPr>
          <w:rStyle w:val="normaltextrun"/>
          <w:rFonts w:ascii="Gellix" w:hAnsi="Gellix"/>
          <w:color w:val="000000"/>
          <w:sz w:val="21"/>
          <w:szCs w:val="21"/>
          <w:shd w:val="clear" w:color="auto" w:fill="FFFFFF"/>
        </w:rPr>
        <w:t xml:space="preserve">approaches </w:t>
      </w:r>
      <w:r w:rsidR="0016600A" w:rsidRPr="00145777">
        <w:rPr>
          <w:rStyle w:val="normaltextrun"/>
          <w:rFonts w:ascii="Gellix" w:hAnsi="Gellix"/>
          <w:color w:val="000000"/>
          <w:sz w:val="21"/>
          <w:szCs w:val="21"/>
          <w:shd w:val="clear" w:color="auto" w:fill="FFFFFF"/>
        </w:rPr>
        <w:t xml:space="preserve">to address these risks, </w:t>
      </w:r>
      <w:r w:rsidR="00635016" w:rsidRPr="00145777">
        <w:rPr>
          <w:rStyle w:val="normaltextrun"/>
          <w:rFonts w:ascii="Gellix" w:hAnsi="Gellix"/>
          <w:color w:val="000000"/>
          <w:sz w:val="21"/>
          <w:szCs w:val="21"/>
          <w:shd w:val="clear" w:color="auto" w:fill="FFFFFF"/>
        </w:rPr>
        <w:t xml:space="preserve">with a view to providing </w:t>
      </w:r>
      <w:r w:rsidR="00471BFC" w:rsidRPr="00145777">
        <w:rPr>
          <w:rStyle w:val="normaltextrun"/>
          <w:rFonts w:ascii="Gellix" w:hAnsi="Gellix"/>
          <w:color w:val="000000"/>
          <w:sz w:val="21"/>
          <w:szCs w:val="21"/>
          <w:shd w:val="clear" w:color="auto" w:fill="FFFFFF"/>
        </w:rPr>
        <w:t xml:space="preserve">proposals </w:t>
      </w:r>
      <w:r w:rsidR="0051123C" w:rsidRPr="00145777">
        <w:rPr>
          <w:rStyle w:val="normaltextrun"/>
          <w:rFonts w:ascii="Gellix" w:hAnsi="Gellix"/>
          <w:color w:val="000000"/>
          <w:sz w:val="21"/>
          <w:szCs w:val="21"/>
          <w:shd w:val="clear" w:color="auto" w:fill="FFFFFF"/>
        </w:rPr>
        <w:t xml:space="preserve">for governments and policymakers </w:t>
      </w:r>
      <w:r w:rsidR="00C71A62" w:rsidRPr="00145777">
        <w:rPr>
          <w:rStyle w:val="normaltextrun"/>
          <w:rFonts w:ascii="Gellix" w:hAnsi="Gellix"/>
          <w:color w:val="000000"/>
          <w:sz w:val="21"/>
          <w:szCs w:val="21"/>
          <w:shd w:val="clear" w:color="auto" w:fill="FFFFFF"/>
        </w:rPr>
        <w:t xml:space="preserve">to support </w:t>
      </w:r>
      <w:r w:rsidR="00F11F24" w:rsidRPr="00145777">
        <w:rPr>
          <w:rStyle w:val="normaltextrun"/>
          <w:rFonts w:ascii="Gellix" w:hAnsi="Gellix"/>
          <w:color w:val="000000"/>
          <w:sz w:val="21"/>
          <w:szCs w:val="21"/>
          <w:shd w:val="clear" w:color="auto" w:fill="FFFFFF"/>
        </w:rPr>
        <w:t xml:space="preserve">the development of </w:t>
      </w:r>
      <w:r w:rsidR="004D1744" w:rsidRPr="00145777">
        <w:rPr>
          <w:rStyle w:val="normaltextrun"/>
          <w:rFonts w:ascii="Gellix" w:hAnsi="Gellix"/>
          <w:color w:val="000000"/>
          <w:sz w:val="21"/>
          <w:szCs w:val="21"/>
          <w:shd w:val="clear" w:color="auto" w:fill="FFFFFF"/>
        </w:rPr>
        <w:t xml:space="preserve">carbon pricing policies that can lead to increased climate ambition and </w:t>
      </w:r>
      <w:r w:rsidR="00C71A62" w:rsidRPr="00145777">
        <w:rPr>
          <w:rStyle w:val="normaltextrun"/>
          <w:rFonts w:ascii="Gellix" w:hAnsi="Gellix"/>
          <w:color w:val="000000"/>
          <w:sz w:val="21"/>
          <w:szCs w:val="21"/>
          <w:shd w:val="clear" w:color="auto" w:fill="FFFFFF"/>
        </w:rPr>
        <w:t xml:space="preserve">greater </w:t>
      </w:r>
      <w:r w:rsidR="004F47EC" w:rsidRPr="00145777">
        <w:rPr>
          <w:rStyle w:val="normaltextrun"/>
          <w:rFonts w:ascii="Gellix" w:hAnsi="Gellix"/>
          <w:color w:val="000000"/>
          <w:sz w:val="21"/>
          <w:szCs w:val="21"/>
          <w:shd w:val="clear" w:color="auto" w:fill="FFFFFF"/>
        </w:rPr>
        <w:t xml:space="preserve">international </w:t>
      </w:r>
      <w:r w:rsidR="00C71A62" w:rsidRPr="00145777">
        <w:rPr>
          <w:rStyle w:val="normaltextrun"/>
          <w:rFonts w:ascii="Gellix" w:hAnsi="Gellix"/>
          <w:color w:val="000000"/>
          <w:sz w:val="21"/>
          <w:szCs w:val="21"/>
          <w:shd w:val="clear" w:color="auto" w:fill="FFFFFF"/>
        </w:rPr>
        <w:t>coordination and alignment</w:t>
      </w:r>
      <w:r w:rsidR="004F47EC" w:rsidRPr="00145777">
        <w:rPr>
          <w:rStyle w:val="normaltextrun"/>
          <w:rFonts w:ascii="Gellix" w:hAnsi="Gellix"/>
          <w:color w:val="000000"/>
          <w:sz w:val="21"/>
          <w:szCs w:val="21"/>
          <w:shd w:val="clear" w:color="auto" w:fill="FFFFFF"/>
        </w:rPr>
        <w:t>.</w:t>
      </w:r>
    </w:p>
    <w:p w14:paraId="0A323E89" w14:textId="77777777" w:rsidR="004F47EC" w:rsidRPr="00E00C0E" w:rsidRDefault="004F47EC" w:rsidP="0022441E">
      <w:pPr>
        <w:spacing w:after="0" w:line="240" w:lineRule="auto"/>
        <w:ind w:left="360"/>
        <w:rPr>
          <w:rStyle w:val="normaltextrun"/>
          <w:rFonts w:ascii="Gellix" w:hAnsi="Gellix"/>
          <w:color w:val="000000"/>
          <w:sz w:val="21"/>
          <w:szCs w:val="21"/>
          <w:shd w:val="clear" w:color="auto" w:fill="FFFFFF"/>
        </w:rPr>
      </w:pPr>
    </w:p>
    <w:p w14:paraId="1616976F" w14:textId="64121BD6" w:rsidR="009568C0" w:rsidRPr="002D5145" w:rsidRDefault="009568C0" w:rsidP="0022441E">
      <w:pPr>
        <w:spacing w:after="0" w:line="240" w:lineRule="auto"/>
        <w:ind w:left="360"/>
        <w:rPr>
          <w:rFonts w:ascii="Gellix" w:hAnsi="Gellix"/>
          <w:b/>
          <w:sz w:val="21"/>
          <w:szCs w:val="21"/>
        </w:rPr>
      </w:pPr>
      <w:r w:rsidRPr="002D5145">
        <w:rPr>
          <w:rFonts w:ascii="Gellix" w:hAnsi="Gellix"/>
          <w:b/>
          <w:sz w:val="21"/>
          <w:szCs w:val="21"/>
        </w:rPr>
        <w:t>Existing instruments</w:t>
      </w:r>
      <w:r w:rsidR="008D7AA6" w:rsidRPr="002D5145">
        <w:rPr>
          <w:rFonts w:ascii="Gellix" w:hAnsi="Gellix"/>
          <w:b/>
          <w:sz w:val="21"/>
          <w:szCs w:val="21"/>
        </w:rPr>
        <w:t>/measures</w:t>
      </w:r>
      <w:r w:rsidRPr="002D5145">
        <w:rPr>
          <w:rFonts w:ascii="Gellix" w:hAnsi="Gellix"/>
          <w:b/>
          <w:sz w:val="21"/>
          <w:szCs w:val="21"/>
        </w:rPr>
        <w:t xml:space="preserve"> to address </w:t>
      </w:r>
      <w:r w:rsidR="008D7AA6" w:rsidRPr="002D5145">
        <w:rPr>
          <w:rFonts w:ascii="Gellix" w:hAnsi="Gellix"/>
          <w:b/>
          <w:sz w:val="21"/>
          <w:szCs w:val="21"/>
        </w:rPr>
        <w:t xml:space="preserve">carbon </w:t>
      </w:r>
      <w:r w:rsidRPr="002D5145">
        <w:rPr>
          <w:rFonts w:ascii="Gellix" w:hAnsi="Gellix"/>
          <w:b/>
          <w:sz w:val="21"/>
          <w:szCs w:val="21"/>
        </w:rPr>
        <w:t>leakage</w:t>
      </w:r>
    </w:p>
    <w:p w14:paraId="3C1120F2" w14:textId="756F3086" w:rsidR="009568C0" w:rsidRPr="00145777" w:rsidRDefault="005511A3" w:rsidP="00145777">
      <w:pPr>
        <w:pStyle w:val="ListParagraph"/>
        <w:numPr>
          <w:ilvl w:val="0"/>
          <w:numId w:val="58"/>
        </w:numPr>
        <w:spacing w:after="0" w:line="240" w:lineRule="auto"/>
        <w:rPr>
          <w:rFonts w:ascii="Gellix" w:hAnsi="Gellix"/>
          <w:sz w:val="21"/>
          <w:szCs w:val="21"/>
        </w:rPr>
      </w:pPr>
      <w:r w:rsidRPr="00145777">
        <w:rPr>
          <w:rFonts w:ascii="Gellix" w:hAnsi="Gellix"/>
          <w:sz w:val="21"/>
          <w:szCs w:val="21"/>
        </w:rPr>
        <w:t xml:space="preserve">Significant work has been carried out </w:t>
      </w:r>
      <w:r w:rsidR="00535CB6" w:rsidRPr="00145777">
        <w:rPr>
          <w:rFonts w:ascii="Gellix" w:hAnsi="Gellix"/>
          <w:sz w:val="21"/>
          <w:szCs w:val="21"/>
        </w:rPr>
        <w:t xml:space="preserve">by </w:t>
      </w:r>
      <w:r w:rsidR="00724A2A" w:rsidRPr="00145777">
        <w:rPr>
          <w:rFonts w:ascii="Gellix" w:hAnsi="Gellix"/>
          <w:sz w:val="21"/>
          <w:szCs w:val="21"/>
        </w:rPr>
        <w:t xml:space="preserve">various </w:t>
      </w:r>
      <w:r w:rsidR="00535CB6" w:rsidRPr="00145777">
        <w:rPr>
          <w:rFonts w:ascii="Gellix" w:hAnsi="Gellix"/>
          <w:sz w:val="21"/>
          <w:szCs w:val="21"/>
        </w:rPr>
        <w:t xml:space="preserve">organisations </w:t>
      </w:r>
      <w:r w:rsidRPr="00145777">
        <w:rPr>
          <w:rFonts w:ascii="Gellix" w:hAnsi="Gellix"/>
          <w:sz w:val="21"/>
          <w:szCs w:val="21"/>
        </w:rPr>
        <w:t xml:space="preserve">examining existing instruments and policy measures to address carbon leakage, </w:t>
      </w:r>
      <w:r w:rsidR="004377E4" w:rsidRPr="00145777">
        <w:rPr>
          <w:rFonts w:ascii="Gellix" w:hAnsi="Gellix"/>
          <w:sz w:val="21"/>
          <w:szCs w:val="21"/>
        </w:rPr>
        <w:t>some</w:t>
      </w:r>
      <w:r w:rsidRPr="00145777">
        <w:rPr>
          <w:rFonts w:ascii="Gellix" w:hAnsi="Gellix"/>
          <w:sz w:val="21"/>
          <w:szCs w:val="21"/>
        </w:rPr>
        <w:t xml:space="preserve"> of </w:t>
      </w:r>
      <w:r w:rsidR="004377E4" w:rsidRPr="00145777">
        <w:rPr>
          <w:rFonts w:ascii="Gellix" w:hAnsi="Gellix"/>
          <w:sz w:val="21"/>
          <w:szCs w:val="21"/>
        </w:rPr>
        <w:t>which is referenced</w:t>
      </w:r>
      <w:r w:rsidRPr="00145777">
        <w:rPr>
          <w:rFonts w:ascii="Gellix" w:hAnsi="Gellix"/>
          <w:sz w:val="21"/>
          <w:szCs w:val="21"/>
        </w:rPr>
        <w:t xml:space="preserve"> </w:t>
      </w:r>
      <w:r w:rsidR="004156D9" w:rsidRPr="00145777">
        <w:rPr>
          <w:rFonts w:ascii="Gellix" w:hAnsi="Gellix"/>
          <w:sz w:val="21"/>
          <w:szCs w:val="21"/>
        </w:rPr>
        <w:t xml:space="preserve">in </w:t>
      </w:r>
      <w:r w:rsidR="004377E4" w:rsidRPr="00145777">
        <w:rPr>
          <w:rFonts w:ascii="Gellix" w:hAnsi="Gellix"/>
          <w:sz w:val="21"/>
          <w:szCs w:val="21"/>
        </w:rPr>
        <w:t>this</w:t>
      </w:r>
      <w:r w:rsidR="005A48A3" w:rsidRPr="00145777">
        <w:rPr>
          <w:rFonts w:ascii="Gellix" w:hAnsi="Gellix"/>
          <w:sz w:val="21"/>
          <w:szCs w:val="21"/>
        </w:rPr>
        <w:t xml:space="preserve"> report</w:t>
      </w:r>
      <w:r w:rsidR="00813E21" w:rsidRPr="00145777">
        <w:rPr>
          <w:rFonts w:ascii="Gellix" w:hAnsi="Gellix"/>
          <w:sz w:val="21"/>
          <w:szCs w:val="21"/>
        </w:rPr>
        <w:t>,</w:t>
      </w:r>
      <w:r w:rsidR="008574F9" w:rsidRPr="00145777">
        <w:rPr>
          <w:rFonts w:ascii="Gellix" w:hAnsi="Gellix"/>
          <w:sz w:val="21"/>
          <w:szCs w:val="21"/>
        </w:rPr>
        <w:t xml:space="preserve"> </w:t>
      </w:r>
      <w:r w:rsidR="00813E21" w:rsidRPr="00145777">
        <w:rPr>
          <w:rFonts w:ascii="Gellix" w:hAnsi="Gellix"/>
          <w:sz w:val="21"/>
          <w:szCs w:val="21"/>
        </w:rPr>
        <w:t>with the intention</w:t>
      </w:r>
      <w:r w:rsidR="005C179E" w:rsidRPr="00145777">
        <w:rPr>
          <w:rFonts w:ascii="Gellix" w:hAnsi="Gellix"/>
          <w:sz w:val="21"/>
          <w:szCs w:val="21"/>
        </w:rPr>
        <w:t xml:space="preserve"> to reflect </w:t>
      </w:r>
      <w:r w:rsidR="00535CB6" w:rsidRPr="00145777">
        <w:rPr>
          <w:rFonts w:ascii="Gellix" w:hAnsi="Gellix"/>
          <w:sz w:val="21"/>
          <w:szCs w:val="21"/>
        </w:rPr>
        <w:t xml:space="preserve">more generally </w:t>
      </w:r>
      <w:r w:rsidR="005C179E" w:rsidRPr="00145777">
        <w:rPr>
          <w:rFonts w:ascii="Gellix" w:hAnsi="Gellix"/>
          <w:sz w:val="21"/>
          <w:szCs w:val="21"/>
        </w:rPr>
        <w:t xml:space="preserve">on </w:t>
      </w:r>
      <w:r w:rsidR="006F0CB4" w:rsidRPr="00145777">
        <w:rPr>
          <w:rFonts w:ascii="Gellix" w:hAnsi="Gellix"/>
          <w:sz w:val="21"/>
          <w:szCs w:val="21"/>
        </w:rPr>
        <w:t xml:space="preserve">global </w:t>
      </w:r>
      <w:r w:rsidR="005C179E" w:rsidRPr="00145777">
        <w:rPr>
          <w:rFonts w:ascii="Gellix" w:hAnsi="Gellix"/>
          <w:sz w:val="21"/>
          <w:szCs w:val="21"/>
        </w:rPr>
        <w:t xml:space="preserve">mechanisms to address carbon leakage, and any </w:t>
      </w:r>
      <w:r w:rsidR="00933BAE" w:rsidRPr="00145777">
        <w:rPr>
          <w:rFonts w:ascii="Gellix" w:hAnsi="Gellix"/>
          <w:sz w:val="21"/>
          <w:szCs w:val="21"/>
        </w:rPr>
        <w:t>resulting challenges these may pose.</w:t>
      </w:r>
    </w:p>
    <w:p w14:paraId="4DDAFFAA" w14:textId="77777777" w:rsidR="00430670" w:rsidRPr="00E00C0E" w:rsidRDefault="00430670" w:rsidP="0022441E">
      <w:pPr>
        <w:spacing w:after="0" w:line="240" w:lineRule="auto"/>
        <w:ind w:left="360"/>
        <w:rPr>
          <w:rFonts w:ascii="Gellix" w:hAnsi="Gellix"/>
          <w:b/>
          <w:color w:val="4472C4" w:themeColor="accent1"/>
          <w:sz w:val="21"/>
          <w:szCs w:val="21"/>
        </w:rPr>
      </w:pPr>
    </w:p>
    <w:p w14:paraId="14ADDEC3" w14:textId="32F3AF7C" w:rsidR="008D7AA6" w:rsidRPr="00E00C0E" w:rsidRDefault="008D7AA6" w:rsidP="008C5600">
      <w:pPr>
        <w:pStyle w:val="ListParagraph"/>
        <w:numPr>
          <w:ilvl w:val="2"/>
          <w:numId w:val="43"/>
        </w:numPr>
        <w:spacing w:after="0" w:line="240" w:lineRule="auto"/>
        <w:ind w:left="900"/>
        <w:rPr>
          <w:rFonts w:ascii="Gellix" w:hAnsi="Gellix"/>
          <w:b/>
          <w:sz w:val="21"/>
          <w:szCs w:val="21"/>
          <w:u w:val="single"/>
          <w:lang w:val="en-US"/>
        </w:rPr>
      </w:pPr>
      <w:r w:rsidRPr="00E00C0E">
        <w:rPr>
          <w:rFonts w:ascii="Gellix" w:hAnsi="Gellix"/>
          <w:sz w:val="21"/>
          <w:szCs w:val="21"/>
          <w:u w:val="single"/>
          <w:lang w:val="en-US"/>
        </w:rPr>
        <w:t xml:space="preserve">Border carbon adjustments </w:t>
      </w:r>
      <w:r w:rsidR="00E55792" w:rsidRPr="00E00C0E">
        <w:rPr>
          <w:rFonts w:ascii="Gellix" w:hAnsi="Gellix"/>
          <w:sz w:val="21"/>
          <w:szCs w:val="21"/>
          <w:u w:val="single"/>
          <w:lang w:val="en-US"/>
        </w:rPr>
        <w:t>(BCAs)</w:t>
      </w:r>
    </w:p>
    <w:p w14:paraId="14F47C3E" w14:textId="29DE0A68" w:rsidR="00E55792" w:rsidRPr="00E00C0E" w:rsidRDefault="00E55792" w:rsidP="00145777">
      <w:pPr>
        <w:pStyle w:val="ListParagraph"/>
        <w:numPr>
          <w:ilvl w:val="0"/>
          <w:numId w:val="58"/>
        </w:numPr>
        <w:spacing w:after="0" w:line="240" w:lineRule="auto"/>
        <w:rPr>
          <w:rFonts w:ascii="Gellix" w:hAnsi="Gellix"/>
          <w:sz w:val="21"/>
          <w:szCs w:val="21"/>
          <w:lang w:val="en-US"/>
        </w:rPr>
      </w:pPr>
      <w:r w:rsidRPr="00E00C0E">
        <w:rPr>
          <w:rFonts w:ascii="Gellix" w:hAnsi="Gellix"/>
          <w:sz w:val="21"/>
          <w:szCs w:val="21"/>
          <w:lang w:val="en-US"/>
        </w:rPr>
        <w:t xml:space="preserve">A BCA works by imposing a charge on specified imported goods according to their level of embedded carbon. Depending upon the design of the BCA, the definition of </w:t>
      </w:r>
      <w:r w:rsidRPr="00E00C0E">
        <w:rPr>
          <w:rFonts w:ascii="Gellix" w:hAnsi="Gellix"/>
          <w:sz w:val="21"/>
          <w:szCs w:val="21"/>
          <w:lang w:val="en-US"/>
        </w:rPr>
        <w:lastRenderedPageBreak/>
        <w:t xml:space="preserve">embedded carbon can cover direct and indirect emissions. A BCA therefore requires agreed systems of quantifying and verifying embedded carbon. </w:t>
      </w:r>
    </w:p>
    <w:p w14:paraId="145E1103" w14:textId="77777777" w:rsidR="001E42C1" w:rsidRPr="00E00C0E" w:rsidRDefault="001E42C1" w:rsidP="0022441E">
      <w:pPr>
        <w:pStyle w:val="ListParagraph"/>
        <w:spacing w:after="0" w:line="240" w:lineRule="auto"/>
        <w:ind w:left="900"/>
        <w:rPr>
          <w:rFonts w:ascii="Gellix" w:hAnsi="Gellix"/>
          <w:sz w:val="21"/>
          <w:szCs w:val="21"/>
          <w:lang w:val="en-US"/>
        </w:rPr>
      </w:pPr>
    </w:p>
    <w:p w14:paraId="035A2351" w14:textId="4AD39886" w:rsidR="001E42C1" w:rsidRPr="00E00C0E" w:rsidRDefault="0027394C" w:rsidP="00145777">
      <w:pPr>
        <w:pStyle w:val="ListParagraph"/>
        <w:numPr>
          <w:ilvl w:val="0"/>
          <w:numId w:val="58"/>
        </w:numPr>
        <w:spacing w:after="0" w:line="240" w:lineRule="auto"/>
        <w:rPr>
          <w:rFonts w:ascii="Gellix" w:hAnsi="Gellix"/>
          <w:sz w:val="21"/>
          <w:szCs w:val="21"/>
          <w:lang w:val="en-US"/>
        </w:rPr>
      </w:pPr>
      <w:r w:rsidRPr="00A7339E">
        <w:rPr>
          <w:rFonts w:ascii="Gellix" w:hAnsi="Gellix"/>
          <w:sz w:val="21"/>
          <w:szCs w:val="21"/>
          <w:lang w:val="en-US"/>
        </w:rPr>
        <w:t xml:space="preserve">Whilst </w:t>
      </w:r>
      <w:r w:rsidR="00451412" w:rsidRPr="00A7339E">
        <w:rPr>
          <w:rFonts w:ascii="Gellix" w:hAnsi="Gellix"/>
          <w:sz w:val="21"/>
          <w:szCs w:val="21"/>
          <w:lang w:val="en-US"/>
        </w:rPr>
        <w:t>BCAs are being considered by a number of countries, t</w:t>
      </w:r>
      <w:r w:rsidR="001E42C1" w:rsidRPr="00A7339E">
        <w:rPr>
          <w:rFonts w:ascii="Gellix" w:hAnsi="Gellix"/>
          <w:sz w:val="21"/>
          <w:szCs w:val="21"/>
          <w:lang w:val="en-US"/>
        </w:rPr>
        <w:t>he</w:t>
      </w:r>
      <w:r w:rsidR="001E42C1" w:rsidRPr="00E00C0E">
        <w:rPr>
          <w:rFonts w:ascii="Gellix" w:hAnsi="Gellix"/>
          <w:sz w:val="21"/>
          <w:szCs w:val="21"/>
          <w:lang w:val="en-US"/>
        </w:rPr>
        <w:t xml:space="preserve"> mo</w:t>
      </w:r>
      <w:r w:rsidR="009D072B" w:rsidRPr="00E00C0E">
        <w:rPr>
          <w:rFonts w:ascii="Gellix" w:hAnsi="Gellix"/>
          <w:sz w:val="21"/>
          <w:szCs w:val="21"/>
          <w:lang w:val="en-US"/>
        </w:rPr>
        <w:t xml:space="preserve">st developed proposal </w:t>
      </w:r>
      <w:r w:rsidR="00241C6F" w:rsidRPr="00E00C0E">
        <w:rPr>
          <w:rFonts w:ascii="Gellix" w:hAnsi="Gellix"/>
          <w:sz w:val="21"/>
          <w:szCs w:val="21"/>
          <w:lang w:val="en-US"/>
        </w:rPr>
        <w:t xml:space="preserve">for a </w:t>
      </w:r>
      <w:r w:rsidR="00045A3B" w:rsidRPr="00E00C0E">
        <w:rPr>
          <w:rFonts w:ascii="Gellix" w:hAnsi="Gellix"/>
          <w:sz w:val="21"/>
          <w:szCs w:val="21"/>
          <w:lang w:val="en-US"/>
        </w:rPr>
        <w:t>BCA is the European Union Carbon Border Adjustment Mechanism (CBAM)</w:t>
      </w:r>
      <w:r w:rsidR="00A7783A" w:rsidRPr="00E00C0E">
        <w:rPr>
          <w:rFonts w:ascii="Gellix" w:hAnsi="Gellix"/>
          <w:sz w:val="21"/>
          <w:szCs w:val="21"/>
          <w:lang w:val="en-US"/>
        </w:rPr>
        <w:t xml:space="preserve"> which seeks to reduce the risk of carbon</w:t>
      </w:r>
      <w:r w:rsidR="00451412" w:rsidRPr="00A7339E">
        <w:rPr>
          <w:rFonts w:ascii="Gellix" w:hAnsi="Gellix"/>
          <w:sz w:val="21"/>
          <w:szCs w:val="21"/>
          <w:lang w:val="en-US"/>
        </w:rPr>
        <w:t xml:space="preserve"> </w:t>
      </w:r>
      <w:r w:rsidR="00A7783A" w:rsidRPr="00E00C0E">
        <w:rPr>
          <w:rFonts w:ascii="Gellix" w:hAnsi="Gellix"/>
          <w:sz w:val="21"/>
          <w:szCs w:val="21"/>
          <w:lang w:val="en-US"/>
        </w:rPr>
        <w:t xml:space="preserve">leakage and to level the field for European industries working towards </w:t>
      </w:r>
      <w:proofErr w:type="spellStart"/>
      <w:r w:rsidR="00A7783A" w:rsidRPr="00E00C0E">
        <w:rPr>
          <w:rFonts w:ascii="Gellix" w:hAnsi="Gellix"/>
          <w:sz w:val="21"/>
          <w:szCs w:val="21"/>
          <w:lang w:val="en-US"/>
        </w:rPr>
        <w:t>decarboni</w:t>
      </w:r>
      <w:r w:rsidR="00EC0D96">
        <w:rPr>
          <w:rFonts w:ascii="Gellix" w:hAnsi="Gellix"/>
          <w:sz w:val="21"/>
          <w:szCs w:val="21"/>
          <w:lang w:val="en-US"/>
        </w:rPr>
        <w:t>s</w:t>
      </w:r>
      <w:r w:rsidR="00A7783A" w:rsidRPr="00E00C0E">
        <w:rPr>
          <w:rFonts w:ascii="Gellix" w:hAnsi="Gellix"/>
          <w:sz w:val="21"/>
          <w:szCs w:val="21"/>
          <w:lang w:val="en-US"/>
        </w:rPr>
        <w:t>ation</w:t>
      </w:r>
      <w:proofErr w:type="spellEnd"/>
      <w:r w:rsidR="00A7783A" w:rsidRPr="00E00C0E">
        <w:rPr>
          <w:rFonts w:ascii="Gellix" w:hAnsi="Gellix"/>
          <w:sz w:val="21"/>
          <w:szCs w:val="21"/>
          <w:lang w:val="en-US"/>
        </w:rPr>
        <w:t xml:space="preserve"> of their production processes.</w:t>
      </w:r>
    </w:p>
    <w:p w14:paraId="372F8C80" w14:textId="77777777" w:rsidR="00F1308D" w:rsidRPr="00E00C0E" w:rsidRDefault="00F1308D" w:rsidP="0022441E">
      <w:pPr>
        <w:pStyle w:val="ListParagraph"/>
        <w:spacing w:after="0" w:line="240" w:lineRule="auto"/>
        <w:ind w:left="900"/>
        <w:rPr>
          <w:rFonts w:ascii="Gellix" w:hAnsi="Gellix"/>
          <w:sz w:val="21"/>
          <w:szCs w:val="21"/>
          <w:lang w:val="en-US"/>
        </w:rPr>
      </w:pPr>
    </w:p>
    <w:p w14:paraId="6A2573CE" w14:textId="7837D513" w:rsidR="00134466" w:rsidRPr="00E00C0E" w:rsidRDefault="00F1308D" w:rsidP="00145777">
      <w:pPr>
        <w:pStyle w:val="ListParagraph"/>
        <w:numPr>
          <w:ilvl w:val="0"/>
          <w:numId w:val="58"/>
        </w:numPr>
        <w:spacing w:after="0" w:line="240" w:lineRule="auto"/>
        <w:rPr>
          <w:rFonts w:ascii="Gellix" w:hAnsi="Gellix"/>
          <w:sz w:val="21"/>
          <w:szCs w:val="21"/>
          <w:lang w:val="en-US"/>
        </w:rPr>
      </w:pPr>
      <w:r w:rsidRPr="00E00C0E">
        <w:rPr>
          <w:rFonts w:ascii="Gellix" w:hAnsi="Gellix"/>
          <w:sz w:val="21"/>
          <w:szCs w:val="21"/>
          <w:lang w:val="en-US"/>
        </w:rPr>
        <w:t>In July 2021, as part as part of the "Fit for 55" package</w:t>
      </w:r>
      <w:r w:rsidRPr="00E00C0E">
        <w:rPr>
          <w:rStyle w:val="FootnoteReference"/>
          <w:rFonts w:ascii="Gellix" w:hAnsi="Gellix"/>
          <w:sz w:val="21"/>
          <w:szCs w:val="21"/>
          <w:lang w:val="en-US"/>
        </w:rPr>
        <w:footnoteReference w:id="11"/>
      </w:r>
      <w:r w:rsidRPr="00E00C0E">
        <w:rPr>
          <w:rFonts w:ascii="Gellix" w:hAnsi="Gellix"/>
          <w:sz w:val="21"/>
          <w:szCs w:val="21"/>
          <w:lang w:val="en-US"/>
        </w:rPr>
        <w:t xml:space="preserve">, the Commission adopted its proposal for a regulation establishing a Carbon Border Adjustment Mechanism – a trade measure which seeks to address the risk of carbon leakage by imposing a levy on imports of certain GHG emissions intensive goods from outside the EU. </w:t>
      </w:r>
      <w:r w:rsidR="00134466" w:rsidRPr="00E00C0E">
        <w:rPr>
          <w:rFonts w:ascii="Gellix" w:hAnsi="Gellix"/>
          <w:sz w:val="21"/>
          <w:szCs w:val="21"/>
          <w:lang w:val="en-US"/>
        </w:rPr>
        <w:t xml:space="preserve">The EU’s Carbon Border Adjustment Mechanism (CBAM) is aimed at putting a fair price on the carbon emitted during the production of carbon intensive goods that are entering the EU, and to encourage </w:t>
      </w:r>
      <w:r w:rsidR="007D4787">
        <w:rPr>
          <w:rFonts w:ascii="Gellix" w:hAnsi="Gellix"/>
          <w:sz w:val="21"/>
          <w:szCs w:val="21"/>
          <w:lang w:val="en-US"/>
        </w:rPr>
        <w:t xml:space="preserve">less emissions intensive </w:t>
      </w:r>
      <w:r w:rsidR="00134466" w:rsidRPr="00E00C0E">
        <w:rPr>
          <w:rFonts w:ascii="Gellix" w:hAnsi="Gellix"/>
          <w:sz w:val="21"/>
          <w:szCs w:val="21"/>
          <w:lang w:val="en-US"/>
        </w:rPr>
        <w:t xml:space="preserve">industrial production in non-EU countries. The gradual introduction of the CBAM is aligned with the phase-out of the allocation of free allowances under the EU Emissions Trading System (ETS) to support the </w:t>
      </w:r>
      <w:proofErr w:type="spellStart"/>
      <w:r w:rsidR="00134466" w:rsidRPr="00E00C0E">
        <w:rPr>
          <w:rFonts w:ascii="Gellix" w:hAnsi="Gellix"/>
          <w:sz w:val="21"/>
          <w:szCs w:val="21"/>
          <w:lang w:val="en-US"/>
        </w:rPr>
        <w:t>decarbonisation</w:t>
      </w:r>
      <w:proofErr w:type="spellEnd"/>
      <w:r w:rsidR="00134466" w:rsidRPr="00E00C0E">
        <w:rPr>
          <w:rFonts w:ascii="Gellix" w:hAnsi="Gellix"/>
          <w:sz w:val="21"/>
          <w:szCs w:val="21"/>
          <w:lang w:val="en-US"/>
        </w:rPr>
        <w:t xml:space="preserve"> of EU industry. </w:t>
      </w:r>
    </w:p>
    <w:p w14:paraId="39D88898" w14:textId="77777777" w:rsidR="00134466" w:rsidRPr="00E00C0E" w:rsidRDefault="00134466" w:rsidP="0022441E">
      <w:pPr>
        <w:pStyle w:val="ListParagraph"/>
        <w:spacing w:after="0" w:line="240" w:lineRule="auto"/>
        <w:ind w:left="900"/>
        <w:rPr>
          <w:rFonts w:ascii="Gellix" w:hAnsi="Gellix"/>
          <w:sz w:val="21"/>
          <w:szCs w:val="21"/>
          <w:lang w:val="en-US"/>
        </w:rPr>
      </w:pPr>
    </w:p>
    <w:p w14:paraId="42FCF221" w14:textId="6F9EAFC5" w:rsidR="00134466" w:rsidRPr="00E00C0E" w:rsidRDefault="00134466" w:rsidP="00145777">
      <w:pPr>
        <w:pStyle w:val="ListParagraph"/>
        <w:numPr>
          <w:ilvl w:val="0"/>
          <w:numId w:val="58"/>
        </w:numPr>
        <w:spacing w:after="0" w:line="240" w:lineRule="auto"/>
        <w:rPr>
          <w:rFonts w:ascii="Gellix" w:hAnsi="Gellix"/>
          <w:sz w:val="21"/>
          <w:szCs w:val="21"/>
          <w:lang w:val="en-US"/>
        </w:rPr>
      </w:pPr>
      <w:r w:rsidRPr="00E00C0E">
        <w:rPr>
          <w:rFonts w:ascii="Gellix" w:hAnsi="Gellix"/>
          <w:sz w:val="21"/>
          <w:szCs w:val="21"/>
          <w:lang w:val="en-US"/>
        </w:rPr>
        <w:t>By confirming that a price has been paid for the embedded carbon emissions generated in the production of certain goods imported into the EU, the CBAM will ensure the carbon price of imports is equivalent to the carbon price of domestic productio</w:t>
      </w:r>
      <w:r w:rsidR="003B25F5">
        <w:rPr>
          <w:rFonts w:ascii="Gellix" w:hAnsi="Gellix"/>
          <w:sz w:val="21"/>
          <w:szCs w:val="21"/>
          <w:lang w:val="en-US"/>
        </w:rPr>
        <w:t>n</w:t>
      </w:r>
      <w:r w:rsidRPr="00E00C0E">
        <w:rPr>
          <w:rFonts w:ascii="Gellix" w:hAnsi="Gellix"/>
          <w:sz w:val="21"/>
          <w:szCs w:val="21"/>
          <w:lang w:val="en-US"/>
        </w:rPr>
        <w:t>.</w:t>
      </w:r>
      <w:r w:rsidRPr="00E00C0E">
        <w:rPr>
          <w:rStyle w:val="FootnoteReference"/>
          <w:rFonts w:ascii="Gellix" w:hAnsi="Gellix"/>
          <w:sz w:val="21"/>
          <w:szCs w:val="21"/>
          <w:lang w:val="en-US"/>
        </w:rPr>
        <w:footnoteReference w:id="12"/>
      </w:r>
      <w:r w:rsidRPr="00E00C0E">
        <w:rPr>
          <w:rFonts w:ascii="Gellix" w:hAnsi="Gellix"/>
          <w:sz w:val="21"/>
          <w:szCs w:val="21"/>
          <w:lang w:val="en-US"/>
        </w:rPr>
        <w:t xml:space="preserve"> </w:t>
      </w:r>
    </w:p>
    <w:p w14:paraId="53A2850D" w14:textId="77777777" w:rsidR="009F053D" w:rsidRPr="00E00C0E" w:rsidRDefault="009F053D" w:rsidP="0022441E">
      <w:pPr>
        <w:pStyle w:val="ListParagraph"/>
        <w:spacing w:after="0" w:line="240" w:lineRule="auto"/>
        <w:ind w:left="900"/>
        <w:rPr>
          <w:rFonts w:ascii="Gellix" w:hAnsi="Gellix"/>
          <w:sz w:val="21"/>
          <w:szCs w:val="21"/>
          <w:lang w:val="en-US"/>
        </w:rPr>
      </w:pPr>
    </w:p>
    <w:p w14:paraId="1CD731F2" w14:textId="77777777" w:rsidR="009F053D" w:rsidRPr="00145777" w:rsidRDefault="009F053D" w:rsidP="00145777">
      <w:pPr>
        <w:pStyle w:val="ListParagraph"/>
        <w:numPr>
          <w:ilvl w:val="0"/>
          <w:numId w:val="58"/>
        </w:numPr>
        <w:spacing w:after="0" w:line="240" w:lineRule="auto"/>
        <w:rPr>
          <w:rFonts w:ascii="Gellix" w:hAnsi="Gellix"/>
          <w:sz w:val="21"/>
          <w:szCs w:val="21"/>
          <w:lang w:val="en-US"/>
        </w:rPr>
      </w:pPr>
      <w:r w:rsidRPr="00145777">
        <w:rPr>
          <w:rFonts w:ascii="Gellix" w:hAnsi="Gellix"/>
          <w:sz w:val="21"/>
          <w:szCs w:val="21"/>
          <w:lang w:val="en-US"/>
        </w:rPr>
        <w:t xml:space="preserve">The EU CBAM takes into account the carbon pricing policies that may exist in other countries, applying an adjustment on the import side for countries that already have their own carbon pricing. The objective is that emissions are priced, preferentially in the country of origin and, if not, once they arrive in the EU.  </w:t>
      </w:r>
    </w:p>
    <w:p w14:paraId="2DEC0C59" w14:textId="77777777" w:rsidR="009F053D" w:rsidRPr="00E00C0E" w:rsidRDefault="009F053D" w:rsidP="0022441E">
      <w:pPr>
        <w:pStyle w:val="ListParagraph"/>
        <w:spacing w:after="0" w:line="240" w:lineRule="auto"/>
        <w:ind w:left="900"/>
        <w:rPr>
          <w:rFonts w:ascii="Gellix" w:hAnsi="Gellix"/>
          <w:sz w:val="21"/>
          <w:szCs w:val="21"/>
          <w:lang w:val="en-US"/>
        </w:rPr>
      </w:pPr>
    </w:p>
    <w:p w14:paraId="651416F7" w14:textId="1705A78B" w:rsidR="00FB0582" w:rsidRPr="00E00C0E" w:rsidRDefault="0885FA4B" w:rsidP="00145777">
      <w:pPr>
        <w:pStyle w:val="ListParagraph"/>
        <w:numPr>
          <w:ilvl w:val="0"/>
          <w:numId w:val="58"/>
        </w:numPr>
        <w:spacing w:after="0" w:line="240" w:lineRule="auto"/>
        <w:rPr>
          <w:rFonts w:ascii="Gellix" w:hAnsi="Gellix"/>
          <w:sz w:val="21"/>
          <w:szCs w:val="21"/>
          <w:lang w:val="en-US"/>
        </w:rPr>
      </w:pPr>
      <w:r w:rsidRPr="00E00C0E">
        <w:rPr>
          <w:rFonts w:ascii="Gellix" w:hAnsi="Gellix"/>
          <w:sz w:val="21"/>
          <w:szCs w:val="21"/>
          <w:lang w:val="en-US"/>
        </w:rPr>
        <w:t xml:space="preserve">The CBAM Regulation was finally signed </w:t>
      </w:r>
      <w:r w:rsidR="3A1F5AC2" w:rsidRPr="00E00C0E">
        <w:rPr>
          <w:rFonts w:ascii="Gellix" w:hAnsi="Gellix"/>
          <w:sz w:val="21"/>
          <w:szCs w:val="21"/>
          <w:lang w:val="en-US"/>
        </w:rPr>
        <w:t>o</w:t>
      </w:r>
      <w:r w:rsidR="00FB0582" w:rsidRPr="00E00C0E">
        <w:rPr>
          <w:rFonts w:ascii="Gellix" w:hAnsi="Gellix"/>
          <w:sz w:val="21"/>
          <w:szCs w:val="21"/>
          <w:lang w:val="en-US"/>
        </w:rPr>
        <w:t>n 10 May 2023</w:t>
      </w:r>
      <w:r w:rsidR="3BE2FDAD" w:rsidRPr="00E00C0E">
        <w:rPr>
          <w:rFonts w:ascii="Gellix" w:hAnsi="Gellix"/>
          <w:sz w:val="21"/>
          <w:szCs w:val="21"/>
          <w:lang w:val="en-US"/>
        </w:rPr>
        <w:t xml:space="preserve"> and </w:t>
      </w:r>
      <w:r w:rsidR="00656425">
        <w:rPr>
          <w:rFonts w:ascii="Gellix" w:hAnsi="Gellix"/>
          <w:sz w:val="21"/>
          <w:szCs w:val="21"/>
          <w:lang w:val="en-US"/>
        </w:rPr>
        <w:t>t</w:t>
      </w:r>
      <w:r w:rsidR="00FB0582" w:rsidRPr="00A7339E">
        <w:rPr>
          <w:rFonts w:ascii="Gellix" w:hAnsi="Gellix"/>
          <w:sz w:val="21"/>
          <w:szCs w:val="21"/>
          <w:lang w:val="en-US"/>
        </w:rPr>
        <w:t>he</w:t>
      </w:r>
      <w:r w:rsidR="00FB0582" w:rsidRPr="00E00C0E">
        <w:rPr>
          <w:rFonts w:ascii="Gellix" w:hAnsi="Gellix"/>
          <w:sz w:val="21"/>
          <w:szCs w:val="21"/>
          <w:lang w:val="en-US"/>
        </w:rPr>
        <w:t xml:space="preserve"> CBAM itself will enter into application in its transitional phase on 1 October 2023, with the first reporting period for importers ending 31 January 2024. The set of rules and requirements for the reporting of emissions under CBAM will be further specified in an implementing act to be adopted by the Commission after consulting the CBAM Committee, made up of experts from EU Member States.</w:t>
      </w:r>
    </w:p>
    <w:p w14:paraId="2527D22D" w14:textId="77777777" w:rsidR="00FB0582" w:rsidRPr="00E00C0E" w:rsidRDefault="00FB0582" w:rsidP="0022441E">
      <w:pPr>
        <w:pStyle w:val="ListParagraph"/>
        <w:spacing w:after="0" w:line="240" w:lineRule="auto"/>
        <w:ind w:left="900"/>
        <w:rPr>
          <w:rFonts w:ascii="Gellix" w:hAnsi="Gellix"/>
          <w:sz w:val="21"/>
          <w:szCs w:val="21"/>
          <w:lang w:val="en-US"/>
        </w:rPr>
      </w:pPr>
    </w:p>
    <w:p w14:paraId="5EDE9C53" w14:textId="65F9F9E3" w:rsidR="00A7339E" w:rsidRPr="00145777" w:rsidRDefault="003722F2" w:rsidP="00145777">
      <w:pPr>
        <w:pStyle w:val="ListParagraph"/>
        <w:numPr>
          <w:ilvl w:val="0"/>
          <w:numId w:val="58"/>
        </w:numPr>
        <w:spacing w:after="0" w:line="240" w:lineRule="auto"/>
        <w:rPr>
          <w:rFonts w:ascii="Gellix" w:hAnsi="Gellix"/>
          <w:sz w:val="21"/>
          <w:szCs w:val="21"/>
          <w:lang w:val="en-US"/>
        </w:rPr>
      </w:pPr>
      <w:r w:rsidRPr="00145777">
        <w:rPr>
          <w:rFonts w:ascii="Gellix" w:hAnsi="Gellix"/>
          <w:sz w:val="21"/>
          <w:szCs w:val="21"/>
          <w:lang w:val="en-US"/>
        </w:rPr>
        <w:t>As noted above, other countries are also considering the use of BCAs.</w:t>
      </w:r>
      <w:r w:rsidR="002C22DE" w:rsidRPr="00145777">
        <w:rPr>
          <w:rFonts w:ascii="Gellix" w:hAnsi="Gellix"/>
          <w:sz w:val="21"/>
          <w:szCs w:val="21"/>
          <w:lang w:val="en-US"/>
        </w:rPr>
        <w:t xml:space="preserve"> </w:t>
      </w:r>
      <w:r w:rsidR="00250FA8" w:rsidRPr="00145777">
        <w:rPr>
          <w:rFonts w:ascii="Gellix" w:hAnsi="Gellix"/>
          <w:sz w:val="21"/>
          <w:szCs w:val="21"/>
          <w:lang w:val="en-US"/>
        </w:rPr>
        <w:t>In June 2023, t</w:t>
      </w:r>
      <w:r w:rsidR="00A7339E" w:rsidRPr="00145777">
        <w:rPr>
          <w:rFonts w:ascii="Gellix" w:hAnsi="Gellix"/>
          <w:sz w:val="21"/>
          <w:szCs w:val="21"/>
          <w:lang w:val="en-US"/>
        </w:rPr>
        <w:t xml:space="preserve">he UK </w:t>
      </w:r>
      <w:r w:rsidR="00250FA8" w:rsidRPr="00145777">
        <w:rPr>
          <w:rFonts w:ascii="Gellix" w:hAnsi="Gellix"/>
          <w:sz w:val="21"/>
          <w:szCs w:val="21"/>
          <w:lang w:val="en-US"/>
        </w:rPr>
        <w:t xml:space="preserve">completed </w:t>
      </w:r>
      <w:r w:rsidR="00A7339E" w:rsidRPr="00145777">
        <w:rPr>
          <w:rFonts w:ascii="Gellix" w:hAnsi="Gellix"/>
          <w:sz w:val="21"/>
          <w:szCs w:val="21"/>
          <w:lang w:val="en-US"/>
        </w:rPr>
        <w:t>an open consultation</w:t>
      </w:r>
      <w:r w:rsidR="00A7339E" w:rsidRPr="00A7339E">
        <w:rPr>
          <w:rStyle w:val="FootnoteReference"/>
          <w:rFonts w:ascii="Gellix" w:hAnsi="Gellix"/>
          <w:sz w:val="21"/>
          <w:szCs w:val="21"/>
          <w:lang w:val="en-US"/>
        </w:rPr>
        <w:footnoteReference w:id="13"/>
      </w:r>
      <w:r w:rsidR="00A7339E" w:rsidRPr="00145777">
        <w:rPr>
          <w:rFonts w:ascii="Gellix" w:hAnsi="Gellix"/>
          <w:sz w:val="21"/>
          <w:szCs w:val="21"/>
          <w:lang w:val="en-US"/>
        </w:rPr>
        <w:t xml:space="preserve"> specifically on addressing carbon leakage risk to support </w:t>
      </w:r>
      <w:proofErr w:type="spellStart"/>
      <w:r w:rsidR="00A7339E" w:rsidRPr="00145777">
        <w:rPr>
          <w:rFonts w:ascii="Gellix" w:hAnsi="Gellix"/>
          <w:sz w:val="21"/>
          <w:szCs w:val="21"/>
          <w:lang w:val="en-US"/>
        </w:rPr>
        <w:t>decarboni</w:t>
      </w:r>
      <w:r w:rsidR="002C22DE" w:rsidRPr="00145777">
        <w:rPr>
          <w:rFonts w:ascii="Gellix" w:hAnsi="Gellix"/>
          <w:sz w:val="21"/>
          <w:szCs w:val="21"/>
          <w:lang w:val="en-US"/>
        </w:rPr>
        <w:t>s</w:t>
      </w:r>
      <w:r w:rsidR="00A7339E" w:rsidRPr="00145777">
        <w:rPr>
          <w:rFonts w:ascii="Gellix" w:hAnsi="Gellix"/>
          <w:sz w:val="21"/>
          <w:szCs w:val="21"/>
          <w:lang w:val="en-US"/>
        </w:rPr>
        <w:t>ation</w:t>
      </w:r>
      <w:proofErr w:type="spellEnd"/>
      <w:r w:rsidR="00A7339E" w:rsidRPr="00145777">
        <w:rPr>
          <w:rFonts w:ascii="Gellix" w:hAnsi="Gellix"/>
          <w:sz w:val="21"/>
          <w:szCs w:val="21"/>
          <w:lang w:val="en-US"/>
        </w:rPr>
        <w:t xml:space="preserve">, </w:t>
      </w:r>
      <w:r w:rsidR="00E06294" w:rsidRPr="00145777">
        <w:rPr>
          <w:rFonts w:ascii="Gellix" w:hAnsi="Gellix"/>
          <w:sz w:val="21"/>
          <w:szCs w:val="21"/>
          <w:lang w:val="en-US"/>
        </w:rPr>
        <w:t xml:space="preserve">including </w:t>
      </w:r>
      <w:r w:rsidR="00A7339E" w:rsidRPr="00145777">
        <w:rPr>
          <w:rFonts w:ascii="Gellix" w:hAnsi="Gellix"/>
          <w:sz w:val="21"/>
          <w:szCs w:val="21"/>
          <w:lang w:val="en-US"/>
        </w:rPr>
        <w:t xml:space="preserve">other mitigating policies, such as carbon clubs, mandatory product standards and demand side policies. </w:t>
      </w:r>
    </w:p>
    <w:p w14:paraId="10F0257B" w14:textId="77777777" w:rsidR="00321D15" w:rsidRDefault="00321D15" w:rsidP="00250FA8">
      <w:pPr>
        <w:spacing w:after="0" w:line="240" w:lineRule="auto"/>
        <w:ind w:left="900"/>
        <w:rPr>
          <w:rFonts w:ascii="Gellix" w:hAnsi="Gellix"/>
          <w:sz w:val="21"/>
          <w:szCs w:val="21"/>
          <w:lang w:val="en-US"/>
        </w:rPr>
      </w:pPr>
    </w:p>
    <w:p w14:paraId="4671E765" w14:textId="7A0B055E" w:rsidR="00321D15" w:rsidRPr="00145777" w:rsidRDefault="00321D15" w:rsidP="00145777">
      <w:pPr>
        <w:pStyle w:val="ListParagraph"/>
        <w:numPr>
          <w:ilvl w:val="0"/>
          <w:numId w:val="58"/>
        </w:numPr>
        <w:spacing w:after="0" w:line="240" w:lineRule="auto"/>
        <w:rPr>
          <w:rFonts w:ascii="Gellix" w:hAnsi="Gellix"/>
          <w:sz w:val="21"/>
          <w:szCs w:val="21"/>
          <w:lang w:val="en-US"/>
        </w:rPr>
      </w:pPr>
      <w:r w:rsidRPr="00145777">
        <w:rPr>
          <w:rFonts w:ascii="Gellix" w:hAnsi="Gellix"/>
          <w:sz w:val="21"/>
          <w:szCs w:val="21"/>
          <w:lang w:val="en-US"/>
        </w:rPr>
        <w:t>The Government of Canada initiated public consultations</w:t>
      </w:r>
      <w:r w:rsidR="004A5A30">
        <w:rPr>
          <w:rStyle w:val="FootnoteReference"/>
          <w:rFonts w:ascii="Gellix" w:hAnsi="Gellix"/>
          <w:sz w:val="21"/>
          <w:szCs w:val="21"/>
          <w:lang w:val="en-US"/>
        </w:rPr>
        <w:footnoteReference w:id="14"/>
      </w:r>
      <w:r w:rsidRPr="00145777">
        <w:rPr>
          <w:rFonts w:ascii="Gellix" w:hAnsi="Gellix"/>
          <w:sz w:val="21"/>
          <w:szCs w:val="21"/>
          <w:lang w:val="en-US"/>
        </w:rPr>
        <w:t xml:space="preserve"> in the fall of 2021 exploring the use of BCAs for a variety of fossil fuel and emissions-intensive trade-exposed (EITE) sectors, which account for more than 70% of Canada’s export. Input received through </w:t>
      </w:r>
      <w:r w:rsidRPr="00145777">
        <w:rPr>
          <w:rFonts w:ascii="Gellix" w:hAnsi="Gellix"/>
          <w:sz w:val="21"/>
          <w:szCs w:val="21"/>
          <w:lang w:val="en-US"/>
        </w:rPr>
        <w:lastRenderedPageBreak/>
        <w:t>this consultation will assist the government in the next steps in the consideration of border carbon adjustments. Th</w:t>
      </w:r>
      <w:r w:rsidR="00665B7D" w:rsidRPr="00145777">
        <w:rPr>
          <w:rFonts w:ascii="Gellix" w:hAnsi="Gellix"/>
          <w:sz w:val="21"/>
          <w:szCs w:val="21"/>
          <w:lang w:val="en-US"/>
        </w:rPr>
        <w:t>e</w:t>
      </w:r>
      <w:r w:rsidRPr="00145777">
        <w:rPr>
          <w:rFonts w:ascii="Gellix" w:hAnsi="Gellix"/>
          <w:sz w:val="21"/>
          <w:szCs w:val="21"/>
          <w:lang w:val="en-US"/>
        </w:rPr>
        <w:t xml:space="preserve"> formal consultation has </w:t>
      </w:r>
      <w:r w:rsidR="004A5A30" w:rsidRPr="00145777">
        <w:rPr>
          <w:rFonts w:ascii="Gellix" w:hAnsi="Gellix"/>
          <w:sz w:val="21"/>
          <w:szCs w:val="21"/>
          <w:lang w:val="en-US"/>
        </w:rPr>
        <w:t>concluded</w:t>
      </w:r>
      <w:r w:rsidR="00C50A01" w:rsidRPr="00145777">
        <w:rPr>
          <w:rFonts w:ascii="Gellix" w:hAnsi="Gellix"/>
          <w:sz w:val="21"/>
          <w:szCs w:val="21"/>
          <w:lang w:val="en-US"/>
        </w:rPr>
        <w:t xml:space="preserve">, </w:t>
      </w:r>
      <w:r w:rsidR="00665B7D" w:rsidRPr="00145777">
        <w:rPr>
          <w:rFonts w:ascii="Gellix" w:hAnsi="Gellix"/>
          <w:sz w:val="21"/>
          <w:szCs w:val="21"/>
          <w:lang w:val="en-US"/>
        </w:rPr>
        <w:t xml:space="preserve">but </w:t>
      </w:r>
      <w:r w:rsidR="00C50A01" w:rsidRPr="00145777">
        <w:rPr>
          <w:rFonts w:ascii="Gellix" w:hAnsi="Gellix"/>
          <w:sz w:val="21"/>
          <w:szCs w:val="21"/>
          <w:lang w:val="en-US"/>
        </w:rPr>
        <w:t xml:space="preserve">a proposed regime has not as yet been proposed. </w:t>
      </w:r>
    </w:p>
    <w:p w14:paraId="1938402E" w14:textId="77777777" w:rsidR="00A800F4" w:rsidRDefault="00A800F4" w:rsidP="00250FA8">
      <w:pPr>
        <w:spacing w:after="0" w:line="240" w:lineRule="auto"/>
        <w:ind w:left="900"/>
        <w:rPr>
          <w:rFonts w:ascii="Gellix" w:hAnsi="Gellix"/>
          <w:sz w:val="21"/>
          <w:szCs w:val="21"/>
          <w:lang w:val="en-US"/>
        </w:rPr>
      </w:pPr>
    </w:p>
    <w:p w14:paraId="644D78CC" w14:textId="1D86C40E" w:rsidR="00A800F4" w:rsidRPr="00145777" w:rsidRDefault="00A800F4" w:rsidP="00145777">
      <w:pPr>
        <w:pStyle w:val="ListParagraph"/>
        <w:numPr>
          <w:ilvl w:val="0"/>
          <w:numId w:val="58"/>
        </w:numPr>
        <w:spacing w:after="0" w:line="240" w:lineRule="auto"/>
        <w:rPr>
          <w:rFonts w:ascii="Gellix" w:hAnsi="Gellix"/>
          <w:sz w:val="21"/>
          <w:szCs w:val="21"/>
          <w:lang w:val="en-US"/>
        </w:rPr>
      </w:pPr>
      <w:r w:rsidRPr="00145777">
        <w:rPr>
          <w:rFonts w:ascii="Gellix" w:hAnsi="Gellix"/>
          <w:sz w:val="21"/>
          <w:szCs w:val="21"/>
          <w:lang w:val="en-US"/>
        </w:rPr>
        <w:t>U.S. Senator Sheldon Whitehouse (D-RI) introduced a bill</w:t>
      </w:r>
      <w:r w:rsidR="00E86C64">
        <w:rPr>
          <w:rStyle w:val="FootnoteReference"/>
          <w:rFonts w:ascii="Gellix" w:hAnsi="Gellix"/>
          <w:sz w:val="21"/>
          <w:szCs w:val="21"/>
          <w:lang w:val="en-US"/>
        </w:rPr>
        <w:footnoteReference w:id="15"/>
      </w:r>
      <w:r w:rsidRPr="00145777">
        <w:rPr>
          <w:rFonts w:ascii="Gellix" w:hAnsi="Gellix"/>
          <w:sz w:val="21"/>
          <w:szCs w:val="21"/>
          <w:lang w:val="en-US"/>
        </w:rPr>
        <w:t xml:space="preserve"> in early June 2022 called the "Clean Competition Act</w:t>
      </w:r>
      <w:r w:rsidR="00671C7E" w:rsidRPr="00145777">
        <w:rPr>
          <w:rFonts w:ascii="Gellix" w:hAnsi="Gellix"/>
          <w:sz w:val="21"/>
          <w:szCs w:val="21"/>
          <w:lang w:val="en-US"/>
        </w:rPr>
        <w:t>” which</w:t>
      </w:r>
      <w:r w:rsidRPr="00145777">
        <w:rPr>
          <w:rFonts w:ascii="Gellix" w:hAnsi="Gellix"/>
          <w:sz w:val="21"/>
          <w:szCs w:val="21"/>
          <w:lang w:val="en-US"/>
        </w:rPr>
        <w:t xml:space="preserve"> proposes a carbon border adjustment in the U.S. to incentivize foreign producer </w:t>
      </w:r>
      <w:proofErr w:type="spellStart"/>
      <w:r w:rsidRPr="00145777">
        <w:rPr>
          <w:rFonts w:ascii="Gellix" w:hAnsi="Gellix"/>
          <w:sz w:val="21"/>
          <w:szCs w:val="21"/>
          <w:lang w:val="en-US"/>
        </w:rPr>
        <w:t>decarboni</w:t>
      </w:r>
      <w:r w:rsidR="00AC2DF1" w:rsidRPr="00145777">
        <w:rPr>
          <w:rFonts w:ascii="Gellix" w:hAnsi="Gellix"/>
          <w:sz w:val="21"/>
          <w:szCs w:val="21"/>
          <w:lang w:val="en-US"/>
        </w:rPr>
        <w:t>s</w:t>
      </w:r>
      <w:r w:rsidRPr="00145777">
        <w:rPr>
          <w:rFonts w:ascii="Gellix" w:hAnsi="Gellix"/>
          <w:sz w:val="21"/>
          <w:szCs w:val="21"/>
          <w:lang w:val="en-US"/>
        </w:rPr>
        <w:t>ation</w:t>
      </w:r>
      <w:proofErr w:type="spellEnd"/>
      <w:r w:rsidRPr="00145777">
        <w:rPr>
          <w:rFonts w:ascii="Gellix" w:hAnsi="Gellix"/>
          <w:sz w:val="21"/>
          <w:szCs w:val="21"/>
          <w:lang w:val="en-US"/>
        </w:rPr>
        <w:t xml:space="preserve">. The plan was to establish a $55 per ton price on carbon, with an increase </w:t>
      </w:r>
      <w:r w:rsidR="00671C7E" w:rsidRPr="00145777">
        <w:rPr>
          <w:rFonts w:ascii="Gellix" w:hAnsi="Gellix"/>
          <w:sz w:val="21"/>
          <w:szCs w:val="21"/>
          <w:lang w:val="en-US"/>
        </w:rPr>
        <w:t>of</w:t>
      </w:r>
      <w:r w:rsidRPr="00145777">
        <w:rPr>
          <w:rFonts w:ascii="Gellix" w:hAnsi="Gellix"/>
          <w:sz w:val="21"/>
          <w:szCs w:val="21"/>
          <w:lang w:val="en-US"/>
        </w:rPr>
        <w:t xml:space="preserve"> 5 percent above inflation each year. </w:t>
      </w:r>
      <w:r w:rsidR="00656425" w:rsidRPr="00145777">
        <w:rPr>
          <w:rFonts w:ascii="Gellix" w:hAnsi="Gellix"/>
          <w:sz w:val="21"/>
          <w:szCs w:val="21"/>
          <w:lang w:val="en-US"/>
        </w:rPr>
        <w:t xml:space="preserve">The bill is </w:t>
      </w:r>
      <w:r w:rsidR="00671C7E" w:rsidRPr="00145777">
        <w:rPr>
          <w:rFonts w:ascii="Gellix" w:hAnsi="Gellix"/>
          <w:sz w:val="21"/>
          <w:szCs w:val="21"/>
          <w:lang w:val="en-US"/>
        </w:rPr>
        <w:t>active but</w:t>
      </w:r>
      <w:r w:rsidR="00656425" w:rsidRPr="00145777">
        <w:rPr>
          <w:rFonts w:ascii="Gellix" w:hAnsi="Gellix"/>
          <w:sz w:val="21"/>
          <w:szCs w:val="21"/>
          <w:lang w:val="en-US"/>
        </w:rPr>
        <w:t xml:space="preserve"> is </w:t>
      </w:r>
      <w:r w:rsidRPr="00145777">
        <w:rPr>
          <w:rFonts w:ascii="Gellix" w:hAnsi="Gellix"/>
          <w:sz w:val="21"/>
          <w:szCs w:val="21"/>
          <w:lang w:val="en-US"/>
        </w:rPr>
        <w:t>not expected to pass.</w:t>
      </w:r>
    </w:p>
    <w:p w14:paraId="47AF6490" w14:textId="77777777" w:rsidR="00E55792" w:rsidRPr="00E00C0E" w:rsidRDefault="00E55792" w:rsidP="0022441E">
      <w:pPr>
        <w:pStyle w:val="ListParagraph"/>
        <w:spacing w:after="0" w:line="240" w:lineRule="auto"/>
        <w:ind w:left="900"/>
        <w:rPr>
          <w:rFonts w:ascii="Gellix" w:hAnsi="Gellix"/>
          <w:b/>
          <w:sz w:val="21"/>
          <w:szCs w:val="21"/>
          <w:lang w:val="en-US"/>
        </w:rPr>
      </w:pPr>
    </w:p>
    <w:p w14:paraId="6D47892C" w14:textId="77777777" w:rsidR="008D7AA6" w:rsidRPr="00E00C0E" w:rsidRDefault="008D7AA6" w:rsidP="008C5600">
      <w:pPr>
        <w:pStyle w:val="ListParagraph"/>
        <w:numPr>
          <w:ilvl w:val="2"/>
          <w:numId w:val="43"/>
        </w:numPr>
        <w:spacing w:after="0" w:line="240" w:lineRule="auto"/>
        <w:ind w:left="900"/>
        <w:rPr>
          <w:rFonts w:ascii="Gellix" w:hAnsi="Gellix"/>
          <w:b/>
          <w:sz w:val="21"/>
          <w:szCs w:val="21"/>
          <w:u w:val="single"/>
          <w:lang w:val="en-US"/>
        </w:rPr>
      </w:pPr>
      <w:r w:rsidRPr="00E00C0E">
        <w:rPr>
          <w:rFonts w:ascii="Gellix" w:hAnsi="Gellix"/>
          <w:sz w:val="21"/>
          <w:szCs w:val="21"/>
          <w:u w:val="single"/>
        </w:rPr>
        <w:t xml:space="preserve">Free allowances under an ETS </w:t>
      </w:r>
    </w:p>
    <w:p w14:paraId="406E3188" w14:textId="77777777" w:rsidR="00492D80" w:rsidRDefault="00024B91" w:rsidP="00145777">
      <w:pPr>
        <w:pStyle w:val="ListParagraph"/>
        <w:numPr>
          <w:ilvl w:val="0"/>
          <w:numId w:val="59"/>
        </w:numPr>
        <w:spacing w:after="0" w:line="240" w:lineRule="auto"/>
        <w:ind w:left="720"/>
        <w:rPr>
          <w:rFonts w:ascii="Gellix" w:hAnsi="Gellix"/>
          <w:sz w:val="21"/>
          <w:szCs w:val="21"/>
          <w:lang w:val="en-US"/>
        </w:rPr>
      </w:pPr>
      <w:r w:rsidRPr="00E00C0E">
        <w:rPr>
          <w:rFonts w:ascii="Gellix" w:hAnsi="Gellix"/>
          <w:sz w:val="21"/>
          <w:szCs w:val="21"/>
          <w:lang w:val="en-US"/>
        </w:rPr>
        <w:t>Under an ETS</w:t>
      </w:r>
      <w:r w:rsidR="00D312CE" w:rsidRPr="00E00C0E">
        <w:rPr>
          <w:rFonts w:ascii="Gellix" w:hAnsi="Gellix"/>
          <w:sz w:val="21"/>
          <w:szCs w:val="21"/>
          <w:lang w:val="en-US"/>
        </w:rPr>
        <w:t>,</w:t>
      </w:r>
      <w:r w:rsidRPr="00E00C0E">
        <w:rPr>
          <w:rFonts w:ascii="Gellix" w:hAnsi="Gellix"/>
          <w:sz w:val="21"/>
          <w:szCs w:val="21"/>
          <w:lang w:val="en-US"/>
        </w:rPr>
        <w:t xml:space="preserve"> the government sets the limit of emissions to be produced by covered industries – which are typically heavy </w:t>
      </w:r>
      <w:r w:rsidR="00D312CE" w:rsidRPr="00E00C0E">
        <w:rPr>
          <w:rFonts w:ascii="Gellix" w:hAnsi="Gellix"/>
          <w:sz w:val="21"/>
          <w:szCs w:val="21"/>
          <w:lang w:val="en-US"/>
        </w:rPr>
        <w:t xml:space="preserve">emitting </w:t>
      </w:r>
      <w:r w:rsidRPr="00E00C0E">
        <w:rPr>
          <w:rFonts w:ascii="Gellix" w:hAnsi="Gellix"/>
          <w:sz w:val="21"/>
          <w:szCs w:val="21"/>
          <w:lang w:val="en-US"/>
        </w:rPr>
        <w:t xml:space="preserve">industries </w:t>
      </w:r>
      <w:r w:rsidR="00D312CE" w:rsidRPr="00E00C0E">
        <w:rPr>
          <w:rFonts w:ascii="Gellix" w:hAnsi="Gellix"/>
          <w:sz w:val="21"/>
          <w:szCs w:val="21"/>
          <w:lang w:val="en-US"/>
        </w:rPr>
        <w:t>such as</w:t>
      </w:r>
      <w:r w:rsidRPr="00E00C0E">
        <w:rPr>
          <w:rFonts w:ascii="Gellix" w:hAnsi="Gellix"/>
          <w:sz w:val="21"/>
          <w:szCs w:val="21"/>
          <w:lang w:val="en-US"/>
        </w:rPr>
        <w:t xml:space="preserve"> iron and steel, </w:t>
      </w:r>
      <w:proofErr w:type="spellStart"/>
      <w:r w:rsidRPr="00E00C0E">
        <w:rPr>
          <w:rFonts w:ascii="Gellix" w:hAnsi="Gellix"/>
          <w:sz w:val="21"/>
          <w:szCs w:val="21"/>
          <w:lang w:val="en-US"/>
        </w:rPr>
        <w:t>aluminium</w:t>
      </w:r>
      <w:proofErr w:type="spellEnd"/>
      <w:r w:rsidRPr="00E00C0E">
        <w:rPr>
          <w:rFonts w:ascii="Gellix" w:hAnsi="Gellix"/>
          <w:sz w:val="21"/>
          <w:szCs w:val="21"/>
          <w:lang w:val="en-US"/>
        </w:rPr>
        <w:t xml:space="preserve">, cement, glass, and power plants. Emission allowances (emission permits) are then auctioned or distributed for free to </w:t>
      </w:r>
      <w:r w:rsidR="007A214A" w:rsidRPr="007A214A">
        <w:rPr>
          <w:rFonts w:ascii="Gellix" w:hAnsi="Gellix"/>
          <w:sz w:val="21"/>
          <w:szCs w:val="21"/>
          <w:lang w:val="en-US"/>
        </w:rPr>
        <w:t xml:space="preserve">most energy-intensive </w:t>
      </w:r>
      <w:r w:rsidR="007A214A">
        <w:rPr>
          <w:rFonts w:ascii="Gellix" w:hAnsi="Gellix"/>
          <w:sz w:val="21"/>
          <w:szCs w:val="21"/>
          <w:lang w:val="en-US"/>
        </w:rPr>
        <w:t xml:space="preserve">industries </w:t>
      </w:r>
      <w:r w:rsidR="00045393" w:rsidRPr="00045393">
        <w:rPr>
          <w:rFonts w:ascii="Gellix" w:hAnsi="Gellix"/>
          <w:sz w:val="21"/>
          <w:szCs w:val="21"/>
          <w:lang w:val="en-US"/>
        </w:rPr>
        <w:t>considered at risk of carbon leakage</w:t>
      </w:r>
      <w:r w:rsidR="00045393">
        <w:rPr>
          <w:rFonts w:ascii="Gellix" w:hAnsi="Gellix"/>
          <w:sz w:val="21"/>
          <w:szCs w:val="21"/>
          <w:lang w:val="en-US"/>
        </w:rPr>
        <w:t xml:space="preserve">, </w:t>
      </w:r>
      <w:r w:rsidR="002A7C0F">
        <w:rPr>
          <w:rFonts w:ascii="Gellix" w:hAnsi="Gellix"/>
          <w:sz w:val="21"/>
          <w:szCs w:val="21"/>
          <w:lang w:val="en-US"/>
        </w:rPr>
        <w:t xml:space="preserve">in order </w:t>
      </w:r>
      <w:r w:rsidR="00251EF6" w:rsidRPr="00A80CD6">
        <w:rPr>
          <w:rFonts w:ascii="Gellix" w:hAnsi="Gellix"/>
          <w:sz w:val="21"/>
          <w:szCs w:val="21"/>
          <w:lang w:val="en-US"/>
        </w:rPr>
        <w:t>to safeguard the competitiveness of the</w:t>
      </w:r>
      <w:r w:rsidR="002A7C0F">
        <w:rPr>
          <w:rFonts w:ascii="Gellix" w:hAnsi="Gellix"/>
          <w:sz w:val="21"/>
          <w:szCs w:val="21"/>
          <w:lang w:val="en-US"/>
        </w:rPr>
        <w:t>se</w:t>
      </w:r>
      <w:r w:rsidR="00251EF6" w:rsidRPr="00A80CD6">
        <w:rPr>
          <w:rFonts w:ascii="Gellix" w:hAnsi="Gellix"/>
          <w:sz w:val="21"/>
          <w:szCs w:val="21"/>
          <w:lang w:val="en-US"/>
        </w:rPr>
        <w:t xml:space="preserve"> regulated industries</w:t>
      </w:r>
      <w:r w:rsidR="00990E02">
        <w:rPr>
          <w:rFonts w:ascii="Gellix" w:hAnsi="Gellix"/>
          <w:sz w:val="21"/>
          <w:szCs w:val="21"/>
          <w:lang w:val="en-US"/>
        </w:rPr>
        <w:t xml:space="preserve"> </w:t>
      </w:r>
      <w:r w:rsidR="00990E02" w:rsidRPr="00990E02">
        <w:rPr>
          <w:rFonts w:ascii="Gellix" w:hAnsi="Gellix"/>
          <w:sz w:val="21"/>
          <w:szCs w:val="21"/>
          <w:lang w:val="en-US"/>
        </w:rPr>
        <w:t>where the carbon price could trigger the relocation of production</w:t>
      </w:r>
      <w:r w:rsidR="002A7C0F">
        <w:rPr>
          <w:rFonts w:ascii="Gellix" w:hAnsi="Gellix"/>
          <w:sz w:val="21"/>
          <w:szCs w:val="21"/>
          <w:lang w:val="en-US"/>
        </w:rPr>
        <w:t xml:space="preserve">. </w:t>
      </w:r>
      <w:r w:rsidRPr="002A7C0F">
        <w:rPr>
          <w:rFonts w:ascii="Gellix" w:hAnsi="Gellix"/>
          <w:sz w:val="21"/>
          <w:szCs w:val="21"/>
          <w:lang w:val="en-US"/>
        </w:rPr>
        <w:t>These permits or allowances can be traded between companies and other market participants. While the government therefore sets the maximum amount of CO2 which can be produced, the market sets the price.</w:t>
      </w:r>
      <w:r w:rsidR="00A80CD6" w:rsidRPr="002A7C0F">
        <w:rPr>
          <w:rFonts w:ascii="Gellix" w:hAnsi="Gellix"/>
          <w:sz w:val="21"/>
          <w:szCs w:val="21"/>
          <w:lang w:val="en-US"/>
        </w:rPr>
        <w:t xml:space="preserve"> </w:t>
      </w:r>
    </w:p>
    <w:p w14:paraId="637CC2F4" w14:textId="77777777" w:rsidR="00492D80" w:rsidRDefault="00492D80" w:rsidP="00145777">
      <w:pPr>
        <w:pStyle w:val="ListParagraph"/>
        <w:spacing w:after="0" w:line="240" w:lineRule="auto"/>
        <w:ind w:left="0"/>
        <w:rPr>
          <w:rFonts w:ascii="Gellix" w:hAnsi="Gellix"/>
          <w:sz w:val="21"/>
          <w:szCs w:val="21"/>
          <w:lang w:val="en-US"/>
        </w:rPr>
      </w:pPr>
    </w:p>
    <w:p w14:paraId="56C231C3" w14:textId="4A20F6E0" w:rsidR="00024B91" w:rsidRPr="00CF18F5" w:rsidRDefault="00A80CD6" w:rsidP="00145777">
      <w:pPr>
        <w:pStyle w:val="ListParagraph"/>
        <w:numPr>
          <w:ilvl w:val="0"/>
          <w:numId w:val="59"/>
        </w:numPr>
        <w:spacing w:after="0" w:line="240" w:lineRule="auto"/>
        <w:ind w:left="720"/>
        <w:rPr>
          <w:rFonts w:ascii="Gellix" w:hAnsi="Gellix"/>
          <w:sz w:val="21"/>
          <w:szCs w:val="21"/>
          <w:lang w:val="en-US"/>
        </w:rPr>
      </w:pPr>
      <w:r w:rsidRPr="002A7C0F">
        <w:rPr>
          <w:rFonts w:ascii="Gellix" w:hAnsi="Gellix"/>
          <w:sz w:val="21"/>
          <w:szCs w:val="21"/>
          <w:lang w:val="en-US"/>
        </w:rPr>
        <w:t>In the EU ETS, free allowance allocation is used</w:t>
      </w:r>
      <w:r w:rsidR="00492D80">
        <w:rPr>
          <w:rFonts w:ascii="Gellix" w:hAnsi="Gellix"/>
          <w:sz w:val="21"/>
          <w:szCs w:val="21"/>
          <w:lang w:val="en-US"/>
        </w:rPr>
        <w:t xml:space="preserve">. </w:t>
      </w:r>
      <w:r w:rsidR="001518BB" w:rsidRPr="001518BB">
        <w:rPr>
          <w:rFonts w:ascii="Gellix" w:hAnsi="Gellix"/>
          <w:sz w:val="21"/>
          <w:szCs w:val="21"/>
          <w:lang w:val="en-US"/>
        </w:rPr>
        <w:t xml:space="preserve">Under the revised EU ETS Directive, the system of free allocation will be prolonged for </w:t>
      </w:r>
      <w:r w:rsidR="00AB39D2" w:rsidRPr="00AB39D2">
        <w:rPr>
          <w:rFonts w:ascii="Gellix" w:hAnsi="Gellix"/>
          <w:sz w:val="21"/>
          <w:szCs w:val="21"/>
          <w:lang w:val="en-US"/>
        </w:rPr>
        <w:t>phase 4</w:t>
      </w:r>
      <w:r w:rsidR="00AB39D2">
        <w:rPr>
          <w:rFonts w:ascii="Gellix" w:hAnsi="Gellix"/>
          <w:sz w:val="21"/>
          <w:szCs w:val="21"/>
          <w:lang w:val="en-US"/>
        </w:rPr>
        <w:t xml:space="preserve"> of the EU ETS</w:t>
      </w:r>
      <w:r w:rsidR="00AB39D2" w:rsidRPr="00AB39D2">
        <w:rPr>
          <w:rFonts w:ascii="Gellix" w:hAnsi="Gellix"/>
          <w:sz w:val="21"/>
          <w:szCs w:val="21"/>
          <w:lang w:val="en-US"/>
        </w:rPr>
        <w:t xml:space="preserve"> (2021-2030)</w:t>
      </w:r>
      <w:r w:rsidR="00CF18F5">
        <w:rPr>
          <w:rFonts w:ascii="Gellix" w:hAnsi="Gellix"/>
          <w:sz w:val="21"/>
          <w:szCs w:val="21"/>
          <w:lang w:val="en-US"/>
        </w:rPr>
        <w:t xml:space="preserve">. </w:t>
      </w:r>
      <w:r w:rsidR="00CF18F5" w:rsidRPr="00CF18F5">
        <w:rPr>
          <w:rFonts w:ascii="Gellix" w:hAnsi="Gellix"/>
          <w:sz w:val="21"/>
          <w:szCs w:val="21"/>
          <w:lang w:val="en-US"/>
        </w:rPr>
        <w:t>Free allocation will focus on sectors at the highest risk of relocating their production outside of the EU</w:t>
      </w:r>
      <w:r w:rsidR="00061BB5">
        <w:rPr>
          <w:rStyle w:val="FootnoteReference"/>
          <w:rFonts w:ascii="Gellix" w:hAnsi="Gellix"/>
          <w:sz w:val="21"/>
          <w:szCs w:val="21"/>
          <w:lang w:val="en-US"/>
        </w:rPr>
        <w:footnoteReference w:id="16"/>
      </w:r>
      <w:r w:rsidR="00CF18F5" w:rsidRPr="00CF18F5">
        <w:rPr>
          <w:rFonts w:ascii="Gellix" w:hAnsi="Gellix"/>
          <w:sz w:val="21"/>
          <w:szCs w:val="21"/>
          <w:lang w:val="en-US"/>
        </w:rPr>
        <w:t>.</w:t>
      </w:r>
      <w:r w:rsidR="00CF18F5">
        <w:rPr>
          <w:rFonts w:ascii="Gellix" w:hAnsi="Gellix"/>
          <w:sz w:val="21"/>
          <w:szCs w:val="21"/>
          <w:lang w:val="en-US"/>
        </w:rPr>
        <w:t xml:space="preserve"> </w:t>
      </w:r>
      <w:r w:rsidR="00CF18F5" w:rsidRPr="00CF18F5">
        <w:rPr>
          <w:rFonts w:ascii="Gellix" w:hAnsi="Gellix"/>
          <w:sz w:val="21"/>
          <w:szCs w:val="21"/>
          <w:lang w:val="en-US"/>
        </w:rPr>
        <w:t>For less exposed sectors, free allocation is foreseen to be phased out after 2026 from a maximum of 30% to 0 at the end of phase 4 (2030).</w:t>
      </w:r>
    </w:p>
    <w:p w14:paraId="7F9F7ADD" w14:textId="77777777" w:rsidR="00024B91" w:rsidRPr="00E00C0E" w:rsidRDefault="00024B91" w:rsidP="0022441E">
      <w:pPr>
        <w:pStyle w:val="ListParagraph"/>
        <w:spacing w:after="0" w:line="240" w:lineRule="auto"/>
        <w:ind w:left="900"/>
        <w:rPr>
          <w:rFonts w:ascii="Gellix" w:hAnsi="Gellix"/>
          <w:b/>
          <w:sz w:val="21"/>
          <w:szCs w:val="21"/>
          <w:lang w:val="en-US"/>
        </w:rPr>
      </w:pPr>
    </w:p>
    <w:p w14:paraId="6C664EDF" w14:textId="77777777" w:rsidR="008D7AA6" w:rsidRPr="00E00C0E" w:rsidRDefault="008D7AA6" w:rsidP="008C5600">
      <w:pPr>
        <w:pStyle w:val="ListParagraph"/>
        <w:numPr>
          <w:ilvl w:val="2"/>
          <w:numId w:val="43"/>
        </w:numPr>
        <w:spacing w:after="0" w:line="240" w:lineRule="auto"/>
        <w:ind w:left="900"/>
        <w:rPr>
          <w:rFonts w:ascii="Gellix" w:hAnsi="Gellix"/>
          <w:b/>
          <w:sz w:val="21"/>
          <w:szCs w:val="21"/>
          <w:u w:val="single"/>
          <w:lang w:val="en-US"/>
        </w:rPr>
      </w:pPr>
      <w:r w:rsidRPr="00E00C0E">
        <w:rPr>
          <w:rFonts w:ascii="Gellix" w:hAnsi="Gellix"/>
          <w:sz w:val="21"/>
          <w:szCs w:val="21"/>
          <w:u w:val="single"/>
        </w:rPr>
        <w:t xml:space="preserve">Carbon tax reliefs </w:t>
      </w:r>
    </w:p>
    <w:p w14:paraId="3818F6A2" w14:textId="05710FBA" w:rsidR="00130521" w:rsidRPr="00E00C0E" w:rsidRDefault="00130521" w:rsidP="00145777">
      <w:pPr>
        <w:pStyle w:val="ListParagraph"/>
        <w:numPr>
          <w:ilvl w:val="0"/>
          <w:numId w:val="60"/>
        </w:numPr>
        <w:spacing w:after="0" w:line="240" w:lineRule="auto"/>
        <w:rPr>
          <w:rFonts w:ascii="Gellix" w:hAnsi="Gellix"/>
          <w:sz w:val="21"/>
          <w:szCs w:val="21"/>
          <w:lang w:val="en-US"/>
        </w:rPr>
      </w:pPr>
      <w:r w:rsidRPr="00E00C0E">
        <w:rPr>
          <w:rFonts w:ascii="Gellix" w:hAnsi="Gellix"/>
          <w:sz w:val="21"/>
          <w:szCs w:val="21"/>
          <w:lang w:val="en-US"/>
        </w:rPr>
        <w:t>A carbon tax can be applied to industry on a fuel basis or a direct emission basis. The former method applies the tax to particular fuels depending upon their carbon content; the latter applies the tax to a particular business or installation based on its emissions. In either case a reduction can be used to support</w:t>
      </w:r>
      <w:r w:rsidR="007A3B42" w:rsidRPr="00E00C0E">
        <w:rPr>
          <w:rFonts w:ascii="Gellix" w:hAnsi="Gellix"/>
          <w:sz w:val="21"/>
          <w:szCs w:val="21"/>
        </w:rPr>
        <w:t xml:space="preserve"> </w:t>
      </w:r>
      <w:r w:rsidR="007A3B42" w:rsidRPr="00E00C0E">
        <w:rPr>
          <w:rFonts w:ascii="Gellix" w:hAnsi="Gellix"/>
          <w:sz w:val="21"/>
          <w:szCs w:val="21"/>
          <w:lang w:val="en-US"/>
        </w:rPr>
        <w:t>energy intensive trade exposed sectors</w:t>
      </w:r>
      <w:r w:rsidR="007C7705" w:rsidRPr="00E00C0E">
        <w:rPr>
          <w:rFonts w:ascii="Gellix" w:hAnsi="Gellix"/>
          <w:sz w:val="21"/>
          <w:szCs w:val="21"/>
          <w:lang w:val="en-US"/>
        </w:rPr>
        <w:t xml:space="preserve"> (</w:t>
      </w:r>
      <w:r w:rsidRPr="00E00C0E">
        <w:rPr>
          <w:rFonts w:ascii="Gellix" w:hAnsi="Gellix"/>
          <w:sz w:val="21"/>
          <w:szCs w:val="21"/>
          <w:lang w:val="en-US"/>
        </w:rPr>
        <w:t>EITE</w:t>
      </w:r>
      <w:r w:rsidR="007C7705" w:rsidRPr="00E00C0E">
        <w:rPr>
          <w:rFonts w:ascii="Gellix" w:hAnsi="Gellix"/>
          <w:sz w:val="21"/>
          <w:szCs w:val="21"/>
          <w:lang w:val="en-US"/>
        </w:rPr>
        <w:t>)</w:t>
      </w:r>
      <w:r w:rsidRPr="00E00C0E">
        <w:rPr>
          <w:rFonts w:ascii="Gellix" w:hAnsi="Gellix"/>
          <w:sz w:val="21"/>
          <w:szCs w:val="21"/>
          <w:lang w:val="en-US"/>
        </w:rPr>
        <w:t xml:space="preserve"> industries. This could consist of an exemption, a rebate of tax or a reduction.</w:t>
      </w:r>
    </w:p>
    <w:p w14:paraId="2BEAA7DC" w14:textId="77777777" w:rsidR="00130521" w:rsidRPr="00E00C0E" w:rsidRDefault="00130521" w:rsidP="0022441E">
      <w:pPr>
        <w:pStyle w:val="ListParagraph"/>
        <w:spacing w:after="0" w:line="240" w:lineRule="auto"/>
        <w:ind w:left="900"/>
        <w:rPr>
          <w:rFonts w:ascii="Gellix" w:hAnsi="Gellix"/>
          <w:b/>
          <w:sz w:val="21"/>
          <w:szCs w:val="21"/>
          <w:lang w:val="en-US"/>
        </w:rPr>
      </w:pPr>
    </w:p>
    <w:p w14:paraId="2BECC4D0" w14:textId="7FAA329C" w:rsidR="008D7AA6" w:rsidRPr="00E00C0E" w:rsidRDefault="008D7AA6" w:rsidP="008C5600">
      <w:pPr>
        <w:pStyle w:val="ListParagraph"/>
        <w:numPr>
          <w:ilvl w:val="2"/>
          <w:numId w:val="43"/>
        </w:numPr>
        <w:spacing w:after="0" w:line="240" w:lineRule="auto"/>
        <w:ind w:left="900"/>
        <w:rPr>
          <w:rFonts w:ascii="Gellix" w:hAnsi="Gellix"/>
          <w:b/>
          <w:sz w:val="21"/>
          <w:szCs w:val="21"/>
          <w:u w:val="single"/>
          <w:lang w:val="en-US"/>
        </w:rPr>
      </w:pPr>
      <w:r w:rsidRPr="00E00C0E">
        <w:rPr>
          <w:rFonts w:ascii="Gellix" w:hAnsi="Gellix"/>
          <w:sz w:val="21"/>
          <w:szCs w:val="21"/>
          <w:u w:val="single"/>
        </w:rPr>
        <w:t xml:space="preserve">Output-Based Pricing System (OBPS) </w:t>
      </w:r>
    </w:p>
    <w:p w14:paraId="3C42A5F2" w14:textId="77777777" w:rsidR="00B53287" w:rsidRDefault="006A2538" w:rsidP="00145777">
      <w:pPr>
        <w:pStyle w:val="ListParagraph"/>
        <w:numPr>
          <w:ilvl w:val="0"/>
          <w:numId w:val="60"/>
        </w:numPr>
        <w:spacing w:after="0" w:line="240" w:lineRule="auto"/>
        <w:rPr>
          <w:rFonts w:ascii="Gellix" w:hAnsi="Gellix"/>
          <w:sz w:val="21"/>
          <w:szCs w:val="21"/>
        </w:rPr>
      </w:pPr>
      <w:r w:rsidRPr="00E00C0E">
        <w:rPr>
          <w:rFonts w:ascii="Gellix" w:hAnsi="Gellix"/>
          <w:sz w:val="21"/>
          <w:szCs w:val="21"/>
        </w:rPr>
        <w:t>As demonstrated in the Canadian system, p</w:t>
      </w:r>
      <w:r w:rsidR="008C54F8" w:rsidRPr="00E00C0E">
        <w:rPr>
          <w:rFonts w:ascii="Gellix" w:hAnsi="Gellix"/>
          <w:sz w:val="21"/>
          <w:szCs w:val="21"/>
        </w:rPr>
        <w:t>rovinces and territories have flexibility to develop their own carbon pricing systems as long as they meet the so called ”Federal Carbon Pollution Pricing Benchmark” - a set of minimum national stringency criteria</w:t>
      </w:r>
      <w:r w:rsidR="008C54F8" w:rsidRPr="00E00C0E">
        <w:rPr>
          <w:rStyle w:val="FootnoteReference"/>
          <w:rFonts w:ascii="Gellix" w:hAnsi="Gellix"/>
          <w:sz w:val="21"/>
          <w:szCs w:val="21"/>
        </w:rPr>
        <w:footnoteReference w:id="17"/>
      </w:r>
      <w:r w:rsidR="008C54F8" w:rsidRPr="00E00C0E">
        <w:rPr>
          <w:rFonts w:ascii="Gellix" w:hAnsi="Gellix"/>
          <w:sz w:val="21"/>
          <w:szCs w:val="21"/>
        </w:rPr>
        <w:t xml:space="preserve">. </w:t>
      </w:r>
    </w:p>
    <w:p w14:paraId="67651D69" w14:textId="77777777" w:rsidR="00B53287" w:rsidRDefault="00B53287" w:rsidP="00145777">
      <w:pPr>
        <w:pStyle w:val="ListParagraph"/>
        <w:spacing w:after="0" w:line="240" w:lineRule="auto"/>
        <w:ind w:left="900"/>
        <w:rPr>
          <w:rFonts w:ascii="Gellix" w:hAnsi="Gellix"/>
          <w:sz w:val="21"/>
          <w:szCs w:val="21"/>
        </w:rPr>
      </w:pPr>
    </w:p>
    <w:p w14:paraId="629DD3FC" w14:textId="77777777" w:rsidR="00B73095" w:rsidRDefault="008C54F8" w:rsidP="00145777">
      <w:pPr>
        <w:pStyle w:val="ListParagraph"/>
        <w:numPr>
          <w:ilvl w:val="0"/>
          <w:numId w:val="60"/>
        </w:numPr>
        <w:spacing w:after="0" w:line="240" w:lineRule="auto"/>
        <w:rPr>
          <w:rFonts w:ascii="Gellix" w:hAnsi="Gellix"/>
          <w:sz w:val="21"/>
          <w:szCs w:val="21"/>
          <w:lang w:val="en-US"/>
        </w:rPr>
      </w:pPr>
      <w:r w:rsidRPr="00E00C0E">
        <w:rPr>
          <w:rFonts w:ascii="Gellix" w:hAnsi="Gellix"/>
          <w:sz w:val="21"/>
          <w:szCs w:val="21"/>
        </w:rPr>
        <w:t xml:space="preserve">The federal carbon pricing system applies in provinces/territories that request it or that do not implement a system that meets the minimum stringency requirements. A Federal carbon pricing backstop provides a backstop to provincial approaches that applies in any </w:t>
      </w:r>
      <w:r w:rsidRPr="00E00C0E">
        <w:rPr>
          <w:rFonts w:ascii="Gellix" w:hAnsi="Gellix"/>
          <w:sz w:val="21"/>
          <w:szCs w:val="21"/>
        </w:rPr>
        <w:lastRenderedPageBreak/>
        <w:t>province or territory that does not have a carbon pricing system that meets the benchmark criteria.</w:t>
      </w:r>
      <w:r w:rsidRPr="00E00C0E">
        <w:rPr>
          <w:rStyle w:val="FootnoteReference"/>
          <w:rFonts w:ascii="Gellix" w:hAnsi="Gellix"/>
          <w:sz w:val="21"/>
          <w:szCs w:val="21"/>
        </w:rPr>
        <w:footnoteReference w:id="18"/>
      </w:r>
      <w:r w:rsidR="00D119A4" w:rsidRPr="00E00C0E">
        <w:rPr>
          <w:rFonts w:ascii="Gellix" w:hAnsi="Gellix"/>
          <w:sz w:val="21"/>
          <w:szCs w:val="21"/>
        </w:rPr>
        <w:t xml:space="preserve">  A</w:t>
      </w:r>
      <w:r w:rsidR="006452F8" w:rsidRPr="00E00C0E">
        <w:rPr>
          <w:rFonts w:ascii="Gellix" w:hAnsi="Gellix"/>
          <w:sz w:val="21"/>
          <w:szCs w:val="21"/>
          <w:lang w:val="en-US"/>
        </w:rPr>
        <w:t xml:space="preserve"> province may also choose to apply this rather than introduce its own rules. </w:t>
      </w:r>
    </w:p>
    <w:p w14:paraId="618F43D7" w14:textId="77777777" w:rsidR="00B73095" w:rsidRDefault="00B73095" w:rsidP="00145777">
      <w:pPr>
        <w:pStyle w:val="ListParagraph"/>
        <w:spacing w:after="0" w:line="240" w:lineRule="auto"/>
        <w:ind w:left="900"/>
        <w:rPr>
          <w:rFonts w:ascii="Gellix" w:hAnsi="Gellix"/>
          <w:sz w:val="21"/>
          <w:szCs w:val="21"/>
          <w:lang w:val="en-US"/>
        </w:rPr>
      </w:pPr>
    </w:p>
    <w:p w14:paraId="2C5B4B54" w14:textId="77777777" w:rsidR="00AC6CB5" w:rsidRDefault="006452F8" w:rsidP="00145777">
      <w:pPr>
        <w:pStyle w:val="ListParagraph"/>
        <w:numPr>
          <w:ilvl w:val="0"/>
          <w:numId w:val="60"/>
        </w:numPr>
        <w:spacing w:after="0" w:line="240" w:lineRule="auto"/>
        <w:rPr>
          <w:rFonts w:ascii="Gellix" w:hAnsi="Gellix"/>
          <w:sz w:val="21"/>
          <w:szCs w:val="21"/>
          <w:lang w:val="en-US"/>
        </w:rPr>
      </w:pPr>
      <w:r w:rsidRPr="00E00C0E">
        <w:rPr>
          <w:rFonts w:ascii="Gellix" w:hAnsi="Gellix"/>
          <w:sz w:val="21"/>
          <w:szCs w:val="21"/>
          <w:lang w:val="en-US"/>
        </w:rPr>
        <w:t xml:space="preserve">Part of the Federal Backstop System is </w:t>
      </w:r>
      <w:r w:rsidR="008E245A">
        <w:rPr>
          <w:rFonts w:ascii="Gellix" w:hAnsi="Gellix"/>
          <w:sz w:val="21"/>
          <w:szCs w:val="21"/>
          <w:lang w:val="en-US"/>
        </w:rPr>
        <w:t>a p</w:t>
      </w:r>
      <w:r w:rsidR="008E245A" w:rsidRPr="008E245A">
        <w:rPr>
          <w:rFonts w:ascii="Gellix" w:hAnsi="Gellix"/>
          <w:sz w:val="21"/>
          <w:szCs w:val="21"/>
          <w:lang w:val="en-US"/>
        </w:rPr>
        <w:t>erformance-based system for industries, known as the federal Output-Based Pricing System (OBPS)</w:t>
      </w:r>
      <w:r w:rsidRPr="00E00C0E">
        <w:rPr>
          <w:rFonts w:ascii="Gellix" w:hAnsi="Gellix"/>
          <w:sz w:val="21"/>
          <w:szCs w:val="21"/>
          <w:lang w:val="en-US"/>
        </w:rPr>
        <w:t>.</w:t>
      </w:r>
      <w:r w:rsidR="00877E9C">
        <w:rPr>
          <w:rFonts w:ascii="Gellix" w:hAnsi="Gellix"/>
          <w:sz w:val="21"/>
          <w:szCs w:val="21"/>
          <w:lang w:val="en-US"/>
        </w:rPr>
        <w:t xml:space="preserve"> </w:t>
      </w:r>
      <w:r w:rsidR="00877E9C" w:rsidRPr="00877E9C">
        <w:rPr>
          <w:rFonts w:ascii="Gellix" w:hAnsi="Gellix"/>
          <w:sz w:val="21"/>
          <w:szCs w:val="21"/>
          <w:lang w:val="en-US"/>
        </w:rPr>
        <w:t>This system is designed to maintain the carbon price signal for industrial emitters to reduce their GHG emissions, while mitigating the risk of carbon leakage and competitiveness impacts.</w:t>
      </w:r>
    </w:p>
    <w:p w14:paraId="66B7C23D" w14:textId="77777777" w:rsidR="00AC6CB5" w:rsidRDefault="00AC6CB5" w:rsidP="00145777">
      <w:pPr>
        <w:pStyle w:val="ListParagraph"/>
        <w:spacing w:after="0" w:line="240" w:lineRule="auto"/>
        <w:ind w:left="900"/>
        <w:rPr>
          <w:rFonts w:ascii="Gellix" w:hAnsi="Gellix"/>
          <w:sz w:val="21"/>
          <w:szCs w:val="21"/>
          <w:lang w:val="en-US"/>
        </w:rPr>
      </w:pPr>
    </w:p>
    <w:p w14:paraId="74AD0C64" w14:textId="5E2E2C03" w:rsidR="007C7705" w:rsidRPr="00AC6CB5" w:rsidRDefault="00877E9C" w:rsidP="00145777">
      <w:pPr>
        <w:pStyle w:val="ListParagraph"/>
        <w:numPr>
          <w:ilvl w:val="0"/>
          <w:numId w:val="60"/>
        </w:numPr>
        <w:spacing w:after="0" w:line="240" w:lineRule="auto"/>
        <w:rPr>
          <w:rFonts w:ascii="Gellix" w:hAnsi="Gellix"/>
          <w:sz w:val="21"/>
          <w:szCs w:val="21"/>
          <w:lang w:val="en-US"/>
        </w:rPr>
      </w:pPr>
      <w:r w:rsidRPr="00AC6CB5">
        <w:rPr>
          <w:rFonts w:ascii="Gellix" w:hAnsi="Gellix"/>
          <w:sz w:val="21"/>
          <w:szCs w:val="21"/>
          <w:lang w:val="en-US"/>
        </w:rPr>
        <w:t xml:space="preserve">The OBPS applies to facilities in the emissions-intensive and trade-exposed industrial and electricity sectors that emit equal to or more than 50,000 </w:t>
      </w:r>
      <w:proofErr w:type="spellStart"/>
      <w:r w:rsidRPr="00AC6CB5">
        <w:rPr>
          <w:rFonts w:ascii="Gellix" w:hAnsi="Gellix"/>
          <w:sz w:val="21"/>
          <w:szCs w:val="21"/>
          <w:lang w:val="en-US"/>
        </w:rPr>
        <w:t>tCO</w:t>
      </w:r>
      <w:proofErr w:type="spellEnd"/>
      <w:r w:rsidRPr="00AC6CB5">
        <w:rPr>
          <w:rFonts w:ascii="Gellix" w:hAnsi="Gellix"/>
          <w:sz w:val="21"/>
          <w:szCs w:val="21"/>
          <w:lang w:val="en-US"/>
        </w:rPr>
        <w:t xml:space="preserve"> e. Smaller facilities with annual emissions equal to or more than 10,000 </w:t>
      </w:r>
      <w:proofErr w:type="spellStart"/>
      <w:r w:rsidRPr="00AC6CB5">
        <w:rPr>
          <w:rFonts w:ascii="Gellix" w:hAnsi="Gellix"/>
          <w:sz w:val="21"/>
          <w:szCs w:val="21"/>
          <w:lang w:val="en-US"/>
        </w:rPr>
        <w:t>tCO</w:t>
      </w:r>
      <w:r w:rsidRPr="00AC6CB5">
        <w:rPr>
          <w:rFonts w:ascii="Cambria Math" w:hAnsi="Cambria Math" w:cs="Cambria Math"/>
          <w:sz w:val="21"/>
          <w:szCs w:val="21"/>
          <w:lang w:val="en-US"/>
        </w:rPr>
        <w:t>₂</w:t>
      </w:r>
      <w:r w:rsidRPr="00AC6CB5">
        <w:rPr>
          <w:rFonts w:ascii="Gellix" w:hAnsi="Gellix"/>
          <w:sz w:val="21"/>
          <w:szCs w:val="21"/>
          <w:lang w:val="en-US"/>
        </w:rPr>
        <w:t>e</w:t>
      </w:r>
      <w:proofErr w:type="spellEnd"/>
      <w:r w:rsidRPr="00AC6CB5">
        <w:rPr>
          <w:rFonts w:ascii="Gellix" w:hAnsi="Gellix"/>
          <w:sz w:val="21"/>
          <w:szCs w:val="21"/>
          <w:lang w:val="en-US"/>
        </w:rPr>
        <w:t xml:space="preserve"> from sectors at risk of carbon leakage and adverse competitiveness impacts can apply to participate voluntarily.</w:t>
      </w:r>
      <w:r w:rsidR="007A5806">
        <w:rPr>
          <w:rStyle w:val="FootnoteReference"/>
          <w:rFonts w:ascii="Gellix" w:hAnsi="Gellix"/>
          <w:sz w:val="21"/>
          <w:szCs w:val="21"/>
          <w:lang w:val="en-US"/>
        </w:rPr>
        <w:footnoteReference w:id="19"/>
      </w:r>
      <w:r w:rsidR="006452F8" w:rsidRPr="00AC6CB5">
        <w:rPr>
          <w:rFonts w:ascii="Gellix" w:hAnsi="Gellix"/>
          <w:sz w:val="21"/>
          <w:szCs w:val="21"/>
          <w:lang w:val="en-US"/>
        </w:rPr>
        <w:t xml:space="preserve"> </w:t>
      </w:r>
    </w:p>
    <w:p w14:paraId="43DAB770" w14:textId="77777777" w:rsidR="00753054" w:rsidRPr="00E00C0E" w:rsidRDefault="00753054" w:rsidP="00753054">
      <w:pPr>
        <w:spacing w:after="0" w:line="240" w:lineRule="auto"/>
        <w:rPr>
          <w:rFonts w:ascii="Gellix" w:hAnsi="Gellix"/>
          <w:b/>
          <w:sz w:val="21"/>
          <w:szCs w:val="21"/>
          <w:lang w:val="en-US"/>
        </w:rPr>
      </w:pPr>
    </w:p>
    <w:p w14:paraId="7F9866D4" w14:textId="77777777" w:rsidR="008D7AA6" w:rsidRPr="00E00C0E" w:rsidRDefault="008D7AA6" w:rsidP="0022441E">
      <w:pPr>
        <w:spacing w:after="0" w:line="240" w:lineRule="auto"/>
        <w:ind w:left="360"/>
        <w:rPr>
          <w:rFonts w:ascii="Gellix" w:hAnsi="Gellix"/>
          <w:color w:val="4472C4" w:themeColor="accent1"/>
          <w:sz w:val="21"/>
          <w:szCs w:val="21"/>
        </w:rPr>
      </w:pPr>
    </w:p>
    <w:p w14:paraId="1B43E425" w14:textId="4592CA3E" w:rsidR="0015614D" w:rsidRPr="00E00C0E" w:rsidRDefault="006D0E9C" w:rsidP="0022441E">
      <w:pPr>
        <w:spacing w:after="0" w:line="240" w:lineRule="auto"/>
        <w:rPr>
          <w:rStyle w:val="normaltextrun"/>
          <w:rFonts w:ascii="Gellix" w:hAnsi="Gellix"/>
          <w:b/>
          <w:color w:val="000000"/>
          <w:sz w:val="21"/>
          <w:szCs w:val="21"/>
          <w:u w:val="single"/>
          <w:shd w:val="clear" w:color="auto" w:fill="FFFFFF"/>
        </w:rPr>
      </w:pPr>
      <w:r w:rsidRPr="00E00C0E">
        <w:rPr>
          <w:rStyle w:val="normaltextrun"/>
          <w:rFonts w:ascii="Gellix" w:hAnsi="Gellix"/>
          <w:b/>
          <w:color w:val="000000"/>
          <w:sz w:val="21"/>
          <w:szCs w:val="21"/>
          <w:u w:val="single"/>
          <w:shd w:val="clear" w:color="auto" w:fill="FFFFFF"/>
        </w:rPr>
        <w:t xml:space="preserve">Key </w:t>
      </w:r>
      <w:r w:rsidR="00083AFE" w:rsidRPr="00E00C0E">
        <w:rPr>
          <w:rStyle w:val="normaltextrun"/>
          <w:rFonts w:ascii="Gellix" w:hAnsi="Gellix"/>
          <w:b/>
          <w:color w:val="000000"/>
          <w:sz w:val="21"/>
          <w:szCs w:val="21"/>
          <w:u w:val="single"/>
          <w:shd w:val="clear" w:color="auto" w:fill="FFFFFF"/>
        </w:rPr>
        <w:t xml:space="preserve">challenges </w:t>
      </w:r>
      <w:r w:rsidRPr="00E00C0E">
        <w:rPr>
          <w:rStyle w:val="normaltextrun"/>
          <w:rFonts w:ascii="Gellix" w:hAnsi="Gellix"/>
          <w:b/>
          <w:color w:val="000000"/>
          <w:sz w:val="21"/>
          <w:szCs w:val="21"/>
          <w:u w:val="single"/>
          <w:shd w:val="clear" w:color="auto" w:fill="FFFFFF"/>
        </w:rPr>
        <w:t>that some of these instruments pose</w:t>
      </w:r>
    </w:p>
    <w:p w14:paraId="6EDDE69B" w14:textId="77777777" w:rsidR="006D0E9C" w:rsidRPr="00E00C0E" w:rsidRDefault="006D0E9C" w:rsidP="0022441E">
      <w:pPr>
        <w:spacing w:after="0" w:line="240" w:lineRule="auto"/>
        <w:rPr>
          <w:rStyle w:val="normaltextrun"/>
          <w:rFonts w:ascii="Gellix" w:hAnsi="Gellix"/>
          <w:b/>
          <w:color w:val="000000"/>
          <w:sz w:val="21"/>
          <w:szCs w:val="21"/>
          <w:u w:val="single"/>
          <w:shd w:val="clear" w:color="auto" w:fill="FFFFFF"/>
        </w:rPr>
      </w:pPr>
    </w:p>
    <w:p w14:paraId="7D65BED5" w14:textId="21795582" w:rsidR="00C97001" w:rsidRPr="00E00C0E" w:rsidRDefault="00C97001" w:rsidP="0022441E">
      <w:pPr>
        <w:spacing w:after="0" w:line="240" w:lineRule="auto"/>
        <w:rPr>
          <w:rStyle w:val="normaltextrun"/>
          <w:rFonts w:ascii="Gellix" w:hAnsi="Gellix"/>
          <w:color w:val="000000"/>
          <w:sz w:val="21"/>
          <w:szCs w:val="21"/>
          <w:u w:val="single"/>
          <w:shd w:val="clear" w:color="auto" w:fill="FFFFFF"/>
        </w:rPr>
      </w:pPr>
      <w:r w:rsidRPr="00E00C0E">
        <w:rPr>
          <w:rStyle w:val="normaltextrun"/>
          <w:rFonts w:ascii="Gellix" w:hAnsi="Gellix"/>
          <w:color w:val="000000"/>
          <w:sz w:val="21"/>
          <w:szCs w:val="21"/>
          <w:u w:val="single"/>
          <w:shd w:val="clear" w:color="auto" w:fill="FFFFFF"/>
        </w:rPr>
        <w:t>Border Carbon Adjustments</w:t>
      </w:r>
    </w:p>
    <w:p w14:paraId="18842A73" w14:textId="77777777" w:rsidR="0034020B" w:rsidRDefault="0034020B" w:rsidP="0034020B">
      <w:pPr>
        <w:spacing w:after="0" w:line="240" w:lineRule="auto"/>
        <w:rPr>
          <w:rStyle w:val="normaltextrun"/>
          <w:rFonts w:ascii="Gellix" w:hAnsi="Gellix"/>
          <w:color w:val="000000"/>
          <w:sz w:val="21"/>
          <w:szCs w:val="21"/>
          <w:shd w:val="clear" w:color="auto" w:fill="FFFFFF"/>
        </w:rPr>
      </w:pPr>
    </w:p>
    <w:p w14:paraId="5E848892" w14:textId="77777777" w:rsidR="00F25CBA" w:rsidRDefault="0014290F" w:rsidP="0034020B">
      <w:pPr>
        <w:pStyle w:val="ListParagraph"/>
        <w:numPr>
          <w:ilvl w:val="0"/>
          <w:numId w:val="53"/>
        </w:numPr>
        <w:spacing w:after="0" w:line="240" w:lineRule="auto"/>
        <w:rPr>
          <w:rStyle w:val="normaltextrun"/>
          <w:rFonts w:ascii="Gellix" w:hAnsi="Gellix"/>
          <w:color w:val="000000"/>
          <w:sz w:val="21"/>
          <w:szCs w:val="21"/>
          <w:shd w:val="clear" w:color="auto" w:fill="FFFFFF"/>
        </w:rPr>
      </w:pPr>
      <w:r w:rsidRPr="00330A3A">
        <w:rPr>
          <w:rStyle w:val="normaltextrun"/>
          <w:rFonts w:ascii="Gellix" w:hAnsi="Gellix"/>
          <w:color w:val="000000"/>
          <w:sz w:val="21"/>
          <w:szCs w:val="21"/>
          <w:shd w:val="clear" w:color="auto" w:fill="FFFFFF"/>
        </w:rPr>
        <w:t xml:space="preserve">With regards to the EU CBAM, </w:t>
      </w:r>
      <w:r w:rsidR="00710813" w:rsidRPr="00330A3A">
        <w:rPr>
          <w:rStyle w:val="normaltextrun"/>
          <w:rFonts w:ascii="Gellix" w:hAnsi="Gellix"/>
          <w:color w:val="000000"/>
          <w:sz w:val="21"/>
          <w:szCs w:val="21"/>
          <w:shd w:val="clear" w:color="auto" w:fill="FFFFFF"/>
        </w:rPr>
        <w:t>several emerging and developing economies</w:t>
      </w:r>
      <w:r w:rsidR="0049600D" w:rsidRPr="00330A3A">
        <w:rPr>
          <w:rStyle w:val="normaltextrun"/>
          <w:rFonts w:ascii="Gellix" w:hAnsi="Gellix"/>
          <w:color w:val="000000"/>
          <w:sz w:val="21"/>
          <w:szCs w:val="21"/>
          <w:shd w:val="clear" w:color="auto" w:fill="FFFFFF"/>
        </w:rPr>
        <w:t xml:space="preserve"> have </w:t>
      </w:r>
      <w:r w:rsidR="008B3635" w:rsidRPr="00330A3A">
        <w:rPr>
          <w:rStyle w:val="normaltextrun"/>
          <w:rFonts w:ascii="Gellix" w:hAnsi="Gellix"/>
          <w:color w:val="000000"/>
          <w:sz w:val="21"/>
          <w:szCs w:val="21"/>
          <w:shd w:val="clear" w:color="auto" w:fill="FFFFFF"/>
        </w:rPr>
        <w:t xml:space="preserve">challenged </w:t>
      </w:r>
      <w:r w:rsidR="0049600D" w:rsidRPr="00330A3A">
        <w:rPr>
          <w:rStyle w:val="normaltextrun"/>
          <w:rFonts w:ascii="Gellix" w:hAnsi="Gellix"/>
          <w:color w:val="000000"/>
          <w:sz w:val="21"/>
          <w:szCs w:val="21"/>
          <w:shd w:val="clear" w:color="auto" w:fill="FFFFFF"/>
        </w:rPr>
        <w:t>the validity or basis of carbon leakage</w:t>
      </w:r>
      <w:r w:rsidR="00731C06" w:rsidRPr="00330A3A">
        <w:rPr>
          <w:rStyle w:val="normaltextrun"/>
          <w:rFonts w:ascii="Gellix" w:hAnsi="Gellix"/>
          <w:color w:val="000000"/>
          <w:sz w:val="21"/>
          <w:szCs w:val="21"/>
          <w:shd w:val="clear" w:color="auto" w:fill="FFFFFF"/>
        </w:rPr>
        <w:t xml:space="preserve">, and in particular </w:t>
      </w:r>
      <w:r w:rsidR="00C31486" w:rsidRPr="00330A3A">
        <w:rPr>
          <w:rStyle w:val="normaltextrun"/>
          <w:rFonts w:ascii="Gellix" w:hAnsi="Gellix"/>
          <w:color w:val="000000"/>
          <w:sz w:val="21"/>
          <w:szCs w:val="21"/>
          <w:shd w:val="clear" w:color="auto" w:fill="FFFFFF"/>
        </w:rPr>
        <w:t xml:space="preserve">have raised concerns regarding </w:t>
      </w:r>
      <w:r w:rsidR="00906683" w:rsidRPr="00330A3A">
        <w:rPr>
          <w:rStyle w:val="normaltextrun"/>
          <w:rFonts w:ascii="Gellix" w:hAnsi="Gellix"/>
          <w:color w:val="000000"/>
          <w:sz w:val="21"/>
          <w:szCs w:val="21"/>
          <w:shd w:val="clear" w:color="auto" w:fill="FFFFFF"/>
        </w:rPr>
        <w:t xml:space="preserve">compliance with WTO trade rules, </w:t>
      </w:r>
      <w:r w:rsidR="00C31486" w:rsidRPr="00330A3A">
        <w:rPr>
          <w:rStyle w:val="normaltextrun"/>
          <w:rFonts w:ascii="Gellix" w:hAnsi="Gellix"/>
          <w:color w:val="000000"/>
          <w:sz w:val="21"/>
          <w:szCs w:val="21"/>
          <w:shd w:val="clear" w:color="auto" w:fill="FFFFFF"/>
        </w:rPr>
        <w:t xml:space="preserve">the trade implications </w:t>
      </w:r>
      <w:r w:rsidR="001B5BDB" w:rsidRPr="00330A3A">
        <w:rPr>
          <w:rStyle w:val="normaltextrun"/>
          <w:rFonts w:ascii="Gellix" w:hAnsi="Gellix"/>
          <w:color w:val="000000"/>
          <w:sz w:val="21"/>
          <w:szCs w:val="21"/>
          <w:shd w:val="clear" w:color="auto" w:fill="FFFFFF"/>
        </w:rPr>
        <w:t xml:space="preserve">and restricted market access </w:t>
      </w:r>
      <w:r w:rsidR="00C05B04" w:rsidRPr="00330A3A">
        <w:rPr>
          <w:rStyle w:val="normaltextrun"/>
          <w:rFonts w:ascii="Gellix" w:hAnsi="Gellix"/>
          <w:color w:val="000000"/>
          <w:sz w:val="21"/>
          <w:szCs w:val="21"/>
          <w:shd w:val="clear" w:color="auto" w:fill="FFFFFF"/>
        </w:rPr>
        <w:t xml:space="preserve">for countries </w:t>
      </w:r>
      <w:r w:rsidR="00792671" w:rsidRPr="00330A3A">
        <w:rPr>
          <w:rStyle w:val="normaltextrun"/>
          <w:rFonts w:ascii="Gellix" w:hAnsi="Gellix"/>
          <w:color w:val="000000"/>
          <w:sz w:val="21"/>
          <w:szCs w:val="21"/>
          <w:shd w:val="clear" w:color="auto" w:fill="FFFFFF"/>
        </w:rPr>
        <w:t xml:space="preserve">(both equal trading partners and developing countries) </w:t>
      </w:r>
      <w:r w:rsidR="00C05B04" w:rsidRPr="00330A3A">
        <w:rPr>
          <w:rStyle w:val="normaltextrun"/>
          <w:rFonts w:ascii="Gellix" w:hAnsi="Gellix"/>
          <w:color w:val="000000"/>
          <w:sz w:val="21"/>
          <w:szCs w:val="21"/>
          <w:shd w:val="clear" w:color="auto" w:fill="FFFFFF"/>
        </w:rPr>
        <w:t>exporting to the EU</w:t>
      </w:r>
      <w:r w:rsidR="005B4D5F" w:rsidRPr="00330A3A">
        <w:rPr>
          <w:rStyle w:val="normaltextrun"/>
          <w:rFonts w:ascii="Gellix" w:hAnsi="Gellix"/>
          <w:color w:val="000000"/>
          <w:sz w:val="21"/>
          <w:szCs w:val="21"/>
          <w:shd w:val="clear" w:color="auto" w:fill="FFFFFF"/>
        </w:rPr>
        <w:t xml:space="preserve">, which are comparatively disadvantaged as a result of the </w:t>
      </w:r>
      <w:r w:rsidR="00756E0D" w:rsidRPr="00330A3A">
        <w:rPr>
          <w:rStyle w:val="normaltextrun"/>
          <w:rFonts w:ascii="Gellix" w:hAnsi="Gellix"/>
          <w:color w:val="000000"/>
          <w:sz w:val="21"/>
          <w:szCs w:val="21"/>
          <w:shd w:val="clear" w:color="auto" w:fill="FFFFFF"/>
        </w:rPr>
        <w:t xml:space="preserve">imposed </w:t>
      </w:r>
      <w:r w:rsidR="00A82511" w:rsidRPr="00330A3A">
        <w:rPr>
          <w:rStyle w:val="normaltextrun"/>
          <w:rFonts w:ascii="Gellix" w:hAnsi="Gellix"/>
          <w:color w:val="000000"/>
          <w:sz w:val="21"/>
          <w:szCs w:val="21"/>
          <w:shd w:val="clear" w:color="auto" w:fill="FFFFFF"/>
        </w:rPr>
        <w:t>BCA</w:t>
      </w:r>
      <w:r w:rsidR="002E16EA" w:rsidRPr="00330A3A">
        <w:rPr>
          <w:rStyle w:val="normaltextrun"/>
          <w:rFonts w:ascii="Gellix" w:hAnsi="Gellix"/>
          <w:color w:val="000000"/>
          <w:sz w:val="21"/>
          <w:szCs w:val="21"/>
          <w:shd w:val="clear" w:color="auto" w:fill="FFFFFF"/>
        </w:rPr>
        <w:t xml:space="preserve"> and the need to recalibrate </w:t>
      </w:r>
      <w:r w:rsidR="007D7676" w:rsidRPr="00330A3A">
        <w:rPr>
          <w:rStyle w:val="normaltextrun"/>
          <w:rFonts w:ascii="Gellix" w:hAnsi="Gellix"/>
          <w:color w:val="000000"/>
          <w:sz w:val="21"/>
          <w:szCs w:val="21"/>
          <w:shd w:val="clear" w:color="auto" w:fill="FFFFFF"/>
        </w:rPr>
        <w:t>their systems and pricing</w:t>
      </w:r>
      <w:r w:rsidR="00144250" w:rsidRPr="00330A3A">
        <w:rPr>
          <w:rStyle w:val="FootnoteReference"/>
          <w:rFonts w:ascii="Gellix" w:hAnsi="Gellix"/>
          <w:color w:val="000000"/>
          <w:sz w:val="21"/>
          <w:szCs w:val="21"/>
          <w:shd w:val="clear" w:color="auto" w:fill="FFFFFF"/>
        </w:rPr>
        <w:footnoteReference w:id="20"/>
      </w:r>
      <w:r w:rsidR="00C3093F" w:rsidRPr="00330A3A">
        <w:rPr>
          <w:rStyle w:val="normaltextrun"/>
          <w:rFonts w:ascii="Gellix" w:hAnsi="Gellix"/>
          <w:color w:val="000000"/>
          <w:sz w:val="21"/>
          <w:szCs w:val="21"/>
          <w:shd w:val="clear" w:color="auto" w:fill="FFFFFF"/>
        </w:rPr>
        <w:t xml:space="preserve"> </w:t>
      </w:r>
      <w:r w:rsidR="00C3093F" w:rsidRPr="00330A3A">
        <w:rPr>
          <w:rStyle w:val="FootnoteReference"/>
          <w:rFonts w:ascii="Gellix" w:hAnsi="Gellix"/>
          <w:color w:val="000000"/>
          <w:sz w:val="21"/>
          <w:szCs w:val="21"/>
          <w:shd w:val="clear" w:color="auto" w:fill="FFFFFF"/>
        </w:rPr>
        <w:footnoteReference w:id="21"/>
      </w:r>
      <w:r w:rsidR="00C3093F" w:rsidRPr="00330A3A">
        <w:rPr>
          <w:rStyle w:val="normaltextrun"/>
          <w:rFonts w:ascii="Gellix" w:hAnsi="Gellix"/>
          <w:color w:val="000000"/>
          <w:sz w:val="21"/>
          <w:szCs w:val="21"/>
          <w:shd w:val="clear" w:color="auto" w:fill="FFFFFF"/>
        </w:rPr>
        <w:t>.</w:t>
      </w:r>
      <w:r w:rsidR="0096132A" w:rsidRPr="00330A3A">
        <w:rPr>
          <w:rStyle w:val="normaltextrun"/>
          <w:rFonts w:ascii="Gellix" w:hAnsi="Gellix"/>
          <w:color w:val="000000"/>
          <w:sz w:val="21"/>
          <w:szCs w:val="21"/>
          <w:shd w:val="clear" w:color="auto" w:fill="FFFFFF"/>
        </w:rPr>
        <w:t xml:space="preserve"> </w:t>
      </w:r>
      <w:r w:rsidR="0049600D" w:rsidRPr="00330A3A">
        <w:rPr>
          <w:rStyle w:val="normaltextrun"/>
          <w:rFonts w:ascii="Gellix" w:hAnsi="Gellix"/>
          <w:color w:val="000000"/>
          <w:sz w:val="21"/>
          <w:szCs w:val="21"/>
          <w:shd w:val="clear" w:color="auto" w:fill="FFFFFF"/>
        </w:rPr>
        <w:t xml:space="preserve"> </w:t>
      </w:r>
    </w:p>
    <w:p w14:paraId="27294908" w14:textId="77777777" w:rsidR="00F25CBA" w:rsidRDefault="00F25CBA" w:rsidP="00F25CBA">
      <w:pPr>
        <w:pStyle w:val="ListParagraph"/>
        <w:spacing w:after="0" w:line="240" w:lineRule="auto"/>
        <w:ind w:left="360"/>
        <w:rPr>
          <w:rStyle w:val="normaltextrun"/>
          <w:rFonts w:ascii="Gellix" w:hAnsi="Gellix"/>
          <w:color w:val="000000"/>
          <w:sz w:val="21"/>
          <w:szCs w:val="21"/>
          <w:shd w:val="clear" w:color="auto" w:fill="FFFFFF"/>
        </w:rPr>
      </w:pPr>
    </w:p>
    <w:p w14:paraId="1C24E546" w14:textId="77777777" w:rsidR="00F147B5" w:rsidRPr="00F147B5" w:rsidRDefault="005E3CC7" w:rsidP="0034020B">
      <w:pPr>
        <w:pStyle w:val="ListParagraph"/>
        <w:numPr>
          <w:ilvl w:val="0"/>
          <w:numId w:val="53"/>
        </w:numPr>
        <w:spacing w:after="0" w:line="240" w:lineRule="auto"/>
        <w:rPr>
          <w:rFonts w:ascii="Gellix" w:hAnsi="Gellix"/>
          <w:color w:val="000000"/>
          <w:sz w:val="21"/>
          <w:szCs w:val="21"/>
          <w:shd w:val="clear" w:color="auto" w:fill="FFFFFF"/>
        </w:rPr>
      </w:pPr>
      <w:r w:rsidRPr="00F25CBA">
        <w:rPr>
          <w:rFonts w:ascii="Gellix" w:hAnsi="Gellix"/>
          <w:sz w:val="21"/>
          <w:szCs w:val="21"/>
        </w:rPr>
        <w:t xml:space="preserve">The UNCTAD report: </w:t>
      </w:r>
      <w:r w:rsidRPr="00F25CBA">
        <w:rPr>
          <w:rFonts w:ascii="Gellix" w:hAnsi="Gellix"/>
          <w:i/>
          <w:iCs/>
          <w:sz w:val="21"/>
          <w:szCs w:val="21"/>
        </w:rPr>
        <w:t>A European Union Carbon Border Adjustment Mechanism: Implications for Developing Countries</w:t>
      </w:r>
      <w:r w:rsidRPr="00A7339E">
        <w:rPr>
          <w:rStyle w:val="FootnoteReference"/>
          <w:rFonts w:ascii="Gellix" w:hAnsi="Gellix"/>
          <w:sz w:val="21"/>
          <w:szCs w:val="21"/>
        </w:rPr>
        <w:footnoteReference w:id="22"/>
      </w:r>
      <w:r w:rsidRPr="00F25CBA">
        <w:rPr>
          <w:rFonts w:ascii="Gellix" w:hAnsi="Gellix"/>
          <w:sz w:val="21"/>
          <w:szCs w:val="21"/>
        </w:rPr>
        <w:t xml:space="preserve"> notes that the introduction of a </w:t>
      </w:r>
      <w:r w:rsidR="005D56A7">
        <w:rPr>
          <w:rFonts w:ascii="Gellix" w:hAnsi="Gellix"/>
          <w:sz w:val="21"/>
          <w:szCs w:val="21"/>
        </w:rPr>
        <w:t xml:space="preserve">BCA </w:t>
      </w:r>
      <w:r w:rsidRPr="00F25CBA">
        <w:rPr>
          <w:rFonts w:ascii="Gellix" w:hAnsi="Gellix"/>
          <w:sz w:val="21"/>
          <w:szCs w:val="21"/>
        </w:rPr>
        <w:t xml:space="preserve">results in declines in exports in developing countries in favour of developed countries, which tend to have less carbon intensive production processes. </w:t>
      </w:r>
      <w:r w:rsidR="005D56A7">
        <w:rPr>
          <w:rFonts w:ascii="Gellix" w:hAnsi="Gellix"/>
          <w:sz w:val="21"/>
          <w:szCs w:val="21"/>
        </w:rPr>
        <w:t xml:space="preserve"> </w:t>
      </w:r>
      <w:r w:rsidRPr="00F25CBA">
        <w:rPr>
          <w:rFonts w:ascii="Gellix" w:hAnsi="Gellix"/>
          <w:sz w:val="21"/>
          <w:szCs w:val="21"/>
        </w:rPr>
        <w:t>The report suggests that the European Union could consider CBAM flanking policies, including the use of revenue generated by the CBAM, to accelerate the diffusion and uptake of cleaner production technologies to developing country producers, which could be beneficial both in terms of greening the economy and fostering a</w:t>
      </w:r>
      <w:r w:rsidR="005D56A7">
        <w:rPr>
          <w:rFonts w:ascii="Gellix" w:hAnsi="Gellix"/>
          <w:sz w:val="21"/>
          <w:szCs w:val="21"/>
        </w:rPr>
        <w:t xml:space="preserve"> </w:t>
      </w:r>
      <w:r w:rsidRPr="00F25CBA">
        <w:rPr>
          <w:rFonts w:ascii="Gellix" w:hAnsi="Gellix"/>
          <w:sz w:val="21"/>
          <w:szCs w:val="21"/>
        </w:rPr>
        <w:t>more inclusive trading system</w:t>
      </w:r>
      <w:r w:rsidR="00F147B5">
        <w:rPr>
          <w:rFonts w:ascii="Gellix" w:hAnsi="Gellix"/>
          <w:sz w:val="21"/>
          <w:szCs w:val="21"/>
        </w:rPr>
        <w:t>.</w:t>
      </w:r>
    </w:p>
    <w:p w14:paraId="4E7C6B7F" w14:textId="77777777" w:rsidR="00F147B5" w:rsidRPr="00F147B5" w:rsidRDefault="00F147B5" w:rsidP="00F147B5">
      <w:pPr>
        <w:pStyle w:val="ListParagraph"/>
        <w:rPr>
          <w:rFonts w:ascii="Gellix" w:hAnsi="Gellix"/>
          <w:sz w:val="21"/>
          <w:szCs w:val="21"/>
        </w:rPr>
      </w:pPr>
    </w:p>
    <w:p w14:paraId="23B36500" w14:textId="77777777" w:rsidR="007B77A7" w:rsidRPr="007B77A7" w:rsidRDefault="00C226C4" w:rsidP="007B77A7">
      <w:pPr>
        <w:pStyle w:val="ListParagraph"/>
        <w:numPr>
          <w:ilvl w:val="0"/>
          <w:numId w:val="53"/>
        </w:numPr>
        <w:spacing w:after="0" w:line="240" w:lineRule="auto"/>
        <w:rPr>
          <w:rFonts w:ascii="Gellix" w:hAnsi="Gellix"/>
          <w:color w:val="000000"/>
          <w:sz w:val="21"/>
          <w:szCs w:val="21"/>
          <w:shd w:val="clear" w:color="auto" w:fill="FFFFFF"/>
        </w:rPr>
      </w:pPr>
      <w:r w:rsidRPr="00F147B5">
        <w:rPr>
          <w:rFonts w:ascii="Gellix" w:hAnsi="Gellix"/>
          <w:sz w:val="21"/>
          <w:szCs w:val="21"/>
        </w:rPr>
        <w:lastRenderedPageBreak/>
        <w:t>While a</w:t>
      </w:r>
      <w:r w:rsidR="00F147B5" w:rsidRPr="00F147B5">
        <w:rPr>
          <w:rFonts w:ascii="Gellix" w:hAnsi="Gellix"/>
          <w:sz w:val="21"/>
          <w:szCs w:val="21"/>
        </w:rPr>
        <w:t>n effective</w:t>
      </w:r>
      <w:r w:rsidRPr="00F147B5">
        <w:rPr>
          <w:rFonts w:ascii="Gellix" w:hAnsi="Gellix"/>
          <w:sz w:val="21"/>
          <w:szCs w:val="21"/>
        </w:rPr>
        <w:t xml:space="preserve"> BCA addresses leakage and levels the playing field economically as regards imports, </w:t>
      </w:r>
      <w:r w:rsidR="004F1C95" w:rsidRPr="00F147B5">
        <w:rPr>
          <w:rFonts w:ascii="Gellix" w:hAnsi="Gellix"/>
          <w:sz w:val="21"/>
          <w:szCs w:val="21"/>
        </w:rPr>
        <w:t xml:space="preserve">the </w:t>
      </w:r>
      <w:r w:rsidRPr="00F147B5">
        <w:rPr>
          <w:rFonts w:ascii="Gellix" w:hAnsi="Gellix"/>
          <w:sz w:val="21"/>
          <w:szCs w:val="21"/>
        </w:rPr>
        <w:t>proposals do not usually provide relief for exports. This is because a BCA aims to impose a charge on imports to level the carbon price with that borne by domestic products. However, when domestic products are exported, there is generally no relief or rebate given for the carbon price which has been incurred which means exports may be at a competitive disadvantage in comparison with competitor products in or from lower action countries.</w:t>
      </w:r>
    </w:p>
    <w:p w14:paraId="343683F2" w14:textId="77777777" w:rsidR="007B77A7" w:rsidRPr="007B77A7" w:rsidRDefault="007B77A7" w:rsidP="007B77A7">
      <w:pPr>
        <w:pStyle w:val="ListParagraph"/>
        <w:rPr>
          <w:rFonts w:ascii="Gellix" w:hAnsi="Gellix"/>
          <w:sz w:val="21"/>
          <w:szCs w:val="21"/>
        </w:rPr>
      </w:pPr>
    </w:p>
    <w:p w14:paraId="6CD25B25" w14:textId="77777777" w:rsidR="005C7782" w:rsidRPr="005C7782" w:rsidRDefault="003A7EB0" w:rsidP="005159BE">
      <w:pPr>
        <w:pStyle w:val="ListParagraph"/>
        <w:numPr>
          <w:ilvl w:val="0"/>
          <w:numId w:val="53"/>
        </w:numPr>
        <w:spacing w:after="0" w:line="240" w:lineRule="auto"/>
        <w:rPr>
          <w:rFonts w:ascii="Gellix" w:hAnsi="Gellix"/>
          <w:color w:val="000000"/>
          <w:sz w:val="21"/>
          <w:szCs w:val="21"/>
          <w:shd w:val="clear" w:color="auto" w:fill="FFFFFF"/>
        </w:rPr>
      </w:pPr>
      <w:r w:rsidRPr="007B77A7">
        <w:rPr>
          <w:rFonts w:ascii="Gellix" w:hAnsi="Gellix"/>
          <w:sz w:val="21"/>
          <w:szCs w:val="21"/>
        </w:rPr>
        <w:t xml:space="preserve">Another area of concern is the level of complexity and related compliance costs. </w:t>
      </w:r>
      <w:r w:rsidR="00952742" w:rsidRPr="007B77A7">
        <w:rPr>
          <w:rFonts w:ascii="Gellix" w:hAnsi="Gellix"/>
          <w:sz w:val="21"/>
          <w:szCs w:val="21"/>
        </w:rPr>
        <w:t>T</w:t>
      </w:r>
      <w:r w:rsidR="00781378" w:rsidRPr="007B77A7">
        <w:rPr>
          <w:rFonts w:ascii="Gellix" w:hAnsi="Gellix"/>
          <w:sz w:val="21"/>
          <w:szCs w:val="21"/>
        </w:rPr>
        <w:t xml:space="preserve">he </w:t>
      </w:r>
      <w:r w:rsidR="00952742" w:rsidRPr="007B77A7">
        <w:rPr>
          <w:rFonts w:ascii="Gellix" w:hAnsi="Gellix"/>
          <w:sz w:val="21"/>
          <w:szCs w:val="21"/>
        </w:rPr>
        <w:t xml:space="preserve">EU </w:t>
      </w:r>
      <w:r w:rsidR="00781378" w:rsidRPr="007B77A7">
        <w:rPr>
          <w:rFonts w:ascii="Gellix" w:hAnsi="Gellix"/>
          <w:sz w:val="21"/>
          <w:szCs w:val="21"/>
        </w:rPr>
        <w:t>CBAM will create a heavy administrative burden for the trade of those products covered in the mechanism</w:t>
      </w:r>
      <w:r w:rsidR="008F2487" w:rsidRPr="007B77A7">
        <w:rPr>
          <w:rFonts w:ascii="Gellix" w:hAnsi="Gellix"/>
          <w:sz w:val="21"/>
          <w:szCs w:val="21"/>
        </w:rPr>
        <w:t xml:space="preserve">, as </w:t>
      </w:r>
      <w:r w:rsidR="008C4CA9" w:rsidRPr="007B77A7">
        <w:rPr>
          <w:rFonts w:ascii="Gellix" w:hAnsi="Gellix"/>
          <w:sz w:val="21"/>
          <w:szCs w:val="21"/>
        </w:rPr>
        <w:t xml:space="preserve">its implementation will </w:t>
      </w:r>
      <w:r w:rsidR="00D07A3B" w:rsidRPr="007B77A7">
        <w:rPr>
          <w:rFonts w:ascii="Gellix" w:hAnsi="Gellix"/>
          <w:sz w:val="21"/>
          <w:szCs w:val="21"/>
        </w:rPr>
        <w:t>re</w:t>
      </w:r>
      <w:r w:rsidR="00BD303F" w:rsidRPr="007B77A7">
        <w:rPr>
          <w:rFonts w:ascii="Gellix" w:hAnsi="Gellix"/>
          <w:sz w:val="21"/>
          <w:szCs w:val="21"/>
        </w:rPr>
        <w:t xml:space="preserve">quire the burden of proof on importers into the EU in the sectors covered, to i) prove the </w:t>
      </w:r>
      <w:r w:rsidR="00B14034" w:rsidRPr="007B77A7">
        <w:rPr>
          <w:rFonts w:ascii="Gellix" w:hAnsi="Gellix"/>
          <w:sz w:val="21"/>
          <w:szCs w:val="21"/>
        </w:rPr>
        <w:t>level of emissions from production and ii) if applicable, prove that a carbon price was paid in the country of origin.</w:t>
      </w:r>
      <w:r w:rsidR="00405512" w:rsidRPr="007B77A7">
        <w:rPr>
          <w:rFonts w:ascii="Gellix" w:hAnsi="Gellix"/>
          <w:sz w:val="21"/>
          <w:szCs w:val="21"/>
        </w:rPr>
        <w:t xml:space="preserve">  </w:t>
      </w:r>
    </w:p>
    <w:p w14:paraId="5CFF7A80" w14:textId="77777777" w:rsidR="005C7782" w:rsidRPr="005C7782" w:rsidRDefault="005C7782" w:rsidP="005C7782">
      <w:pPr>
        <w:pStyle w:val="ListParagraph"/>
        <w:rPr>
          <w:rFonts w:ascii="Gellix" w:hAnsi="Gellix"/>
          <w:sz w:val="21"/>
          <w:szCs w:val="21"/>
        </w:rPr>
      </w:pPr>
    </w:p>
    <w:p w14:paraId="1F117831" w14:textId="607C9418" w:rsidR="005159BE" w:rsidRPr="005159BE" w:rsidRDefault="00405512" w:rsidP="005C7782">
      <w:pPr>
        <w:pStyle w:val="ListParagraph"/>
        <w:numPr>
          <w:ilvl w:val="0"/>
          <w:numId w:val="61"/>
        </w:numPr>
        <w:spacing w:after="0" w:line="240" w:lineRule="auto"/>
        <w:rPr>
          <w:rFonts w:ascii="Gellix" w:hAnsi="Gellix"/>
          <w:color w:val="000000"/>
          <w:sz w:val="21"/>
          <w:szCs w:val="21"/>
          <w:shd w:val="clear" w:color="auto" w:fill="FFFFFF"/>
        </w:rPr>
      </w:pPr>
      <w:r w:rsidRPr="007B77A7">
        <w:rPr>
          <w:rFonts w:ascii="Gellix" w:hAnsi="Gellix"/>
          <w:sz w:val="21"/>
          <w:szCs w:val="21"/>
        </w:rPr>
        <w:t>If the declaration of emissions and carbon pricing systems proves to be too complex or cumbersome for importers, the EU CBAM could in turn hinder trade flows between the EU and non-EU countries</w:t>
      </w:r>
      <w:r w:rsidR="006A09E9" w:rsidRPr="007B77A7">
        <w:rPr>
          <w:rFonts w:ascii="Gellix" w:hAnsi="Gellix"/>
          <w:sz w:val="21"/>
          <w:szCs w:val="21"/>
        </w:rPr>
        <w:t xml:space="preserve"> and restrict market access to the EU.</w:t>
      </w:r>
      <w:r w:rsidR="00BB5DBF">
        <w:rPr>
          <w:rFonts w:ascii="Gellix" w:hAnsi="Gellix"/>
          <w:sz w:val="21"/>
          <w:szCs w:val="21"/>
        </w:rPr>
        <w:t xml:space="preserve"> </w:t>
      </w:r>
      <w:r w:rsidR="00781378" w:rsidRPr="007B77A7">
        <w:rPr>
          <w:rFonts w:ascii="Gellix" w:hAnsi="Gellix"/>
          <w:sz w:val="21"/>
          <w:szCs w:val="21"/>
        </w:rPr>
        <w:t xml:space="preserve">It would be </w:t>
      </w:r>
      <w:r w:rsidR="00012315" w:rsidRPr="007B77A7">
        <w:rPr>
          <w:rFonts w:ascii="Gellix" w:hAnsi="Gellix"/>
          <w:sz w:val="21"/>
          <w:szCs w:val="21"/>
        </w:rPr>
        <w:t>preferable</w:t>
      </w:r>
      <w:r w:rsidR="00781378" w:rsidRPr="007B77A7">
        <w:rPr>
          <w:rFonts w:ascii="Gellix" w:hAnsi="Gellix"/>
          <w:sz w:val="21"/>
          <w:szCs w:val="21"/>
        </w:rPr>
        <w:t xml:space="preserve"> that a member state or the EU itself could recogni</w:t>
      </w:r>
      <w:r w:rsidR="00BB5DBF">
        <w:rPr>
          <w:rFonts w:ascii="Gellix" w:hAnsi="Gellix"/>
          <w:sz w:val="21"/>
          <w:szCs w:val="21"/>
        </w:rPr>
        <w:t>s</w:t>
      </w:r>
      <w:r w:rsidR="00781378" w:rsidRPr="007B77A7">
        <w:rPr>
          <w:rFonts w:ascii="Gellix" w:hAnsi="Gellix"/>
          <w:sz w:val="21"/>
          <w:szCs w:val="21"/>
        </w:rPr>
        <w:t xml:space="preserve">e a trading partner country’s carbon pricing system, </w:t>
      </w:r>
      <w:r w:rsidR="00012315" w:rsidRPr="007B77A7">
        <w:rPr>
          <w:rFonts w:ascii="Gellix" w:hAnsi="Gellix"/>
          <w:sz w:val="21"/>
          <w:szCs w:val="21"/>
        </w:rPr>
        <w:t>however current</w:t>
      </w:r>
      <w:r w:rsidR="00781378" w:rsidRPr="007B77A7">
        <w:rPr>
          <w:rFonts w:ascii="Gellix" w:hAnsi="Gellix"/>
          <w:sz w:val="21"/>
          <w:szCs w:val="21"/>
        </w:rPr>
        <w:t xml:space="preserve"> legislation does not </w:t>
      </w:r>
      <w:r w:rsidR="00012315" w:rsidRPr="007B77A7">
        <w:rPr>
          <w:rFonts w:ascii="Gellix" w:hAnsi="Gellix"/>
          <w:sz w:val="21"/>
          <w:szCs w:val="21"/>
        </w:rPr>
        <w:t>provide for that</w:t>
      </w:r>
      <w:r w:rsidR="00781378" w:rsidRPr="007B77A7">
        <w:rPr>
          <w:rFonts w:ascii="Gellix" w:hAnsi="Gellix"/>
          <w:sz w:val="21"/>
          <w:szCs w:val="21"/>
        </w:rPr>
        <w:t xml:space="preserve">. </w:t>
      </w:r>
      <w:r w:rsidR="007B59EE" w:rsidRPr="007B77A7">
        <w:rPr>
          <w:rFonts w:ascii="Gellix" w:hAnsi="Gellix"/>
          <w:sz w:val="21"/>
          <w:szCs w:val="21"/>
        </w:rPr>
        <w:t>For example, if</w:t>
      </w:r>
      <w:r w:rsidR="00781378" w:rsidRPr="007B77A7">
        <w:rPr>
          <w:rFonts w:ascii="Gellix" w:hAnsi="Gellix"/>
          <w:sz w:val="21"/>
          <w:szCs w:val="21"/>
        </w:rPr>
        <w:t xml:space="preserve"> 100 different companies import fertili</w:t>
      </w:r>
      <w:r w:rsidR="00BB5DBF">
        <w:rPr>
          <w:rFonts w:ascii="Gellix" w:hAnsi="Gellix"/>
          <w:sz w:val="21"/>
          <w:szCs w:val="21"/>
        </w:rPr>
        <w:t>z</w:t>
      </w:r>
      <w:r w:rsidR="00781378" w:rsidRPr="007B77A7">
        <w:rPr>
          <w:rFonts w:ascii="Gellix" w:hAnsi="Gellix"/>
          <w:sz w:val="21"/>
          <w:szCs w:val="21"/>
        </w:rPr>
        <w:t xml:space="preserve">ers from China or Canada to the EU, each </w:t>
      </w:r>
      <w:r w:rsidR="00E00559" w:rsidRPr="007B77A7">
        <w:rPr>
          <w:rFonts w:ascii="Gellix" w:hAnsi="Gellix"/>
          <w:sz w:val="21"/>
          <w:szCs w:val="21"/>
        </w:rPr>
        <w:t xml:space="preserve">company </w:t>
      </w:r>
      <w:r w:rsidR="00781378" w:rsidRPr="007B77A7">
        <w:rPr>
          <w:rFonts w:ascii="Gellix" w:hAnsi="Gellix"/>
          <w:sz w:val="21"/>
          <w:szCs w:val="21"/>
        </w:rPr>
        <w:t>would</w:t>
      </w:r>
      <w:r w:rsidR="00D57D38" w:rsidRPr="007B77A7">
        <w:rPr>
          <w:rFonts w:ascii="Gellix" w:hAnsi="Gellix"/>
          <w:sz w:val="21"/>
          <w:szCs w:val="21"/>
        </w:rPr>
        <w:t xml:space="preserve"> need to</w:t>
      </w:r>
      <w:r w:rsidR="00781378" w:rsidRPr="007B77A7">
        <w:rPr>
          <w:rFonts w:ascii="Gellix" w:hAnsi="Gellix"/>
          <w:sz w:val="21"/>
          <w:szCs w:val="21"/>
        </w:rPr>
        <w:t xml:space="preserve"> individually </w:t>
      </w:r>
      <w:r w:rsidR="00D57D38" w:rsidRPr="007B77A7">
        <w:rPr>
          <w:rFonts w:ascii="Gellix" w:hAnsi="Gellix"/>
          <w:sz w:val="21"/>
          <w:szCs w:val="21"/>
        </w:rPr>
        <w:t>describe</w:t>
      </w:r>
      <w:r w:rsidR="00781378" w:rsidRPr="007B77A7">
        <w:rPr>
          <w:rFonts w:ascii="Gellix" w:hAnsi="Gellix"/>
          <w:sz w:val="21"/>
          <w:szCs w:val="21"/>
        </w:rPr>
        <w:t xml:space="preserve"> to the national authorities how the Chinese or Canadian ETS system relates to the EU ETS and how this impacts the </w:t>
      </w:r>
      <w:r w:rsidR="00473E5C" w:rsidRPr="007B77A7">
        <w:rPr>
          <w:rFonts w:ascii="Gellix" w:hAnsi="Gellix"/>
          <w:sz w:val="21"/>
          <w:szCs w:val="21"/>
        </w:rPr>
        <w:t xml:space="preserve">relevant payments they would need </w:t>
      </w:r>
      <w:r w:rsidR="00781378" w:rsidRPr="007B77A7">
        <w:rPr>
          <w:rFonts w:ascii="Gellix" w:hAnsi="Gellix"/>
          <w:sz w:val="21"/>
          <w:szCs w:val="21"/>
        </w:rPr>
        <w:t>to make.</w:t>
      </w:r>
    </w:p>
    <w:p w14:paraId="0FF48987" w14:textId="334CA98E" w:rsidR="005159BE" w:rsidRPr="005159BE" w:rsidRDefault="004A0DDB" w:rsidP="005159BE">
      <w:pPr>
        <w:pStyle w:val="ListParagraph"/>
        <w:spacing w:after="0" w:line="240" w:lineRule="auto"/>
        <w:ind w:left="360"/>
        <w:rPr>
          <w:rFonts w:ascii="Gellix" w:hAnsi="Gellix"/>
          <w:color w:val="000000"/>
          <w:sz w:val="21"/>
          <w:szCs w:val="21"/>
          <w:shd w:val="clear" w:color="auto" w:fill="FFFFFF"/>
        </w:rPr>
      </w:pPr>
      <w:r w:rsidRPr="007B77A7">
        <w:rPr>
          <w:rFonts w:ascii="Gellix" w:hAnsi="Gellix"/>
          <w:sz w:val="21"/>
          <w:szCs w:val="21"/>
        </w:rPr>
        <w:t xml:space="preserve">  </w:t>
      </w:r>
    </w:p>
    <w:p w14:paraId="08785C8E" w14:textId="77777777" w:rsidR="005159BE" w:rsidRPr="005159BE" w:rsidRDefault="00DF0029" w:rsidP="005159BE">
      <w:pPr>
        <w:pStyle w:val="ListParagraph"/>
        <w:numPr>
          <w:ilvl w:val="0"/>
          <w:numId w:val="53"/>
        </w:numPr>
        <w:spacing w:after="0" w:line="240" w:lineRule="auto"/>
        <w:rPr>
          <w:rFonts w:ascii="Gellix" w:hAnsi="Gellix"/>
          <w:color w:val="000000"/>
          <w:sz w:val="21"/>
          <w:szCs w:val="21"/>
          <w:shd w:val="clear" w:color="auto" w:fill="FFFFFF"/>
        </w:rPr>
      </w:pPr>
      <w:r w:rsidRPr="005159BE">
        <w:rPr>
          <w:rFonts w:ascii="Gellix" w:hAnsi="Gellix"/>
          <w:sz w:val="21"/>
          <w:szCs w:val="21"/>
        </w:rPr>
        <w:t>ICC recently contributed</w:t>
      </w:r>
      <w:r>
        <w:rPr>
          <w:rStyle w:val="FootnoteReference"/>
          <w:rFonts w:ascii="Gellix" w:hAnsi="Gellix"/>
          <w:sz w:val="21"/>
          <w:szCs w:val="21"/>
        </w:rPr>
        <w:footnoteReference w:id="23"/>
      </w:r>
      <w:r w:rsidRPr="005159BE">
        <w:rPr>
          <w:rFonts w:ascii="Gellix" w:hAnsi="Gellix"/>
          <w:sz w:val="21"/>
          <w:szCs w:val="21"/>
        </w:rPr>
        <w:t xml:space="preserve"> to a consultation specifically on the implementation and operationalisation of the European Commission’s draft act for the application of Regulation (EU) 2023/956 regarding the EU CBAM, which outlines existing challenges for businesses in implementing the Act, including entry into effect, a transitional phase, navigating uncertainty with limited visibility and lack of comprehensive guidance and highlights the need for strengthened public-private sector collaboration</w:t>
      </w:r>
      <w:r w:rsidR="002D33A2" w:rsidRPr="005159BE">
        <w:rPr>
          <w:rFonts w:ascii="Gellix" w:hAnsi="Gellix"/>
          <w:sz w:val="21"/>
          <w:szCs w:val="21"/>
        </w:rPr>
        <w:t>, greater clarity and comprehensive guidance</w:t>
      </w:r>
      <w:r w:rsidRPr="005159BE">
        <w:rPr>
          <w:rFonts w:ascii="Gellix" w:hAnsi="Gellix"/>
          <w:sz w:val="21"/>
          <w:szCs w:val="21"/>
        </w:rPr>
        <w:t>.</w:t>
      </w:r>
    </w:p>
    <w:p w14:paraId="0C8371EE" w14:textId="77777777" w:rsidR="005159BE" w:rsidRPr="005159BE" w:rsidRDefault="005159BE" w:rsidP="005159BE">
      <w:pPr>
        <w:pStyle w:val="ListParagraph"/>
        <w:rPr>
          <w:rFonts w:ascii="Gellix" w:hAnsi="Gellix"/>
          <w:sz w:val="21"/>
          <w:szCs w:val="21"/>
        </w:rPr>
      </w:pPr>
    </w:p>
    <w:p w14:paraId="6052E064" w14:textId="77777777" w:rsidR="00215329" w:rsidRPr="00215329" w:rsidRDefault="00F15C34" w:rsidP="005159BE">
      <w:pPr>
        <w:pStyle w:val="ListParagraph"/>
        <w:numPr>
          <w:ilvl w:val="0"/>
          <w:numId w:val="53"/>
        </w:numPr>
        <w:spacing w:after="0" w:line="240" w:lineRule="auto"/>
        <w:rPr>
          <w:rFonts w:ascii="Gellix" w:hAnsi="Gellix"/>
          <w:color w:val="000000"/>
          <w:sz w:val="21"/>
          <w:szCs w:val="21"/>
          <w:shd w:val="clear" w:color="auto" w:fill="FFFFFF"/>
        </w:rPr>
      </w:pPr>
      <w:r w:rsidRPr="005159BE">
        <w:rPr>
          <w:rFonts w:ascii="Gellix" w:hAnsi="Gellix"/>
          <w:sz w:val="21"/>
          <w:szCs w:val="21"/>
        </w:rPr>
        <w:t xml:space="preserve">The question of </w:t>
      </w:r>
      <w:r w:rsidR="00867B13" w:rsidRPr="005159BE">
        <w:rPr>
          <w:rFonts w:ascii="Gellix" w:hAnsi="Gellix"/>
          <w:sz w:val="21"/>
          <w:szCs w:val="21"/>
        </w:rPr>
        <w:t xml:space="preserve">equivalence </w:t>
      </w:r>
      <w:r w:rsidR="00E056D0" w:rsidRPr="005159BE">
        <w:rPr>
          <w:rFonts w:ascii="Gellix" w:hAnsi="Gellix"/>
          <w:sz w:val="21"/>
          <w:szCs w:val="21"/>
        </w:rPr>
        <w:t>or difference in pricing to compensate for l</w:t>
      </w:r>
      <w:r w:rsidR="00E832F1" w:rsidRPr="005159BE">
        <w:rPr>
          <w:rFonts w:ascii="Gellix" w:hAnsi="Gellix"/>
          <w:sz w:val="21"/>
          <w:szCs w:val="21"/>
        </w:rPr>
        <w:t xml:space="preserve">eakage </w:t>
      </w:r>
      <w:r w:rsidR="00582346" w:rsidRPr="005159BE">
        <w:rPr>
          <w:rFonts w:ascii="Gellix" w:hAnsi="Gellix"/>
          <w:sz w:val="21"/>
          <w:szCs w:val="21"/>
        </w:rPr>
        <w:t xml:space="preserve">is another </w:t>
      </w:r>
      <w:r w:rsidR="00F121BD" w:rsidRPr="005159BE">
        <w:rPr>
          <w:rFonts w:ascii="Gellix" w:hAnsi="Gellix"/>
          <w:sz w:val="21"/>
          <w:szCs w:val="21"/>
        </w:rPr>
        <w:t>element for consideration that could pose certain challenges.</w:t>
      </w:r>
      <w:r w:rsidR="00215329">
        <w:rPr>
          <w:rFonts w:ascii="Gellix" w:hAnsi="Gellix"/>
          <w:sz w:val="21"/>
          <w:szCs w:val="21"/>
        </w:rPr>
        <w:t xml:space="preserve"> </w:t>
      </w:r>
      <w:r w:rsidR="005540FC" w:rsidRPr="005159BE">
        <w:rPr>
          <w:rFonts w:ascii="Gellix" w:hAnsi="Gellix"/>
          <w:sz w:val="21"/>
          <w:szCs w:val="21"/>
        </w:rPr>
        <w:t xml:space="preserve">In instances where an exporting country </w:t>
      </w:r>
      <w:r w:rsidR="00076591" w:rsidRPr="005159BE">
        <w:rPr>
          <w:rFonts w:ascii="Gellix" w:hAnsi="Gellix"/>
          <w:sz w:val="21"/>
          <w:szCs w:val="21"/>
        </w:rPr>
        <w:t>has</w:t>
      </w:r>
      <w:r w:rsidR="005540FC" w:rsidRPr="005159BE">
        <w:rPr>
          <w:rFonts w:ascii="Gellix" w:hAnsi="Gellix"/>
          <w:sz w:val="21"/>
          <w:szCs w:val="21"/>
        </w:rPr>
        <w:t xml:space="preserve"> </w:t>
      </w:r>
      <w:r w:rsidR="00C61E15" w:rsidRPr="005159BE">
        <w:rPr>
          <w:rFonts w:ascii="Gellix" w:hAnsi="Gellix"/>
          <w:sz w:val="21"/>
          <w:szCs w:val="21"/>
        </w:rPr>
        <w:t xml:space="preserve">a lower </w:t>
      </w:r>
      <w:r w:rsidR="0015362A" w:rsidRPr="005159BE">
        <w:rPr>
          <w:rFonts w:ascii="Gellix" w:hAnsi="Gellix"/>
          <w:sz w:val="21"/>
          <w:szCs w:val="21"/>
        </w:rPr>
        <w:t>carbon</w:t>
      </w:r>
      <w:r w:rsidR="00C4267D" w:rsidRPr="005159BE">
        <w:rPr>
          <w:rFonts w:ascii="Gellix" w:hAnsi="Gellix"/>
          <w:sz w:val="21"/>
          <w:szCs w:val="21"/>
        </w:rPr>
        <w:t xml:space="preserve"> price</w:t>
      </w:r>
      <w:r w:rsidR="00E63699" w:rsidRPr="005159BE">
        <w:rPr>
          <w:rFonts w:ascii="Gellix" w:hAnsi="Gellix"/>
          <w:sz w:val="21"/>
          <w:szCs w:val="21"/>
        </w:rPr>
        <w:t xml:space="preserve">, </w:t>
      </w:r>
      <w:r w:rsidR="007E5227" w:rsidRPr="005159BE">
        <w:rPr>
          <w:rFonts w:ascii="Gellix" w:hAnsi="Gellix"/>
          <w:sz w:val="21"/>
          <w:szCs w:val="21"/>
        </w:rPr>
        <w:t xml:space="preserve">the question arises as to whether </w:t>
      </w:r>
      <w:r w:rsidR="00076591" w:rsidRPr="005159BE">
        <w:rPr>
          <w:rFonts w:ascii="Gellix" w:hAnsi="Gellix"/>
          <w:sz w:val="21"/>
          <w:szCs w:val="21"/>
        </w:rPr>
        <w:t>the</w:t>
      </w:r>
      <w:r w:rsidR="00317DE9" w:rsidRPr="005159BE">
        <w:rPr>
          <w:rFonts w:ascii="Gellix" w:hAnsi="Gellix"/>
          <w:sz w:val="21"/>
          <w:szCs w:val="21"/>
        </w:rPr>
        <w:t xml:space="preserve"> price </w:t>
      </w:r>
      <w:r w:rsidR="003D4B2D" w:rsidRPr="005159BE">
        <w:rPr>
          <w:rFonts w:ascii="Gellix" w:hAnsi="Gellix"/>
          <w:sz w:val="21"/>
          <w:szCs w:val="21"/>
        </w:rPr>
        <w:t xml:space="preserve">for the BCA </w:t>
      </w:r>
      <w:r w:rsidR="00317DE9" w:rsidRPr="005159BE">
        <w:rPr>
          <w:rFonts w:ascii="Gellix" w:hAnsi="Gellix"/>
          <w:sz w:val="21"/>
          <w:szCs w:val="21"/>
        </w:rPr>
        <w:t xml:space="preserve">be applied </w:t>
      </w:r>
      <w:r w:rsidR="00000AEA" w:rsidRPr="005159BE">
        <w:rPr>
          <w:rFonts w:ascii="Gellix" w:hAnsi="Gellix"/>
          <w:sz w:val="21"/>
          <w:szCs w:val="21"/>
        </w:rPr>
        <w:t>for the difference between the</w:t>
      </w:r>
      <w:r w:rsidR="0015362A" w:rsidRPr="005159BE">
        <w:rPr>
          <w:rFonts w:ascii="Gellix" w:hAnsi="Gellix"/>
          <w:sz w:val="21"/>
          <w:szCs w:val="21"/>
        </w:rPr>
        <w:t xml:space="preserve"> carbon</w:t>
      </w:r>
      <w:r w:rsidR="00BC0A11" w:rsidRPr="005159BE">
        <w:rPr>
          <w:rFonts w:ascii="Gellix" w:hAnsi="Gellix"/>
          <w:sz w:val="21"/>
          <w:szCs w:val="21"/>
        </w:rPr>
        <w:t xml:space="preserve"> price of the </w:t>
      </w:r>
      <w:r w:rsidR="00035AEB" w:rsidRPr="005159BE">
        <w:rPr>
          <w:rFonts w:ascii="Gellix" w:hAnsi="Gellix"/>
          <w:sz w:val="21"/>
          <w:szCs w:val="21"/>
        </w:rPr>
        <w:t>importing and exporting country; or w</w:t>
      </w:r>
      <w:r w:rsidR="00005734" w:rsidRPr="005159BE">
        <w:rPr>
          <w:rFonts w:ascii="Gellix" w:hAnsi="Gellix"/>
          <w:sz w:val="21"/>
          <w:szCs w:val="21"/>
        </w:rPr>
        <w:t xml:space="preserve">ill </w:t>
      </w:r>
      <w:r w:rsidR="00A61779" w:rsidRPr="005159BE">
        <w:rPr>
          <w:rFonts w:ascii="Gellix" w:hAnsi="Gellix"/>
          <w:sz w:val="21"/>
          <w:szCs w:val="21"/>
        </w:rPr>
        <w:t>considerations</w:t>
      </w:r>
      <w:r w:rsidR="003C4ED0" w:rsidRPr="005159BE">
        <w:rPr>
          <w:rFonts w:ascii="Gellix" w:hAnsi="Gellix"/>
          <w:sz w:val="21"/>
          <w:szCs w:val="21"/>
        </w:rPr>
        <w:t xml:space="preserve"> be given</w:t>
      </w:r>
      <w:r w:rsidR="00A61779" w:rsidRPr="005159BE">
        <w:rPr>
          <w:rFonts w:ascii="Gellix" w:hAnsi="Gellix"/>
          <w:sz w:val="21"/>
          <w:szCs w:val="21"/>
        </w:rPr>
        <w:t xml:space="preserve"> </w:t>
      </w:r>
      <w:r w:rsidR="00955F74" w:rsidRPr="005159BE">
        <w:rPr>
          <w:rFonts w:ascii="Gellix" w:hAnsi="Gellix"/>
          <w:sz w:val="21"/>
          <w:szCs w:val="21"/>
        </w:rPr>
        <w:t xml:space="preserve">where the exporting country price </w:t>
      </w:r>
      <w:r w:rsidR="00AB0310" w:rsidRPr="005159BE">
        <w:rPr>
          <w:rFonts w:ascii="Gellix" w:hAnsi="Gellix"/>
          <w:sz w:val="21"/>
          <w:szCs w:val="21"/>
        </w:rPr>
        <w:t>could be</w:t>
      </w:r>
      <w:r w:rsidR="00955F74" w:rsidRPr="005159BE">
        <w:rPr>
          <w:rFonts w:ascii="Gellix" w:hAnsi="Gellix"/>
          <w:sz w:val="21"/>
          <w:szCs w:val="21"/>
        </w:rPr>
        <w:t xml:space="preserve"> considered sufficient</w:t>
      </w:r>
      <w:r w:rsidR="009A40C4" w:rsidRPr="005159BE">
        <w:rPr>
          <w:rFonts w:ascii="Gellix" w:hAnsi="Gellix"/>
          <w:sz w:val="21"/>
          <w:szCs w:val="21"/>
        </w:rPr>
        <w:t xml:space="preserve"> vis-à-vis </w:t>
      </w:r>
      <w:r w:rsidR="00587730" w:rsidRPr="005159BE">
        <w:rPr>
          <w:rFonts w:ascii="Gellix" w:hAnsi="Gellix"/>
          <w:sz w:val="21"/>
          <w:szCs w:val="21"/>
        </w:rPr>
        <w:t xml:space="preserve">the </w:t>
      </w:r>
      <w:r w:rsidR="00925C85" w:rsidRPr="005159BE">
        <w:rPr>
          <w:rFonts w:ascii="Gellix" w:hAnsi="Gellix"/>
          <w:sz w:val="21"/>
          <w:szCs w:val="21"/>
        </w:rPr>
        <w:t>abilit</w:t>
      </w:r>
      <w:r w:rsidR="00606DF2" w:rsidRPr="005159BE">
        <w:rPr>
          <w:rFonts w:ascii="Gellix" w:hAnsi="Gellix"/>
          <w:sz w:val="21"/>
          <w:szCs w:val="21"/>
        </w:rPr>
        <w:t>y</w:t>
      </w:r>
      <w:r w:rsidR="00E024D4" w:rsidRPr="005159BE">
        <w:rPr>
          <w:rFonts w:ascii="Gellix" w:hAnsi="Gellix"/>
          <w:sz w:val="21"/>
          <w:szCs w:val="21"/>
        </w:rPr>
        <w:t xml:space="preserve">/limitations of that country to </w:t>
      </w:r>
      <w:r w:rsidR="00785369" w:rsidRPr="005159BE">
        <w:rPr>
          <w:rFonts w:ascii="Gellix" w:hAnsi="Gellix"/>
          <w:sz w:val="21"/>
          <w:szCs w:val="21"/>
        </w:rPr>
        <w:t xml:space="preserve">effect a higher </w:t>
      </w:r>
      <w:r w:rsidR="0015362A" w:rsidRPr="005159BE">
        <w:rPr>
          <w:rFonts w:ascii="Gellix" w:hAnsi="Gellix"/>
          <w:sz w:val="21"/>
          <w:szCs w:val="21"/>
        </w:rPr>
        <w:t>carbon</w:t>
      </w:r>
      <w:r w:rsidR="00785369" w:rsidRPr="005159BE">
        <w:rPr>
          <w:rFonts w:ascii="Gellix" w:hAnsi="Gellix"/>
          <w:sz w:val="21"/>
          <w:szCs w:val="21"/>
        </w:rPr>
        <w:t xml:space="preserve"> price</w:t>
      </w:r>
      <w:r w:rsidR="00946A98" w:rsidRPr="005159BE">
        <w:rPr>
          <w:rFonts w:ascii="Gellix" w:hAnsi="Gellix"/>
          <w:sz w:val="21"/>
          <w:szCs w:val="21"/>
        </w:rPr>
        <w:t>; particularly in developing countries</w:t>
      </w:r>
      <w:r w:rsidR="001A65C0" w:rsidRPr="005159BE">
        <w:rPr>
          <w:rFonts w:ascii="Gellix" w:hAnsi="Gellix"/>
          <w:sz w:val="21"/>
          <w:szCs w:val="21"/>
        </w:rPr>
        <w:t xml:space="preserve">? </w:t>
      </w:r>
    </w:p>
    <w:p w14:paraId="6677485F" w14:textId="77777777" w:rsidR="00215329" w:rsidRPr="00215329" w:rsidRDefault="00215329" w:rsidP="00215329">
      <w:pPr>
        <w:pStyle w:val="ListParagraph"/>
        <w:rPr>
          <w:rFonts w:ascii="Gellix" w:hAnsi="Gellix"/>
          <w:sz w:val="21"/>
          <w:szCs w:val="21"/>
        </w:rPr>
      </w:pPr>
    </w:p>
    <w:p w14:paraId="52604B8D" w14:textId="1244468A" w:rsidR="005159BE" w:rsidRPr="00215329" w:rsidRDefault="00F81166" w:rsidP="00215329">
      <w:pPr>
        <w:pStyle w:val="ListParagraph"/>
        <w:numPr>
          <w:ilvl w:val="0"/>
          <w:numId w:val="61"/>
        </w:numPr>
        <w:spacing w:after="0" w:line="240" w:lineRule="auto"/>
        <w:rPr>
          <w:rFonts w:ascii="Gellix" w:hAnsi="Gellix"/>
          <w:color w:val="000000"/>
          <w:sz w:val="21"/>
          <w:szCs w:val="21"/>
          <w:shd w:val="clear" w:color="auto" w:fill="FFFFFF"/>
        </w:rPr>
      </w:pPr>
      <w:r w:rsidRPr="00215329">
        <w:rPr>
          <w:rFonts w:ascii="Gellix" w:hAnsi="Gellix"/>
          <w:sz w:val="21"/>
          <w:szCs w:val="21"/>
        </w:rPr>
        <w:t xml:space="preserve">In this respect </w:t>
      </w:r>
      <w:r w:rsidR="001A65C0" w:rsidRPr="00215329">
        <w:rPr>
          <w:rFonts w:ascii="Gellix" w:hAnsi="Gellix"/>
          <w:sz w:val="21"/>
          <w:szCs w:val="21"/>
        </w:rPr>
        <w:t xml:space="preserve">options are </w:t>
      </w:r>
      <w:r w:rsidR="000452CD" w:rsidRPr="00215329">
        <w:rPr>
          <w:rFonts w:ascii="Gellix" w:hAnsi="Gellix"/>
          <w:sz w:val="21"/>
          <w:szCs w:val="21"/>
        </w:rPr>
        <w:t xml:space="preserve">being </w:t>
      </w:r>
      <w:r w:rsidR="001A65C0" w:rsidRPr="00215329">
        <w:rPr>
          <w:rFonts w:ascii="Gellix" w:hAnsi="Gellix"/>
          <w:sz w:val="21"/>
          <w:szCs w:val="21"/>
        </w:rPr>
        <w:t>considered</w:t>
      </w:r>
      <w:r w:rsidR="00E23A2F" w:rsidRPr="00215329">
        <w:rPr>
          <w:rFonts w:ascii="Gellix" w:hAnsi="Gellix"/>
          <w:sz w:val="21"/>
          <w:szCs w:val="21"/>
        </w:rPr>
        <w:t xml:space="preserve"> </w:t>
      </w:r>
      <w:r w:rsidR="00062E88" w:rsidRPr="00215329">
        <w:rPr>
          <w:rFonts w:ascii="Gellix" w:hAnsi="Gellix"/>
          <w:sz w:val="21"/>
          <w:szCs w:val="21"/>
        </w:rPr>
        <w:t xml:space="preserve">to provide for an export levy </w:t>
      </w:r>
      <w:r w:rsidR="00061EE2" w:rsidRPr="00215329">
        <w:rPr>
          <w:rFonts w:ascii="Gellix" w:hAnsi="Gellix"/>
          <w:sz w:val="21"/>
          <w:szCs w:val="21"/>
        </w:rPr>
        <w:t>on producers</w:t>
      </w:r>
      <w:r w:rsidR="008C2697" w:rsidRPr="00215329">
        <w:rPr>
          <w:rFonts w:ascii="Gellix" w:hAnsi="Gellix"/>
          <w:sz w:val="21"/>
          <w:szCs w:val="21"/>
        </w:rPr>
        <w:t>, as an equivalent on the export.</w:t>
      </w:r>
      <w:r w:rsidR="00492027" w:rsidRPr="00215329">
        <w:rPr>
          <w:rFonts w:ascii="Gellix" w:hAnsi="Gellix"/>
          <w:sz w:val="21"/>
          <w:szCs w:val="21"/>
        </w:rPr>
        <w:t xml:space="preserve"> Relatedly, questions have been raised as to whether other countries should be compelled to introduce a higher carbon price if they are not a high emitting country and contribute a relatively small percentage to global emissions.</w:t>
      </w:r>
    </w:p>
    <w:p w14:paraId="533F4347" w14:textId="77777777" w:rsidR="005159BE" w:rsidRPr="005159BE" w:rsidRDefault="005159BE" w:rsidP="005159BE">
      <w:pPr>
        <w:pStyle w:val="ListParagraph"/>
        <w:rPr>
          <w:rFonts w:ascii="Gellix" w:hAnsi="Gellix"/>
          <w:sz w:val="21"/>
          <w:szCs w:val="21"/>
        </w:rPr>
      </w:pPr>
    </w:p>
    <w:p w14:paraId="60BBBE67" w14:textId="77777777" w:rsidR="003479B8" w:rsidRPr="003479B8" w:rsidRDefault="00A22ED9" w:rsidP="003479B8">
      <w:pPr>
        <w:pStyle w:val="ListParagraph"/>
        <w:numPr>
          <w:ilvl w:val="0"/>
          <w:numId w:val="53"/>
        </w:numPr>
        <w:spacing w:after="0" w:line="240" w:lineRule="auto"/>
        <w:rPr>
          <w:rFonts w:ascii="Gellix" w:hAnsi="Gellix"/>
          <w:color w:val="000000"/>
          <w:sz w:val="21"/>
          <w:szCs w:val="21"/>
          <w:shd w:val="clear" w:color="auto" w:fill="FFFFFF"/>
        </w:rPr>
      </w:pPr>
      <w:r w:rsidRPr="005159BE">
        <w:rPr>
          <w:rFonts w:ascii="Gellix" w:hAnsi="Gellix"/>
          <w:sz w:val="21"/>
          <w:szCs w:val="21"/>
        </w:rPr>
        <w:lastRenderedPageBreak/>
        <w:t xml:space="preserve">An </w:t>
      </w:r>
      <w:r w:rsidR="003B4469" w:rsidRPr="005159BE">
        <w:rPr>
          <w:rFonts w:ascii="Gellix" w:hAnsi="Gellix"/>
          <w:sz w:val="21"/>
          <w:szCs w:val="21"/>
        </w:rPr>
        <w:t>IMF Working Paper: Border Carbon Adjustments: Rationale, Design and Impact (2021)</w:t>
      </w:r>
      <w:r w:rsidR="001F047B" w:rsidRPr="001F047B">
        <w:rPr>
          <w:rStyle w:val="FootnoteReference"/>
          <w:rFonts w:ascii="Gellix" w:hAnsi="Gellix"/>
          <w:sz w:val="21"/>
          <w:szCs w:val="21"/>
        </w:rPr>
        <w:footnoteReference w:id="24"/>
      </w:r>
      <w:r w:rsidR="00FF03D6" w:rsidRPr="005159BE">
        <w:rPr>
          <w:rFonts w:ascii="Gellix" w:hAnsi="Gellix"/>
          <w:sz w:val="21"/>
          <w:szCs w:val="21"/>
        </w:rPr>
        <w:t xml:space="preserve">, </w:t>
      </w:r>
      <w:r w:rsidR="008E0FCB" w:rsidRPr="005159BE">
        <w:rPr>
          <w:rFonts w:ascii="Gellix" w:hAnsi="Gellix"/>
          <w:sz w:val="21"/>
          <w:szCs w:val="21"/>
        </w:rPr>
        <w:t xml:space="preserve">provides a helpful </w:t>
      </w:r>
      <w:r w:rsidR="002719C5" w:rsidRPr="005159BE">
        <w:rPr>
          <w:rFonts w:ascii="Gellix" w:hAnsi="Gellix"/>
          <w:sz w:val="21"/>
          <w:szCs w:val="21"/>
        </w:rPr>
        <w:t>overview of d</w:t>
      </w:r>
      <w:r w:rsidR="008E0FCB" w:rsidRPr="005159BE">
        <w:rPr>
          <w:rFonts w:ascii="Gellix" w:hAnsi="Gellix"/>
          <w:sz w:val="21"/>
          <w:szCs w:val="21"/>
        </w:rPr>
        <w:t xml:space="preserve">esign Choices for BCAs and </w:t>
      </w:r>
      <w:r w:rsidR="002719C5" w:rsidRPr="005159BE">
        <w:rPr>
          <w:rFonts w:ascii="Gellix" w:hAnsi="Gellix"/>
          <w:sz w:val="21"/>
          <w:szCs w:val="21"/>
        </w:rPr>
        <w:t>h</w:t>
      </w:r>
      <w:r w:rsidR="008E0FCB" w:rsidRPr="005159BE">
        <w:rPr>
          <w:rFonts w:ascii="Gellix" w:hAnsi="Gellix"/>
          <w:sz w:val="21"/>
          <w:szCs w:val="21"/>
        </w:rPr>
        <w:t xml:space="preserve">ow they </w:t>
      </w:r>
      <w:r w:rsidR="002719C5" w:rsidRPr="005159BE">
        <w:rPr>
          <w:rFonts w:ascii="Gellix" w:hAnsi="Gellix"/>
          <w:sz w:val="21"/>
          <w:szCs w:val="21"/>
        </w:rPr>
        <w:t>a</w:t>
      </w:r>
      <w:r w:rsidR="008E0FCB" w:rsidRPr="005159BE">
        <w:rPr>
          <w:rFonts w:ascii="Gellix" w:hAnsi="Gellix"/>
          <w:sz w:val="21"/>
          <w:szCs w:val="21"/>
        </w:rPr>
        <w:t xml:space="preserve">ffect </w:t>
      </w:r>
      <w:r w:rsidR="002719C5" w:rsidRPr="005159BE">
        <w:rPr>
          <w:rFonts w:ascii="Gellix" w:hAnsi="Gellix"/>
          <w:sz w:val="21"/>
          <w:szCs w:val="21"/>
        </w:rPr>
        <w:t>m</w:t>
      </w:r>
      <w:r w:rsidR="008E0FCB" w:rsidRPr="005159BE">
        <w:rPr>
          <w:rFonts w:ascii="Gellix" w:hAnsi="Gellix"/>
          <w:sz w:val="21"/>
          <w:szCs w:val="21"/>
        </w:rPr>
        <w:t xml:space="preserve">ultiple </w:t>
      </w:r>
      <w:r w:rsidR="002719C5" w:rsidRPr="005159BE">
        <w:rPr>
          <w:rFonts w:ascii="Gellix" w:hAnsi="Gellix"/>
          <w:sz w:val="21"/>
          <w:szCs w:val="21"/>
        </w:rPr>
        <w:t>o</w:t>
      </w:r>
      <w:r w:rsidR="008E0FCB" w:rsidRPr="005159BE">
        <w:rPr>
          <w:rFonts w:ascii="Gellix" w:hAnsi="Gellix"/>
          <w:sz w:val="21"/>
          <w:szCs w:val="21"/>
        </w:rPr>
        <w:t>bjectives</w:t>
      </w:r>
      <w:r w:rsidR="006E76EF" w:rsidRPr="005159BE">
        <w:rPr>
          <w:rFonts w:ascii="Gellix" w:hAnsi="Gellix"/>
          <w:sz w:val="21"/>
          <w:szCs w:val="21"/>
        </w:rPr>
        <w:t xml:space="preserve"> (pg</w:t>
      </w:r>
      <w:r w:rsidR="00BB0D7A" w:rsidRPr="005159BE">
        <w:rPr>
          <w:rFonts w:ascii="Gellix" w:hAnsi="Gellix"/>
          <w:sz w:val="21"/>
          <w:szCs w:val="21"/>
        </w:rPr>
        <w:t>.</w:t>
      </w:r>
      <w:r w:rsidR="006E76EF" w:rsidRPr="005159BE">
        <w:rPr>
          <w:rFonts w:ascii="Gellix" w:hAnsi="Gellix"/>
          <w:sz w:val="21"/>
          <w:szCs w:val="21"/>
        </w:rPr>
        <w:t xml:space="preserve"> 16)</w:t>
      </w:r>
      <w:r w:rsidR="00E73CDD" w:rsidRPr="005159BE">
        <w:rPr>
          <w:rFonts w:ascii="Gellix" w:hAnsi="Gellix"/>
          <w:sz w:val="21"/>
          <w:szCs w:val="21"/>
        </w:rPr>
        <w:t xml:space="preserve"> across different metrics</w:t>
      </w:r>
      <w:r w:rsidR="002D2FAA" w:rsidRPr="005159BE">
        <w:rPr>
          <w:rFonts w:ascii="Gellix" w:hAnsi="Gellix"/>
          <w:sz w:val="21"/>
          <w:szCs w:val="21"/>
        </w:rPr>
        <w:t>,</w:t>
      </w:r>
      <w:r w:rsidR="007A2121" w:rsidRPr="005159BE">
        <w:rPr>
          <w:rFonts w:ascii="Gellix" w:hAnsi="Gellix"/>
          <w:sz w:val="21"/>
          <w:szCs w:val="21"/>
        </w:rPr>
        <w:t xml:space="preserve"> including limiting leakage, pro</w:t>
      </w:r>
      <w:r w:rsidR="00DF35BA" w:rsidRPr="005159BE">
        <w:rPr>
          <w:rFonts w:ascii="Gellix" w:hAnsi="Gellix"/>
          <w:sz w:val="21"/>
          <w:szCs w:val="21"/>
        </w:rPr>
        <w:t xml:space="preserve">tecting competitiveness of EITE industries, </w:t>
      </w:r>
      <w:r w:rsidR="00335262" w:rsidRPr="005159BE">
        <w:rPr>
          <w:rFonts w:ascii="Gellix" w:hAnsi="Gellix"/>
          <w:sz w:val="21"/>
          <w:szCs w:val="21"/>
        </w:rPr>
        <w:t>promoting mitigation and carbon pricing in other countries, amongst others.</w:t>
      </w:r>
      <w:r w:rsidR="003479B8">
        <w:rPr>
          <w:rFonts w:ascii="Gellix" w:hAnsi="Gellix"/>
          <w:sz w:val="21"/>
          <w:szCs w:val="21"/>
        </w:rPr>
        <w:t xml:space="preserve"> </w:t>
      </w:r>
      <w:r w:rsidR="001A7E1D" w:rsidRPr="003479B8">
        <w:rPr>
          <w:rFonts w:ascii="Gellix" w:hAnsi="Gellix"/>
          <w:sz w:val="21"/>
          <w:szCs w:val="21"/>
        </w:rPr>
        <w:t xml:space="preserve">The table also highlights some of the challenges </w:t>
      </w:r>
      <w:r w:rsidR="001132FA" w:rsidRPr="003479B8">
        <w:rPr>
          <w:rFonts w:ascii="Gellix" w:hAnsi="Gellix"/>
          <w:sz w:val="21"/>
          <w:szCs w:val="21"/>
        </w:rPr>
        <w:t>raised above</w:t>
      </w:r>
      <w:r w:rsidR="008B410B" w:rsidRPr="003479B8">
        <w:rPr>
          <w:rFonts w:ascii="Gellix" w:hAnsi="Gellix"/>
          <w:sz w:val="21"/>
          <w:szCs w:val="21"/>
        </w:rPr>
        <w:t xml:space="preserve"> and</w:t>
      </w:r>
      <w:r w:rsidR="00EE710C" w:rsidRPr="003479B8">
        <w:rPr>
          <w:rFonts w:ascii="Gellix" w:hAnsi="Gellix"/>
          <w:sz w:val="21"/>
          <w:szCs w:val="21"/>
        </w:rPr>
        <w:t xml:space="preserve"> </w:t>
      </w:r>
      <w:r w:rsidR="004A73CA" w:rsidRPr="003479B8">
        <w:rPr>
          <w:rFonts w:ascii="Gellix" w:hAnsi="Gellix"/>
          <w:sz w:val="21"/>
          <w:szCs w:val="21"/>
        </w:rPr>
        <w:t xml:space="preserve">outlines </w:t>
      </w:r>
      <w:r w:rsidR="00172C86" w:rsidRPr="003479B8">
        <w:rPr>
          <w:rFonts w:ascii="Gellix" w:hAnsi="Gellix"/>
          <w:sz w:val="21"/>
          <w:szCs w:val="21"/>
        </w:rPr>
        <w:t>the in</w:t>
      </w:r>
      <w:r w:rsidR="00EE710C" w:rsidRPr="003479B8">
        <w:rPr>
          <w:rFonts w:ascii="Gellix" w:hAnsi="Gellix"/>
          <w:sz w:val="21"/>
          <w:szCs w:val="21"/>
        </w:rPr>
        <w:t xml:space="preserve">herent fiscal incentive </w:t>
      </w:r>
      <w:r w:rsidR="00225A59" w:rsidRPr="003479B8">
        <w:rPr>
          <w:rFonts w:ascii="Gellix" w:hAnsi="Gellix"/>
          <w:sz w:val="21"/>
          <w:szCs w:val="21"/>
        </w:rPr>
        <w:t xml:space="preserve">in any BCA </w:t>
      </w:r>
      <w:r w:rsidR="00EE710C" w:rsidRPr="003479B8">
        <w:rPr>
          <w:rFonts w:ascii="Gellix" w:hAnsi="Gellix"/>
          <w:sz w:val="21"/>
          <w:szCs w:val="21"/>
        </w:rPr>
        <w:t>for trading partners to impose some carbon pricing</w:t>
      </w:r>
      <w:r w:rsidR="00492027" w:rsidRPr="003479B8">
        <w:rPr>
          <w:rFonts w:ascii="Gellix" w:hAnsi="Gellix"/>
          <w:sz w:val="21"/>
          <w:szCs w:val="21"/>
        </w:rPr>
        <w:t xml:space="preserve">, but notes that the </w:t>
      </w:r>
      <w:r w:rsidR="00EE710C" w:rsidRPr="003479B8">
        <w:rPr>
          <w:rFonts w:ascii="Gellix" w:hAnsi="Gellix"/>
          <w:sz w:val="21"/>
          <w:szCs w:val="21"/>
        </w:rPr>
        <w:t>incentive appears modest given the small shares of emissions in trade flows</w:t>
      </w:r>
      <w:r w:rsidR="00492027" w:rsidRPr="003479B8">
        <w:rPr>
          <w:rFonts w:ascii="Gellix" w:hAnsi="Gellix"/>
          <w:sz w:val="21"/>
          <w:szCs w:val="21"/>
        </w:rPr>
        <w:t>.</w:t>
      </w:r>
    </w:p>
    <w:p w14:paraId="6BA5555A" w14:textId="40C856EE" w:rsidR="003479B8" w:rsidRPr="003479B8" w:rsidRDefault="00DC13F2" w:rsidP="003479B8">
      <w:pPr>
        <w:pStyle w:val="ListParagraph"/>
        <w:spacing w:after="0" w:line="240" w:lineRule="auto"/>
        <w:ind w:left="360"/>
        <w:rPr>
          <w:rFonts w:ascii="Gellix" w:hAnsi="Gellix"/>
          <w:color w:val="000000"/>
          <w:sz w:val="21"/>
          <w:szCs w:val="21"/>
          <w:shd w:val="clear" w:color="auto" w:fill="FFFFFF"/>
        </w:rPr>
      </w:pPr>
      <w:r w:rsidRPr="003479B8">
        <w:rPr>
          <w:rFonts w:ascii="Gellix" w:hAnsi="Gellix"/>
          <w:sz w:val="21"/>
          <w:szCs w:val="21"/>
        </w:rPr>
        <w:t xml:space="preserve"> </w:t>
      </w:r>
    </w:p>
    <w:p w14:paraId="2F78E79F" w14:textId="52323843" w:rsidR="009C6FE7" w:rsidRPr="003479B8" w:rsidRDefault="00086BEB" w:rsidP="003479B8">
      <w:pPr>
        <w:pStyle w:val="ListParagraph"/>
        <w:numPr>
          <w:ilvl w:val="0"/>
          <w:numId w:val="61"/>
        </w:numPr>
        <w:spacing w:after="0" w:line="240" w:lineRule="auto"/>
        <w:rPr>
          <w:rFonts w:ascii="Gellix" w:hAnsi="Gellix"/>
          <w:color w:val="000000"/>
          <w:sz w:val="21"/>
          <w:szCs w:val="21"/>
          <w:shd w:val="clear" w:color="auto" w:fill="FFFFFF"/>
        </w:rPr>
      </w:pPr>
      <w:r w:rsidRPr="003479B8">
        <w:rPr>
          <w:rFonts w:ascii="Gellix" w:hAnsi="Gellix"/>
          <w:sz w:val="21"/>
          <w:szCs w:val="21"/>
        </w:rPr>
        <w:t>It further notes that whilst B</w:t>
      </w:r>
      <w:r w:rsidR="00DC13F2" w:rsidRPr="003479B8">
        <w:rPr>
          <w:rFonts w:ascii="Gellix" w:hAnsi="Gellix"/>
          <w:sz w:val="21"/>
          <w:szCs w:val="21"/>
        </w:rPr>
        <w:t>CAs are initially</w:t>
      </w:r>
      <w:r w:rsidR="003B4469" w:rsidRPr="003479B8">
        <w:rPr>
          <w:rFonts w:ascii="Gellix" w:hAnsi="Gellix"/>
          <w:sz w:val="21"/>
          <w:szCs w:val="21"/>
        </w:rPr>
        <w:t xml:space="preserve"> </w:t>
      </w:r>
      <w:r w:rsidR="00DC13F2" w:rsidRPr="003479B8">
        <w:rPr>
          <w:rFonts w:ascii="Gellix" w:hAnsi="Gellix"/>
          <w:sz w:val="21"/>
          <w:szCs w:val="21"/>
        </w:rPr>
        <w:t>introduced unilaterally, countries may subsequently coordinate to create border free trading zones</w:t>
      </w:r>
      <w:r w:rsidRPr="003479B8">
        <w:rPr>
          <w:rFonts w:ascii="Gellix" w:hAnsi="Gellix"/>
          <w:sz w:val="21"/>
          <w:szCs w:val="21"/>
        </w:rPr>
        <w:t xml:space="preserve"> </w:t>
      </w:r>
      <w:r w:rsidR="00DC13F2" w:rsidRPr="003479B8">
        <w:rPr>
          <w:rFonts w:ascii="Gellix" w:hAnsi="Gellix"/>
          <w:sz w:val="21"/>
          <w:szCs w:val="21"/>
        </w:rPr>
        <w:t>with a common external charge, which may ultimately lead to more formal and comprehensive</w:t>
      </w:r>
      <w:r w:rsidRPr="003479B8">
        <w:rPr>
          <w:rFonts w:ascii="Gellix" w:hAnsi="Gellix"/>
          <w:sz w:val="21"/>
          <w:szCs w:val="21"/>
        </w:rPr>
        <w:t xml:space="preserve"> </w:t>
      </w:r>
      <w:r w:rsidR="00DC13F2" w:rsidRPr="003479B8">
        <w:rPr>
          <w:rFonts w:ascii="Gellix" w:hAnsi="Gellix"/>
          <w:sz w:val="21"/>
          <w:szCs w:val="21"/>
        </w:rPr>
        <w:t>arrangements for coordinating over carbon pricing.</w:t>
      </w:r>
      <w:r w:rsidRPr="003479B8">
        <w:rPr>
          <w:rFonts w:ascii="Gellix" w:hAnsi="Gellix"/>
          <w:sz w:val="21"/>
          <w:szCs w:val="21"/>
        </w:rPr>
        <w:t xml:space="preserve"> </w:t>
      </w:r>
    </w:p>
    <w:p w14:paraId="49584C3B" w14:textId="77777777" w:rsidR="009C6FE7" w:rsidRPr="009C6FE7" w:rsidRDefault="009C6FE7" w:rsidP="009C6FE7">
      <w:pPr>
        <w:pStyle w:val="ListParagraph"/>
        <w:spacing w:after="0" w:line="240" w:lineRule="auto"/>
        <w:ind w:left="360"/>
        <w:rPr>
          <w:rFonts w:ascii="Gellix" w:hAnsi="Gellix"/>
          <w:color w:val="000000"/>
          <w:sz w:val="21"/>
          <w:szCs w:val="21"/>
          <w:shd w:val="clear" w:color="auto" w:fill="FFFFFF"/>
        </w:rPr>
      </w:pPr>
    </w:p>
    <w:p w14:paraId="69A5B5D0" w14:textId="3B6F14AC" w:rsidR="008F0F8F" w:rsidRPr="005159BE" w:rsidRDefault="00F32AAB" w:rsidP="007118E7">
      <w:pPr>
        <w:pStyle w:val="ListParagraph"/>
        <w:numPr>
          <w:ilvl w:val="0"/>
          <w:numId w:val="61"/>
        </w:numPr>
        <w:spacing w:after="0" w:line="240" w:lineRule="auto"/>
        <w:rPr>
          <w:rFonts w:ascii="Gellix" w:hAnsi="Gellix"/>
          <w:color w:val="000000"/>
          <w:sz w:val="21"/>
          <w:szCs w:val="21"/>
          <w:shd w:val="clear" w:color="auto" w:fill="FFFFFF"/>
        </w:rPr>
      </w:pPr>
      <w:r w:rsidRPr="005159BE">
        <w:rPr>
          <w:rFonts w:ascii="Gellix" w:hAnsi="Gellix"/>
          <w:sz w:val="21"/>
          <w:szCs w:val="21"/>
        </w:rPr>
        <w:t>It suggests that a</w:t>
      </w:r>
      <w:r w:rsidR="00DC13F2" w:rsidRPr="005159BE">
        <w:rPr>
          <w:rFonts w:ascii="Gellix" w:hAnsi="Gellix"/>
          <w:sz w:val="21"/>
          <w:szCs w:val="21"/>
        </w:rPr>
        <w:t xml:space="preserve"> BCA in combination with other incentives could promote participation in an international</w:t>
      </w:r>
      <w:r w:rsidR="00086BEB" w:rsidRPr="005159BE">
        <w:rPr>
          <w:rFonts w:ascii="Gellix" w:hAnsi="Gellix"/>
          <w:sz w:val="21"/>
          <w:szCs w:val="21"/>
        </w:rPr>
        <w:t xml:space="preserve"> </w:t>
      </w:r>
      <w:r w:rsidR="00DC13F2" w:rsidRPr="005159BE">
        <w:rPr>
          <w:rFonts w:ascii="Gellix" w:hAnsi="Gellix"/>
          <w:sz w:val="21"/>
          <w:szCs w:val="21"/>
        </w:rPr>
        <w:t xml:space="preserve">carbon price floor </w:t>
      </w:r>
      <w:r w:rsidR="00AE40DA" w:rsidRPr="005159BE">
        <w:rPr>
          <w:rFonts w:ascii="Gellix" w:hAnsi="Gellix"/>
          <w:sz w:val="21"/>
          <w:szCs w:val="21"/>
        </w:rPr>
        <w:t xml:space="preserve">(ICPF) </w:t>
      </w:r>
      <w:r w:rsidR="00DC13F2" w:rsidRPr="005159BE">
        <w:rPr>
          <w:rFonts w:ascii="Gellix" w:hAnsi="Gellix"/>
          <w:sz w:val="21"/>
          <w:szCs w:val="21"/>
        </w:rPr>
        <w:t>arrangement among large emitting countries. The purpose of an ICPF</w:t>
      </w:r>
      <w:r w:rsidR="00276268" w:rsidRPr="005159BE">
        <w:rPr>
          <w:rFonts w:ascii="Gellix" w:hAnsi="Gellix"/>
          <w:sz w:val="21"/>
          <w:szCs w:val="21"/>
        </w:rPr>
        <w:t xml:space="preserve"> </w:t>
      </w:r>
      <w:r w:rsidR="00DC13F2" w:rsidRPr="005159BE">
        <w:rPr>
          <w:rFonts w:ascii="Gellix" w:hAnsi="Gellix"/>
          <w:sz w:val="21"/>
          <w:szCs w:val="21"/>
        </w:rPr>
        <w:t>would be to facilitate a scaling up of global carbon pricing (or equivalent measures) through</w:t>
      </w:r>
      <w:r w:rsidR="00276268" w:rsidRPr="005159BE">
        <w:rPr>
          <w:rFonts w:ascii="Gellix" w:hAnsi="Gellix"/>
          <w:sz w:val="21"/>
          <w:szCs w:val="21"/>
        </w:rPr>
        <w:t xml:space="preserve"> </w:t>
      </w:r>
      <w:r w:rsidR="00DC13F2" w:rsidRPr="005159BE">
        <w:rPr>
          <w:rFonts w:ascii="Gellix" w:hAnsi="Gellix"/>
          <w:sz w:val="21"/>
          <w:szCs w:val="21"/>
        </w:rPr>
        <w:t>coordinated action to address free-rider and competitiveness obstacles that hamper countries when</w:t>
      </w:r>
      <w:r w:rsidR="003B4469" w:rsidRPr="005159BE">
        <w:rPr>
          <w:rFonts w:ascii="Gellix" w:hAnsi="Gellix"/>
          <w:sz w:val="21"/>
          <w:szCs w:val="21"/>
        </w:rPr>
        <w:t xml:space="preserve"> </w:t>
      </w:r>
      <w:r w:rsidR="00DC13F2" w:rsidRPr="005159BE">
        <w:rPr>
          <w:rFonts w:ascii="Gellix" w:hAnsi="Gellix"/>
          <w:sz w:val="21"/>
          <w:szCs w:val="21"/>
        </w:rPr>
        <w:t>they act unilaterally</w:t>
      </w:r>
      <w:r w:rsidR="00E81B11" w:rsidRPr="005159BE">
        <w:rPr>
          <w:rFonts w:ascii="Gellix" w:hAnsi="Gellix"/>
          <w:sz w:val="21"/>
          <w:szCs w:val="21"/>
        </w:rPr>
        <w:t xml:space="preserve">, and that it could </w:t>
      </w:r>
      <w:r w:rsidR="00DC13F2" w:rsidRPr="005159BE">
        <w:rPr>
          <w:rFonts w:ascii="Gellix" w:hAnsi="Gellix"/>
          <w:sz w:val="21"/>
          <w:szCs w:val="21"/>
        </w:rPr>
        <w:t>potentially even avoid the need for, BCAs, given BCAs price only carbon embodied in trade flows rather</w:t>
      </w:r>
      <w:r w:rsidR="00E81B11" w:rsidRPr="005159BE">
        <w:rPr>
          <w:rFonts w:ascii="Gellix" w:hAnsi="Gellix"/>
          <w:sz w:val="21"/>
          <w:szCs w:val="21"/>
        </w:rPr>
        <w:t xml:space="preserve"> </w:t>
      </w:r>
      <w:r w:rsidR="00DC13F2" w:rsidRPr="005159BE">
        <w:rPr>
          <w:rFonts w:ascii="Gellix" w:hAnsi="Gellix"/>
          <w:sz w:val="21"/>
          <w:szCs w:val="21"/>
        </w:rPr>
        <w:t>than all emissions</w:t>
      </w:r>
      <w:r w:rsidR="003B4469" w:rsidRPr="005159BE">
        <w:rPr>
          <w:rFonts w:ascii="Gellix" w:hAnsi="Gellix"/>
          <w:sz w:val="21"/>
          <w:szCs w:val="21"/>
        </w:rPr>
        <w:t>.</w:t>
      </w:r>
      <w:r w:rsidR="00E81B11" w:rsidRPr="005159BE">
        <w:rPr>
          <w:rFonts w:ascii="Gellix" w:hAnsi="Gellix"/>
          <w:sz w:val="21"/>
          <w:szCs w:val="21"/>
        </w:rPr>
        <w:t xml:space="preserve"> </w:t>
      </w:r>
    </w:p>
    <w:p w14:paraId="5F907D24" w14:textId="061ECA8B" w:rsidR="008F0F8F" w:rsidRPr="00E00C0E" w:rsidRDefault="008F0F8F" w:rsidP="00E00C0E">
      <w:pPr>
        <w:pStyle w:val="ListParagraph"/>
        <w:spacing w:after="0" w:line="240" w:lineRule="auto"/>
        <w:rPr>
          <w:rFonts w:ascii="Gellix" w:hAnsi="Gellix"/>
          <w:sz w:val="21"/>
          <w:szCs w:val="21"/>
        </w:rPr>
      </w:pPr>
    </w:p>
    <w:p w14:paraId="3433C0E2" w14:textId="284D04B0" w:rsidR="00111B4B" w:rsidRPr="00E00C0E" w:rsidRDefault="00111B4B" w:rsidP="00E00C0E">
      <w:pPr>
        <w:spacing w:after="0" w:line="240" w:lineRule="auto"/>
        <w:ind w:left="360"/>
        <w:rPr>
          <w:rFonts w:ascii="Gellix" w:hAnsi="Gellix"/>
          <w:sz w:val="21"/>
          <w:szCs w:val="21"/>
          <w:u w:val="single"/>
        </w:rPr>
      </w:pPr>
      <w:r w:rsidRPr="00E00C0E">
        <w:rPr>
          <w:rFonts w:ascii="Gellix" w:hAnsi="Gellix"/>
          <w:sz w:val="21"/>
          <w:szCs w:val="21"/>
          <w:u w:val="single"/>
        </w:rPr>
        <w:t>O</w:t>
      </w:r>
      <w:r w:rsidR="00A62620" w:rsidRPr="00E00C0E">
        <w:rPr>
          <w:rFonts w:ascii="Gellix" w:hAnsi="Gellix"/>
          <w:sz w:val="21"/>
          <w:szCs w:val="21"/>
          <w:u w:val="single"/>
        </w:rPr>
        <w:t>utput-based Pricing System</w:t>
      </w:r>
    </w:p>
    <w:p w14:paraId="5B3CC062" w14:textId="63E63833" w:rsidR="00E81E6F" w:rsidRDefault="006B7F49" w:rsidP="005159BE">
      <w:pPr>
        <w:pStyle w:val="ListParagraph"/>
        <w:numPr>
          <w:ilvl w:val="0"/>
          <w:numId w:val="53"/>
        </w:numPr>
        <w:spacing w:after="0" w:line="240" w:lineRule="auto"/>
        <w:rPr>
          <w:rFonts w:ascii="Gellix" w:hAnsi="Gellix"/>
          <w:sz w:val="21"/>
          <w:szCs w:val="21"/>
        </w:rPr>
      </w:pPr>
      <w:r w:rsidRPr="005159BE">
        <w:rPr>
          <w:rFonts w:ascii="Gellix" w:hAnsi="Gellix"/>
          <w:sz w:val="21"/>
          <w:szCs w:val="21"/>
        </w:rPr>
        <w:t xml:space="preserve">There is room for improvement with respect to </w:t>
      </w:r>
      <w:r w:rsidR="00EF0289" w:rsidRPr="005159BE">
        <w:rPr>
          <w:rFonts w:ascii="Gellix" w:hAnsi="Gellix"/>
          <w:sz w:val="21"/>
          <w:szCs w:val="21"/>
        </w:rPr>
        <w:t>optimi</w:t>
      </w:r>
      <w:r w:rsidR="00445853">
        <w:rPr>
          <w:rFonts w:ascii="Gellix" w:hAnsi="Gellix"/>
          <w:sz w:val="21"/>
          <w:szCs w:val="21"/>
        </w:rPr>
        <w:t>s</w:t>
      </w:r>
      <w:r w:rsidR="00EF0289" w:rsidRPr="005159BE">
        <w:rPr>
          <w:rFonts w:ascii="Gellix" w:hAnsi="Gellix"/>
          <w:sz w:val="21"/>
          <w:szCs w:val="21"/>
        </w:rPr>
        <w:t>ing international alignment</w:t>
      </w:r>
      <w:r w:rsidR="00FB3E1E" w:rsidRPr="005159BE">
        <w:rPr>
          <w:rFonts w:ascii="Gellix" w:hAnsi="Gellix"/>
          <w:sz w:val="21"/>
          <w:szCs w:val="21"/>
        </w:rPr>
        <w:t xml:space="preserve"> to enhance the effectiveness of the mechanism more broadly, and particularly </w:t>
      </w:r>
      <w:r w:rsidR="00E81E6F" w:rsidRPr="005159BE">
        <w:rPr>
          <w:rFonts w:ascii="Gellix" w:hAnsi="Gellix"/>
          <w:sz w:val="21"/>
          <w:szCs w:val="21"/>
        </w:rPr>
        <w:t xml:space="preserve">the need </w:t>
      </w:r>
      <w:r w:rsidR="00FB3E1E" w:rsidRPr="005159BE">
        <w:rPr>
          <w:rFonts w:ascii="Gellix" w:hAnsi="Gellix"/>
          <w:sz w:val="21"/>
          <w:szCs w:val="21"/>
        </w:rPr>
        <w:t xml:space="preserve">to further </w:t>
      </w:r>
      <w:r w:rsidR="00E81E6F" w:rsidRPr="005159BE">
        <w:rPr>
          <w:rFonts w:ascii="Gellix" w:hAnsi="Gellix"/>
          <w:sz w:val="21"/>
          <w:szCs w:val="21"/>
        </w:rPr>
        <w:t>improv</w:t>
      </w:r>
      <w:r w:rsidR="00FB3E1E" w:rsidRPr="005159BE">
        <w:rPr>
          <w:rFonts w:ascii="Gellix" w:hAnsi="Gellix"/>
          <w:sz w:val="21"/>
          <w:szCs w:val="21"/>
        </w:rPr>
        <w:t>e</w:t>
      </w:r>
      <w:r w:rsidR="00E81E6F" w:rsidRPr="005159BE">
        <w:rPr>
          <w:rFonts w:ascii="Gellix" w:hAnsi="Gellix"/>
          <w:sz w:val="21"/>
          <w:szCs w:val="21"/>
        </w:rPr>
        <w:t xml:space="preserve"> and strengthen the accounting and reporting framework over time and aligning it with the reporting, accounting and transparency provisions agreed under the UNFCCC and Paris Agreement.</w:t>
      </w:r>
    </w:p>
    <w:p w14:paraId="1561F826" w14:textId="77777777" w:rsidR="005159BE" w:rsidRPr="005159BE" w:rsidRDefault="005159BE" w:rsidP="005159BE">
      <w:pPr>
        <w:pStyle w:val="ListParagraph"/>
        <w:spacing w:after="0" w:line="240" w:lineRule="auto"/>
        <w:ind w:left="360"/>
        <w:rPr>
          <w:rFonts w:ascii="Gellix" w:hAnsi="Gellix"/>
          <w:sz w:val="21"/>
          <w:szCs w:val="21"/>
        </w:rPr>
      </w:pPr>
    </w:p>
    <w:p w14:paraId="13865191" w14:textId="2D6ECD34" w:rsidR="00767AF5" w:rsidRPr="00E00C0E" w:rsidRDefault="004A6AC9" w:rsidP="005159BE">
      <w:pPr>
        <w:pStyle w:val="ListParagraph"/>
        <w:numPr>
          <w:ilvl w:val="0"/>
          <w:numId w:val="53"/>
        </w:numPr>
        <w:spacing w:after="0" w:line="240" w:lineRule="auto"/>
        <w:rPr>
          <w:rFonts w:ascii="Gellix" w:hAnsi="Gellix"/>
          <w:sz w:val="21"/>
          <w:szCs w:val="21"/>
        </w:rPr>
      </w:pPr>
      <w:r w:rsidRPr="00E00C0E">
        <w:rPr>
          <w:rFonts w:ascii="Gellix" w:hAnsi="Gellix"/>
          <w:sz w:val="21"/>
          <w:szCs w:val="21"/>
        </w:rPr>
        <w:t xml:space="preserve">Whilst the creation </w:t>
      </w:r>
      <w:r w:rsidR="00767AF5" w:rsidRPr="00E00C0E">
        <w:rPr>
          <w:rFonts w:ascii="Gellix" w:hAnsi="Gellix"/>
          <w:sz w:val="21"/>
          <w:szCs w:val="21"/>
        </w:rPr>
        <w:t>of a backstop in a federal context provides clarity for economic actors operating across multiple jurisdictions of the long-term policy priority while providing flexibility for provincial approaches</w:t>
      </w:r>
      <w:r w:rsidRPr="00E00C0E">
        <w:rPr>
          <w:rFonts w:ascii="Gellix" w:hAnsi="Gellix"/>
          <w:sz w:val="21"/>
          <w:szCs w:val="21"/>
        </w:rPr>
        <w:t xml:space="preserve">, the </w:t>
      </w:r>
      <w:r w:rsidR="00767AF5" w:rsidRPr="00E00C0E">
        <w:rPr>
          <w:rFonts w:ascii="Gellix" w:hAnsi="Gellix"/>
          <w:sz w:val="21"/>
          <w:szCs w:val="21"/>
        </w:rPr>
        <w:t xml:space="preserve">flexible approach </w:t>
      </w:r>
      <w:r w:rsidR="00AA4FD4" w:rsidRPr="00E00C0E">
        <w:rPr>
          <w:rFonts w:ascii="Gellix" w:hAnsi="Gellix"/>
          <w:sz w:val="21"/>
          <w:szCs w:val="21"/>
        </w:rPr>
        <w:t xml:space="preserve">could </w:t>
      </w:r>
      <w:r w:rsidR="00767AF5" w:rsidRPr="00E00C0E">
        <w:rPr>
          <w:rFonts w:ascii="Gellix" w:hAnsi="Gellix"/>
          <w:sz w:val="21"/>
          <w:szCs w:val="21"/>
        </w:rPr>
        <w:t>increase complexity and administration for entities operating across several domestic systems</w:t>
      </w:r>
      <w:r w:rsidR="007C414F" w:rsidRPr="00E00C0E">
        <w:rPr>
          <w:rFonts w:ascii="Gellix" w:hAnsi="Gellix"/>
          <w:sz w:val="21"/>
          <w:szCs w:val="21"/>
        </w:rPr>
        <w:t xml:space="preserve">, especially as these differ </w:t>
      </w:r>
      <w:r w:rsidR="00767AF5" w:rsidRPr="00E00C0E">
        <w:rPr>
          <w:rFonts w:ascii="Gellix" w:hAnsi="Gellix"/>
          <w:sz w:val="21"/>
          <w:szCs w:val="21"/>
        </w:rPr>
        <w:t>widely in terms of emission coverage, effective carbon price and cost burden on industry</w:t>
      </w:r>
      <w:r w:rsidR="007C414F" w:rsidRPr="00E00C0E">
        <w:rPr>
          <w:rFonts w:ascii="Gellix" w:hAnsi="Gellix"/>
          <w:sz w:val="21"/>
          <w:szCs w:val="21"/>
        </w:rPr>
        <w:t>.</w:t>
      </w:r>
    </w:p>
    <w:p w14:paraId="7A8D0783" w14:textId="77777777" w:rsidR="008B44AF" w:rsidRPr="00E00C0E" w:rsidRDefault="008B44AF" w:rsidP="0022441E">
      <w:pPr>
        <w:spacing w:after="0" w:line="240" w:lineRule="auto"/>
        <w:rPr>
          <w:rFonts w:ascii="Gellix" w:hAnsi="Gellix"/>
          <w:i/>
          <w:sz w:val="21"/>
          <w:szCs w:val="21"/>
          <w:lang w:val="en-US"/>
        </w:rPr>
      </w:pPr>
    </w:p>
    <w:p w14:paraId="65615E50" w14:textId="77777777" w:rsidR="00C226C4" w:rsidRPr="00E00C0E" w:rsidRDefault="00C226C4" w:rsidP="0022441E">
      <w:pPr>
        <w:spacing w:after="0" w:line="240" w:lineRule="auto"/>
        <w:ind w:left="708"/>
        <w:rPr>
          <w:rFonts w:ascii="Gellix" w:hAnsi="Gellix"/>
          <w:i/>
          <w:sz w:val="21"/>
          <w:szCs w:val="21"/>
        </w:rPr>
      </w:pPr>
    </w:p>
    <w:p w14:paraId="636C09F0" w14:textId="77777777" w:rsidR="00C226C4" w:rsidRPr="00E00C0E" w:rsidRDefault="00C226C4" w:rsidP="0022441E">
      <w:pPr>
        <w:spacing w:after="0" w:line="240" w:lineRule="auto"/>
        <w:ind w:left="708"/>
        <w:rPr>
          <w:rFonts w:ascii="Gellix" w:hAnsi="Gellix"/>
          <w:i/>
          <w:sz w:val="21"/>
          <w:szCs w:val="21"/>
          <w:lang w:val="en-US"/>
        </w:rPr>
      </w:pPr>
      <w:r w:rsidRPr="00E00C0E">
        <w:rPr>
          <w:rFonts w:ascii="Gellix" w:hAnsi="Gellix"/>
          <w:i/>
          <w:sz w:val="21"/>
          <w:szCs w:val="21"/>
          <w:lang w:val="en-US"/>
        </w:rPr>
        <w:t>[Include a list of additional literature/studies to be considered in an Annex]</w:t>
      </w:r>
    </w:p>
    <w:p w14:paraId="5D3F3845" w14:textId="77777777" w:rsidR="00C26FE5" w:rsidRDefault="00C26FE5" w:rsidP="002D5145">
      <w:pPr>
        <w:spacing w:after="0" w:line="240" w:lineRule="auto"/>
        <w:rPr>
          <w:rFonts w:ascii="Gellix" w:hAnsi="Gellix"/>
          <w:b/>
          <w:sz w:val="21"/>
          <w:szCs w:val="21"/>
          <w:lang w:val="en-US"/>
        </w:rPr>
      </w:pPr>
    </w:p>
    <w:p w14:paraId="0ED97C68" w14:textId="77777777" w:rsidR="00C26FE5" w:rsidRDefault="00C26FE5" w:rsidP="002D5145">
      <w:pPr>
        <w:spacing w:after="0" w:line="240" w:lineRule="auto"/>
        <w:rPr>
          <w:rFonts w:ascii="Gellix" w:hAnsi="Gellix"/>
          <w:b/>
          <w:sz w:val="21"/>
          <w:szCs w:val="21"/>
          <w:lang w:val="en-US"/>
        </w:rPr>
      </w:pPr>
    </w:p>
    <w:p w14:paraId="1C2EB913" w14:textId="0FB7E5CA" w:rsidR="002D5145" w:rsidRPr="00BB1675" w:rsidRDefault="002D5145" w:rsidP="002D5145">
      <w:pPr>
        <w:pStyle w:val="SubTitle"/>
        <w:numPr>
          <w:ilvl w:val="0"/>
          <w:numId w:val="5"/>
        </w:numPr>
        <w:spacing w:line="240" w:lineRule="auto"/>
        <w:rPr>
          <w:color w:val="007DFF"/>
          <w:sz w:val="28"/>
          <w:szCs w:val="28"/>
        </w:rPr>
      </w:pPr>
      <w:r w:rsidRPr="00BB1675">
        <w:rPr>
          <w:color w:val="007DFF"/>
          <w:sz w:val="28"/>
          <w:szCs w:val="28"/>
        </w:rPr>
        <w:t>Demystifying the “Triangle” – (A) Compliance Markets, (B) Voluntary Carbon Markets and (C) International Mechanisms, in particular Article 6 of the Paris Agreement</w:t>
      </w:r>
    </w:p>
    <w:p w14:paraId="477ED6A8" w14:textId="77777777" w:rsidR="002D5145" w:rsidRPr="0020749D" w:rsidRDefault="002D5145" w:rsidP="002D5145">
      <w:pPr>
        <w:spacing w:after="0" w:line="240" w:lineRule="auto"/>
      </w:pPr>
    </w:p>
    <w:p w14:paraId="67FDD32E" w14:textId="35946270" w:rsidR="002D5145" w:rsidRPr="00B92F61" w:rsidRDefault="002D5145" w:rsidP="00B92F61">
      <w:pPr>
        <w:pStyle w:val="ListParagraph"/>
        <w:numPr>
          <w:ilvl w:val="0"/>
          <w:numId w:val="62"/>
        </w:numPr>
        <w:spacing w:after="0" w:line="240" w:lineRule="auto"/>
        <w:ind w:left="360"/>
        <w:rPr>
          <w:rFonts w:ascii="Gellix" w:hAnsi="Gellix"/>
          <w:sz w:val="21"/>
          <w:szCs w:val="21"/>
        </w:rPr>
      </w:pPr>
      <w:r w:rsidRPr="00B92F61">
        <w:rPr>
          <w:rFonts w:ascii="Gellix" w:hAnsi="Gellix"/>
          <w:sz w:val="21"/>
          <w:szCs w:val="21"/>
        </w:rPr>
        <w:lastRenderedPageBreak/>
        <w:t xml:space="preserve">The momentum behind carbon markets and mechanisms has been growing and multiple carbon market segments have emerged over the past two decades. Despite economic turmoil and energy price shocks in the past two years, governments have generally maintained and, in some cases, </w:t>
      </w:r>
      <w:r w:rsidR="006B0E5F">
        <w:rPr>
          <w:rFonts w:ascii="Gellix" w:hAnsi="Gellix"/>
          <w:sz w:val="21"/>
          <w:szCs w:val="21"/>
        </w:rPr>
        <w:t xml:space="preserve">even </w:t>
      </w:r>
      <w:r w:rsidRPr="00B92F61">
        <w:rPr>
          <w:rFonts w:ascii="Gellix" w:hAnsi="Gellix"/>
          <w:sz w:val="21"/>
          <w:szCs w:val="21"/>
        </w:rPr>
        <w:t>advanced direct carbon pricing policies.</w:t>
      </w:r>
      <w:r w:rsidR="004415CB" w:rsidRPr="0009354B">
        <w:rPr>
          <w:rStyle w:val="FootnoteReference"/>
          <w:rFonts w:ascii="Gellix" w:hAnsi="Gellix"/>
          <w:sz w:val="21"/>
          <w:szCs w:val="21"/>
        </w:rPr>
        <w:footnoteReference w:id="25"/>
      </w:r>
    </w:p>
    <w:p w14:paraId="0F9B77FC" w14:textId="77777777" w:rsidR="002D5145" w:rsidRPr="0009354B" w:rsidRDefault="002D5145" w:rsidP="00B92F61">
      <w:pPr>
        <w:pStyle w:val="ListParagraph"/>
        <w:spacing w:after="0" w:line="240" w:lineRule="auto"/>
        <w:ind w:left="0"/>
        <w:rPr>
          <w:rFonts w:ascii="Gellix" w:hAnsi="Gellix"/>
          <w:sz w:val="21"/>
          <w:szCs w:val="21"/>
        </w:rPr>
      </w:pPr>
    </w:p>
    <w:p w14:paraId="5A56C414" w14:textId="77777777" w:rsidR="002D5145" w:rsidRPr="00B92F61" w:rsidRDefault="002D5145" w:rsidP="00B92F61">
      <w:pPr>
        <w:pStyle w:val="ListParagraph"/>
        <w:numPr>
          <w:ilvl w:val="0"/>
          <w:numId w:val="62"/>
        </w:numPr>
        <w:spacing w:after="0" w:line="240" w:lineRule="auto"/>
        <w:ind w:left="360"/>
        <w:rPr>
          <w:rFonts w:ascii="Gellix" w:hAnsi="Gellix"/>
          <w:sz w:val="21"/>
          <w:szCs w:val="21"/>
        </w:rPr>
      </w:pPr>
      <w:r w:rsidRPr="00B92F61">
        <w:rPr>
          <w:rFonts w:ascii="Gellix" w:hAnsi="Gellix"/>
          <w:sz w:val="21"/>
          <w:szCs w:val="21"/>
        </w:rPr>
        <w:t>Moreover, record high volumes of credits are being transacted on the voluntary carbon markets and despite continued uncertainty with regards to implementation of Article 6 mechanisms under the Paris Agreement, there are early signs of progress with countries already engaging in Article 6.2 pilots and programs</w:t>
      </w:r>
      <w:r w:rsidRPr="0009354B">
        <w:rPr>
          <w:rStyle w:val="FootnoteReference"/>
          <w:rFonts w:ascii="Gellix" w:hAnsi="Gellix"/>
          <w:sz w:val="21"/>
          <w:szCs w:val="21"/>
        </w:rPr>
        <w:footnoteReference w:id="26"/>
      </w:r>
      <w:r w:rsidRPr="00B92F61">
        <w:rPr>
          <w:rFonts w:ascii="Gellix" w:hAnsi="Gellix"/>
          <w:sz w:val="21"/>
          <w:szCs w:val="21"/>
        </w:rPr>
        <w:t xml:space="preserve">. </w:t>
      </w:r>
    </w:p>
    <w:p w14:paraId="4DAD22AF" w14:textId="77777777" w:rsidR="002D5145" w:rsidRPr="0009354B" w:rsidRDefault="002D5145" w:rsidP="00B92F61">
      <w:pPr>
        <w:pStyle w:val="ListParagraph"/>
        <w:spacing w:after="0" w:line="240" w:lineRule="auto"/>
        <w:ind w:left="0"/>
        <w:rPr>
          <w:rFonts w:ascii="Gellix" w:hAnsi="Gellix"/>
          <w:sz w:val="21"/>
          <w:szCs w:val="21"/>
        </w:rPr>
      </w:pPr>
    </w:p>
    <w:p w14:paraId="0618713D" w14:textId="396F587E" w:rsidR="002D5145" w:rsidRPr="00B92F61" w:rsidRDefault="002D5145" w:rsidP="00B92F61">
      <w:pPr>
        <w:pStyle w:val="ListParagraph"/>
        <w:numPr>
          <w:ilvl w:val="0"/>
          <w:numId w:val="62"/>
        </w:numPr>
        <w:spacing w:after="0" w:line="240" w:lineRule="auto"/>
        <w:ind w:left="360"/>
        <w:rPr>
          <w:rFonts w:ascii="Gellix" w:hAnsi="Gellix"/>
          <w:sz w:val="21"/>
          <w:szCs w:val="21"/>
        </w:rPr>
      </w:pPr>
      <w:r w:rsidRPr="00B92F61">
        <w:rPr>
          <w:rFonts w:ascii="Gellix" w:hAnsi="Gellix"/>
          <w:sz w:val="21"/>
          <w:szCs w:val="21"/>
        </w:rPr>
        <w:t xml:space="preserve">The full spectrum of the </w:t>
      </w:r>
      <w:r w:rsidR="00B65620">
        <w:rPr>
          <w:rFonts w:ascii="Gellix" w:hAnsi="Gellix"/>
          <w:sz w:val="21"/>
          <w:szCs w:val="21"/>
        </w:rPr>
        <w:t xml:space="preserve">current </w:t>
      </w:r>
      <w:r w:rsidRPr="00B92F61">
        <w:rPr>
          <w:rFonts w:ascii="Gellix" w:hAnsi="Gellix"/>
          <w:sz w:val="21"/>
          <w:szCs w:val="21"/>
        </w:rPr>
        <w:t>global carbon market can broadly be categorised in</w:t>
      </w:r>
      <w:r w:rsidR="00B65620">
        <w:rPr>
          <w:rFonts w:ascii="Gellix" w:hAnsi="Gellix"/>
          <w:sz w:val="21"/>
          <w:szCs w:val="21"/>
        </w:rPr>
        <w:t xml:space="preserve"> three market segments</w:t>
      </w:r>
      <w:r w:rsidRPr="00B92F61">
        <w:rPr>
          <w:rFonts w:ascii="Gellix" w:hAnsi="Gellix"/>
          <w:sz w:val="21"/>
          <w:szCs w:val="21"/>
        </w:rPr>
        <w:t xml:space="preserve">: </w:t>
      </w:r>
      <w:r w:rsidRPr="00B92F61">
        <w:rPr>
          <w:rFonts w:ascii="Gellix" w:hAnsi="Gellix"/>
          <w:b/>
          <w:bCs/>
          <w:sz w:val="21"/>
          <w:szCs w:val="21"/>
        </w:rPr>
        <w:t xml:space="preserve">(A) Domestic (sub-state) Compliance Markets, (B) Voluntary Carbon Markets and (C) International Mechanisms, that include, </w:t>
      </w:r>
      <w:r w:rsidRPr="00B92F61">
        <w:rPr>
          <w:rFonts w:ascii="Gellix" w:hAnsi="Gellix"/>
          <w:b/>
          <w:bCs/>
          <w:i/>
          <w:iCs/>
          <w:sz w:val="21"/>
          <w:szCs w:val="21"/>
        </w:rPr>
        <w:t>inter alia</w:t>
      </w:r>
      <w:r w:rsidRPr="00B92F61">
        <w:rPr>
          <w:rFonts w:ascii="Gellix" w:hAnsi="Gellix"/>
          <w:b/>
          <w:bCs/>
          <w:sz w:val="21"/>
          <w:szCs w:val="21"/>
        </w:rPr>
        <w:t>, Clean Development Mechanism, Joint Implementation, and Article 6 of the Paris Agreement.</w:t>
      </w:r>
    </w:p>
    <w:p w14:paraId="72BCE695" w14:textId="297E3A2C" w:rsidR="002D5145" w:rsidRPr="0009354B" w:rsidRDefault="002D5145" w:rsidP="002D5145">
      <w:pPr>
        <w:pStyle w:val="paragraph"/>
        <w:pBdr>
          <w:top w:val="single" w:sz="12" w:space="1" w:color="auto"/>
          <w:left w:val="single" w:sz="12" w:space="4" w:color="auto"/>
          <w:bottom w:val="single" w:sz="12" w:space="1" w:color="auto"/>
          <w:right w:val="single" w:sz="12" w:space="4" w:color="auto"/>
        </w:pBdr>
        <w:spacing w:after="0" w:line="240" w:lineRule="auto"/>
        <w:jc w:val="center"/>
        <w:textAlignment w:val="baseline"/>
        <w:rPr>
          <w:rStyle w:val="normaltextrun"/>
          <w:rFonts w:ascii="Gellix" w:hAnsi="Gellix" w:cs="Calibri"/>
          <w:b/>
          <w:bCs/>
          <w:sz w:val="21"/>
          <w:szCs w:val="21"/>
        </w:rPr>
      </w:pPr>
      <w:r w:rsidRPr="0009354B">
        <w:rPr>
          <w:rStyle w:val="normaltextrun"/>
          <w:rFonts w:ascii="Gellix" w:hAnsi="Gellix" w:cs="Calibri"/>
          <w:b/>
          <w:bCs/>
          <w:sz w:val="21"/>
          <w:szCs w:val="21"/>
        </w:rPr>
        <w:br/>
      </w:r>
      <w:r w:rsidRPr="00C635A9">
        <w:rPr>
          <w:rStyle w:val="normaltextrun"/>
          <w:rFonts w:ascii="Gellix" w:hAnsi="Gellix" w:cs="Calibri"/>
          <w:b/>
          <w:bCs/>
          <w:sz w:val="21"/>
          <w:szCs w:val="21"/>
          <w:highlight w:val="yellow"/>
        </w:rPr>
        <w:t xml:space="preserve">Graphic explaining </w:t>
      </w:r>
      <w:r w:rsidRPr="00C635A9">
        <w:rPr>
          <w:rStyle w:val="normaltextrun"/>
          <w:rFonts w:ascii="Gellix" w:hAnsi="Gellix" w:cs="Calibri"/>
          <w:b/>
          <w:bCs/>
          <w:i/>
          <w:iCs/>
          <w:sz w:val="21"/>
          <w:szCs w:val="21"/>
          <w:highlight w:val="yellow"/>
        </w:rPr>
        <w:t>Triangle</w:t>
      </w:r>
      <w:r w:rsidRPr="00C635A9">
        <w:rPr>
          <w:rStyle w:val="normaltextrun"/>
          <w:rFonts w:ascii="Gellix" w:hAnsi="Gellix" w:cs="Calibri"/>
          <w:b/>
          <w:bCs/>
          <w:sz w:val="21"/>
          <w:szCs w:val="21"/>
          <w:highlight w:val="yellow"/>
        </w:rPr>
        <w:t xml:space="preserve"> A, B, C</w:t>
      </w:r>
      <w:r w:rsidRPr="00C635A9">
        <w:rPr>
          <w:rStyle w:val="normaltextrun"/>
          <w:rFonts w:ascii="Gellix" w:hAnsi="Gellix" w:cs="Calibri"/>
          <w:b/>
          <w:bCs/>
          <w:sz w:val="21"/>
          <w:szCs w:val="21"/>
          <w:highlight w:val="yellow"/>
        </w:rPr>
        <w:br/>
        <w:t>legal definition, purpose &amp; potential interlinkages</w:t>
      </w:r>
      <w:r w:rsidRPr="0009354B">
        <w:rPr>
          <w:rStyle w:val="normaltextrun"/>
          <w:rFonts w:ascii="Gellix" w:hAnsi="Gellix" w:cs="Calibri"/>
          <w:b/>
          <w:bCs/>
          <w:sz w:val="21"/>
          <w:szCs w:val="21"/>
        </w:rPr>
        <w:t xml:space="preserve"> </w:t>
      </w:r>
    </w:p>
    <w:p w14:paraId="53E6CF86" w14:textId="77777777" w:rsidR="002D5145" w:rsidRPr="0009354B" w:rsidRDefault="002D5145" w:rsidP="002D5145">
      <w:pPr>
        <w:pStyle w:val="paragraph"/>
        <w:pBdr>
          <w:top w:val="single" w:sz="12" w:space="1" w:color="auto"/>
          <w:left w:val="single" w:sz="12" w:space="4" w:color="auto"/>
          <w:bottom w:val="single" w:sz="12" w:space="1" w:color="auto"/>
          <w:right w:val="single" w:sz="12" w:space="4" w:color="auto"/>
        </w:pBdr>
        <w:spacing w:after="0" w:line="240" w:lineRule="auto"/>
        <w:textAlignment w:val="baseline"/>
        <w:rPr>
          <w:rStyle w:val="normaltextrun"/>
          <w:rFonts w:ascii="Gellix" w:hAnsi="Gellix" w:cs="Calibri"/>
          <w:b/>
          <w:bCs/>
          <w:sz w:val="21"/>
          <w:szCs w:val="21"/>
        </w:rPr>
      </w:pPr>
    </w:p>
    <w:p w14:paraId="58B42903" w14:textId="77777777" w:rsidR="002D5145" w:rsidRPr="0009354B" w:rsidRDefault="002D5145" w:rsidP="001D5CD2">
      <w:pPr>
        <w:pStyle w:val="paragraph"/>
        <w:numPr>
          <w:ilvl w:val="0"/>
          <w:numId w:val="63"/>
        </w:numPr>
        <w:spacing w:after="0" w:line="240" w:lineRule="auto"/>
        <w:textAlignment w:val="baseline"/>
        <w:rPr>
          <w:rFonts w:ascii="Gellix" w:hAnsi="Gellix" w:cs="Calibri"/>
          <w:sz w:val="21"/>
          <w:szCs w:val="21"/>
        </w:rPr>
      </w:pPr>
      <w:r w:rsidRPr="0009354B">
        <w:rPr>
          <w:rStyle w:val="normaltextrun"/>
          <w:rFonts w:ascii="Gellix" w:hAnsi="Gellix" w:cs="Calibri"/>
          <w:sz w:val="21"/>
          <w:szCs w:val="21"/>
        </w:rPr>
        <w:t>Despite strong differences in terms of governance, design and purpose, the three systems share one main goal: reducing GHG emissions and addressing the market failure of climate change by capturing the external costs of emitting GHG emissions, and ultimately helping government and companies achieve their climate goals.</w:t>
      </w:r>
      <w:r w:rsidRPr="0009354B">
        <w:rPr>
          <w:rStyle w:val="normaltextrun"/>
          <w:rFonts w:ascii="Gellix" w:hAnsi="Gellix" w:cs="Calibri"/>
          <w:sz w:val="21"/>
          <w:szCs w:val="21"/>
        </w:rPr>
        <w:br/>
      </w:r>
    </w:p>
    <w:p w14:paraId="1296300F" w14:textId="77777777" w:rsidR="002D5145" w:rsidRPr="0009354B" w:rsidRDefault="002D5145" w:rsidP="001D5CD2">
      <w:pPr>
        <w:pStyle w:val="ListParagraph"/>
        <w:numPr>
          <w:ilvl w:val="0"/>
          <w:numId w:val="63"/>
        </w:numPr>
        <w:spacing w:after="0" w:line="240" w:lineRule="auto"/>
        <w:rPr>
          <w:rFonts w:ascii="Gellix" w:hAnsi="Gellix"/>
          <w:sz w:val="21"/>
          <w:szCs w:val="21"/>
        </w:rPr>
      </w:pPr>
      <w:r w:rsidRPr="0009354B">
        <w:rPr>
          <w:rFonts w:ascii="Gellix" w:hAnsi="Gellix"/>
          <w:sz w:val="21"/>
          <w:szCs w:val="21"/>
        </w:rPr>
        <w:t xml:space="preserve">Despite positive developments in the global carbon market, governments and businesses are confronted with an increasingly fragmented, complex and non-transparent international climate policy landscape, characterised by differences in terms of </w:t>
      </w:r>
      <w:r w:rsidRPr="0009354B">
        <w:rPr>
          <w:rStyle w:val="normaltextrun"/>
          <w:rFonts w:ascii="Gellix" w:hAnsi="Gellix" w:cs="Calibri"/>
          <w:sz w:val="21"/>
          <w:szCs w:val="21"/>
        </w:rPr>
        <w:t>governance, design and methodologies</w:t>
      </w:r>
      <w:r w:rsidRPr="0009354B">
        <w:rPr>
          <w:rFonts w:ascii="Gellix" w:hAnsi="Gellix"/>
          <w:sz w:val="21"/>
          <w:szCs w:val="21"/>
        </w:rPr>
        <w:t xml:space="preserve"> as well as different degrees of transparency and scales. </w:t>
      </w:r>
    </w:p>
    <w:p w14:paraId="26BE6C5E" w14:textId="77777777" w:rsidR="002D5145" w:rsidRPr="0009354B" w:rsidRDefault="002D5145" w:rsidP="002D5145">
      <w:pPr>
        <w:pStyle w:val="ListParagraph"/>
        <w:spacing w:after="0" w:line="240" w:lineRule="auto"/>
        <w:ind w:left="360"/>
        <w:rPr>
          <w:rFonts w:ascii="Gellix" w:hAnsi="Gellix"/>
          <w:sz w:val="21"/>
          <w:szCs w:val="21"/>
        </w:rPr>
      </w:pPr>
    </w:p>
    <w:p w14:paraId="72501F79" w14:textId="77777777" w:rsidR="002D5145" w:rsidRPr="0009354B" w:rsidRDefault="002D5145" w:rsidP="001D5CD2">
      <w:pPr>
        <w:pStyle w:val="paragraph"/>
        <w:numPr>
          <w:ilvl w:val="0"/>
          <w:numId w:val="63"/>
        </w:numPr>
        <w:spacing w:before="0" w:beforeAutospacing="0" w:after="0" w:afterAutospacing="0" w:line="240" w:lineRule="auto"/>
        <w:textAlignment w:val="baseline"/>
        <w:rPr>
          <w:rStyle w:val="normaltextrun"/>
          <w:rFonts w:ascii="Gellix" w:hAnsi="Gellix"/>
          <w:sz w:val="21"/>
          <w:szCs w:val="21"/>
          <w:lang w:val="en-GB"/>
        </w:rPr>
      </w:pPr>
      <w:r w:rsidRPr="0009354B">
        <w:rPr>
          <w:rStyle w:val="normaltextrun"/>
          <w:rFonts w:ascii="Gellix" w:hAnsi="Gellix" w:cs="Calibri"/>
          <w:sz w:val="21"/>
          <w:szCs w:val="21"/>
        </w:rPr>
        <w:t xml:space="preserve">Countries can have </w:t>
      </w:r>
      <w:r w:rsidRPr="0009354B">
        <w:rPr>
          <w:rStyle w:val="normaltextrun"/>
          <w:rFonts w:ascii="Gellix" w:hAnsi="Gellix" w:cs="Calibri"/>
          <w:sz w:val="21"/>
          <w:szCs w:val="21"/>
          <w:lang w:val="en-GB"/>
        </w:rPr>
        <w:t>regulated compliance markets and at the same time allow for voluntary market purchases to occur in sectors that are outside of that system and can also potentially participate in activities under Article 6.2 and 6.4 of the Paris Agreement.</w:t>
      </w:r>
    </w:p>
    <w:p w14:paraId="06D4502F" w14:textId="77777777" w:rsidR="002D5145" w:rsidRPr="0009354B" w:rsidRDefault="002D5145" w:rsidP="002D5145">
      <w:pPr>
        <w:pStyle w:val="paragraph"/>
        <w:spacing w:before="0" w:beforeAutospacing="0" w:after="0" w:afterAutospacing="0" w:line="240" w:lineRule="auto"/>
        <w:textAlignment w:val="baseline"/>
        <w:rPr>
          <w:rStyle w:val="normaltextrun"/>
          <w:rFonts w:ascii="Gellix" w:hAnsi="Gellix" w:cs="Calibri"/>
          <w:sz w:val="21"/>
          <w:szCs w:val="21"/>
          <w:lang w:val="en-GB"/>
        </w:rPr>
      </w:pPr>
    </w:p>
    <w:p w14:paraId="1A14CBDB" w14:textId="77777777" w:rsidR="002D5145" w:rsidRPr="0009354B" w:rsidRDefault="002D5145" w:rsidP="004C2772">
      <w:pPr>
        <w:pStyle w:val="paragraph"/>
        <w:numPr>
          <w:ilvl w:val="0"/>
          <w:numId w:val="64"/>
        </w:numPr>
        <w:spacing w:before="0" w:beforeAutospacing="0" w:after="0" w:afterAutospacing="0" w:line="240" w:lineRule="auto"/>
        <w:textAlignment w:val="baseline"/>
        <w:rPr>
          <w:rStyle w:val="normaltextrun"/>
          <w:rFonts w:ascii="Gellix" w:hAnsi="Gellix" w:cs="Calibri"/>
          <w:sz w:val="21"/>
          <w:szCs w:val="21"/>
          <w:lang w:val="en-GB"/>
        </w:rPr>
      </w:pPr>
      <w:r w:rsidRPr="0009354B">
        <w:rPr>
          <w:rStyle w:val="normaltextrun"/>
          <w:rFonts w:ascii="Gellix" w:hAnsi="Gellix" w:cs="Calibri"/>
          <w:sz w:val="21"/>
          <w:szCs w:val="21"/>
          <w:lang w:val="en-GB"/>
        </w:rPr>
        <w:t xml:space="preserve">If there is a coexistence of these three types of markets in a jurisdiction, this could cause regulatory, data, reporting and administrative challenges as there would be three separate policy or governance systems. </w:t>
      </w:r>
    </w:p>
    <w:p w14:paraId="2ADD4D8D" w14:textId="77777777" w:rsidR="002D5145" w:rsidRPr="0009354B" w:rsidRDefault="002D5145" w:rsidP="002D5145">
      <w:pPr>
        <w:pStyle w:val="paragraph"/>
        <w:spacing w:before="0" w:beforeAutospacing="0" w:after="0" w:afterAutospacing="0" w:line="240" w:lineRule="auto"/>
        <w:ind w:left="1080"/>
        <w:textAlignment w:val="baseline"/>
        <w:rPr>
          <w:rStyle w:val="normaltextrun"/>
          <w:rFonts w:ascii="Gellix" w:hAnsi="Gellix" w:cs="Calibri"/>
          <w:sz w:val="21"/>
          <w:szCs w:val="21"/>
          <w:lang w:val="en-GB"/>
        </w:rPr>
      </w:pPr>
    </w:p>
    <w:p w14:paraId="06F4EE85" w14:textId="77777777" w:rsidR="002D5145" w:rsidRPr="0009354B" w:rsidRDefault="002D5145" w:rsidP="004C2772">
      <w:pPr>
        <w:pStyle w:val="paragraph"/>
        <w:numPr>
          <w:ilvl w:val="0"/>
          <w:numId w:val="64"/>
        </w:numPr>
        <w:spacing w:before="0" w:beforeAutospacing="0" w:after="0" w:afterAutospacing="0" w:line="240" w:lineRule="auto"/>
        <w:textAlignment w:val="baseline"/>
        <w:rPr>
          <w:rStyle w:val="normaltextrun"/>
          <w:rFonts w:ascii="Gellix" w:hAnsi="Gellix" w:cs="Calibri"/>
          <w:sz w:val="21"/>
          <w:szCs w:val="21"/>
          <w:lang w:val="en-GB"/>
        </w:rPr>
      </w:pPr>
      <w:r w:rsidRPr="0009354B">
        <w:rPr>
          <w:rStyle w:val="normaltextrun"/>
          <w:rFonts w:ascii="Gellix" w:hAnsi="Gellix" w:cs="Calibri"/>
          <w:sz w:val="21"/>
          <w:szCs w:val="21"/>
          <w:lang w:val="en-GB"/>
        </w:rPr>
        <w:lastRenderedPageBreak/>
        <w:t xml:space="preserve">As rules to fully operationalise Article 6 of the Paris Agreement are still being discussed, it is difficult to predict the implications of a fully operational Article 6.2 mechanism as well as a potential highly stringent market created by Article 6.4 on existing compliance and voluntary markets. It will therefore be critical to continuously examine the development of these interactions and assess their implications to ensure maximum consistency where possible, as well as clarity and co-ordination amongst these systems. </w:t>
      </w:r>
    </w:p>
    <w:p w14:paraId="7D6F250D" w14:textId="77777777" w:rsidR="002D5145" w:rsidRPr="0009354B" w:rsidRDefault="002D5145" w:rsidP="002D5145">
      <w:pPr>
        <w:pStyle w:val="paragraph"/>
        <w:spacing w:before="0" w:beforeAutospacing="0" w:after="0" w:afterAutospacing="0" w:line="240" w:lineRule="auto"/>
        <w:textAlignment w:val="baseline"/>
        <w:rPr>
          <w:rStyle w:val="normaltextrun"/>
          <w:rFonts w:ascii="Gellix" w:hAnsi="Gellix" w:cs="Calibri"/>
          <w:sz w:val="21"/>
          <w:szCs w:val="21"/>
          <w:lang w:val="en-GB"/>
        </w:rPr>
      </w:pPr>
    </w:p>
    <w:p w14:paraId="2BED6187" w14:textId="77777777" w:rsidR="002D5145" w:rsidRPr="0009354B" w:rsidRDefault="002D5145" w:rsidP="004C2772">
      <w:pPr>
        <w:pStyle w:val="paragraph"/>
        <w:numPr>
          <w:ilvl w:val="0"/>
          <w:numId w:val="64"/>
        </w:numPr>
        <w:spacing w:before="0" w:beforeAutospacing="0" w:after="0" w:afterAutospacing="0" w:line="240" w:lineRule="auto"/>
        <w:textAlignment w:val="baseline"/>
        <w:rPr>
          <w:rStyle w:val="normaltextrun"/>
          <w:rFonts w:ascii="Gellix" w:hAnsi="Gellix" w:cs="Calibri"/>
          <w:sz w:val="21"/>
          <w:szCs w:val="21"/>
          <w:lang w:val="en-GB"/>
        </w:rPr>
      </w:pPr>
      <w:r w:rsidRPr="0009354B">
        <w:rPr>
          <w:rStyle w:val="normaltextrun"/>
          <w:rFonts w:ascii="Gellix" w:hAnsi="Gellix" w:cs="Calibri"/>
          <w:sz w:val="21"/>
          <w:szCs w:val="21"/>
          <w:lang w:val="en-GB"/>
        </w:rPr>
        <w:t>Some experts see the VCM as an example for Art 6.4 methodologies, which could grow as an alternative to Article 6 or potentially also lose importance, as there would be a convergence of the two in terms of rules and higher standards.</w:t>
      </w:r>
    </w:p>
    <w:p w14:paraId="4CC350FB" w14:textId="77777777" w:rsidR="002D5145" w:rsidRPr="0009354B" w:rsidRDefault="002D5145" w:rsidP="002D5145">
      <w:pPr>
        <w:pStyle w:val="ListParagraph"/>
        <w:spacing w:after="0" w:line="240" w:lineRule="auto"/>
        <w:ind w:left="360"/>
        <w:rPr>
          <w:rFonts w:ascii="Gellix" w:hAnsi="Gellix"/>
          <w:sz w:val="21"/>
          <w:szCs w:val="21"/>
        </w:rPr>
      </w:pPr>
    </w:p>
    <w:p w14:paraId="7C069E52" w14:textId="77777777" w:rsidR="002D5145" w:rsidRPr="0009354B" w:rsidRDefault="002D5145" w:rsidP="002D5145">
      <w:pPr>
        <w:spacing w:after="0" w:line="240" w:lineRule="auto"/>
        <w:textAlignment w:val="baseline"/>
        <w:rPr>
          <w:rStyle w:val="normaltextrun"/>
          <w:rFonts w:ascii="Gellix" w:hAnsi="Gellix" w:cs="Calibri"/>
          <w:sz w:val="21"/>
          <w:szCs w:val="21"/>
        </w:rPr>
      </w:pPr>
    </w:p>
    <w:p w14:paraId="24F4BAA2" w14:textId="77777777" w:rsidR="002D5145" w:rsidRPr="00486B14" w:rsidRDefault="002D5145" w:rsidP="002D5145">
      <w:pPr>
        <w:spacing w:after="0" w:line="240" w:lineRule="auto"/>
        <w:textAlignment w:val="baseline"/>
        <w:rPr>
          <w:rFonts w:ascii="Gellix" w:hAnsi="Gellix" w:cs="Calibri"/>
          <w:b/>
          <w:bCs/>
          <w:sz w:val="21"/>
          <w:szCs w:val="21"/>
        </w:rPr>
      </w:pPr>
      <w:r w:rsidRPr="00486B14">
        <w:rPr>
          <w:rFonts w:ascii="Gellix" w:hAnsi="Gellix"/>
          <w:b/>
          <w:bCs/>
          <w:sz w:val="21"/>
          <w:szCs w:val="21"/>
        </w:rPr>
        <w:t xml:space="preserve">Guiding Principles </w:t>
      </w:r>
    </w:p>
    <w:p w14:paraId="5BA8A2A8" w14:textId="311AD1C5" w:rsidR="002D5145" w:rsidRPr="0009354B" w:rsidRDefault="002D5145" w:rsidP="00870751">
      <w:pPr>
        <w:pStyle w:val="ListParagraph"/>
        <w:numPr>
          <w:ilvl w:val="0"/>
          <w:numId w:val="65"/>
        </w:numPr>
        <w:spacing w:after="120" w:line="240" w:lineRule="auto"/>
        <w:rPr>
          <w:rFonts w:ascii="Gellix" w:hAnsi="Gellix"/>
          <w:sz w:val="21"/>
          <w:szCs w:val="21"/>
        </w:rPr>
      </w:pPr>
      <w:r w:rsidRPr="0009354B">
        <w:rPr>
          <w:rFonts w:ascii="Gellix" w:hAnsi="Gellix"/>
          <w:sz w:val="21"/>
          <w:szCs w:val="21"/>
        </w:rPr>
        <w:t xml:space="preserve">It is critical for each of the three carbon pricing </w:t>
      </w:r>
      <w:r w:rsidR="00F44C35">
        <w:rPr>
          <w:rFonts w:ascii="Gellix" w:hAnsi="Gellix"/>
          <w:sz w:val="21"/>
          <w:szCs w:val="21"/>
        </w:rPr>
        <w:t xml:space="preserve">segments </w:t>
      </w:r>
      <w:r w:rsidRPr="0009354B">
        <w:rPr>
          <w:rFonts w:ascii="Gellix" w:hAnsi="Gellix"/>
          <w:sz w:val="21"/>
          <w:szCs w:val="21"/>
        </w:rPr>
        <w:t>presented above to be guided by overarching principles. Principles embody the fundamental objective(s) and the key rules of a given system, from which it is developed and results.</w:t>
      </w:r>
    </w:p>
    <w:p w14:paraId="6F74DDA5" w14:textId="77777777" w:rsidR="002D5145" w:rsidRPr="0009354B" w:rsidRDefault="002D5145" w:rsidP="002D5145">
      <w:pPr>
        <w:pStyle w:val="ListParagraph"/>
        <w:spacing w:line="240" w:lineRule="auto"/>
        <w:ind w:left="360"/>
        <w:rPr>
          <w:rFonts w:ascii="Gellix" w:hAnsi="Gellix"/>
          <w:sz w:val="21"/>
          <w:szCs w:val="21"/>
        </w:rPr>
      </w:pPr>
    </w:p>
    <w:p w14:paraId="7168023E" w14:textId="77777777" w:rsidR="002D5145" w:rsidRPr="0009354B" w:rsidRDefault="002D5145" w:rsidP="00870751">
      <w:pPr>
        <w:pStyle w:val="ListParagraph"/>
        <w:numPr>
          <w:ilvl w:val="0"/>
          <w:numId w:val="65"/>
        </w:numPr>
        <w:spacing w:after="120" w:line="240" w:lineRule="auto"/>
        <w:rPr>
          <w:rFonts w:ascii="Gellix" w:hAnsi="Gellix"/>
          <w:sz w:val="21"/>
          <w:szCs w:val="21"/>
        </w:rPr>
      </w:pPr>
      <w:r w:rsidRPr="0009354B">
        <w:rPr>
          <w:rFonts w:ascii="Gellix" w:hAnsi="Gellix"/>
          <w:sz w:val="21"/>
          <w:szCs w:val="21"/>
        </w:rPr>
        <w:t xml:space="preserve">Clear principles are key for policymakers when designing a regional, national and supranational carbon pricing system, or when negotiating rules for international cooperation under Article 6 or the Paris Agreement, as well as for independent bodies when developing rules for high-integrity carbon credits. </w:t>
      </w:r>
      <w:r w:rsidRPr="0009354B">
        <w:rPr>
          <w:rFonts w:ascii="Gellix" w:hAnsi="Gellix"/>
          <w:sz w:val="21"/>
          <w:szCs w:val="21"/>
        </w:rPr>
        <w:br/>
      </w:r>
    </w:p>
    <w:p w14:paraId="6E147375" w14:textId="2541A485" w:rsidR="00E50731" w:rsidRDefault="002D5145" w:rsidP="00BC5323">
      <w:pPr>
        <w:pStyle w:val="ListParagraph"/>
        <w:numPr>
          <w:ilvl w:val="0"/>
          <w:numId w:val="65"/>
        </w:numPr>
        <w:spacing w:after="120" w:line="240" w:lineRule="auto"/>
        <w:rPr>
          <w:rFonts w:ascii="Gellix" w:hAnsi="Gellix"/>
          <w:sz w:val="21"/>
          <w:szCs w:val="21"/>
        </w:rPr>
      </w:pPr>
      <w:r w:rsidRPr="0009354B">
        <w:rPr>
          <w:rFonts w:ascii="Gellix" w:hAnsi="Gellix"/>
          <w:sz w:val="21"/>
          <w:szCs w:val="21"/>
        </w:rPr>
        <w:t xml:space="preserve">Looking </w:t>
      </w:r>
      <w:r w:rsidR="00373247">
        <w:rPr>
          <w:rFonts w:ascii="Gellix" w:hAnsi="Gellix"/>
          <w:sz w:val="21"/>
          <w:szCs w:val="21"/>
        </w:rPr>
        <w:t>now</w:t>
      </w:r>
      <w:r w:rsidRPr="0009354B">
        <w:rPr>
          <w:rFonts w:ascii="Gellix" w:hAnsi="Gellix"/>
          <w:sz w:val="21"/>
          <w:szCs w:val="21"/>
        </w:rPr>
        <w:t xml:space="preserve"> (</w:t>
      </w:r>
      <w:r w:rsidR="00D75E25">
        <w:rPr>
          <w:rFonts w:ascii="Gellix" w:hAnsi="Gellix"/>
          <w:sz w:val="21"/>
          <w:szCs w:val="21"/>
        </w:rPr>
        <w:t>1</w:t>
      </w:r>
      <w:r w:rsidRPr="0009354B">
        <w:rPr>
          <w:rFonts w:ascii="Gellix" w:hAnsi="Gellix"/>
          <w:sz w:val="21"/>
          <w:szCs w:val="21"/>
        </w:rPr>
        <w:t>) the ICC carbon pricing principles, specifically dedicated to the development of compliance markets, (</w:t>
      </w:r>
      <w:r w:rsidR="00D75E25">
        <w:rPr>
          <w:rFonts w:ascii="Gellix" w:hAnsi="Gellix"/>
          <w:sz w:val="21"/>
          <w:szCs w:val="21"/>
        </w:rPr>
        <w:t>2</w:t>
      </w:r>
      <w:r w:rsidRPr="0009354B">
        <w:rPr>
          <w:rFonts w:ascii="Gellix" w:hAnsi="Gellix"/>
          <w:sz w:val="21"/>
          <w:szCs w:val="21"/>
        </w:rPr>
        <w:t>) the Core Carbon Principles developed by the Integrity Council for the Voluntary Carbon Market (ICVCM), and (</w:t>
      </w:r>
      <w:r w:rsidR="00D75E25">
        <w:rPr>
          <w:rFonts w:ascii="Gellix" w:hAnsi="Gellix"/>
          <w:sz w:val="21"/>
          <w:szCs w:val="21"/>
        </w:rPr>
        <w:t>3</w:t>
      </w:r>
      <w:r w:rsidRPr="0009354B">
        <w:rPr>
          <w:rFonts w:ascii="Gellix" w:hAnsi="Gellix"/>
          <w:sz w:val="21"/>
          <w:szCs w:val="21"/>
        </w:rPr>
        <w:t xml:space="preserve">) the Article 6 Rulebook </w:t>
      </w:r>
      <w:r w:rsidRPr="0009354B">
        <w:rPr>
          <w:rStyle w:val="normaltextrun"/>
          <w:rFonts w:ascii="Gellix" w:hAnsi="Gellix" w:cs="Calibri"/>
          <w:sz w:val="21"/>
          <w:szCs w:val="21"/>
        </w:rPr>
        <w:t>setting out the conditions and rules for emissions trading between countries within the UN system under Article 6 of the Paris Agreement</w:t>
      </w:r>
      <w:r w:rsidRPr="0009354B">
        <w:rPr>
          <w:rFonts w:ascii="Gellix" w:hAnsi="Gellix"/>
          <w:sz w:val="21"/>
          <w:szCs w:val="21"/>
        </w:rPr>
        <w:t>, there are important commonalities and differences.</w:t>
      </w:r>
    </w:p>
    <w:p w14:paraId="4F5C5BFC" w14:textId="77777777" w:rsidR="00E50731" w:rsidRDefault="00E50731" w:rsidP="00E50731">
      <w:pPr>
        <w:pStyle w:val="ListParagraph"/>
        <w:spacing w:after="120" w:line="240" w:lineRule="auto"/>
        <w:ind w:left="360"/>
        <w:rPr>
          <w:rFonts w:ascii="Gellix" w:hAnsi="Gellix"/>
          <w:sz w:val="21"/>
          <w:szCs w:val="21"/>
        </w:rPr>
      </w:pPr>
    </w:p>
    <w:p w14:paraId="11C500EF" w14:textId="4198EB24" w:rsidR="00BC5323" w:rsidRPr="00343D69" w:rsidRDefault="00EA6CE9" w:rsidP="00343D69">
      <w:pPr>
        <w:pStyle w:val="ListParagraph"/>
        <w:numPr>
          <w:ilvl w:val="0"/>
          <w:numId w:val="65"/>
        </w:numPr>
        <w:spacing w:after="120" w:line="240" w:lineRule="auto"/>
        <w:rPr>
          <w:rFonts w:ascii="Gellix" w:hAnsi="Gellix"/>
          <w:sz w:val="21"/>
          <w:szCs w:val="21"/>
        </w:rPr>
      </w:pPr>
      <w:r w:rsidRPr="00E50731">
        <w:rPr>
          <w:rFonts w:ascii="Gellix" w:hAnsi="Gellix"/>
          <w:sz w:val="21"/>
          <w:szCs w:val="21"/>
        </w:rPr>
        <w:t>For the purpose of this exercise</w:t>
      </w:r>
      <w:r w:rsidR="00C57955" w:rsidRPr="00E50731">
        <w:rPr>
          <w:rFonts w:ascii="Gellix" w:hAnsi="Gellix"/>
          <w:sz w:val="21"/>
          <w:szCs w:val="21"/>
        </w:rPr>
        <w:t xml:space="preserve">, it is worth also considering the </w:t>
      </w:r>
      <w:hyperlink r:id="rId14" w:history="1">
        <w:r w:rsidR="00FC525A" w:rsidRPr="006F79D5">
          <w:rPr>
            <w:rStyle w:val="Hyperlink"/>
            <w:rFonts w:ascii="Gellix" w:hAnsi="Gellix"/>
          </w:rPr>
          <w:t>San José Principles Coalition for High Ambition and Integrity in International Carbon Markets</w:t>
        </w:r>
      </w:hyperlink>
      <w:r w:rsidR="00FC525A" w:rsidRPr="00BA2371">
        <w:t xml:space="preserve"> </w:t>
      </w:r>
      <w:r w:rsidRPr="00E50731">
        <w:rPr>
          <w:rFonts w:ascii="Gellix" w:hAnsi="Gellix"/>
          <w:sz w:val="21"/>
          <w:szCs w:val="21"/>
        </w:rPr>
        <w:t xml:space="preserve">launched </w:t>
      </w:r>
      <w:r w:rsidR="00FC525A">
        <w:rPr>
          <w:rFonts w:ascii="Gellix" w:hAnsi="Gellix"/>
          <w:sz w:val="21"/>
          <w:szCs w:val="21"/>
        </w:rPr>
        <w:t xml:space="preserve">by a group of countries ahead of COP25 </w:t>
      </w:r>
      <w:r w:rsidRPr="00E50731">
        <w:rPr>
          <w:rFonts w:ascii="Gellix" w:hAnsi="Gellix"/>
          <w:sz w:val="21"/>
          <w:szCs w:val="21"/>
        </w:rPr>
        <w:t xml:space="preserve">in 2019 as well as the </w:t>
      </w:r>
      <w:hyperlink r:id="rId15" w:history="1">
        <w:r w:rsidR="00FD331F" w:rsidRPr="00CE4715">
          <w:rPr>
            <w:rStyle w:val="Hyperlink"/>
            <w:rFonts w:ascii="Gellix" w:hAnsi="Gellix"/>
          </w:rPr>
          <w:t>G7 Principles of High Integrity Carbon Markets</w:t>
        </w:r>
      </w:hyperlink>
      <w:r w:rsidR="00FD331F">
        <w:rPr>
          <w:rFonts w:ascii="Gellix" w:hAnsi="Gellix"/>
          <w:sz w:val="21"/>
          <w:szCs w:val="21"/>
        </w:rPr>
        <w:t xml:space="preserve"> </w:t>
      </w:r>
      <w:r w:rsidRPr="00E50731">
        <w:rPr>
          <w:rFonts w:ascii="Gellix" w:hAnsi="Gellix" w:cstheme="minorHAnsi"/>
          <w:sz w:val="21"/>
          <w:szCs w:val="21"/>
        </w:rPr>
        <w:t xml:space="preserve">published earlier this year that contain </w:t>
      </w:r>
      <w:r w:rsidR="003627F8" w:rsidRPr="00E50731">
        <w:rPr>
          <w:rFonts w:ascii="Gellix" w:hAnsi="Gellix" w:cstheme="minorHAnsi"/>
          <w:sz w:val="21"/>
          <w:szCs w:val="21"/>
        </w:rPr>
        <w:t xml:space="preserve">relevant </w:t>
      </w:r>
      <w:r w:rsidR="003627F8" w:rsidRPr="00E50731">
        <w:rPr>
          <w:rFonts w:ascii="Gellix" w:hAnsi="Gellix"/>
          <w:sz w:val="21"/>
          <w:szCs w:val="21"/>
        </w:rPr>
        <w:t xml:space="preserve">broad principles that </w:t>
      </w:r>
      <w:r w:rsidR="0078336A" w:rsidRPr="00E50731">
        <w:rPr>
          <w:rFonts w:ascii="Gellix" w:hAnsi="Gellix"/>
          <w:sz w:val="21"/>
          <w:szCs w:val="21"/>
        </w:rPr>
        <w:t xml:space="preserve">aim to build the basis for a </w:t>
      </w:r>
      <w:r w:rsidR="004E57F4" w:rsidRPr="00E50731">
        <w:rPr>
          <w:rFonts w:ascii="Gellix" w:hAnsi="Gellix"/>
          <w:sz w:val="21"/>
          <w:szCs w:val="21"/>
        </w:rPr>
        <w:t xml:space="preserve">high integrity carbon markets and a robust </w:t>
      </w:r>
      <w:r w:rsidR="0078336A" w:rsidRPr="00E50731">
        <w:rPr>
          <w:rFonts w:ascii="Gellix" w:hAnsi="Gellix"/>
          <w:sz w:val="21"/>
          <w:szCs w:val="21"/>
        </w:rPr>
        <w:t xml:space="preserve">Article 6 system that promotes the highest climate ambition.  </w:t>
      </w:r>
      <w:r w:rsidR="0078336A" w:rsidRPr="00E50731">
        <w:rPr>
          <w:rFonts w:ascii="Gellix" w:hAnsi="Gellix"/>
          <w:sz w:val="21"/>
          <w:szCs w:val="21"/>
        </w:rPr>
        <w:br/>
      </w:r>
      <w:r w:rsidR="003627F8" w:rsidRPr="00E50731">
        <w:rPr>
          <w:rFonts w:ascii="Gellix" w:hAnsi="Gellix"/>
          <w:sz w:val="21"/>
          <w:szCs w:val="21"/>
        </w:rPr>
        <w:t xml:space="preserve"> </w:t>
      </w:r>
    </w:p>
    <w:p w14:paraId="0D60897F" w14:textId="39A8B023" w:rsidR="004D1168" w:rsidRPr="004D1168" w:rsidRDefault="00BC5323" w:rsidP="004D1168">
      <w:pPr>
        <w:pStyle w:val="ListParagraph"/>
        <w:numPr>
          <w:ilvl w:val="0"/>
          <w:numId w:val="65"/>
        </w:numPr>
        <w:spacing w:after="120" w:line="240" w:lineRule="auto"/>
        <w:rPr>
          <w:rFonts w:ascii="Gellix" w:hAnsi="Gellix"/>
          <w:sz w:val="21"/>
          <w:szCs w:val="21"/>
        </w:rPr>
        <w:sectPr w:rsidR="004D1168" w:rsidRPr="004D1168" w:rsidSect="008C7234">
          <w:headerReference w:type="even" r:id="rId16"/>
          <w:footerReference w:type="even" r:id="rId17"/>
          <w:footerReference w:type="default" r:id="rId18"/>
          <w:headerReference w:type="first" r:id="rId19"/>
          <w:footerReference w:type="first" r:id="rId20"/>
          <w:pgSz w:w="11900" w:h="16840"/>
          <w:pgMar w:top="1213" w:right="1418" w:bottom="1230" w:left="1418" w:header="0" w:footer="57" w:gutter="0"/>
          <w:cols w:space="720"/>
          <w:titlePg/>
          <w:docGrid w:linePitch="299"/>
        </w:sectPr>
      </w:pPr>
      <w:r>
        <w:rPr>
          <w:rFonts w:ascii="Gellix" w:hAnsi="Gellix"/>
          <w:sz w:val="21"/>
          <w:szCs w:val="21"/>
        </w:rPr>
        <w:t>The main similarities and differences include:</w:t>
      </w:r>
      <w:r w:rsidR="00486B14">
        <w:rPr>
          <w:rFonts w:ascii="Gellix" w:hAnsi="Gellix"/>
          <w:sz w:val="21"/>
          <w:szCs w:val="21"/>
        </w:rPr>
        <w:t xml:space="preserve"> [TO BE COMPLETED</w:t>
      </w:r>
      <w:r w:rsidR="0022532D">
        <w:rPr>
          <w:rFonts w:ascii="Gellix" w:hAnsi="Gellix"/>
          <w:sz w:val="21"/>
          <w:szCs w:val="21"/>
        </w:rPr>
        <w:t>]</w:t>
      </w:r>
    </w:p>
    <w:p w14:paraId="10C87987" w14:textId="59113DD1" w:rsidR="0061090B" w:rsidRPr="00C635A9" w:rsidRDefault="00A82527" w:rsidP="0061090B">
      <w:pPr>
        <w:rPr>
          <w:rFonts w:ascii="Gellix" w:hAnsi="Gellix"/>
          <w:b/>
          <w:bCs/>
        </w:rPr>
      </w:pPr>
      <w:r w:rsidRPr="00C635A9">
        <w:rPr>
          <w:rFonts w:ascii="Gellix" w:hAnsi="Gellix"/>
          <w:b/>
          <w:bCs/>
        </w:rPr>
        <w:lastRenderedPageBreak/>
        <w:t>TABLE COMPARISON PRINCIPLES [</w:t>
      </w:r>
      <w:r w:rsidRPr="00C635A9">
        <w:rPr>
          <w:rFonts w:ascii="Gellix" w:hAnsi="Gellix"/>
          <w:b/>
          <w:bCs/>
          <w:highlight w:val="yellow"/>
        </w:rPr>
        <w:t>TO BE COMPLETED</w:t>
      </w:r>
      <w:r w:rsidRPr="00C635A9">
        <w:rPr>
          <w:rFonts w:ascii="Gellix" w:hAnsi="Gellix"/>
          <w:b/>
          <w:bCs/>
        </w:rPr>
        <w:t>]</w:t>
      </w:r>
    </w:p>
    <w:tbl>
      <w:tblPr>
        <w:tblStyle w:val="GridTable1Light"/>
        <w:tblW w:w="0" w:type="auto"/>
        <w:tblLook w:val="04A0" w:firstRow="1" w:lastRow="0" w:firstColumn="1" w:lastColumn="0" w:noHBand="0" w:noVBand="1"/>
      </w:tblPr>
      <w:tblGrid>
        <w:gridCol w:w="3020"/>
        <w:gridCol w:w="3092"/>
        <w:gridCol w:w="2634"/>
        <w:gridCol w:w="3007"/>
        <w:gridCol w:w="2634"/>
      </w:tblGrid>
      <w:tr w:rsidR="000B6C24" w:rsidRPr="004D1168" w14:paraId="526C37E1" w14:textId="77777777" w:rsidTr="00347F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8428109" w14:textId="77777777" w:rsidR="0061090B" w:rsidRPr="004D1168" w:rsidRDefault="0061090B" w:rsidP="00347F65">
            <w:pPr>
              <w:rPr>
                <w:rFonts w:ascii="Gellix" w:hAnsi="Gellix" w:cstheme="minorHAnsi"/>
              </w:rPr>
            </w:pPr>
            <w:r w:rsidRPr="004D1168">
              <w:rPr>
                <w:rFonts w:ascii="Gellix" w:hAnsi="Gellix" w:cstheme="minorHAnsi"/>
              </w:rPr>
              <w:t>1. ICC Carbon Pricing Principles – compliance markets</w:t>
            </w:r>
          </w:p>
        </w:tc>
        <w:tc>
          <w:tcPr>
            <w:tcW w:w="3092" w:type="dxa"/>
          </w:tcPr>
          <w:p w14:paraId="0A5D09BE" w14:textId="77777777" w:rsidR="0061090B" w:rsidRPr="004D1168" w:rsidRDefault="0061090B" w:rsidP="00347F65">
            <w:pPr>
              <w:cnfStyle w:val="100000000000" w:firstRow="1" w:lastRow="0" w:firstColumn="0" w:lastColumn="0" w:oddVBand="0" w:evenVBand="0" w:oddHBand="0" w:evenHBand="0" w:firstRowFirstColumn="0" w:firstRowLastColumn="0" w:lastRowFirstColumn="0" w:lastRowLastColumn="0"/>
              <w:rPr>
                <w:rFonts w:ascii="Gellix" w:hAnsi="Gellix" w:cstheme="minorHAnsi"/>
                <w:lang w:val="fr-FR"/>
              </w:rPr>
            </w:pPr>
            <w:r w:rsidRPr="004D1168">
              <w:rPr>
                <w:rFonts w:ascii="Gellix" w:hAnsi="Gellix" w:cstheme="minorHAnsi"/>
                <w:lang w:val="fr-FR"/>
              </w:rPr>
              <w:t xml:space="preserve">2. </w:t>
            </w:r>
            <w:proofErr w:type="spellStart"/>
            <w:r w:rsidRPr="004D1168">
              <w:rPr>
                <w:rFonts w:ascii="Gellix" w:hAnsi="Gellix" w:cstheme="minorHAnsi"/>
                <w:lang w:val="fr-FR"/>
              </w:rPr>
              <w:t>Core</w:t>
            </w:r>
            <w:proofErr w:type="spellEnd"/>
            <w:r w:rsidRPr="004D1168">
              <w:rPr>
                <w:rFonts w:ascii="Gellix" w:hAnsi="Gellix" w:cstheme="minorHAnsi"/>
                <w:lang w:val="fr-FR"/>
              </w:rPr>
              <w:t xml:space="preserve"> Carbon Principles (</w:t>
            </w:r>
            <w:proofErr w:type="spellStart"/>
            <w:r w:rsidRPr="004D1168">
              <w:rPr>
                <w:rFonts w:ascii="Gellix" w:hAnsi="Gellix" w:cstheme="minorHAnsi"/>
                <w:lang w:val="fr-FR"/>
              </w:rPr>
              <w:t>CCPs</w:t>
            </w:r>
            <w:proofErr w:type="spellEnd"/>
            <w:r w:rsidRPr="004D1168">
              <w:rPr>
                <w:rFonts w:ascii="Gellix" w:hAnsi="Gellix" w:cstheme="minorHAnsi"/>
                <w:lang w:val="fr-FR"/>
              </w:rPr>
              <w:t xml:space="preserve">) </w:t>
            </w:r>
            <w:proofErr w:type="spellStart"/>
            <w:r w:rsidRPr="004D1168">
              <w:rPr>
                <w:rFonts w:ascii="Gellix" w:hAnsi="Gellix" w:cstheme="minorHAnsi"/>
                <w:lang w:val="fr-FR"/>
              </w:rPr>
              <w:t>ICVCMs</w:t>
            </w:r>
            <w:proofErr w:type="spellEnd"/>
            <w:r w:rsidRPr="004D1168">
              <w:rPr>
                <w:rFonts w:ascii="Gellix" w:hAnsi="Gellix" w:cstheme="minorHAnsi"/>
                <w:lang w:val="fr-FR"/>
              </w:rPr>
              <w:t xml:space="preserve"> </w:t>
            </w:r>
            <w:r w:rsidRPr="004D1168">
              <w:rPr>
                <w:rFonts w:ascii="Gellix" w:hAnsi="Gellix" w:cstheme="minorHAnsi"/>
              </w:rPr>
              <w:t>– voluntary carbon markets</w:t>
            </w:r>
            <w:r w:rsidRPr="004D1168">
              <w:rPr>
                <w:rFonts w:ascii="Gellix" w:hAnsi="Gellix" w:cstheme="minorHAnsi"/>
                <w:lang w:val="fr-FR"/>
              </w:rPr>
              <w:t xml:space="preserve"> </w:t>
            </w:r>
          </w:p>
        </w:tc>
        <w:tc>
          <w:tcPr>
            <w:tcW w:w="2634" w:type="dxa"/>
          </w:tcPr>
          <w:p w14:paraId="214DB627" w14:textId="0F3AB079" w:rsidR="0061090B" w:rsidRPr="00A82527" w:rsidRDefault="0061090B" w:rsidP="00347F65">
            <w:pPr>
              <w:pStyle w:val="ListParagraph"/>
              <w:ind w:left="0"/>
              <w:cnfStyle w:val="100000000000" w:firstRow="1" w:lastRow="0" w:firstColumn="0" w:lastColumn="0" w:oddVBand="0" w:evenVBand="0" w:oddHBand="0" w:evenHBand="0" w:firstRowFirstColumn="0" w:firstRowLastColumn="0" w:lastRowFirstColumn="0" w:lastRowLastColumn="0"/>
              <w:rPr>
                <w:rFonts w:ascii="Gellix" w:hAnsi="Gellix" w:cstheme="minorHAnsi"/>
                <w:b w:val="0"/>
                <w:bCs w:val="0"/>
              </w:rPr>
            </w:pPr>
            <w:r w:rsidRPr="004D1168">
              <w:rPr>
                <w:rFonts w:ascii="Gellix" w:hAnsi="Gellix" w:cstheme="minorHAnsi"/>
              </w:rPr>
              <w:t>3. Article 6 Rulebook</w:t>
            </w:r>
          </w:p>
        </w:tc>
        <w:tc>
          <w:tcPr>
            <w:tcW w:w="3007" w:type="dxa"/>
          </w:tcPr>
          <w:p w14:paraId="3D51CAEA" w14:textId="77777777" w:rsidR="0061090B" w:rsidRPr="004D1168" w:rsidRDefault="0061090B" w:rsidP="00347F65">
            <w:pPr>
              <w:pStyle w:val="ListParagraph"/>
              <w:ind w:left="0"/>
              <w:cnfStyle w:val="100000000000" w:firstRow="1" w:lastRow="0" w:firstColumn="0" w:lastColumn="0" w:oddVBand="0" w:evenVBand="0" w:oddHBand="0" w:evenHBand="0" w:firstRowFirstColumn="0" w:firstRowLastColumn="0" w:lastRowFirstColumn="0" w:lastRowLastColumn="0"/>
              <w:rPr>
                <w:rFonts w:ascii="Gellix" w:hAnsi="Gellix" w:cstheme="minorHAnsi"/>
              </w:rPr>
            </w:pPr>
            <w:r w:rsidRPr="004D1168">
              <w:rPr>
                <w:rFonts w:ascii="Gellix" w:hAnsi="Gellix" w:cstheme="minorHAnsi"/>
              </w:rPr>
              <w:t xml:space="preserve">San José Principles for High Ambition and Integrity in International Carbon Markets </w:t>
            </w:r>
          </w:p>
        </w:tc>
        <w:tc>
          <w:tcPr>
            <w:tcW w:w="2634" w:type="dxa"/>
          </w:tcPr>
          <w:p w14:paraId="05E23732" w14:textId="77777777" w:rsidR="0061090B" w:rsidRPr="004D1168" w:rsidRDefault="0061090B" w:rsidP="00347F65">
            <w:pPr>
              <w:pStyle w:val="ListParagraph"/>
              <w:ind w:left="0"/>
              <w:cnfStyle w:val="100000000000" w:firstRow="1" w:lastRow="0" w:firstColumn="0" w:lastColumn="0" w:oddVBand="0" w:evenVBand="0" w:oddHBand="0" w:evenHBand="0" w:firstRowFirstColumn="0" w:firstRowLastColumn="0" w:lastRowFirstColumn="0" w:lastRowLastColumn="0"/>
              <w:rPr>
                <w:rFonts w:ascii="Gellix" w:hAnsi="Gellix" w:cstheme="minorHAnsi"/>
              </w:rPr>
            </w:pPr>
            <w:r w:rsidRPr="004D1168">
              <w:rPr>
                <w:rFonts w:ascii="Gellix" w:hAnsi="Gellix" w:cstheme="minorHAnsi"/>
              </w:rPr>
              <w:t>G7 Principles of High Integrity Carbon Markets</w:t>
            </w:r>
          </w:p>
        </w:tc>
      </w:tr>
      <w:tr w:rsidR="000B6C24" w:rsidRPr="004D1168" w14:paraId="26FA9C4B" w14:textId="77777777" w:rsidTr="00347F65">
        <w:tc>
          <w:tcPr>
            <w:cnfStyle w:val="001000000000" w:firstRow="0" w:lastRow="0" w:firstColumn="1" w:lastColumn="0" w:oddVBand="0" w:evenVBand="0" w:oddHBand="0" w:evenHBand="0" w:firstRowFirstColumn="0" w:firstRowLastColumn="0" w:lastRowFirstColumn="0" w:lastRowLastColumn="0"/>
            <w:tcW w:w="3020" w:type="dxa"/>
          </w:tcPr>
          <w:p w14:paraId="1CA88DDB" w14:textId="77777777" w:rsidR="0061090B" w:rsidRPr="004D1168" w:rsidRDefault="0061090B" w:rsidP="00347F65">
            <w:pPr>
              <w:rPr>
                <w:rFonts w:ascii="Gellix" w:hAnsi="Gellix" w:cstheme="minorHAnsi"/>
                <w:b w:val="0"/>
                <w:bCs w:val="0"/>
              </w:rPr>
            </w:pPr>
            <w:r w:rsidRPr="004D1168">
              <w:rPr>
                <w:rFonts w:ascii="Gellix" w:hAnsi="Gellix" w:cstheme="minorHAnsi"/>
              </w:rPr>
              <w:t>1: Focus on GHG emissions reduction as prime target, including the prevention of GHG leakage</w:t>
            </w:r>
          </w:p>
          <w:p w14:paraId="0956B93E" w14:textId="77777777" w:rsidR="0061090B" w:rsidRPr="004D1168" w:rsidRDefault="0061090B" w:rsidP="00347F65">
            <w:pPr>
              <w:rPr>
                <w:rFonts w:ascii="Gellix" w:hAnsi="Gellix" w:cstheme="minorHAnsi"/>
              </w:rPr>
            </w:pPr>
          </w:p>
          <w:p w14:paraId="5F0D3937" w14:textId="77777777" w:rsidR="0061090B" w:rsidRPr="004D1168" w:rsidRDefault="0061090B" w:rsidP="00347F65">
            <w:pPr>
              <w:rPr>
                <w:rFonts w:ascii="Gellix" w:hAnsi="Gellix" w:cstheme="minorHAnsi"/>
                <w:b w:val="0"/>
                <w:bCs w:val="0"/>
              </w:rPr>
            </w:pPr>
            <w:r w:rsidRPr="004D1168">
              <w:rPr>
                <w:rFonts w:ascii="Gellix" w:hAnsi="Gellix" w:cstheme="minorHAnsi"/>
              </w:rPr>
              <w:t>2: Create a reliable, predictable overall framework</w:t>
            </w:r>
          </w:p>
          <w:p w14:paraId="1958EDF1" w14:textId="77777777" w:rsidR="0061090B" w:rsidRPr="004D1168" w:rsidRDefault="0061090B" w:rsidP="00347F65">
            <w:pPr>
              <w:rPr>
                <w:rFonts w:ascii="Gellix" w:hAnsi="Gellix" w:cstheme="minorHAnsi"/>
              </w:rPr>
            </w:pPr>
          </w:p>
          <w:p w14:paraId="03ACECCE" w14:textId="77777777" w:rsidR="0061090B" w:rsidRPr="004D1168" w:rsidRDefault="0061090B" w:rsidP="00347F65">
            <w:pPr>
              <w:rPr>
                <w:rFonts w:ascii="Gellix" w:hAnsi="Gellix" w:cstheme="minorHAnsi"/>
                <w:b w:val="0"/>
                <w:bCs w:val="0"/>
              </w:rPr>
            </w:pPr>
            <w:r w:rsidRPr="004D1168">
              <w:rPr>
                <w:rFonts w:ascii="Gellix" w:hAnsi="Gellix" w:cstheme="minorHAnsi"/>
              </w:rPr>
              <w:t>3: Promote consistency between climate, energy, trade and taxation policies</w:t>
            </w:r>
          </w:p>
          <w:p w14:paraId="1C053B6F" w14:textId="77777777" w:rsidR="0061090B" w:rsidRPr="004D1168" w:rsidRDefault="0061090B" w:rsidP="00347F65">
            <w:pPr>
              <w:rPr>
                <w:rFonts w:ascii="Gellix" w:hAnsi="Gellix" w:cstheme="minorHAnsi"/>
              </w:rPr>
            </w:pPr>
          </w:p>
          <w:p w14:paraId="0FC5C554" w14:textId="77777777" w:rsidR="0061090B" w:rsidRPr="004D1168" w:rsidRDefault="0061090B" w:rsidP="00347F65">
            <w:pPr>
              <w:rPr>
                <w:rFonts w:ascii="Gellix" w:hAnsi="Gellix" w:cstheme="minorHAnsi"/>
                <w:b w:val="0"/>
                <w:bCs w:val="0"/>
              </w:rPr>
            </w:pPr>
            <w:r w:rsidRPr="004D1168">
              <w:rPr>
                <w:rFonts w:ascii="Gellix" w:hAnsi="Gellix" w:cstheme="minorHAnsi"/>
              </w:rPr>
              <w:t>4: Create a clear and robust transparency framework</w:t>
            </w:r>
          </w:p>
          <w:p w14:paraId="312FDD3E" w14:textId="77777777" w:rsidR="0061090B" w:rsidRPr="004D1168" w:rsidRDefault="0061090B" w:rsidP="00347F65">
            <w:pPr>
              <w:rPr>
                <w:rFonts w:ascii="Gellix" w:hAnsi="Gellix" w:cstheme="minorHAnsi"/>
              </w:rPr>
            </w:pPr>
          </w:p>
          <w:p w14:paraId="14475012" w14:textId="77777777" w:rsidR="0061090B" w:rsidRPr="004D1168" w:rsidRDefault="0061090B" w:rsidP="00347F65">
            <w:pPr>
              <w:rPr>
                <w:rFonts w:ascii="Gellix" w:hAnsi="Gellix" w:cstheme="minorHAnsi"/>
                <w:b w:val="0"/>
                <w:bCs w:val="0"/>
              </w:rPr>
            </w:pPr>
            <w:r w:rsidRPr="004D1168">
              <w:rPr>
                <w:rFonts w:ascii="Gellix" w:hAnsi="Gellix" w:cstheme="minorHAnsi"/>
              </w:rPr>
              <w:t>5: Maintain accessibility to and affordability of low-carbon and clean energy sources</w:t>
            </w:r>
          </w:p>
          <w:p w14:paraId="0ED76D07" w14:textId="77777777" w:rsidR="0061090B" w:rsidRPr="004D1168" w:rsidRDefault="0061090B" w:rsidP="00347F65">
            <w:pPr>
              <w:rPr>
                <w:rFonts w:ascii="Gellix" w:hAnsi="Gellix" w:cstheme="minorHAnsi"/>
              </w:rPr>
            </w:pPr>
          </w:p>
          <w:p w14:paraId="797E58A4" w14:textId="77777777" w:rsidR="0061090B" w:rsidRPr="004D1168" w:rsidRDefault="0061090B" w:rsidP="00347F65">
            <w:pPr>
              <w:rPr>
                <w:rFonts w:ascii="Gellix" w:hAnsi="Gellix" w:cstheme="minorHAnsi"/>
                <w:b w:val="0"/>
                <w:bCs w:val="0"/>
              </w:rPr>
            </w:pPr>
            <w:r w:rsidRPr="004D1168">
              <w:rPr>
                <w:rFonts w:ascii="Gellix" w:hAnsi="Gellix" w:cstheme="minorHAnsi"/>
              </w:rPr>
              <w:t>6: Promote international linking of carbon pricing instruments</w:t>
            </w:r>
          </w:p>
          <w:p w14:paraId="7F1B8722" w14:textId="77777777" w:rsidR="0061090B" w:rsidRPr="004D1168" w:rsidRDefault="0061090B" w:rsidP="00347F65">
            <w:pPr>
              <w:rPr>
                <w:rFonts w:ascii="Gellix" w:hAnsi="Gellix" w:cstheme="minorHAnsi"/>
              </w:rPr>
            </w:pPr>
          </w:p>
          <w:p w14:paraId="5E1C116B" w14:textId="77777777" w:rsidR="0061090B" w:rsidRPr="004D1168" w:rsidRDefault="0061090B" w:rsidP="00347F65">
            <w:pPr>
              <w:rPr>
                <w:rFonts w:ascii="Gellix" w:hAnsi="Gellix" w:cstheme="minorHAnsi"/>
                <w:b w:val="0"/>
                <w:bCs w:val="0"/>
              </w:rPr>
            </w:pPr>
            <w:r w:rsidRPr="004D1168">
              <w:rPr>
                <w:rFonts w:ascii="Gellix" w:hAnsi="Gellix" w:cstheme="minorHAnsi"/>
              </w:rPr>
              <w:t>7: Recognise that there is no “one-size-fits-all” single instrument</w:t>
            </w:r>
          </w:p>
          <w:p w14:paraId="75D52FA0" w14:textId="77777777" w:rsidR="0061090B" w:rsidRPr="004D1168" w:rsidRDefault="0061090B" w:rsidP="00347F65">
            <w:pPr>
              <w:rPr>
                <w:rFonts w:ascii="Gellix" w:hAnsi="Gellix" w:cstheme="minorHAnsi"/>
              </w:rPr>
            </w:pPr>
          </w:p>
          <w:p w14:paraId="0E9113B3" w14:textId="77777777" w:rsidR="0061090B" w:rsidRPr="004D1168" w:rsidRDefault="0061090B" w:rsidP="00347F65">
            <w:pPr>
              <w:rPr>
                <w:rFonts w:ascii="Gellix" w:hAnsi="Gellix" w:cstheme="minorHAnsi"/>
                <w:b w:val="0"/>
                <w:bCs w:val="0"/>
              </w:rPr>
            </w:pPr>
            <w:r w:rsidRPr="004D1168">
              <w:rPr>
                <w:rFonts w:ascii="Gellix" w:hAnsi="Gellix" w:cstheme="minorHAnsi"/>
              </w:rPr>
              <w:t>8: Couple carbon pricing with climate change mitigation and adaptation</w:t>
            </w:r>
          </w:p>
          <w:p w14:paraId="6EAD7631" w14:textId="77777777" w:rsidR="0061090B" w:rsidRPr="004D1168" w:rsidRDefault="0061090B" w:rsidP="00347F65">
            <w:pPr>
              <w:rPr>
                <w:rFonts w:ascii="Gellix" w:hAnsi="Gellix" w:cstheme="minorHAnsi"/>
              </w:rPr>
            </w:pPr>
          </w:p>
          <w:p w14:paraId="0F9C3089" w14:textId="77777777" w:rsidR="0061090B" w:rsidRPr="004D1168" w:rsidRDefault="0061090B" w:rsidP="00347F65">
            <w:pPr>
              <w:rPr>
                <w:rFonts w:ascii="Gellix" w:hAnsi="Gellix" w:cstheme="minorHAnsi"/>
                <w:b w:val="0"/>
                <w:bCs w:val="0"/>
              </w:rPr>
            </w:pPr>
            <w:r w:rsidRPr="004D1168">
              <w:rPr>
                <w:rFonts w:ascii="Gellix" w:hAnsi="Gellix" w:cstheme="minorHAnsi"/>
              </w:rPr>
              <w:t>9: Ensure international cooperation for greater consistency globally</w:t>
            </w:r>
          </w:p>
          <w:p w14:paraId="75FEBF9F" w14:textId="77777777" w:rsidR="0061090B" w:rsidRPr="004D1168" w:rsidRDefault="0061090B" w:rsidP="00347F65">
            <w:pPr>
              <w:rPr>
                <w:rFonts w:ascii="Gellix" w:hAnsi="Gellix" w:cstheme="minorHAnsi"/>
              </w:rPr>
            </w:pPr>
          </w:p>
          <w:p w14:paraId="490A3E62" w14:textId="77777777" w:rsidR="0061090B" w:rsidRPr="004D1168" w:rsidRDefault="0061090B" w:rsidP="00347F65">
            <w:pPr>
              <w:rPr>
                <w:rFonts w:ascii="Gellix" w:hAnsi="Gellix" w:cstheme="minorHAnsi"/>
                <w:b w:val="0"/>
                <w:bCs w:val="0"/>
              </w:rPr>
            </w:pPr>
            <w:r w:rsidRPr="004D1168">
              <w:rPr>
                <w:rFonts w:ascii="Gellix" w:hAnsi="Gellix" w:cstheme="minorHAnsi"/>
                <w:b w:val="0"/>
                <w:bCs w:val="0"/>
              </w:rPr>
              <w:t xml:space="preserve">10: Develop mechanisms through </w:t>
            </w:r>
            <w:r w:rsidRPr="004D1168">
              <w:rPr>
                <w:rFonts w:ascii="Gellix" w:hAnsi="Gellix" w:cstheme="minorHAnsi"/>
              </w:rPr>
              <w:t>inclusive and transparent consultation</w:t>
            </w:r>
            <w:r w:rsidRPr="004D1168">
              <w:rPr>
                <w:rFonts w:ascii="Gellix" w:hAnsi="Gellix" w:cstheme="minorHAnsi"/>
                <w:b w:val="0"/>
                <w:bCs w:val="0"/>
              </w:rPr>
              <w:t xml:space="preserve"> with business and other key stakeholders</w:t>
            </w:r>
          </w:p>
        </w:tc>
        <w:tc>
          <w:tcPr>
            <w:tcW w:w="3092" w:type="dxa"/>
          </w:tcPr>
          <w:p w14:paraId="290806C0"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r w:rsidRPr="004D1168">
              <w:rPr>
                <w:rFonts w:ascii="Gellix" w:hAnsi="Gellix" w:cstheme="minorHAnsi"/>
                <w:b/>
                <w:bCs/>
              </w:rPr>
              <w:lastRenderedPageBreak/>
              <w:t>A. Emissions Impact</w:t>
            </w:r>
          </w:p>
          <w:p w14:paraId="33F7C2BA"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4D1168">
              <w:rPr>
                <w:rFonts w:ascii="Gellix" w:hAnsi="Gellix" w:cstheme="minorHAnsi"/>
                <w:b/>
                <w:bCs/>
              </w:rPr>
              <w:t>Additionality</w:t>
            </w:r>
            <w:r w:rsidRPr="004D1168">
              <w:rPr>
                <w:rFonts w:ascii="Gellix" w:hAnsi="Gellix" w:cstheme="minorHAnsi"/>
              </w:rPr>
              <w:t>: The greenhouse gas (GHG) emission reductions or removals from the mitigation activity shall be additional, i.e., they would not have occurred in the absence of the incentive created by carbon credit revenues.</w:t>
            </w:r>
          </w:p>
          <w:p w14:paraId="42F61E48"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4D1168">
              <w:rPr>
                <w:rFonts w:ascii="Gellix" w:hAnsi="Gellix" w:cstheme="minorHAnsi"/>
                <w:b/>
                <w:bCs/>
              </w:rPr>
              <w:t>Permanence:</w:t>
            </w:r>
            <w:r w:rsidRPr="004D1168">
              <w:rPr>
                <w:rFonts w:ascii="Gellix" w:hAnsi="Gellix" w:cstheme="minorHAnsi"/>
              </w:rPr>
              <w:t xml:space="preserve"> The GHG emission reductions or removals from the mitigation activity shall be permanent or, where there is a risk of reversal, there shall be measures in place to address those risks and compensate reversals.</w:t>
            </w:r>
          </w:p>
          <w:p w14:paraId="76F47949"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4D1168">
              <w:rPr>
                <w:rFonts w:ascii="Gellix" w:hAnsi="Gellix" w:cstheme="minorHAnsi"/>
                <w:b/>
                <w:bCs/>
              </w:rPr>
              <w:t>Robust quantification of emission reductions and removals:</w:t>
            </w:r>
            <w:r w:rsidRPr="004D1168">
              <w:rPr>
                <w:rFonts w:ascii="Gellix" w:hAnsi="Gellix" w:cstheme="minorHAnsi"/>
              </w:rPr>
              <w:t xml:space="preserve"> The GHG emission reductions or removals from the mitigation activity shall be robustly quantified, based on conservative approaches, completeness and sound scientific methods.</w:t>
            </w:r>
          </w:p>
          <w:p w14:paraId="1BDDCA27"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4D1168">
              <w:rPr>
                <w:rFonts w:ascii="Gellix" w:hAnsi="Gellix" w:cstheme="minorHAnsi"/>
                <w:b/>
                <w:bCs/>
              </w:rPr>
              <w:lastRenderedPageBreak/>
              <w:t>No double counting:</w:t>
            </w:r>
            <w:r w:rsidRPr="004D1168">
              <w:rPr>
                <w:rFonts w:ascii="Gellix" w:hAnsi="Gellix" w:cstheme="minorHAnsi"/>
              </w:rPr>
              <w:t xml:space="preserve"> The GHG emission reductions or removals from the mitigation activity shall not be double counted, i.e., they shall only be counted once towards achieving mitigation targets or goals. </w:t>
            </w:r>
          </w:p>
          <w:p w14:paraId="26A0EB8C"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r w:rsidRPr="004D1168">
              <w:rPr>
                <w:rFonts w:ascii="Gellix" w:hAnsi="Gellix" w:cstheme="minorHAnsi"/>
                <w:b/>
                <w:bCs/>
              </w:rPr>
              <w:t>B. Governance</w:t>
            </w:r>
          </w:p>
          <w:p w14:paraId="0679283D"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4D1168">
              <w:rPr>
                <w:rFonts w:ascii="Gellix" w:hAnsi="Gellix" w:cstheme="minorHAnsi"/>
                <w:b/>
                <w:bCs/>
              </w:rPr>
              <w:t>Effective governance</w:t>
            </w:r>
            <w:r w:rsidRPr="004D1168">
              <w:rPr>
                <w:rFonts w:ascii="Gellix" w:hAnsi="Gellix" w:cstheme="minorHAnsi"/>
              </w:rPr>
              <w:t>: The carbon-crediting program shall have effective program governance to ensure transparency, accountability, continuous improvement and the overall quality of carbon credits.</w:t>
            </w:r>
          </w:p>
          <w:p w14:paraId="71095F7C"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4D1168">
              <w:rPr>
                <w:rFonts w:ascii="Gellix" w:hAnsi="Gellix" w:cstheme="minorHAnsi"/>
                <w:b/>
                <w:bCs/>
              </w:rPr>
              <w:t>Tracking:</w:t>
            </w:r>
            <w:r w:rsidRPr="004D1168">
              <w:rPr>
                <w:rFonts w:ascii="Gellix" w:hAnsi="Gellix" w:cstheme="minorHAnsi"/>
              </w:rPr>
              <w:t xml:space="preserve"> The carbon-crediting program shall operate or make use of a registry to uniquely identify, record and track mitigation activities and carbon credits issued to ensure credits can be identified securely and unambiguously.</w:t>
            </w:r>
          </w:p>
          <w:p w14:paraId="0FA10226"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4D1168">
              <w:rPr>
                <w:rFonts w:ascii="Gellix" w:hAnsi="Gellix" w:cstheme="minorHAnsi"/>
                <w:b/>
                <w:bCs/>
              </w:rPr>
              <w:t>Transparency:</w:t>
            </w:r>
            <w:r w:rsidRPr="004D1168">
              <w:rPr>
                <w:rFonts w:ascii="Gellix" w:hAnsi="Gellix" w:cstheme="minorHAnsi"/>
              </w:rPr>
              <w:t xml:space="preserve"> The carbon-crediting program shall provide comprehensive and transparent information on all credited mitigation activities. The information shall be </w:t>
            </w:r>
            <w:r w:rsidRPr="004D1168">
              <w:rPr>
                <w:rFonts w:ascii="Gellix" w:hAnsi="Gellix" w:cstheme="minorHAnsi"/>
              </w:rPr>
              <w:lastRenderedPageBreak/>
              <w:t>publicly available in electronic format and shall be accessible to non-specialised audiences, to enable scrutiny of mitigation activities.</w:t>
            </w:r>
          </w:p>
          <w:p w14:paraId="2EDC2713"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4D1168">
              <w:rPr>
                <w:rFonts w:ascii="Gellix" w:hAnsi="Gellix" w:cstheme="minorHAnsi"/>
                <w:b/>
                <w:bCs/>
              </w:rPr>
              <w:t>Robust independent third-party validation and verification:</w:t>
            </w:r>
            <w:r w:rsidRPr="004D1168">
              <w:rPr>
                <w:rFonts w:ascii="Gellix" w:hAnsi="Gellix" w:cstheme="minorHAnsi"/>
              </w:rPr>
              <w:t xml:space="preserve"> The carbon-crediting program shall have program-level requirements for robust independent third-party validation and verification of mitigation activities.</w:t>
            </w:r>
          </w:p>
          <w:p w14:paraId="4ED3D161" w14:textId="77777777" w:rsidR="0061090B" w:rsidRPr="004D1168" w:rsidRDefault="0061090B" w:rsidP="00347F65">
            <w:pPr>
              <w:pStyle w:val="ListParagraph"/>
              <w:cnfStyle w:val="000000000000" w:firstRow="0" w:lastRow="0" w:firstColumn="0" w:lastColumn="0" w:oddVBand="0" w:evenVBand="0" w:oddHBand="0" w:evenHBand="0" w:firstRowFirstColumn="0" w:firstRowLastColumn="0" w:lastRowFirstColumn="0" w:lastRowLastColumn="0"/>
              <w:rPr>
                <w:rFonts w:ascii="Gellix" w:hAnsi="Gellix" w:cstheme="minorHAnsi"/>
              </w:rPr>
            </w:pPr>
          </w:p>
          <w:p w14:paraId="2F144909"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r w:rsidRPr="004D1168">
              <w:rPr>
                <w:rFonts w:ascii="Gellix" w:hAnsi="Gellix" w:cstheme="minorHAnsi"/>
                <w:b/>
                <w:bCs/>
              </w:rPr>
              <w:t>C. Sustainable development</w:t>
            </w:r>
          </w:p>
          <w:p w14:paraId="3842AD18"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r w:rsidRPr="004D1168">
              <w:rPr>
                <w:rFonts w:ascii="Gellix" w:hAnsi="Gellix" w:cstheme="minorHAnsi"/>
                <w:b/>
                <w:bCs/>
              </w:rPr>
              <w:t>Sustainable development benefits and safeguards</w:t>
            </w:r>
          </w:p>
          <w:p w14:paraId="70F74EDA" w14:textId="77777777" w:rsidR="0061090B" w:rsidRPr="004D1168" w:rsidRDefault="0061090B" w:rsidP="00347F65">
            <w:pPr>
              <w:pStyle w:val="ListParagraph"/>
              <w:ind w:left="0"/>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4D1168">
              <w:rPr>
                <w:rFonts w:ascii="Gellix" w:hAnsi="Gellix" w:cstheme="minorHAnsi"/>
                <w:b/>
                <w:bCs/>
              </w:rPr>
              <w:t>Contribution to net zero transition</w:t>
            </w:r>
          </w:p>
        </w:tc>
        <w:tc>
          <w:tcPr>
            <w:tcW w:w="2634" w:type="dxa"/>
          </w:tcPr>
          <w:p w14:paraId="5A98F8EE" w14:textId="77777777" w:rsidR="0061090B" w:rsidRPr="00975FB6" w:rsidRDefault="0061090B" w:rsidP="00DD4784">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r w:rsidRPr="00975FB6">
              <w:rPr>
                <w:rFonts w:ascii="Gellix" w:hAnsi="Gellix" w:cstheme="minorHAnsi"/>
                <w:b/>
                <w:bCs/>
              </w:rPr>
              <w:lastRenderedPageBreak/>
              <w:t>Guidance on cooperative approaches referred to in Article 6.2</w:t>
            </w:r>
          </w:p>
          <w:p w14:paraId="5B3270EB" w14:textId="77777777" w:rsidR="00CA4764" w:rsidRPr="00975FB6" w:rsidRDefault="00CA4764" w:rsidP="00CA4764">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p>
          <w:p w14:paraId="3F784943" w14:textId="4B0E1365" w:rsidR="00D35898" w:rsidRPr="00975FB6" w:rsidRDefault="0061090B" w:rsidP="00D35898">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975FB6">
              <w:rPr>
                <w:rFonts w:ascii="Gellix" w:hAnsi="Gellix" w:cstheme="minorHAnsi"/>
                <w:b/>
                <w:bCs/>
              </w:rPr>
              <w:t>Internationally transferred mitigation outcomes (ITMOs)</w:t>
            </w:r>
            <w:r w:rsidR="00D35898" w:rsidRPr="00975FB6">
              <w:rPr>
                <w:rFonts w:ascii="Gellix" w:hAnsi="Gellix" w:cstheme="minorHAnsi"/>
                <w:b/>
                <w:bCs/>
              </w:rPr>
              <w:t xml:space="preserve">: </w:t>
            </w:r>
            <w:r w:rsidR="00D35898" w:rsidRPr="00975FB6">
              <w:rPr>
                <w:rFonts w:ascii="Gellix" w:hAnsi="Gellix" w:cstheme="minorHAnsi"/>
              </w:rPr>
              <w:t>An ITMOs is defined as an authorized transfer of a mitigation outcome for use: a) towards</w:t>
            </w:r>
          </w:p>
          <w:p w14:paraId="049F5F38" w14:textId="77777777" w:rsidR="00D35898" w:rsidRPr="00975FB6" w:rsidRDefault="00D35898" w:rsidP="00D35898">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975FB6">
              <w:rPr>
                <w:rFonts w:ascii="Gellix" w:hAnsi="Gellix" w:cstheme="minorHAnsi"/>
              </w:rPr>
              <w:t>an NDC; b) for other international purposes (undefined, but largely understood as ICAO and</w:t>
            </w:r>
          </w:p>
          <w:p w14:paraId="71148C95" w14:textId="77777777" w:rsidR="00D35898" w:rsidRPr="00975FB6" w:rsidRDefault="00D35898" w:rsidP="00D35898">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975FB6">
              <w:rPr>
                <w:rFonts w:ascii="Gellix" w:hAnsi="Gellix" w:cstheme="minorHAnsi"/>
              </w:rPr>
              <w:t>IMO); for other purposes as determined by the first transferring Party (largely understood</w:t>
            </w:r>
          </w:p>
          <w:p w14:paraId="4A16D5B2" w14:textId="3C621489" w:rsidR="00782568" w:rsidRPr="00975FB6" w:rsidRDefault="00D35898" w:rsidP="00D35898">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975FB6">
              <w:rPr>
                <w:rFonts w:ascii="Gellix" w:hAnsi="Gellix" w:cstheme="minorHAnsi"/>
              </w:rPr>
              <w:t>for voluntary carbon markets (VM)) if the Party so wishes to do, or the standard requires it.</w:t>
            </w:r>
          </w:p>
          <w:p w14:paraId="18F0E2B0" w14:textId="77777777" w:rsidR="00975FB6" w:rsidRPr="00975FB6" w:rsidRDefault="00975FB6" w:rsidP="00D35898">
            <w:pPr>
              <w:cnfStyle w:val="000000000000" w:firstRow="0" w:lastRow="0" w:firstColumn="0" w:lastColumn="0" w:oddVBand="0" w:evenVBand="0" w:oddHBand="0" w:evenHBand="0" w:firstRowFirstColumn="0" w:firstRowLastColumn="0" w:lastRowFirstColumn="0" w:lastRowLastColumn="0"/>
              <w:rPr>
                <w:rFonts w:ascii="Gellix" w:eastAsiaTheme="minorEastAsia" w:hAnsi="Gellix" w:cstheme="minorHAnsi"/>
                <w:kern w:val="2"/>
                <w:lang w:eastAsia="zh-CN"/>
                <w14:ligatures w14:val="standardContextual"/>
              </w:rPr>
            </w:pPr>
          </w:p>
          <w:p w14:paraId="519D1057" w14:textId="692987F4" w:rsidR="00975FB6" w:rsidRPr="00975FB6" w:rsidRDefault="00975FB6" w:rsidP="00D35898">
            <w:pPr>
              <w:cnfStyle w:val="000000000000" w:firstRow="0" w:lastRow="0" w:firstColumn="0" w:lastColumn="0" w:oddVBand="0" w:evenVBand="0" w:oddHBand="0" w:evenHBand="0" w:firstRowFirstColumn="0" w:firstRowLastColumn="0" w:lastRowFirstColumn="0" w:lastRowLastColumn="0"/>
              <w:rPr>
                <w:rFonts w:ascii="Gellix" w:eastAsiaTheme="minorEastAsia" w:hAnsi="Gellix" w:cstheme="minorHAnsi"/>
                <w:kern w:val="2"/>
                <w:lang w:eastAsia="zh-CN"/>
                <w14:ligatures w14:val="standardContextual"/>
              </w:rPr>
            </w:pPr>
            <w:r w:rsidRPr="00975FB6">
              <w:rPr>
                <w:rFonts w:ascii="Gellix" w:eastAsiaTheme="minorEastAsia" w:hAnsi="Gellix" w:cstheme="minorHAnsi"/>
                <w:kern w:val="2"/>
                <w:lang w:eastAsia="zh-CN"/>
                <w14:ligatures w14:val="standardContextual"/>
              </w:rPr>
              <w:t xml:space="preserve">Additional criteria: </w:t>
            </w:r>
          </w:p>
          <w:p w14:paraId="47859D6F" w14:textId="77777777" w:rsidR="00782568" w:rsidRPr="00975FB6" w:rsidRDefault="00782568" w:rsidP="00782568">
            <w:pPr>
              <w:cnfStyle w:val="000000000000" w:firstRow="0" w:lastRow="0" w:firstColumn="0" w:lastColumn="0" w:oddVBand="0" w:evenVBand="0" w:oddHBand="0" w:evenHBand="0" w:firstRowFirstColumn="0" w:firstRowLastColumn="0" w:lastRowFirstColumn="0" w:lastRowLastColumn="0"/>
              <w:rPr>
                <w:rFonts w:ascii="Gellix" w:eastAsiaTheme="minorEastAsia" w:hAnsi="Gellix" w:cstheme="minorHAnsi"/>
                <w:b/>
                <w:bCs/>
                <w:kern w:val="2"/>
                <w:lang w:eastAsia="zh-CN"/>
                <w14:ligatures w14:val="standardContextual"/>
              </w:rPr>
            </w:pPr>
          </w:p>
          <w:p w14:paraId="08F214A6" w14:textId="77777777" w:rsidR="00782568" w:rsidRPr="00975FB6" w:rsidRDefault="0061090B" w:rsidP="00A05495">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975FB6">
              <w:rPr>
                <w:rFonts w:ascii="Gellix" w:hAnsi="Gellix" w:cstheme="minorHAnsi"/>
              </w:rPr>
              <w:lastRenderedPageBreak/>
              <w:t>Real, verified, and additional</w:t>
            </w:r>
            <w:r w:rsidR="0090779C" w:rsidRPr="00975FB6">
              <w:rPr>
                <w:rFonts w:ascii="Gellix" w:hAnsi="Gellix" w:cstheme="minorHAnsi"/>
              </w:rPr>
              <w:t>;</w:t>
            </w:r>
          </w:p>
          <w:p w14:paraId="077EB14D" w14:textId="22647FA9" w:rsidR="006628FB" w:rsidRPr="00975FB6" w:rsidRDefault="006628FB" w:rsidP="00A05495">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975FB6">
              <w:rPr>
                <w:rFonts w:ascii="Gellix" w:hAnsi="Gellix" w:cstheme="minorHAnsi"/>
              </w:rPr>
              <w:t>Emission reductions and removals</w:t>
            </w:r>
          </w:p>
          <w:p w14:paraId="5FA43DCF" w14:textId="1657C3DA" w:rsidR="00462EED" w:rsidRPr="00975FB6" w:rsidRDefault="00462EED" w:rsidP="00462EE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975FB6">
              <w:rPr>
                <w:rFonts w:ascii="Gellix" w:hAnsi="Gellix" w:cstheme="minorHAnsi"/>
              </w:rPr>
              <w:t>An Art 6.4 mechanism unit is also treated as an ITMO.</w:t>
            </w:r>
          </w:p>
          <w:p w14:paraId="0AC809E6" w14:textId="77777777" w:rsidR="00462EED" w:rsidRPr="00975FB6" w:rsidRDefault="00462EED" w:rsidP="00462EED">
            <w:pPr>
              <w:pStyle w:val="ListParagraph"/>
              <w:ind w:left="360"/>
              <w:cnfStyle w:val="000000000000" w:firstRow="0" w:lastRow="0" w:firstColumn="0" w:lastColumn="0" w:oddVBand="0" w:evenVBand="0" w:oddHBand="0" w:evenHBand="0" w:firstRowFirstColumn="0" w:firstRowLastColumn="0" w:lastRowFirstColumn="0" w:lastRowLastColumn="0"/>
              <w:rPr>
                <w:rFonts w:ascii="Gellix" w:hAnsi="Gellix" w:cstheme="minorHAnsi"/>
              </w:rPr>
            </w:pPr>
          </w:p>
          <w:p w14:paraId="0DA6C2D9" w14:textId="46FFBD50" w:rsidR="008D5A08" w:rsidRPr="00975FB6" w:rsidRDefault="00CA4764" w:rsidP="008D5A08">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975FB6">
              <w:rPr>
                <w:rFonts w:ascii="Gellix" w:hAnsi="Gellix" w:cstheme="minorHAnsi"/>
                <w:b/>
                <w:bCs/>
              </w:rPr>
              <w:t xml:space="preserve">Participation: </w:t>
            </w:r>
            <w:r w:rsidR="000011EB">
              <w:rPr>
                <w:rFonts w:ascii="Gellix" w:hAnsi="Gellix" w:cstheme="minorHAnsi"/>
                <w:b/>
                <w:bCs/>
              </w:rPr>
              <w:t>“</w:t>
            </w:r>
            <w:r w:rsidR="008D5A08" w:rsidRPr="00975FB6">
              <w:rPr>
                <w:rFonts w:ascii="Gellix" w:hAnsi="Gellix"/>
              </w:rPr>
              <w:t>Each participating Party shall ensure that i</w:t>
            </w:r>
            <w:r w:rsidR="008D5A08" w:rsidRPr="00975FB6">
              <w:rPr>
                <w:rFonts w:ascii="Gellix" w:hAnsi="Gellix" w:cstheme="minorHAnsi"/>
              </w:rPr>
              <w:t>ts participation contributes to the implementation of its NDC and long-term</w:t>
            </w:r>
          </w:p>
          <w:p w14:paraId="518DBE12" w14:textId="3CBEDDA9" w:rsidR="008D5A08" w:rsidRPr="00975FB6" w:rsidRDefault="008D5A08" w:rsidP="008D5A08">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975FB6">
              <w:rPr>
                <w:rFonts w:ascii="Gellix" w:hAnsi="Gellix" w:cstheme="minorHAnsi"/>
              </w:rPr>
              <w:t>low-emission development strategy, if it has submitted one, and the long-term goals of the</w:t>
            </w:r>
          </w:p>
          <w:p w14:paraId="2D83B905" w14:textId="5D1A7191" w:rsidR="0061090B" w:rsidRPr="00975FB6" w:rsidRDefault="008D5A08" w:rsidP="008D5A08">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975FB6">
              <w:rPr>
                <w:rFonts w:ascii="Gellix" w:hAnsi="Gellix" w:cstheme="minorHAnsi"/>
              </w:rPr>
              <w:t>Paris Agreement.</w:t>
            </w:r>
            <w:r w:rsidR="000011EB">
              <w:rPr>
                <w:rFonts w:ascii="Gellix" w:hAnsi="Gellix" w:cstheme="minorHAnsi"/>
              </w:rPr>
              <w:t>”</w:t>
            </w:r>
          </w:p>
          <w:p w14:paraId="73D6F6D8" w14:textId="77777777" w:rsidR="000B6C24" w:rsidRPr="00975FB6" w:rsidRDefault="000B6C24" w:rsidP="008D5A08">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p>
          <w:p w14:paraId="0B3BD3D2" w14:textId="7D069A76" w:rsidR="004C1DA3" w:rsidRPr="00975FB6" w:rsidRDefault="000B6C24" w:rsidP="004C1DA3">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975FB6">
              <w:rPr>
                <w:rFonts w:ascii="Gellix" w:hAnsi="Gellix" w:cstheme="minorHAnsi"/>
                <w:b/>
                <w:bCs/>
              </w:rPr>
              <w:t>Corresponding Adjustments (CA)</w:t>
            </w:r>
            <w:r w:rsidR="004C1DA3" w:rsidRPr="00975FB6">
              <w:rPr>
                <w:rFonts w:ascii="Gellix" w:hAnsi="Gellix" w:cstheme="minorHAnsi"/>
                <w:b/>
                <w:bCs/>
              </w:rPr>
              <w:t xml:space="preserve">: </w:t>
            </w:r>
            <w:r w:rsidR="004C1DA3" w:rsidRPr="00975FB6">
              <w:rPr>
                <w:rFonts w:ascii="Gellix" w:hAnsi="Gellix" w:cstheme="minorHAnsi"/>
              </w:rPr>
              <w:t>When an international transfer is authorized for these uses, it then requires that</w:t>
            </w:r>
          </w:p>
          <w:p w14:paraId="32B9FB02" w14:textId="7A66592B" w:rsidR="000B6C24" w:rsidRPr="00975FB6" w:rsidRDefault="004C1DA3" w:rsidP="004C1DA3">
            <w:pPr>
              <w:cnfStyle w:val="000000000000" w:firstRow="0" w:lastRow="0" w:firstColumn="0" w:lastColumn="0" w:oddVBand="0" w:evenVBand="0" w:oddHBand="0" w:evenHBand="0" w:firstRowFirstColumn="0" w:firstRowLastColumn="0" w:lastRowFirstColumn="0" w:lastRowLastColumn="0"/>
              <w:rPr>
                <w:rFonts w:ascii="Gellix" w:eastAsiaTheme="minorEastAsia" w:hAnsi="Gellix" w:cstheme="minorHAnsi"/>
                <w:kern w:val="2"/>
                <w:lang w:eastAsia="zh-CN"/>
                <w14:ligatures w14:val="standardContextual"/>
              </w:rPr>
            </w:pPr>
            <w:r w:rsidRPr="00975FB6">
              <w:rPr>
                <w:rFonts w:ascii="Gellix" w:hAnsi="Gellix" w:cstheme="minorHAnsi"/>
              </w:rPr>
              <w:t>a corresponding adjustment be undertaken.</w:t>
            </w:r>
            <w:r w:rsidR="00975FB6" w:rsidRPr="00975FB6">
              <w:rPr>
                <w:rFonts w:ascii="Gellix" w:hAnsi="Gellix" w:cstheme="minorHAnsi"/>
              </w:rPr>
              <w:t xml:space="preserve"> Transfers that are not authorized could potentially be used for domestic purposes, </w:t>
            </w:r>
            <w:proofErr w:type="spellStart"/>
            <w:r w:rsidR="00975FB6" w:rsidRPr="00975FB6">
              <w:rPr>
                <w:rFonts w:ascii="Gellix" w:hAnsi="Gellix" w:cstheme="minorHAnsi"/>
              </w:rPr>
              <w:lastRenderedPageBreak/>
              <w:t>resultsbased</w:t>
            </w:r>
            <w:proofErr w:type="spellEnd"/>
            <w:r w:rsidR="00975FB6" w:rsidRPr="00975FB6">
              <w:rPr>
                <w:rFonts w:ascii="Gellix" w:hAnsi="Gellix" w:cstheme="minorHAnsi"/>
              </w:rPr>
              <w:t xml:space="preserve"> finance, or voluntary corporate targets.</w:t>
            </w:r>
          </w:p>
          <w:p w14:paraId="49725264" w14:textId="77777777" w:rsidR="000B6C24" w:rsidRPr="00975FB6" w:rsidRDefault="000B6C24" w:rsidP="000B6C24">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p>
          <w:p w14:paraId="021FECB5" w14:textId="5CEEB4CA" w:rsidR="00F87BC9" w:rsidRDefault="000011EB" w:rsidP="00975FB6">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Pr>
                <w:rFonts w:ascii="Gellix" w:hAnsi="Gellix" w:cstheme="minorHAnsi"/>
              </w:rPr>
              <w:t>“</w:t>
            </w:r>
            <w:r w:rsidR="005C4799" w:rsidRPr="00975FB6">
              <w:rPr>
                <w:rFonts w:ascii="Gellix" w:hAnsi="Gellix" w:cstheme="minorHAnsi"/>
              </w:rPr>
              <w:t>Each participating Party shall apply corresponding adjustments in a manner that ensures transparency, accuracy, completeness, comparability and consistency</w:t>
            </w:r>
            <w:r w:rsidR="00975FB6" w:rsidRPr="00975FB6">
              <w:rPr>
                <w:rFonts w:ascii="Gellix" w:hAnsi="Gellix" w:cstheme="minorHAnsi"/>
              </w:rPr>
              <w:t>.</w:t>
            </w:r>
            <w:r>
              <w:rPr>
                <w:rFonts w:ascii="Gellix" w:hAnsi="Gellix" w:cstheme="minorHAnsi"/>
              </w:rPr>
              <w:t>”</w:t>
            </w:r>
            <w:r w:rsidR="005C4799" w:rsidRPr="00975FB6">
              <w:rPr>
                <w:rFonts w:ascii="Gellix" w:hAnsi="Gellix" w:cstheme="minorHAnsi"/>
              </w:rPr>
              <w:t xml:space="preserve"> </w:t>
            </w:r>
          </w:p>
          <w:p w14:paraId="15E18A37" w14:textId="77777777" w:rsidR="00526430" w:rsidRDefault="00526430" w:rsidP="00975FB6">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p>
          <w:p w14:paraId="1D29819C" w14:textId="3288397D" w:rsidR="006A3FCB" w:rsidRDefault="0028110B" w:rsidP="006A3FCB">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Pr>
                <w:rFonts w:ascii="Gellix" w:hAnsi="Gellix" w:cstheme="minorHAnsi"/>
                <w:b/>
                <w:bCs/>
              </w:rPr>
              <w:t>Share of Proceeds (similar to Article 6.4</w:t>
            </w:r>
            <w:r w:rsidR="006410DC">
              <w:rPr>
                <w:rFonts w:ascii="Gellix" w:hAnsi="Gellix" w:cstheme="minorHAnsi"/>
                <w:b/>
                <w:bCs/>
              </w:rPr>
              <w:t xml:space="preserve"> provisions) and Overall Mitigation of Global Emissions</w:t>
            </w:r>
            <w:r w:rsidR="006A3FCB" w:rsidRPr="006A3FCB">
              <w:rPr>
                <w:rFonts w:ascii="Gellix" w:hAnsi="Gellix" w:cstheme="minorHAnsi"/>
              </w:rPr>
              <w:t xml:space="preserve"> </w:t>
            </w:r>
          </w:p>
          <w:p w14:paraId="1DAAF171" w14:textId="77777777" w:rsidR="006A3FCB" w:rsidRDefault="006A3FCB" w:rsidP="006A3FCB">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p>
          <w:p w14:paraId="3AD5E805" w14:textId="703FF5D3" w:rsidR="006328EF" w:rsidRPr="006328EF" w:rsidRDefault="006B291F" w:rsidP="006A3FCB">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Pr>
                <w:rFonts w:ascii="Gellix" w:hAnsi="Gellix" w:cstheme="minorHAnsi"/>
              </w:rPr>
              <w:t>“</w:t>
            </w:r>
            <w:r w:rsidR="006328EF" w:rsidRPr="006328EF">
              <w:rPr>
                <w:rFonts w:ascii="Gellix" w:hAnsi="Gellix" w:cstheme="minorHAnsi"/>
              </w:rPr>
              <w:t>Participating Parties and stakeholders using cooperative approaches are strongly</w:t>
            </w:r>
          </w:p>
          <w:p w14:paraId="68D9111B" w14:textId="22EA185B" w:rsidR="00526430" w:rsidRDefault="006328EF" w:rsidP="006328EF">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6328EF">
              <w:rPr>
                <w:rFonts w:ascii="Gellix" w:hAnsi="Gellix" w:cstheme="minorHAnsi"/>
              </w:rPr>
              <w:t>encouraged to commit to contribute resources for adaptation, in particular through contributions to the Adaptation Fund</w:t>
            </w:r>
            <w:r w:rsidR="0028110B">
              <w:rPr>
                <w:rFonts w:ascii="Gellix" w:hAnsi="Gellix" w:cstheme="minorHAnsi"/>
              </w:rPr>
              <w:t>. […]</w:t>
            </w:r>
          </w:p>
          <w:p w14:paraId="373A088D" w14:textId="77777777" w:rsidR="00FA1DA1" w:rsidRDefault="00FA1DA1" w:rsidP="006328EF">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p>
          <w:p w14:paraId="6B6C29DA" w14:textId="77777777" w:rsidR="00FA1DA1" w:rsidRPr="00FA1DA1" w:rsidRDefault="00FA1DA1" w:rsidP="00FA1DA1">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FA1DA1">
              <w:rPr>
                <w:rFonts w:ascii="Gellix" w:hAnsi="Gellix" w:cstheme="minorHAnsi"/>
              </w:rPr>
              <w:t>and to take into account the delivery of</w:t>
            </w:r>
          </w:p>
          <w:p w14:paraId="2F8E7A98" w14:textId="77777777" w:rsidR="00FA1DA1" w:rsidRPr="00FA1DA1" w:rsidRDefault="00FA1DA1" w:rsidP="00FA1DA1">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FA1DA1">
              <w:rPr>
                <w:rFonts w:ascii="Gellix" w:hAnsi="Gellix" w:cstheme="minorHAnsi"/>
              </w:rPr>
              <w:lastRenderedPageBreak/>
              <w:t>overall mitigation in global emissions under the mechanism established by Article 6,</w:t>
            </w:r>
          </w:p>
          <w:p w14:paraId="2D24B9DE" w14:textId="233D5B47" w:rsidR="00FA1DA1" w:rsidRDefault="00FA1DA1" w:rsidP="00FA1DA1">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FA1DA1">
              <w:rPr>
                <w:rFonts w:ascii="Gellix" w:hAnsi="Gellix" w:cstheme="minorHAnsi"/>
              </w:rPr>
              <w:t>paragraph 4</w:t>
            </w:r>
            <w:r w:rsidR="006B291F">
              <w:rPr>
                <w:rFonts w:ascii="Gellix" w:hAnsi="Gellix" w:cstheme="minorHAnsi"/>
              </w:rPr>
              <w:t>”</w:t>
            </w:r>
          </w:p>
          <w:p w14:paraId="6BE2C4EB" w14:textId="77777777" w:rsidR="00796C46" w:rsidRDefault="00796C46" w:rsidP="00FA1DA1">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p>
          <w:p w14:paraId="2542C179" w14:textId="1EDCABC3" w:rsidR="00796C46" w:rsidRPr="00796C46" w:rsidRDefault="00796C46" w:rsidP="00796C46">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242678">
              <w:rPr>
                <w:rFonts w:ascii="Gellix" w:hAnsi="Gellix" w:cstheme="minorHAnsi"/>
                <w:b/>
                <w:bCs/>
              </w:rPr>
              <w:t>Safeguards and limits</w:t>
            </w:r>
            <w:r>
              <w:rPr>
                <w:rFonts w:ascii="Gellix" w:hAnsi="Gellix" w:cstheme="minorHAnsi"/>
              </w:rPr>
              <w:t xml:space="preserve"> (</w:t>
            </w:r>
            <w:r w:rsidRPr="00796C46">
              <w:rPr>
                <w:rFonts w:ascii="Gellix" w:hAnsi="Gellix" w:cstheme="minorHAnsi"/>
              </w:rPr>
              <w:t>provisions are meant to ensure that a) no Party oversells and have difficulty reaching</w:t>
            </w:r>
          </w:p>
          <w:p w14:paraId="7E6E6548" w14:textId="1C921FB5" w:rsidR="00796C46" w:rsidRDefault="00796C46" w:rsidP="00796C46">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796C46">
              <w:rPr>
                <w:rFonts w:ascii="Gellix" w:hAnsi="Gellix" w:cstheme="minorHAnsi"/>
              </w:rPr>
              <w:t>its own NDC, and b) that most of the effort to reach ones NDC is domestic in nature, and that</w:t>
            </w:r>
            <w:r w:rsidR="00242678">
              <w:rPr>
                <w:rFonts w:ascii="Gellix" w:hAnsi="Gellix" w:cstheme="minorHAnsi"/>
              </w:rPr>
              <w:t xml:space="preserve"> </w:t>
            </w:r>
            <w:r w:rsidRPr="00796C46">
              <w:rPr>
                <w:rFonts w:ascii="Gellix" w:hAnsi="Gellix" w:cstheme="minorHAnsi"/>
              </w:rPr>
              <w:t>reaching ones NDC is not largely based on purchases and the use of ITMOs towards an NDC</w:t>
            </w:r>
            <w:r w:rsidR="00242678">
              <w:rPr>
                <w:rFonts w:ascii="Gellix" w:hAnsi="Gellix" w:cstheme="minorHAnsi"/>
              </w:rPr>
              <w:t>)</w:t>
            </w:r>
          </w:p>
          <w:p w14:paraId="38598415" w14:textId="77777777" w:rsidR="006B291F" w:rsidRDefault="006B291F" w:rsidP="00796C46">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p>
          <w:p w14:paraId="2AE0BD7C" w14:textId="20A4E743" w:rsidR="006B291F" w:rsidRPr="006B291F" w:rsidRDefault="006B291F" w:rsidP="006B291F">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Pr>
                <w:rFonts w:ascii="Gellix" w:hAnsi="Gellix" w:cstheme="minorHAnsi"/>
              </w:rPr>
              <w:t>“</w:t>
            </w:r>
            <w:r w:rsidRPr="006B291F">
              <w:rPr>
                <w:rFonts w:ascii="Gellix" w:hAnsi="Gellix" w:cstheme="minorHAnsi"/>
              </w:rPr>
              <w:t>Each participating Party shall ensure that the use of cooperative approaches does not</w:t>
            </w:r>
          </w:p>
          <w:p w14:paraId="0AD1F845" w14:textId="77777777" w:rsidR="006B291F" w:rsidRPr="006B291F" w:rsidRDefault="006B291F" w:rsidP="006B291F">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6B291F">
              <w:rPr>
                <w:rFonts w:ascii="Gellix" w:hAnsi="Gellix" w:cstheme="minorHAnsi"/>
              </w:rPr>
              <w:t>lead to a net increase in emissions of participating Parties within and between NDC</w:t>
            </w:r>
          </w:p>
          <w:p w14:paraId="342E27B7" w14:textId="77777777" w:rsidR="006B291F" w:rsidRPr="006B291F" w:rsidRDefault="006B291F" w:rsidP="006B291F">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6B291F">
              <w:rPr>
                <w:rFonts w:ascii="Gellix" w:hAnsi="Gellix" w:cstheme="minorHAnsi"/>
              </w:rPr>
              <w:t xml:space="preserve">implementation periods or across participating </w:t>
            </w:r>
            <w:r w:rsidRPr="006B291F">
              <w:rPr>
                <w:rFonts w:ascii="Gellix" w:hAnsi="Gellix" w:cstheme="minorHAnsi"/>
              </w:rPr>
              <w:lastRenderedPageBreak/>
              <w:t>Parties and shall ensure transparency,</w:t>
            </w:r>
          </w:p>
          <w:p w14:paraId="69B6573E" w14:textId="77777777" w:rsidR="006B291F" w:rsidRPr="006B291F" w:rsidRDefault="006B291F" w:rsidP="006B291F">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6B291F">
              <w:rPr>
                <w:rFonts w:ascii="Gellix" w:hAnsi="Gellix" w:cstheme="minorHAnsi"/>
              </w:rPr>
              <w:t>accuracy, consistency, completeness and comparability in tracking progress in</w:t>
            </w:r>
          </w:p>
          <w:p w14:paraId="1D911648" w14:textId="3BFB672A" w:rsidR="006B291F" w:rsidRDefault="006B291F" w:rsidP="006B291F">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6B291F">
              <w:rPr>
                <w:rFonts w:ascii="Gellix" w:hAnsi="Gellix" w:cstheme="minorHAnsi"/>
              </w:rPr>
              <w:t>implementation and achievement of its NDC</w:t>
            </w:r>
            <w:r>
              <w:rPr>
                <w:rFonts w:ascii="Gellix" w:hAnsi="Gellix" w:cstheme="minorHAnsi"/>
              </w:rPr>
              <w:t>”</w:t>
            </w:r>
          </w:p>
          <w:p w14:paraId="0CD039FD" w14:textId="77777777" w:rsidR="00A14D1A" w:rsidRDefault="00A14D1A" w:rsidP="006B291F">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p>
          <w:p w14:paraId="7FCE0345" w14:textId="77777777" w:rsidR="000F0BF2" w:rsidRPr="000F0BF2" w:rsidRDefault="00A14D1A" w:rsidP="000F0BF2">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0F0BF2">
              <w:rPr>
                <w:rFonts w:ascii="Gellix" w:hAnsi="Gellix" w:cstheme="minorHAnsi"/>
                <w:b/>
                <w:bCs/>
              </w:rPr>
              <w:t xml:space="preserve">Reporting: Initial Article 6.2 report </w:t>
            </w:r>
            <w:r w:rsidR="007E0012" w:rsidRPr="000F0BF2">
              <w:rPr>
                <w:rFonts w:ascii="Gellix" w:hAnsi="Gellix" w:cstheme="minorHAnsi"/>
                <w:b/>
                <w:bCs/>
              </w:rPr>
              <w:t>required with comprehensive information</w:t>
            </w:r>
            <w:r w:rsidR="00424BE7" w:rsidRPr="000F0BF2">
              <w:rPr>
                <w:rFonts w:ascii="Gellix" w:hAnsi="Gellix" w:cstheme="minorHAnsi"/>
                <w:b/>
                <w:bCs/>
              </w:rPr>
              <w:t xml:space="preserve"> to</w:t>
            </w:r>
            <w:r w:rsidR="000F0BF2" w:rsidRPr="000F0BF2">
              <w:rPr>
                <w:rFonts w:ascii="Gellix" w:hAnsi="Gellix" w:cstheme="minorHAnsi"/>
              </w:rPr>
              <w:t>:</w:t>
            </w:r>
          </w:p>
          <w:p w14:paraId="7DBD1AA3" w14:textId="77777777" w:rsidR="000F0BF2" w:rsidRDefault="00424BE7" w:rsidP="000F0BF2">
            <w:pPr>
              <w:pStyle w:val="ListParagraph"/>
              <w:numPr>
                <w:ilvl w:val="0"/>
                <w:numId w:val="77"/>
              </w:num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0F0BF2">
              <w:rPr>
                <w:rFonts w:ascii="Gellix" w:hAnsi="Gellix" w:cstheme="minorHAnsi"/>
              </w:rPr>
              <w:t>demonstrate that the participating Party fulfils the participation</w:t>
            </w:r>
            <w:r w:rsidR="000F0BF2">
              <w:rPr>
                <w:rFonts w:ascii="Gellix" w:hAnsi="Gellix" w:cstheme="minorHAnsi"/>
              </w:rPr>
              <w:t xml:space="preserve"> </w:t>
            </w:r>
            <w:r w:rsidR="000F0BF2" w:rsidRPr="000F0BF2">
              <w:rPr>
                <w:rFonts w:ascii="Gellix" w:hAnsi="Gellix" w:cstheme="minorHAnsi"/>
              </w:rPr>
              <w:t>r</w:t>
            </w:r>
            <w:r w:rsidRPr="000F0BF2">
              <w:rPr>
                <w:rFonts w:ascii="Gellix" w:hAnsi="Gellix" w:cstheme="minorHAnsi"/>
              </w:rPr>
              <w:t>esponsibilities</w:t>
            </w:r>
            <w:r w:rsidR="000F0BF2" w:rsidRPr="000F0BF2">
              <w:rPr>
                <w:rFonts w:ascii="Gellix" w:hAnsi="Gellix" w:cstheme="minorHAnsi"/>
              </w:rPr>
              <w:t>;</w:t>
            </w:r>
          </w:p>
          <w:p w14:paraId="4E81471B" w14:textId="03981025" w:rsidR="00A14D1A" w:rsidRDefault="000F0BF2" w:rsidP="000F0BF2">
            <w:pPr>
              <w:pStyle w:val="ListParagraph"/>
              <w:numPr>
                <w:ilvl w:val="0"/>
                <w:numId w:val="77"/>
              </w:num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0F0BF2">
              <w:rPr>
                <w:rFonts w:ascii="Gellix" w:hAnsi="Gellix" w:cstheme="minorHAnsi"/>
              </w:rPr>
              <w:t xml:space="preserve">communicate the ITMO metrics and the method for applying </w:t>
            </w:r>
            <w:r>
              <w:rPr>
                <w:rFonts w:ascii="Gellix" w:hAnsi="Gellix" w:cstheme="minorHAnsi"/>
              </w:rPr>
              <w:t>C</w:t>
            </w:r>
            <w:r w:rsidR="00386BD3">
              <w:rPr>
                <w:rFonts w:ascii="Gellix" w:hAnsi="Gellix" w:cstheme="minorHAnsi"/>
              </w:rPr>
              <w:t>A</w:t>
            </w:r>
            <w:r>
              <w:rPr>
                <w:rFonts w:ascii="Gellix" w:hAnsi="Gellix" w:cstheme="minorHAnsi"/>
              </w:rPr>
              <w:t>s</w:t>
            </w:r>
          </w:p>
          <w:p w14:paraId="4E694C63" w14:textId="6E856CDD" w:rsidR="00386BD3" w:rsidRPr="006C2139" w:rsidRDefault="00AC3BD6" w:rsidP="006C2139">
            <w:pPr>
              <w:pStyle w:val="ListParagraph"/>
              <w:numPr>
                <w:ilvl w:val="0"/>
                <w:numId w:val="77"/>
              </w:num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AC3BD6">
              <w:rPr>
                <w:rFonts w:ascii="Gellix" w:hAnsi="Gellix" w:cstheme="minorHAnsi"/>
              </w:rPr>
              <w:t>Describe how each cooperative approach ensures environmental integrity,</w:t>
            </w:r>
            <w:r>
              <w:rPr>
                <w:rFonts w:ascii="Gellix" w:hAnsi="Gellix" w:cstheme="minorHAnsi"/>
              </w:rPr>
              <w:t xml:space="preserve"> </w:t>
            </w:r>
            <w:r w:rsidRPr="00AC3BD6">
              <w:rPr>
                <w:rFonts w:ascii="Gellix" w:hAnsi="Gellix" w:cstheme="minorHAnsi"/>
              </w:rPr>
              <w:t>including</w:t>
            </w:r>
            <w:r>
              <w:rPr>
                <w:rFonts w:ascii="Gellix" w:hAnsi="Gellix" w:cstheme="minorHAnsi"/>
              </w:rPr>
              <w:t xml:space="preserve">: </w:t>
            </w:r>
            <w:r w:rsidR="00742F80" w:rsidRPr="00742F80">
              <w:rPr>
                <w:rFonts w:ascii="Gellix" w:hAnsi="Gellix" w:cstheme="minorHAnsi"/>
              </w:rPr>
              <w:t>there is no net increase in global emissions within and between NDC</w:t>
            </w:r>
            <w:r w:rsidR="0097622F">
              <w:rPr>
                <w:rFonts w:ascii="Gellix" w:hAnsi="Gellix" w:cstheme="minorHAnsi"/>
              </w:rPr>
              <w:t xml:space="preserve"> </w:t>
            </w:r>
            <w:r w:rsidR="00742F80" w:rsidRPr="0097622F">
              <w:rPr>
                <w:rFonts w:ascii="Gellix" w:hAnsi="Gellix" w:cstheme="minorHAnsi"/>
              </w:rPr>
              <w:t>implementation</w:t>
            </w:r>
            <w:r w:rsidR="006C2139">
              <w:rPr>
                <w:rFonts w:ascii="Gellix" w:hAnsi="Gellix" w:cstheme="minorHAnsi"/>
              </w:rPr>
              <w:t xml:space="preserve"> </w:t>
            </w:r>
            <w:r w:rsidR="00742F80" w:rsidRPr="006C2139">
              <w:rPr>
                <w:rFonts w:ascii="Gellix" w:hAnsi="Gellix" w:cstheme="minorHAnsi"/>
              </w:rPr>
              <w:lastRenderedPageBreak/>
              <w:t>periods</w:t>
            </w:r>
            <w:r w:rsidR="0097622F" w:rsidRPr="006C2139">
              <w:rPr>
                <w:rFonts w:ascii="Gellix" w:hAnsi="Gellix" w:cstheme="minorHAnsi"/>
              </w:rPr>
              <w:t>; by minimizing the risk of non-permanence of mitigation</w:t>
            </w:r>
            <w:r w:rsidR="00386BD3" w:rsidRPr="006C2139">
              <w:rPr>
                <w:rFonts w:ascii="Gellix" w:hAnsi="Gellix" w:cstheme="minorHAnsi"/>
              </w:rPr>
              <w:t>; minimize and, where possible, avoid negative environmental, economic and</w:t>
            </w:r>
          </w:p>
          <w:p w14:paraId="4B5818C5" w14:textId="38A46248" w:rsidR="00AC3BD6" w:rsidRDefault="00386BD3" w:rsidP="00386BD3">
            <w:pPr>
              <w:pStyle w:val="ListParagraph"/>
              <w:ind w:left="360"/>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386BD3">
              <w:rPr>
                <w:rFonts w:ascii="Gellix" w:hAnsi="Gellix" w:cstheme="minorHAnsi"/>
              </w:rPr>
              <w:t>social impacts</w:t>
            </w:r>
          </w:p>
          <w:p w14:paraId="26F56961" w14:textId="77777777" w:rsidR="006C2139" w:rsidRDefault="006C2139" w:rsidP="006C2139">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p>
          <w:p w14:paraId="0B5A1ECE" w14:textId="4577F2C8" w:rsidR="006C2139" w:rsidRDefault="006C2139" w:rsidP="006C2139">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r w:rsidRPr="006C2139">
              <w:rPr>
                <w:rFonts w:ascii="Gellix" w:hAnsi="Gellix" w:cstheme="minorHAnsi"/>
                <w:b/>
                <w:bCs/>
              </w:rPr>
              <w:t>Review: Foresees an Article 6 technical expert review consists of a desk or centralized review of the consistency of the information submitted by the Party</w:t>
            </w:r>
          </w:p>
          <w:p w14:paraId="04D0DD8D" w14:textId="77777777" w:rsidR="00105AEC" w:rsidRDefault="00105AEC" w:rsidP="006C2139">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p>
          <w:p w14:paraId="040BB82B" w14:textId="5B9D540B" w:rsidR="00456E05" w:rsidRDefault="00105AEC" w:rsidP="00531237">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r>
              <w:rPr>
                <w:rFonts w:ascii="Gellix" w:hAnsi="Gellix" w:cstheme="minorHAnsi"/>
                <w:b/>
                <w:bCs/>
              </w:rPr>
              <w:t>Recording and tracking</w:t>
            </w:r>
            <w:r w:rsidR="00352A2E">
              <w:rPr>
                <w:rFonts w:ascii="Gellix" w:hAnsi="Gellix" w:cstheme="minorHAnsi"/>
                <w:b/>
                <w:bCs/>
              </w:rPr>
              <w:t xml:space="preserve">: </w:t>
            </w:r>
            <w:r w:rsidR="00456E05">
              <w:rPr>
                <w:rFonts w:ascii="Gellix" w:hAnsi="Gellix" w:cstheme="minorHAnsi"/>
                <w:b/>
                <w:bCs/>
              </w:rPr>
              <w:t>Foresees creation of national, international registries as well we Article 6 Data base</w:t>
            </w:r>
            <w:r w:rsidR="009957E3">
              <w:rPr>
                <w:rFonts w:ascii="Gellix" w:hAnsi="Gellix" w:cstheme="minorHAnsi"/>
                <w:b/>
                <w:bCs/>
              </w:rPr>
              <w:t xml:space="preserve"> and c</w:t>
            </w:r>
            <w:r w:rsidR="00F15381" w:rsidRPr="00F15381">
              <w:rPr>
                <w:rFonts w:ascii="Gellix" w:hAnsi="Gellix" w:cstheme="minorHAnsi"/>
                <w:b/>
                <w:bCs/>
              </w:rPr>
              <w:t>entralized accounting and reporting platform</w:t>
            </w:r>
            <w:r w:rsidR="00F15381" w:rsidRPr="00F15381">
              <w:rPr>
                <w:rFonts w:ascii="Gellix" w:hAnsi="Gellix" w:cstheme="minorHAnsi"/>
                <w:b/>
                <w:bCs/>
              </w:rPr>
              <w:cr/>
            </w:r>
          </w:p>
          <w:p w14:paraId="5274077E" w14:textId="77777777" w:rsidR="00242678" w:rsidRDefault="00242678" w:rsidP="00796C46">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p>
          <w:p w14:paraId="7B315F75" w14:textId="2D540910" w:rsidR="002357FD" w:rsidRPr="002357FD" w:rsidRDefault="00710D3F" w:rsidP="002357FD">
            <w:pPr>
              <w:pBdr>
                <w:top w:val="single" w:sz="4" w:space="1"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r w:rsidRPr="00710D3F">
              <w:rPr>
                <w:rFonts w:ascii="Gellix" w:hAnsi="Gellix" w:cstheme="minorHAnsi"/>
                <w:b/>
                <w:bCs/>
              </w:rPr>
              <w:t>Rules, modalities and procedures for the mechanism established by Article 6.4</w:t>
            </w:r>
          </w:p>
        </w:tc>
        <w:tc>
          <w:tcPr>
            <w:tcW w:w="3007" w:type="dxa"/>
          </w:tcPr>
          <w:p w14:paraId="30280CAE" w14:textId="77777777" w:rsidR="0061090B" w:rsidRPr="004D1168" w:rsidRDefault="0061090B" w:rsidP="00347F65">
            <w:p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ellix" w:hAnsi="Gellix" w:cstheme="minorHAnsi"/>
                <w:b/>
                <w:lang w:eastAsia="zh-CN"/>
              </w:rPr>
            </w:pPr>
            <w:r w:rsidRPr="004D1168">
              <w:rPr>
                <w:rFonts w:ascii="Gellix" w:hAnsi="Gellix" w:cstheme="minorHAnsi"/>
                <w:lang w:eastAsia="zh-CN"/>
              </w:rPr>
              <w:lastRenderedPageBreak/>
              <w:t xml:space="preserve">Ensure </w:t>
            </w:r>
            <w:r w:rsidRPr="004D1168">
              <w:rPr>
                <w:rFonts w:ascii="Gellix" w:hAnsi="Gellix" w:cstheme="minorHAnsi"/>
                <w:b/>
                <w:lang w:eastAsia="zh-CN"/>
              </w:rPr>
              <w:t>environmental integrity</w:t>
            </w:r>
            <w:r w:rsidRPr="004D1168">
              <w:rPr>
                <w:rFonts w:ascii="Gellix" w:hAnsi="Gellix" w:cstheme="minorHAnsi"/>
                <w:lang w:eastAsia="zh-CN"/>
              </w:rPr>
              <w:t xml:space="preserve">, </w:t>
            </w:r>
            <w:r w:rsidRPr="004D1168">
              <w:rPr>
                <w:rFonts w:ascii="Gellix" w:hAnsi="Gellix" w:cstheme="minorHAnsi"/>
                <w:b/>
                <w:lang w:eastAsia="zh-CN"/>
              </w:rPr>
              <w:t>permanence</w:t>
            </w:r>
            <w:r w:rsidRPr="004D1168">
              <w:rPr>
                <w:rFonts w:ascii="Gellix" w:hAnsi="Gellix" w:cstheme="minorHAnsi"/>
                <w:lang w:eastAsia="zh-CN"/>
              </w:rPr>
              <w:t xml:space="preserve">, and ultimately enable the </w:t>
            </w:r>
            <w:r w:rsidRPr="004D1168">
              <w:rPr>
                <w:rFonts w:ascii="Gellix" w:hAnsi="Gellix" w:cstheme="minorHAnsi"/>
                <w:b/>
                <w:lang w:eastAsia="zh-CN"/>
              </w:rPr>
              <w:t>highest possible mitigation ambition.</w:t>
            </w:r>
          </w:p>
          <w:p w14:paraId="0B7B4EBF" w14:textId="77777777" w:rsidR="0061090B" w:rsidRPr="004D1168" w:rsidRDefault="0061090B" w:rsidP="00347F65">
            <w:p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ellix" w:hAnsi="Gellix" w:cstheme="minorHAnsi"/>
                <w:lang w:eastAsia="zh-CN"/>
              </w:rPr>
            </w:pPr>
            <w:r w:rsidRPr="004D1168">
              <w:rPr>
                <w:rFonts w:ascii="Gellix" w:hAnsi="Gellix" w:cstheme="minorHAnsi"/>
                <w:lang w:eastAsia="zh-CN"/>
              </w:rPr>
              <w:t xml:space="preserve">Deliver an </w:t>
            </w:r>
            <w:r w:rsidRPr="004D1168">
              <w:rPr>
                <w:rFonts w:ascii="Gellix" w:hAnsi="Gellix" w:cstheme="minorHAnsi"/>
                <w:b/>
                <w:lang w:eastAsia="zh-CN"/>
              </w:rPr>
              <w:t>overall mitigation in global emissions</w:t>
            </w:r>
            <w:r w:rsidRPr="004D1168">
              <w:rPr>
                <w:rFonts w:ascii="Gellix" w:hAnsi="Gellix" w:cstheme="minorHAnsi"/>
                <w:lang w:eastAsia="zh-CN"/>
              </w:rPr>
              <w:t>, moving beyond zero-sum offsetting approaches to help accelerate the reduction of global greenhouse gas emissions.</w:t>
            </w:r>
          </w:p>
          <w:p w14:paraId="1488BF92" w14:textId="77777777" w:rsidR="0061090B" w:rsidRPr="004D1168" w:rsidRDefault="0061090B" w:rsidP="00347F65">
            <w:p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ellix" w:hAnsi="Gellix" w:cstheme="minorHAnsi"/>
                <w:lang w:eastAsia="zh-CN"/>
              </w:rPr>
            </w:pPr>
            <w:r w:rsidRPr="004D1168">
              <w:rPr>
                <w:rFonts w:ascii="Gellix" w:hAnsi="Gellix" w:cstheme="minorHAnsi"/>
                <w:lang w:eastAsia="zh-CN"/>
              </w:rPr>
              <w:t xml:space="preserve">Ensure that all forms of </w:t>
            </w:r>
            <w:r w:rsidRPr="004D1168">
              <w:rPr>
                <w:rFonts w:ascii="Gellix" w:hAnsi="Gellix" w:cstheme="minorHAnsi"/>
                <w:b/>
                <w:lang w:eastAsia="zh-CN"/>
              </w:rPr>
              <w:t>double</w:t>
            </w:r>
            <w:r w:rsidRPr="004D1168">
              <w:rPr>
                <w:rFonts w:ascii="Gellix" w:hAnsi="Gellix" w:cstheme="minorHAnsi"/>
                <w:b/>
                <w:bCs/>
                <w:lang w:eastAsia="zh-CN"/>
              </w:rPr>
              <w:t xml:space="preserve"> </w:t>
            </w:r>
            <w:r w:rsidRPr="004D1168">
              <w:rPr>
                <w:rFonts w:ascii="Gellix" w:hAnsi="Gellix" w:cstheme="minorHAnsi"/>
                <w:b/>
                <w:lang w:eastAsia="zh-CN"/>
              </w:rPr>
              <w:t>counting</w:t>
            </w:r>
            <w:r w:rsidRPr="004D1168">
              <w:rPr>
                <w:rFonts w:ascii="Gellix" w:hAnsi="Gellix" w:cstheme="minorHAnsi"/>
                <w:b/>
                <w:bCs/>
                <w:lang w:eastAsia="zh-CN"/>
              </w:rPr>
              <w:t>/claiming</w:t>
            </w:r>
            <w:r w:rsidRPr="004D1168">
              <w:rPr>
                <w:rFonts w:ascii="Gellix" w:hAnsi="Gellix" w:cstheme="minorHAnsi"/>
                <w:b/>
                <w:lang w:eastAsia="zh-CN"/>
              </w:rPr>
              <w:t xml:space="preserve"> </w:t>
            </w:r>
            <w:r w:rsidRPr="004D1168">
              <w:rPr>
                <w:rFonts w:ascii="Gellix" w:hAnsi="Gellix" w:cstheme="minorHAnsi"/>
                <w:b/>
                <w:bCs/>
                <w:lang w:eastAsia="zh-CN"/>
              </w:rPr>
              <w:t>are</w:t>
            </w:r>
            <w:r w:rsidRPr="004D1168">
              <w:rPr>
                <w:rFonts w:ascii="Gellix" w:hAnsi="Gellix" w:cstheme="minorHAnsi"/>
                <w:b/>
                <w:lang w:eastAsia="zh-CN"/>
              </w:rPr>
              <w:t xml:space="preserve"> avoided</w:t>
            </w:r>
            <w:r w:rsidRPr="004D1168">
              <w:rPr>
                <w:rFonts w:ascii="Gellix" w:hAnsi="Gellix" w:cstheme="minorHAnsi"/>
                <w:lang w:eastAsia="zh-CN"/>
              </w:rPr>
              <w:t xml:space="preserve"> and that all use of markets toward international climate goals is subject to </w:t>
            </w:r>
            <w:r w:rsidRPr="004D1168">
              <w:rPr>
                <w:rFonts w:ascii="Gellix" w:hAnsi="Gellix" w:cstheme="minorHAnsi"/>
                <w:b/>
                <w:lang w:eastAsia="zh-CN"/>
              </w:rPr>
              <w:t>corresponding adjustments</w:t>
            </w:r>
            <w:r w:rsidRPr="004D1168">
              <w:rPr>
                <w:rFonts w:ascii="Gellix" w:hAnsi="Gellix" w:cstheme="minorHAnsi"/>
                <w:lang w:eastAsia="zh-CN"/>
              </w:rPr>
              <w:t>.</w:t>
            </w:r>
          </w:p>
          <w:p w14:paraId="5D29F0C5" w14:textId="77777777" w:rsidR="0061090B" w:rsidRPr="004D1168" w:rsidRDefault="0061090B" w:rsidP="00347F65">
            <w:p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ellix" w:hAnsi="Gellix" w:cstheme="minorHAnsi"/>
                <w:lang w:eastAsia="zh-CN"/>
              </w:rPr>
            </w:pPr>
            <w:r w:rsidRPr="004D1168">
              <w:rPr>
                <w:rFonts w:ascii="Gellix" w:hAnsi="Gellix" w:cstheme="minorHAnsi"/>
                <w:lang w:eastAsia="zh-CN"/>
              </w:rPr>
              <w:t xml:space="preserve">Avoid </w:t>
            </w:r>
            <w:r w:rsidRPr="004D1168">
              <w:rPr>
                <w:rFonts w:ascii="Gellix" w:hAnsi="Gellix" w:cstheme="minorHAnsi"/>
                <w:b/>
                <w:lang w:eastAsia="zh-CN"/>
              </w:rPr>
              <w:t>locking in levels of emissions</w:t>
            </w:r>
            <w:r w:rsidRPr="004D1168">
              <w:rPr>
                <w:rFonts w:ascii="Gellix" w:hAnsi="Gellix" w:cstheme="minorHAnsi"/>
                <w:lang w:eastAsia="zh-CN"/>
              </w:rPr>
              <w:t xml:space="preserve">, technologies or carbon-intensive practices incompatible with the achievement of the Paris </w:t>
            </w:r>
            <w:r w:rsidRPr="004D1168">
              <w:rPr>
                <w:rFonts w:ascii="Gellix" w:hAnsi="Gellix" w:cstheme="minorHAnsi"/>
                <w:lang w:eastAsia="zh-CN"/>
              </w:rPr>
              <w:lastRenderedPageBreak/>
              <w:t>Agreement’s long-term temperature goal.</w:t>
            </w:r>
          </w:p>
          <w:p w14:paraId="2D06A044" w14:textId="77777777" w:rsidR="0061090B" w:rsidRPr="004D1168" w:rsidRDefault="0061090B" w:rsidP="00347F65">
            <w:p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ellix" w:hAnsi="Gellix" w:cstheme="minorHAnsi"/>
                <w:lang w:eastAsia="zh-CN"/>
              </w:rPr>
            </w:pPr>
            <w:r w:rsidRPr="004D1168">
              <w:rPr>
                <w:rFonts w:ascii="Gellix" w:hAnsi="Gellix" w:cstheme="minorHAnsi"/>
                <w:lang w:eastAsia="zh-CN"/>
              </w:rPr>
              <w:t xml:space="preserve">Apply </w:t>
            </w:r>
            <w:r w:rsidRPr="004D1168">
              <w:rPr>
                <w:rFonts w:ascii="Gellix" w:hAnsi="Gellix" w:cstheme="minorHAnsi"/>
                <w:b/>
                <w:lang w:eastAsia="zh-CN"/>
              </w:rPr>
              <w:t>allocation methodologies and baseline methodologies</w:t>
            </w:r>
            <w:r w:rsidRPr="004D1168">
              <w:rPr>
                <w:rFonts w:ascii="Gellix" w:hAnsi="Gellix" w:cstheme="minorHAnsi"/>
                <w:lang w:eastAsia="zh-CN"/>
              </w:rPr>
              <w:t xml:space="preserve"> that support domestic NDC achievement and contribute to achievement of the Paris Agreement’s long-term temperature goal.</w:t>
            </w:r>
          </w:p>
          <w:p w14:paraId="723F1D5A" w14:textId="77777777" w:rsidR="0061090B" w:rsidRPr="004D1168" w:rsidRDefault="0061090B" w:rsidP="00347F65">
            <w:p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ellix" w:hAnsi="Gellix" w:cstheme="minorHAnsi"/>
                <w:b/>
                <w:lang w:eastAsia="zh-CN"/>
              </w:rPr>
            </w:pPr>
            <w:r w:rsidRPr="004D1168">
              <w:rPr>
                <w:rFonts w:ascii="Gellix" w:hAnsi="Gellix" w:cstheme="minorHAnsi"/>
                <w:lang w:eastAsia="zh-CN"/>
              </w:rPr>
              <w:t xml:space="preserve">Use CO2-equivalence in reporting and accounting for emissions and removals, fully applying the </w:t>
            </w:r>
            <w:r w:rsidRPr="004D1168">
              <w:rPr>
                <w:rFonts w:ascii="Gellix" w:hAnsi="Gellix" w:cstheme="minorHAnsi"/>
                <w:b/>
                <w:lang w:eastAsia="zh-CN"/>
              </w:rPr>
              <w:t>principles of transparency, accuracy, consistency, comparability and completeness.</w:t>
            </w:r>
          </w:p>
          <w:p w14:paraId="7A55FEED" w14:textId="77777777" w:rsidR="0061090B" w:rsidRPr="004D1168" w:rsidRDefault="0061090B" w:rsidP="00347F65">
            <w:p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ellix" w:hAnsi="Gellix" w:cstheme="minorHAnsi"/>
                <w:lang w:eastAsia="zh-CN"/>
              </w:rPr>
            </w:pPr>
            <w:r w:rsidRPr="004D1168">
              <w:rPr>
                <w:rFonts w:ascii="Gellix" w:hAnsi="Gellix" w:cstheme="minorHAnsi"/>
                <w:lang w:eastAsia="zh-CN"/>
              </w:rPr>
              <w:t xml:space="preserve">Use centrally and publicly accessible infrastructure and systems to collect, track, and share the information necessary for </w:t>
            </w:r>
            <w:r w:rsidRPr="004D1168">
              <w:rPr>
                <w:rFonts w:ascii="Gellix" w:hAnsi="Gellix" w:cstheme="minorHAnsi"/>
                <w:b/>
                <w:lang w:eastAsia="zh-CN"/>
              </w:rPr>
              <w:t>robust and transparent accounting.</w:t>
            </w:r>
          </w:p>
          <w:p w14:paraId="5021C667" w14:textId="77777777" w:rsidR="0061090B" w:rsidRPr="004D1168" w:rsidRDefault="0061090B" w:rsidP="00347F65">
            <w:p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ellix" w:hAnsi="Gellix" w:cstheme="minorHAnsi"/>
                <w:lang w:eastAsia="zh-CN"/>
              </w:rPr>
            </w:pPr>
            <w:r w:rsidRPr="004D1168">
              <w:rPr>
                <w:rFonts w:ascii="Gellix" w:hAnsi="Gellix" w:cstheme="minorHAnsi"/>
                <w:lang w:eastAsia="zh-CN"/>
              </w:rPr>
              <w:t xml:space="preserve">Ensure </w:t>
            </w:r>
            <w:r w:rsidRPr="004D1168">
              <w:rPr>
                <w:rFonts w:ascii="Gellix" w:hAnsi="Gellix" w:cstheme="minorHAnsi"/>
                <w:b/>
                <w:lang w:eastAsia="zh-CN"/>
              </w:rPr>
              <w:t>incentives to progression</w:t>
            </w:r>
            <w:r w:rsidRPr="004D1168">
              <w:rPr>
                <w:rFonts w:ascii="Gellix" w:hAnsi="Gellix" w:cstheme="minorHAnsi"/>
                <w:lang w:eastAsia="zh-CN"/>
              </w:rPr>
              <w:t xml:space="preserve"> and supports all Parties in moving toward </w:t>
            </w:r>
            <w:r w:rsidRPr="004D1168">
              <w:rPr>
                <w:rFonts w:ascii="Gellix" w:hAnsi="Gellix" w:cstheme="minorHAnsi"/>
                <w:lang w:eastAsia="zh-CN"/>
              </w:rPr>
              <w:lastRenderedPageBreak/>
              <w:t>economy-wide emission targets.</w:t>
            </w:r>
          </w:p>
          <w:p w14:paraId="3AC54472" w14:textId="77777777" w:rsidR="0061090B" w:rsidRPr="004D1168" w:rsidRDefault="0061090B" w:rsidP="00347F65">
            <w:p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ellix" w:hAnsi="Gellix" w:cstheme="minorHAnsi"/>
                <w:lang w:eastAsia="zh-CN"/>
              </w:rPr>
            </w:pPr>
            <w:r w:rsidRPr="004D1168">
              <w:rPr>
                <w:rFonts w:ascii="Gellix" w:hAnsi="Gellix" w:cstheme="minorHAnsi"/>
                <w:lang w:eastAsia="zh-CN"/>
              </w:rPr>
              <w:t xml:space="preserve">Contribute to </w:t>
            </w:r>
            <w:r w:rsidRPr="004D1168">
              <w:rPr>
                <w:rFonts w:ascii="Gellix" w:hAnsi="Gellix" w:cstheme="minorHAnsi"/>
                <w:b/>
                <w:lang w:eastAsia="zh-CN"/>
              </w:rPr>
              <w:t>quantifiable and predictable financial resources</w:t>
            </w:r>
            <w:r w:rsidRPr="004D1168">
              <w:rPr>
                <w:rFonts w:ascii="Gellix" w:hAnsi="Gellix" w:cstheme="minorHAnsi"/>
                <w:lang w:eastAsia="zh-CN"/>
              </w:rPr>
              <w:t xml:space="preserve"> to be used by developing country Parties that are particularly vulnerable to the adverse effects of climate change to meet the costs of adaptation.</w:t>
            </w:r>
          </w:p>
          <w:p w14:paraId="3CDF99E3" w14:textId="77777777" w:rsidR="0061090B" w:rsidRPr="004D1168" w:rsidRDefault="0061090B" w:rsidP="00347F65">
            <w:p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ellix" w:hAnsi="Gellix" w:cstheme="minorHAnsi"/>
                <w:lang w:eastAsia="zh-CN"/>
              </w:rPr>
            </w:pPr>
            <w:r w:rsidRPr="004D1168">
              <w:rPr>
                <w:rFonts w:ascii="Gellix" w:hAnsi="Gellix" w:cstheme="minorHAnsi"/>
                <w:lang w:eastAsia="zh-CN"/>
              </w:rPr>
              <w:t xml:space="preserve">Recognise the importance of </w:t>
            </w:r>
            <w:r w:rsidRPr="004D1168">
              <w:rPr>
                <w:rFonts w:ascii="Gellix" w:hAnsi="Gellix" w:cstheme="minorHAnsi"/>
                <w:b/>
                <w:lang w:eastAsia="zh-CN"/>
              </w:rPr>
              <w:t>capacity building</w:t>
            </w:r>
            <w:r w:rsidRPr="004D1168">
              <w:rPr>
                <w:rFonts w:ascii="Gellix" w:hAnsi="Gellix" w:cstheme="minorHAnsi"/>
                <w:lang w:eastAsia="zh-CN"/>
              </w:rPr>
              <w:t xml:space="preserve"> to enable the widest possible participation by Parties under Article 6</w:t>
            </w:r>
          </w:p>
        </w:tc>
        <w:tc>
          <w:tcPr>
            <w:tcW w:w="2634" w:type="dxa"/>
          </w:tcPr>
          <w:p w14:paraId="691F7673"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r w:rsidRPr="004D1168">
              <w:rPr>
                <w:rFonts w:ascii="Gellix" w:hAnsi="Gellix" w:cstheme="minorHAnsi"/>
                <w:b/>
                <w:bCs/>
              </w:rPr>
              <w:lastRenderedPageBreak/>
              <w:t>A. Supply integrity</w:t>
            </w:r>
          </w:p>
          <w:p w14:paraId="77100393"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r w:rsidRPr="004D1168">
              <w:rPr>
                <w:rFonts w:ascii="Gellix" w:hAnsi="Gellix" w:cstheme="minorHAnsi"/>
                <w:b/>
                <w:bCs/>
              </w:rPr>
              <w:t>Robust certification standards for MRV of emission reductions and removals, to ensure:</w:t>
            </w:r>
          </w:p>
          <w:p w14:paraId="3C660A86"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4D1168">
              <w:rPr>
                <w:rFonts w:ascii="Gellix" w:hAnsi="Gellix" w:cstheme="minorHAnsi"/>
              </w:rPr>
              <w:t>1: crediting levels align with emissions pathways consistent with the Paris Agreement temperature goal</w:t>
            </w:r>
          </w:p>
          <w:p w14:paraId="31AE94B7"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4D1168">
              <w:rPr>
                <w:rFonts w:ascii="Gellix" w:hAnsi="Gellix" w:cstheme="minorHAnsi"/>
              </w:rPr>
              <w:t>2: credits are issued for emission reductions or removals that clearly contribute to host country mitigation, and avoid lock-in of high emissions pathways</w:t>
            </w:r>
          </w:p>
          <w:p w14:paraId="118C08C0"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4D1168">
              <w:rPr>
                <w:rFonts w:ascii="Gellix" w:hAnsi="Gellix" w:cstheme="minorHAnsi"/>
              </w:rPr>
              <w:t xml:space="preserve">3: alignment with requirements for environmental integrity under Art 6 for: ambitious baseline-setting, additionality assessment, avoidance of emissions lock-in, emissions leakage accounting, permanence, </w:t>
            </w:r>
            <w:r w:rsidRPr="004D1168">
              <w:rPr>
                <w:rFonts w:ascii="Gellix" w:hAnsi="Gellix" w:cstheme="minorHAnsi"/>
              </w:rPr>
              <w:lastRenderedPageBreak/>
              <w:t>avoidance of all forms of double-counting</w:t>
            </w:r>
          </w:p>
          <w:p w14:paraId="4438602D"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4D1168">
              <w:rPr>
                <w:rFonts w:ascii="Gellix" w:hAnsi="Gellix" w:cstheme="minorHAnsi"/>
              </w:rPr>
              <w:t>4: robust and transparent governance, to ensure transparency and public accountability on decisions and decision-making processes, as well as the long-term administration of the standard, issued credits, and their ownership</w:t>
            </w:r>
          </w:p>
          <w:p w14:paraId="41CE818E"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r w:rsidRPr="004D1168">
              <w:rPr>
                <w:rFonts w:ascii="Gellix" w:hAnsi="Gellix" w:cstheme="minorHAnsi"/>
                <w:b/>
                <w:bCs/>
              </w:rPr>
              <w:t>Sustainable development objectives and resulting benefits are transparently reported.</w:t>
            </w:r>
          </w:p>
          <w:p w14:paraId="2A4CEAF2"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r w:rsidRPr="004D1168">
              <w:rPr>
                <w:rFonts w:ascii="Gellix" w:hAnsi="Gellix" w:cstheme="minorHAnsi"/>
                <w:b/>
                <w:bCs/>
              </w:rPr>
              <w:t>B Demand-side integrity:</w:t>
            </w:r>
          </w:p>
          <w:p w14:paraId="63DE0EE4"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4D1168">
              <w:rPr>
                <w:rFonts w:ascii="Gellix" w:hAnsi="Gellix" w:cstheme="minorHAnsi"/>
              </w:rPr>
              <w:t xml:space="preserve">The use of credits, including by the private sector, align with keeping a limit of 1.5°C temperature rise within reach and achievement of global net-zero emissions by 2050, in relation to unavoidable emissions and where science-based climate change mitigation strategies and targets are in place that prioritize </w:t>
            </w:r>
            <w:r w:rsidRPr="004D1168">
              <w:rPr>
                <w:rFonts w:ascii="Gellix" w:hAnsi="Gellix" w:cstheme="minorHAnsi"/>
              </w:rPr>
              <w:lastRenderedPageBreak/>
              <w:t>direct action to mitigate emissions.</w:t>
            </w:r>
          </w:p>
          <w:p w14:paraId="58EE3DE2"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4D1168">
              <w:rPr>
                <w:rFonts w:ascii="Gellix" w:hAnsi="Gellix" w:cstheme="minorHAnsi"/>
              </w:rPr>
              <w:t>Emission reductions or removals underpinning carbon credits are claimed for use to achieve NDCs and other international mitigation purposes only when authorised according to the Guidance Article 6.2 and eligible for such use.</w:t>
            </w:r>
          </w:p>
          <w:p w14:paraId="46C8E702"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4D1168">
              <w:rPr>
                <w:rFonts w:ascii="Gellix" w:hAnsi="Gellix" w:cstheme="minorHAnsi"/>
              </w:rPr>
              <w:t>The use of carbon credits is disclosed through reporting processes that make such information transparent to and easily accessible by the public.</w:t>
            </w:r>
          </w:p>
          <w:p w14:paraId="245324C0"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r w:rsidRPr="004D1168">
              <w:rPr>
                <w:rFonts w:ascii="Gellix" w:hAnsi="Gellix" w:cstheme="minorHAnsi"/>
                <w:b/>
                <w:bCs/>
              </w:rPr>
              <w:t>C. Market integrity</w:t>
            </w:r>
          </w:p>
          <w:p w14:paraId="24B5983E"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4D1168">
              <w:rPr>
                <w:rFonts w:ascii="Gellix" w:hAnsi="Gellix" w:cstheme="minorHAnsi"/>
              </w:rPr>
              <w:t>Emissions across all scopes and associated targets, and strategies and annual progress toward their implementation, are transparently disclosed and tracked.</w:t>
            </w:r>
          </w:p>
          <w:p w14:paraId="659E48BB"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4D1168">
              <w:rPr>
                <w:rFonts w:ascii="Gellix" w:hAnsi="Gellix" w:cstheme="minorHAnsi"/>
              </w:rPr>
              <w:t xml:space="preserve">Global standard-setting bodies and initiatives cooperate to align standards, clarify their </w:t>
            </w:r>
            <w:r w:rsidRPr="004D1168">
              <w:rPr>
                <w:rFonts w:ascii="Gellix" w:hAnsi="Gellix" w:cstheme="minorHAnsi"/>
              </w:rPr>
              <w:lastRenderedPageBreak/>
              <w:t>respective services or roles, and continually innovate certification products that will meet and exceed current practice and expectations of regulators and other stakeholders to reduce carbon credit market fragmentation and promote a uniform shift to high integrity.</w:t>
            </w:r>
          </w:p>
          <w:p w14:paraId="04590F58"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p>
          <w:p w14:paraId="67AE5B8A" w14:textId="77777777" w:rsidR="0061090B" w:rsidRPr="004D1168" w:rsidRDefault="0061090B" w:rsidP="00347F65">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p>
        </w:tc>
      </w:tr>
      <w:tr w:rsidR="000B6C24" w:rsidRPr="004D1168" w14:paraId="13146188" w14:textId="77777777" w:rsidTr="00347F65">
        <w:tc>
          <w:tcPr>
            <w:cnfStyle w:val="001000000000" w:firstRow="0" w:lastRow="0" w:firstColumn="1" w:lastColumn="0" w:oddVBand="0" w:evenVBand="0" w:oddHBand="0" w:evenHBand="0" w:firstRowFirstColumn="0" w:firstRowLastColumn="0" w:lastRowFirstColumn="0" w:lastRowLastColumn="0"/>
            <w:tcW w:w="3020" w:type="dxa"/>
          </w:tcPr>
          <w:p w14:paraId="774AB6F2" w14:textId="77777777" w:rsidR="0061090B" w:rsidRPr="004D1168" w:rsidRDefault="0061090B" w:rsidP="00347F65">
            <w:pPr>
              <w:rPr>
                <w:rFonts w:ascii="Gellix" w:hAnsi="Gellix" w:cstheme="minorHAnsi"/>
                <w:b w:val="0"/>
                <w:bCs w:val="0"/>
              </w:rPr>
            </w:pPr>
          </w:p>
        </w:tc>
        <w:tc>
          <w:tcPr>
            <w:tcW w:w="3092" w:type="dxa"/>
          </w:tcPr>
          <w:p w14:paraId="0859499E" w14:textId="77777777" w:rsidR="0061090B" w:rsidRPr="004D1168" w:rsidRDefault="0061090B" w:rsidP="00347F65">
            <w:pPr>
              <w:pStyle w:val="ListParagraph"/>
              <w:ind w:left="0"/>
              <w:cnfStyle w:val="000000000000" w:firstRow="0" w:lastRow="0" w:firstColumn="0" w:lastColumn="0" w:oddVBand="0" w:evenVBand="0" w:oddHBand="0" w:evenHBand="0" w:firstRowFirstColumn="0" w:firstRowLastColumn="0" w:lastRowFirstColumn="0" w:lastRowLastColumn="0"/>
              <w:rPr>
                <w:rFonts w:ascii="Gellix" w:hAnsi="Gellix" w:cstheme="minorHAnsi"/>
              </w:rPr>
            </w:pPr>
          </w:p>
        </w:tc>
        <w:tc>
          <w:tcPr>
            <w:tcW w:w="2634" w:type="dxa"/>
          </w:tcPr>
          <w:p w14:paraId="3EA1A4C9" w14:textId="77777777" w:rsidR="0061090B" w:rsidRDefault="002357FD" w:rsidP="00347F65">
            <w:pPr>
              <w:pStyle w:val="ListParagraph"/>
              <w:ind w:left="0"/>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r w:rsidRPr="002357FD">
              <w:rPr>
                <w:rFonts w:ascii="Gellix" w:hAnsi="Gellix" w:cstheme="minorHAnsi"/>
                <w:b/>
                <w:bCs/>
              </w:rPr>
              <w:t>Activity cycle</w:t>
            </w:r>
          </w:p>
          <w:p w14:paraId="37A37C19" w14:textId="77777777" w:rsidR="00B45840" w:rsidRDefault="00B45840" w:rsidP="00347F65">
            <w:pPr>
              <w:pStyle w:val="ListParagraph"/>
              <w:ind w:left="0"/>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p>
          <w:p w14:paraId="05C8062A" w14:textId="172C728D" w:rsidR="00B45840" w:rsidRPr="00B45840" w:rsidRDefault="00B45840" w:rsidP="00B45840">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B45840">
              <w:rPr>
                <w:rFonts w:ascii="Gellix" w:hAnsi="Gellix" w:cstheme="minorHAnsi"/>
              </w:rPr>
              <w:t>The activity: shall be designed to achieve mitigation of GHG emissions that is additional, including reducing emissions, increasing removals and mitigation co-benefits of adaptation actions and/or economic diversification plans (hereinafter collectively referred to as emission</w:t>
            </w:r>
          </w:p>
          <w:p w14:paraId="586FA095" w14:textId="77777777" w:rsidR="00B45840" w:rsidRDefault="00B45840" w:rsidP="00B45840">
            <w:pPr>
              <w:pStyle w:val="ListParagraph"/>
              <w:ind w:left="0"/>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B45840">
              <w:rPr>
                <w:rFonts w:ascii="Gellix" w:hAnsi="Gellix" w:cstheme="minorHAnsi"/>
              </w:rPr>
              <w:t>reductions), and not lead to an increase in global emissions</w:t>
            </w:r>
          </w:p>
          <w:p w14:paraId="68F5EE8E" w14:textId="77777777" w:rsidR="00913BC9" w:rsidRDefault="00913BC9" w:rsidP="00B45840">
            <w:pPr>
              <w:pStyle w:val="ListParagraph"/>
              <w:ind w:left="0"/>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p>
          <w:p w14:paraId="74A7BF00" w14:textId="77777777" w:rsidR="00913BC9" w:rsidRDefault="00913BC9" w:rsidP="005C0897">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913BC9">
              <w:rPr>
                <w:rFonts w:ascii="Gellix" w:hAnsi="Gellix" w:cstheme="minorHAnsi"/>
                <w:b/>
                <w:bCs/>
              </w:rPr>
              <w:t xml:space="preserve">Methodologies: </w:t>
            </w:r>
            <w:r w:rsidRPr="005C0897">
              <w:rPr>
                <w:rFonts w:ascii="Gellix" w:hAnsi="Gellix" w:cstheme="minorHAnsi"/>
              </w:rPr>
              <w:t xml:space="preserve">Mechanism methodologies shall encourage ambition over time; encourage broad participation; be real, transparent, conservative, credible, below ‘business as usual’; avoid leakage, where applicable; recognize suppressed demand; align to the </w:t>
            </w:r>
            <w:r w:rsidRPr="005C0897">
              <w:rPr>
                <w:rFonts w:ascii="Gellix" w:hAnsi="Gellix" w:cstheme="minorHAnsi"/>
              </w:rPr>
              <w:lastRenderedPageBreak/>
              <w:t>long-term temperature goal of the Paris Agreement, contribute to the equitable sharing of mitigation benefits between the participating Parties; and, in respect of each participating Party, contribute to reducing emission levels in the host Party; and align with its NDC, if applicable, its long- term low GHG emission development strategy if it has submitted one and the long-term goals</w:t>
            </w:r>
            <w:r w:rsidR="005C0897" w:rsidRPr="005C0897">
              <w:rPr>
                <w:rFonts w:ascii="Gellix" w:hAnsi="Gellix" w:cstheme="minorHAnsi"/>
              </w:rPr>
              <w:t xml:space="preserve"> </w:t>
            </w:r>
            <w:r w:rsidRPr="005C0897">
              <w:rPr>
                <w:rFonts w:ascii="Gellix" w:hAnsi="Gellix" w:cstheme="minorHAnsi"/>
              </w:rPr>
              <w:t>of the Paris Agreement.</w:t>
            </w:r>
          </w:p>
          <w:p w14:paraId="4BBF6812" w14:textId="77777777" w:rsidR="00C43938" w:rsidRDefault="00C43938" w:rsidP="005C0897">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p>
          <w:p w14:paraId="42BF891C" w14:textId="2F999738" w:rsidR="005142F4" w:rsidRPr="005142F4" w:rsidRDefault="005142F4" w:rsidP="005142F4">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r>
              <w:rPr>
                <w:rFonts w:ascii="Gellix" w:hAnsi="Gellix" w:cstheme="minorHAnsi"/>
                <w:b/>
                <w:bCs/>
              </w:rPr>
              <w:t xml:space="preserve">Approval &amp; authorization, </w:t>
            </w:r>
            <w:r w:rsidR="006C15A2">
              <w:rPr>
                <w:rFonts w:ascii="Gellix" w:hAnsi="Gellix" w:cstheme="minorHAnsi"/>
                <w:b/>
                <w:bCs/>
              </w:rPr>
              <w:t xml:space="preserve">validation, registration, </w:t>
            </w:r>
            <w:r w:rsidR="00515CFF">
              <w:rPr>
                <w:rFonts w:ascii="Gellix" w:hAnsi="Gellix" w:cstheme="minorHAnsi"/>
                <w:b/>
                <w:bCs/>
              </w:rPr>
              <w:t>monitoring</w:t>
            </w:r>
            <w:r w:rsidRPr="005142F4">
              <w:rPr>
                <w:rFonts w:ascii="Gellix" w:hAnsi="Gellix" w:cstheme="minorHAnsi"/>
                <w:b/>
                <w:bCs/>
              </w:rPr>
              <w:t>,</w:t>
            </w:r>
            <w:r w:rsidR="00171126">
              <w:rPr>
                <w:rFonts w:ascii="Gellix" w:hAnsi="Gellix" w:cstheme="minorHAnsi"/>
                <w:b/>
                <w:bCs/>
              </w:rPr>
              <w:t xml:space="preserve"> verification and issuance</w:t>
            </w:r>
            <w:r w:rsidR="008E7599">
              <w:rPr>
                <w:rFonts w:ascii="Gellix" w:hAnsi="Gellix" w:cstheme="minorHAnsi"/>
                <w:b/>
                <w:bCs/>
              </w:rPr>
              <w:t xml:space="preserve"> </w:t>
            </w:r>
            <w:r w:rsidRPr="005142F4">
              <w:rPr>
                <w:rFonts w:ascii="Gellix" w:hAnsi="Gellix" w:cstheme="minorHAnsi"/>
                <w:b/>
                <w:bCs/>
              </w:rPr>
              <w:t>in accordance with the relevant requirements adopted by the</w:t>
            </w:r>
          </w:p>
          <w:p w14:paraId="03127448" w14:textId="77777777" w:rsidR="00C43938" w:rsidRDefault="005142F4" w:rsidP="005142F4">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r w:rsidRPr="005142F4">
              <w:rPr>
                <w:rFonts w:ascii="Gellix" w:hAnsi="Gellix" w:cstheme="minorHAnsi"/>
                <w:b/>
                <w:bCs/>
              </w:rPr>
              <w:t>Supervisory Body</w:t>
            </w:r>
          </w:p>
          <w:p w14:paraId="0276CB63" w14:textId="77777777" w:rsidR="008E7599" w:rsidRDefault="008E7599" w:rsidP="005142F4">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p>
          <w:p w14:paraId="59BABB5D" w14:textId="77777777" w:rsidR="008E7599" w:rsidRPr="008E7599" w:rsidRDefault="008E7599" w:rsidP="008E7599">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r w:rsidRPr="008E7599">
              <w:rPr>
                <w:rFonts w:ascii="Gellix" w:hAnsi="Gellix" w:cstheme="minorHAnsi"/>
                <w:b/>
                <w:bCs/>
              </w:rPr>
              <w:t>Levy of share of proceeds for adaptation and</w:t>
            </w:r>
          </w:p>
          <w:p w14:paraId="5ED6A1DF" w14:textId="77777777" w:rsidR="008E7599" w:rsidRDefault="008E7599" w:rsidP="008E7599">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r w:rsidRPr="008E7599">
              <w:rPr>
                <w:rFonts w:ascii="Gellix" w:hAnsi="Gellix" w:cstheme="minorHAnsi"/>
                <w:b/>
                <w:bCs/>
              </w:rPr>
              <w:t>administrative expenses</w:t>
            </w:r>
          </w:p>
          <w:p w14:paraId="1F06C4ED" w14:textId="6982DD56" w:rsidR="00693EEA" w:rsidRPr="00693EEA" w:rsidRDefault="00693EEA" w:rsidP="00693EEA">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693EEA">
              <w:rPr>
                <w:rFonts w:ascii="Gellix" w:hAnsi="Gellix" w:cstheme="minorHAnsi"/>
              </w:rPr>
              <w:lastRenderedPageBreak/>
              <w:t>“The share of proceeds to assist developing country Parties that are particularly</w:t>
            </w:r>
          </w:p>
          <w:p w14:paraId="61BD82A6" w14:textId="77777777" w:rsidR="00693EEA" w:rsidRPr="00693EEA" w:rsidRDefault="00693EEA" w:rsidP="00693EEA">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693EEA">
              <w:rPr>
                <w:rFonts w:ascii="Gellix" w:hAnsi="Gellix" w:cstheme="minorHAnsi"/>
              </w:rPr>
              <w:t>vulnerable to the adverse effects of climate change to meet the costs of adaptation shall be</w:t>
            </w:r>
          </w:p>
          <w:p w14:paraId="70BE8236" w14:textId="77777777" w:rsidR="00693EEA" w:rsidRDefault="00693EEA" w:rsidP="00693EEA">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693EEA">
              <w:rPr>
                <w:rFonts w:ascii="Gellix" w:hAnsi="Gellix" w:cstheme="minorHAnsi"/>
              </w:rPr>
              <w:t>comprised of a levy of 5 per cent of A6.4ERs at issuance”</w:t>
            </w:r>
          </w:p>
          <w:p w14:paraId="3DA54D69" w14:textId="77777777" w:rsidR="00E65C07" w:rsidRDefault="00E65C07" w:rsidP="00693EEA">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p>
          <w:p w14:paraId="57CBACCA" w14:textId="77777777" w:rsidR="00E65C07" w:rsidRPr="00E65C07" w:rsidRDefault="00E65C07" w:rsidP="00E65C07">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r w:rsidRPr="00E65C07">
              <w:rPr>
                <w:rFonts w:ascii="Gellix" w:hAnsi="Gellix" w:cstheme="minorHAnsi"/>
                <w:b/>
                <w:bCs/>
              </w:rPr>
              <w:t>Delivery of overall mitigation in global emissions shall be enhanced through</w:t>
            </w:r>
          </w:p>
          <w:p w14:paraId="3BB09F6B" w14:textId="77777777" w:rsidR="00E65C07" w:rsidRPr="00E65C07" w:rsidRDefault="00E65C07" w:rsidP="00E65C07">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r w:rsidRPr="00E65C07">
              <w:rPr>
                <w:rFonts w:ascii="Gellix" w:hAnsi="Gellix" w:cstheme="minorHAnsi"/>
                <w:b/>
                <w:bCs/>
              </w:rPr>
              <w:t>mandatory cancellation of A6.4ERs that are also accounted for in accordance with the</w:t>
            </w:r>
          </w:p>
          <w:p w14:paraId="49614CC6" w14:textId="77777777" w:rsidR="00E65C07" w:rsidRDefault="00E65C07" w:rsidP="00E65C07">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r w:rsidRPr="00E65C07">
              <w:rPr>
                <w:rFonts w:ascii="Gellix" w:hAnsi="Gellix" w:cstheme="minorHAnsi"/>
                <w:b/>
                <w:bCs/>
              </w:rPr>
              <w:t>following</w:t>
            </w:r>
          </w:p>
          <w:p w14:paraId="6E6B64CA" w14:textId="77777777" w:rsidR="002C7CBC" w:rsidRDefault="002C7CBC" w:rsidP="00E65C07">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p>
          <w:p w14:paraId="7BBDB291" w14:textId="77777777" w:rsidR="002C7CBC" w:rsidRDefault="002C7CBC" w:rsidP="00E65C07">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p>
          <w:p w14:paraId="1E41DA41" w14:textId="068C1846" w:rsidR="002C7CBC" w:rsidRDefault="00CE20F8" w:rsidP="00E65C07">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r w:rsidRPr="00CE20F8">
              <w:rPr>
                <w:rFonts w:ascii="Gellix" w:hAnsi="Gellix" w:cstheme="minorHAnsi"/>
                <w:b/>
                <w:bCs/>
              </w:rPr>
              <w:t>Transition of clean development mechanism activities</w:t>
            </w:r>
          </w:p>
          <w:p w14:paraId="20AD9B30" w14:textId="77777777" w:rsidR="002C7CBC" w:rsidRPr="002C7CBC" w:rsidRDefault="002C7CBC" w:rsidP="002C7CBC">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2C7CBC">
              <w:rPr>
                <w:rFonts w:ascii="Gellix" w:hAnsi="Gellix" w:cstheme="minorHAnsi"/>
              </w:rPr>
              <w:t>CDM activities (projects and POAs) would transition to the Art 6.4 under certain deadlines:</w:t>
            </w:r>
          </w:p>
          <w:p w14:paraId="3F2743CC" w14:textId="77777777" w:rsidR="002C7CBC" w:rsidRPr="002C7CBC" w:rsidRDefault="002C7CBC" w:rsidP="002C7CBC">
            <w:pPr>
              <w:cnfStyle w:val="000000000000" w:firstRow="0" w:lastRow="0" w:firstColumn="0" w:lastColumn="0" w:oddVBand="0" w:evenVBand="0" w:oddHBand="0" w:evenHBand="0" w:firstRowFirstColumn="0" w:firstRowLastColumn="0" w:lastRowFirstColumn="0" w:lastRowLastColumn="0"/>
              <w:rPr>
                <w:rFonts w:ascii="Gellix" w:hAnsi="Gellix" w:cstheme="minorHAnsi"/>
              </w:rPr>
            </w:pPr>
            <w:r w:rsidRPr="002C7CBC">
              <w:rPr>
                <w:rFonts w:ascii="Gellix" w:hAnsi="Gellix" w:cstheme="minorHAnsi"/>
              </w:rPr>
              <w:lastRenderedPageBreak/>
              <w:t>the request for transition by project participants has to take place before 2023; the approval</w:t>
            </w:r>
          </w:p>
          <w:p w14:paraId="6469F4DC" w14:textId="35669061" w:rsidR="002C7CBC" w:rsidRPr="002357FD" w:rsidRDefault="002C7CBC" w:rsidP="002C7CBC">
            <w:pPr>
              <w:cnfStyle w:val="000000000000" w:firstRow="0" w:lastRow="0" w:firstColumn="0" w:lastColumn="0" w:oddVBand="0" w:evenVBand="0" w:oddHBand="0" w:evenHBand="0" w:firstRowFirstColumn="0" w:firstRowLastColumn="0" w:lastRowFirstColumn="0" w:lastRowLastColumn="0"/>
              <w:rPr>
                <w:rFonts w:ascii="Gellix" w:hAnsi="Gellix" w:cstheme="minorHAnsi"/>
                <w:b/>
                <w:bCs/>
              </w:rPr>
            </w:pPr>
            <w:r w:rsidRPr="002C7CBC">
              <w:rPr>
                <w:rFonts w:ascii="Gellix" w:hAnsi="Gellix" w:cstheme="minorHAnsi"/>
              </w:rPr>
              <w:t>by the Supervisory Board has to take place by 2025 and methodologies could be used for a certain period.</w:t>
            </w:r>
          </w:p>
        </w:tc>
        <w:tc>
          <w:tcPr>
            <w:tcW w:w="3007" w:type="dxa"/>
          </w:tcPr>
          <w:p w14:paraId="4FE37A2E" w14:textId="77777777" w:rsidR="0061090B" w:rsidRPr="004D1168" w:rsidRDefault="0061090B" w:rsidP="00347F65">
            <w:pPr>
              <w:pStyle w:val="ListParagraph"/>
              <w:ind w:left="0"/>
              <w:cnfStyle w:val="000000000000" w:firstRow="0" w:lastRow="0" w:firstColumn="0" w:lastColumn="0" w:oddVBand="0" w:evenVBand="0" w:oddHBand="0" w:evenHBand="0" w:firstRowFirstColumn="0" w:firstRowLastColumn="0" w:lastRowFirstColumn="0" w:lastRowLastColumn="0"/>
              <w:rPr>
                <w:rFonts w:ascii="Gellix" w:hAnsi="Gellix" w:cstheme="minorHAnsi"/>
              </w:rPr>
            </w:pPr>
          </w:p>
        </w:tc>
        <w:tc>
          <w:tcPr>
            <w:tcW w:w="2634" w:type="dxa"/>
          </w:tcPr>
          <w:p w14:paraId="64D323E1" w14:textId="77777777" w:rsidR="0061090B" w:rsidRPr="004D1168" w:rsidRDefault="0061090B" w:rsidP="00347F65">
            <w:pPr>
              <w:pStyle w:val="ListParagraph"/>
              <w:ind w:left="0"/>
              <w:cnfStyle w:val="000000000000" w:firstRow="0" w:lastRow="0" w:firstColumn="0" w:lastColumn="0" w:oddVBand="0" w:evenVBand="0" w:oddHBand="0" w:evenHBand="0" w:firstRowFirstColumn="0" w:firstRowLastColumn="0" w:lastRowFirstColumn="0" w:lastRowLastColumn="0"/>
              <w:rPr>
                <w:rFonts w:ascii="Gellix" w:hAnsi="Gellix" w:cstheme="minorHAnsi"/>
              </w:rPr>
            </w:pPr>
          </w:p>
        </w:tc>
      </w:tr>
    </w:tbl>
    <w:p w14:paraId="69D07F47" w14:textId="77777777" w:rsidR="0061090B" w:rsidRPr="0061090B" w:rsidRDefault="0061090B" w:rsidP="0061090B">
      <w:pPr>
        <w:sectPr w:rsidR="0061090B" w:rsidRPr="0061090B" w:rsidSect="0061090B">
          <w:pgSz w:w="16840" w:h="11900" w:orient="landscape"/>
          <w:pgMar w:top="1411" w:right="1210" w:bottom="1411" w:left="1224" w:header="0" w:footer="58" w:gutter="0"/>
          <w:cols w:space="720"/>
          <w:titlePg/>
          <w:docGrid w:linePitch="299"/>
        </w:sectPr>
      </w:pPr>
    </w:p>
    <w:p w14:paraId="50ABB29A" w14:textId="34C17C7C" w:rsidR="0061090B" w:rsidRPr="006D7E2F" w:rsidRDefault="0061090B" w:rsidP="006D7E2F">
      <w:pPr>
        <w:pStyle w:val="ListParagraph"/>
        <w:numPr>
          <w:ilvl w:val="0"/>
          <w:numId w:val="5"/>
        </w:numPr>
        <w:spacing w:after="0" w:line="240" w:lineRule="auto"/>
        <w:rPr>
          <w:rFonts w:ascii="Gellix" w:hAnsi="Gellix"/>
          <w:b/>
          <w:color w:val="007DFF"/>
          <w:sz w:val="28"/>
          <w:szCs w:val="28"/>
          <w:lang w:val="en-US"/>
        </w:rPr>
      </w:pPr>
      <w:r w:rsidRPr="006D7E2F">
        <w:rPr>
          <w:rFonts w:ascii="Gellix" w:hAnsi="Gellix"/>
          <w:b/>
          <w:color w:val="007DFF"/>
          <w:sz w:val="28"/>
          <w:szCs w:val="28"/>
          <w:lang w:val="en-US"/>
        </w:rPr>
        <w:lastRenderedPageBreak/>
        <w:t xml:space="preserve">Linking and International Cooperation </w:t>
      </w:r>
    </w:p>
    <w:p w14:paraId="65EFAA5D" w14:textId="77777777" w:rsidR="0061090B" w:rsidRPr="00E00C0E" w:rsidRDefault="0061090B" w:rsidP="0061090B">
      <w:pPr>
        <w:spacing w:after="0" w:line="240" w:lineRule="auto"/>
        <w:rPr>
          <w:rFonts w:ascii="Gellix" w:hAnsi="Gellix"/>
          <w:b/>
          <w:sz w:val="21"/>
          <w:szCs w:val="21"/>
          <w:lang w:val="en-US"/>
        </w:rPr>
      </w:pPr>
    </w:p>
    <w:p w14:paraId="3667AB9F" w14:textId="77777777" w:rsidR="0061090B" w:rsidRPr="006079CF" w:rsidRDefault="0061090B" w:rsidP="0061090B">
      <w:pPr>
        <w:pStyle w:val="ListParagraph"/>
        <w:numPr>
          <w:ilvl w:val="0"/>
          <w:numId w:val="66"/>
        </w:numPr>
        <w:spacing w:line="240" w:lineRule="auto"/>
        <w:rPr>
          <w:rFonts w:ascii="Gellix" w:hAnsi="Gellix"/>
          <w:sz w:val="21"/>
          <w:szCs w:val="21"/>
        </w:rPr>
      </w:pPr>
      <w:r w:rsidRPr="006079CF">
        <w:rPr>
          <w:rFonts w:ascii="Gellix" w:hAnsi="Gellix"/>
          <w:sz w:val="21"/>
          <w:szCs w:val="21"/>
        </w:rPr>
        <w:t xml:space="preserve">Linking of carbon pricing systems and international cooperation are two core principles of the ICC Carbon Pricing Principles launched at COP26. </w:t>
      </w:r>
    </w:p>
    <w:p w14:paraId="422FB393" w14:textId="77777777" w:rsidR="0061090B" w:rsidRPr="00587C41" w:rsidRDefault="0061090B" w:rsidP="0061090B">
      <w:pPr>
        <w:spacing w:after="120" w:line="276" w:lineRule="auto"/>
        <w:rPr>
          <w:rFonts w:ascii="Gellix" w:eastAsiaTheme="majorEastAsia" w:hAnsi="Gellix" w:cstheme="majorBidi"/>
          <w:b/>
          <w:sz w:val="21"/>
          <w:szCs w:val="21"/>
        </w:rPr>
      </w:pPr>
      <w:r w:rsidRPr="00587C41">
        <w:rPr>
          <w:rFonts w:ascii="Gellix" w:eastAsiaTheme="majorEastAsia" w:hAnsi="Gellix" w:cstheme="majorBidi"/>
          <w:b/>
          <w:sz w:val="21"/>
          <w:szCs w:val="21"/>
        </w:rPr>
        <w:t>Implementation &amp; importance of Linking</w:t>
      </w:r>
    </w:p>
    <w:p w14:paraId="3B08ECD0" w14:textId="77777777" w:rsidR="0061090B" w:rsidRPr="00C72910" w:rsidRDefault="0061090B" w:rsidP="0061090B">
      <w:pPr>
        <w:spacing w:after="120" w:line="240" w:lineRule="auto"/>
        <w:rPr>
          <w:rFonts w:ascii="Gellix" w:hAnsi="Gellix"/>
          <w:b/>
          <w:bCs/>
          <w:sz w:val="21"/>
          <w:szCs w:val="21"/>
        </w:rPr>
      </w:pPr>
      <w:r w:rsidRPr="00C72910">
        <w:rPr>
          <w:rFonts w:ascii="Gellix" w:hAnsi="Gellix"/>
          <w:b/>
          <w:bCs/>
          <w:sz w:val="21"/>
          <w:szCs w:val="21"/>
        </w:rPr>
        <w:t>Definition of “Linking”</w:t>
      </w:r>
    </w:p>
    <w:p w14:paraId="6071BC4E" w14:textId="77777777" w:rsidR="0061090B" w:rsidRPr="00255E70" w:rsidRDefault="0061090B" w:rsidP="0061090B">
      <w:pPr>
        <w:pStyle w:val="ListParagraph"/>
        <w:numPr>
          <w:ilvl w:val="0"/>
          <w:numId w:val="66"/>
        </w:numPr>
        <w:spacing w:after="120" w:line="240" w:lineRule="auto"/>
        <w:jc w:val="both"/>
        <w:rPr>
          <w:rFonts w:ascii="Gellix" w:hAnsi="Gellix"/>
          <w:sz w:val="21"/>
          <w:szCs w:val="21"/>
        </w:rPr>
      </w:pPr>
      <w:r w:rsidRPr="00310596">
        <w:rPr>
          <w:rFonts w:ascii="Gellix" w:hAnsi="Gellix"/>
          <w:sz w:val="21"/>
          <w:szCs w:val="21"/>
        </w:rPr>
        <w:t>Different definitions and explanations for linking and linking approaches exist today. For the purpose of this work, linking is defined as a way of connecting regional, national and supranational carbon market mechanisms and policies with the aim of creating a more harmonised, consistent and coordinated international approach to carbon pricing, leading to convergence of carbon prices and the development of sustained and robust global carbon market over time.</w:t>
      </w:r>
    </w:p>
    <w:p w14:paraId="0651E6E3" w14:textId="77777777" w:rsidR="0061090B" w:rsidRPr="00AB1AB2" w:rsidRDefault="0061090B" w:rsidP="0061090B">
      <w:pPr>
        <w:spacing w:after="120" w:line="240" w:lineRule="auto"/>
        <w:jc w:val="both"/>
        <w:rPr>
          <w:rFonts w:ascii="Gellix" w:hAnsi="Gellix"/>
          <w:sz w:val="21"/>
          <w:szCs w:val="21"/>
        </w:rPr>
      </w:pPr>
      <w:r w:rsidRPr="00AB1AB2">
        <w:rPr>
          <w:rFonts w:ascii="Gellix" w:hAnsi="Gellix"/>
          <w:b/>
          <w:bCs/>
          <w:sz w:val="21"/>
          <w:szCs w:val="21"/>
        </w:rPr>
        <w:t>Market mechanisms linking</w:t>
      </w:r>
    </w:p>
    <w:p w14:paraId="0F13512F" w14:textId="77777777" w:rsidR="0061090B" w:rsidRPr="00AB1AB2" w:rsidRDefault="0061090B" w:rsidP="0061090B">
      <w:pPr>
        <w:pStyle w:val="ListParagraph"/>
        <w:numPr>
          <w:ilvl w:val="0"/>
          <w:numId w:val="66"/>
        </w:numPr>
        <w:spacing w:after="120" w:line="240" w:lineRule="auto"/>
        <w:rPr>
          <w:rFonts w:ascii="Gellix" w:hAnsi="Gellix"/>
          <w:b/>
          <w:bCs/>
          <w:sz w:val="21"/>
          <w:szCs w:val="21"/>
        </w:rPr>
      </w:pPr>
      <w:r w:rsidRPr="001A11E4">
        <w:rPr>
          <w:rFonts w:ascii="Gellix" w:hAnsi="Gellix"/>
          <w:sz w:val="21"/>
          <w:szCs w:val="21"/>
        </w:rPr>
        <w:t>Linking is possible between heterogeneous climate policy instruments and can take different forms. The most important one is the linking between ETS: This “linking” of two or more ETSs creates a larger carbon market, which can provide the participating regions and companies with more cost-efficient options to reduce their emissions and enable them to use permits from another system for compliance.</w:t>
      </w:r>
      <w:r w:rsidRPr="00C72910">
        <w:rPr>
          <w:rStyle w:val="FootnoteReference"/>
          <w:rFonts w:ascii="Gellix" w:hAnsi="Gellix"/>
          <w:sz w:val="21"/>
          <w:szCs w:val="21"/>
        </w:rPr>
        <w:footnoteReference w:id="27"/>
      </w:r>
    </w:p>
    <w:p w14:paraId="731E2CD2" w14:textId="77777777" w:rsidR="0061090B" w:rsidRPr="00AB1AB2" w:rsidRDefault="0061090B" w:rsidP="0061090B">
      <w:pPr>
        <w:spacing w:after="120" w:line="240" w:lineRule="auto"/>
        <w:rPr>
          <w:rFonts w:ascii="Gellix" w:hAnsi="Gellix"/>
          <w:b/>
          <w:bCs/>
          <w:sz w:val="21"/>
          <w:szCs w:val="21"/>
        </w:rPr>
      </w:pPr>
      <w:r w:rsidRPr="00AB1AB2">
        <w:rPr>
          <w:rFonts w:ascii="Gellix" w:hAnsi="Gellix"/>
          <w:b/>
          <w:bCs/>
          <w:sz w:val="21"/>
          <w:szCs w:val="21"/>
        </w:rPr>
        <w:t>Broader policy linking</w:t>
      </w:r>
    </w:p>
    <w:p w14:paraId="67AA6FB2" w14:textId="77777777" w:rsidR="0061090B" w:rsidRPr="00255E70" w:rsidRDefault="0061090B" w:rsidP="0061090B">
      <w:pPr>
        <w:pStyle w:val="Bullet2"/>
        <w:numPr>
          <w:ilvl w:val="0"/>
          <w:numId w:val="66"/>
        </w:numPr>
        <w:spacing w:after="120" w:line="240" w:lineRule="auto"/>
        <w:rPr>
          <w:sz w:val="21"/>
          <w:szCs w:val="21"/>
        </w:rPr>
      </w:pPr>
      <w:r w:rsidRPr="00C72910">
        <w:rPr>
          <w:sz w:val="21"/>
          <w:szCs w:val="21"/>
        </w:rPr>
        <w:t xml:space="preserve">Carbon pricing is an essential strategy for unlocking investment in the transition to a low and net zero emissions economy. Yet, measures beyond core climate policies are needed for decisive and coordinated climate action, where an increased alignment and “linking” of climate policies and countries NDCs plans with economic, social, and environmental policies will be critical. </w:t>
      </w:r>
    </w:p>
    <w:p w14:paraId="108BDFCD" w14:textId="77777777" w:rsidR="0061090B" w:rsidRPr="00C72910" w:rsidRDefault="0061090B" w:rsidP="0061090B">
      <w:pPr>
        <w:pStyle w:val="Bullet2"/>
        <w:numPr>
          <w:ilvl w:val="0"/>
          <w:numId w:val="0"/>
        </w:numPr>
        <w:spacing w:after="120" w:line="240" w:lineRule="auto"/>
        <w:rPr>
          <w:b/>
          <w:bCs/>
          <w:sz w:val="21"/>
          <w:szCs w:val="21"/>
        </w:rPr>
      </w:pPr>
      <w:r w:rsidRPr="00C72910">
        <w:rPr>
          <w:b/>
          <w:bCs/>
          <w:sz w:val="21"/>
          <w:szCs w:val="21"/>
        </w:rPr>
        <w:t>Benefits of linking</w:t>
      </w:r>
    </w:p>
    <w:p w14:paraId="611570AC" w14:textId="77777777" w:rsidR="0061090B" w:rsidRPr="00255E70" w:rsidRDefault="0061090B" w:rsidP="0061090B">
      <w:pPr>
        <w:pStyle w:val="Bullet2"/>
        <w:numPr>
          <w:ilvl w:val="0"/>
          <w:numId w:val="66"/>
        </w:numPr>
        <w:spacing w:after="120" w:line="240" w:lineRule="auto"/>
        <w:rPr>
          <w:color w:val="auto"/>
          <w:sz w:val="21"/>
          <w:szCs w:val="21"/>
        </w:rPr>
      </w:pPr>
      <w:r w:rsidRPr="00C72910">
        <w:rPr>
          <w:sz w:val="21"/>
          <w:szCs w:val="21"/>
        </w:rPr>
        <w:t xml:space="preserve">In an increasingly bottom-up international climate regime, linking carbon pricing systems is key to connecting fragmented policy efforts. </w:t>
      </w:r>
    </w:p>
    <w:p w14:paraId="0E904EFA" w14:textId="77777777" w:rsidR="0061090B" w:rsidRPr="00C72910" w:rsidRDefault="0061090B" w:rsidP="0061090B">
      <w:pPr>
        <w:pStyle w:val="Bullet2"/>
        <w:numPr>
          <w:ilvl w:val="0"/>
          <w:numId w:val="66"/>
        </w:numPr>
        <w:spacing w:after="0" w:line="240" w:lineRule="auto"/>
        <w:rPr>
          <w:color w:val="auto"/>
          <w:sz w:val="21"/>
          <w:szCs w:val="21"/>
        </w:rPr>
      </w:pPr>
      <w:r w:rsidRPr="00C72910">
        <w:rPr>
          <w:sz w:val="21"/>
          <w:szCs w:val="21"/>
        </w:rPr>
        <w:t xml:space="preserve">Linking carbon pricing systems can provide a number of economic and political benefits, most importantly it can make climate mitigation efforts more cost-effective and may allow governments and companies to adopt more ambitious climate targets. In particular, linking can: </w:t>
      </w:r>
    </w:p>
    <w:p w14:paraId="51329427" w14:textId="77777777" w:rsidR="0061090B" w:rsidRPr="00C72910" w:rsidRDefault="0061090B" w:rsidP="0061090B">
      <w:pPr>
        <w:pStyle w:val="Bullet2"/>
        <w:numPr>
          <w:ilvl w:val="0"/>
          <w:numId w:val="0"/>
        </w:numPr>
        <w:spacing w:after="0" w:line="240" w:lineRule="auto"/>
        <w:ind w:left="360"/>
        <w:rPr>
          <w:color w:val="auto"/>
          <w:sz w:val="21"/>
          <w:szCs w:val="21"/>
        </w:rPr>
      </w:pPr>
    </w:p>
    <w:p w14:paraId="1C6A7303" w14:textId="77777777" w:rsidR="0061090B" w:rsidRPr="00C72910" w:rsidRDefault="0061090B" w:rsidP="0061090B">
      <w:pPr>
        <w:pStyle w:val="ListParagraph"/>
        <w:numPr>
          <w:ilvl w:val="1"/>
          <w:numId w:val="46"/>
        </w:numPr>
        <w:spacing w:after="120" w:line="240" w:lineRule="auto"/>
        <w:rPr>
          <w:rFonts w:ascii="Gellix" w:hAnsi="Gellix"/>
          <w:sz w:val="21"/>
          <w:szCs w:val="21"/>
        </w:rPr>
      </w:pPr>
      <w:r w:rsidRPr="00C72910">
        <w:rPr>
          <w:rFonts w:ascii="Gellix" w:hAnsi="Gellix"/>
          <w:sz w:val="21"/>
          <w:szCs w:val="21"/>
        </w:rPr>
        <w:t xml:space="preserve">Improve cost effectiveness and reduce the cost of action by reducing aggregate compliance costs (in a similar way that costs are reduced in a trade relationship); </w:t>
      </w:r>
    </w:p>
    <w:p w14:paraId="3ACB0192" w14:textId="77777777" w:rsidR="0061090B" w:rsidRPr="00C72910" w:rsidRDefault="0061090B" w:rsidP="0061090B">
      <w:pPr>
        <w:pStyle w:val="ListParagraph"/>
        <w:numPr>
          <w:ilvl w:val="1"/>
          <w:numId w:val="46"/>
        </w:numPr>
        <w:spacing w:after="120" w:line="240" w:lineRule="auto"/>
        <w:rPr>
          <w:rFonts w:ascii="Gellix" w:hAnsi="Gellix"/>
          <w:sz w:val="21"/>
          <w:szCs w:val="21"/>
        </w:rPr>
      </w:pPr>
      <w:r w:rsidRPr="00C72910">
        <w:rPr>
          <w:rFonts w:ascii="Gellix" w:hAnsi="Gellix"/>
          <w:sz w:val="21"/>
          <w:szCs w:val="21"/>
        </w:rPr>
        <w:t xml:space="preserve">Improve price stability and predictability; </w:t>
      </w:r>
    </w:p>
    <w:p w14:paraId="190822D2" w14:textId="77777777" w:rsidR="0061090B" w:rsidRPr="00C72910" w:rsidRDefault="0061090B" w:rsidP="0061090B">
      <w:pPr>
        <w:pStyle w:val="ListParagraph"/>
        <w:numPr>
          <w:ilvl w:val="1"/>
          <w:numId w:val="46"/>
        </w:numPr>
        <w:spacing w:after="120" w:line="240" w:lineRule="auto"/>
        <w:rPr>
          <w:rFonts w:ascii="Gellix" w:hAnsi="Gellix"/>
          <w:sz w:val="21"/>
          <w:szCs w:val="21"/>
        </w:rPr>
      </w:pPr>
      <w:r w:rsidRPr="00C72910">
        <w:rPr>
          <w:rFonts w:ascii="Gellix" w:hAnsi="Gellix"/>
          <w:sz w:val="21"/>
          <w:szCs w:val="21"/>
        </w:rPr>
        <w:lastRenderedPageBreak/>
        <w:t>Reduce leakage concerns and competitive disadvantage, creating a level playing field for companies across the linked market, which now face the same carbon price.</w:t>
      </w:r>
    </w:p>
    <w:p w14:paraId="682C9187" w14:textId="77777777" w:rsidR="0061090B" w:rsidRPr="00C72910" w:rsidRDefault="0061090B" w:rsidP="0061090B">
      <w:pPr>
        <w:pStyle w:val="ListParagraph"/>
        <w:numPr>
          <w:ilvl w:val="1"/>
          <w:numId w:val="46"/>
        </w:numPr>
        <w:spacing w:after="120" w:line="240" w:lineRule="auto"/>
        <w:rPr>
          <w:rFonts w:ascii="Gellix" w:hAnsi="Gellix"/>
          <w:sz w:val="21"/>
          <w:szCs w:val="21"/>
        </w:rPr>
      </w:pPr>
      <w:r w:rsidRPr="00C72910">
        <w:rPr>
          <w:rFonts w:ascii="Gellix" w:hAnsi="Gellix"/>
          <w:sz w:val="21"/>
          <w:szCs w:val="21"/>
        </w:rPr>
        <w:t>Linking increases the number of market participants. With more actors</w:t>
      </w:r>
    </w:p>
    <w:p w14:paraId="10D7CD93" w14:textId="77777777" w:rsidR="0061090B" w:rsidRPr="00C72910" w:rsidRDefault="0061090B" w:rsidP="0061090B">
      <w:pPr>
        <w:pStyle w:val="ListParagraph"/>
        <w:spacing w:line="240" w:lineRule="auto"/>
        <w:ind w:left="1080"/>
        <w:rPr>
          <w:rFonts w:ascii="Gellix" w:hAnsi="Gellix"/>
          <w:sz w:val="21"/>
          <w:szCs w:val="21"/>
        </w:rPr>
      </w:pPr>
      <w:r w:rsidRPr="00C72910">
        <w:rPr>
          <w:rFonts w:ascii="Gellix" w:hAnsi="Gellix"/>
          <w:sz w:val="21"/>
          <w:szCs w:val="21"/>
        </w:rPr>
        <w:t>buying and selling permits, market depth and liquidity increase. A bigger carbon market is also better at absorbing shocks and is more resilient to manipulation, which could result from a buyer or seller power;</w:t>
      </w:r>
    </w:p>
    <w:p w14:paraId="41F63899" w14:textId="77777777" w:rsidR="0061090B" w:rsidRPr="00C72910" w:rsidRDefault="0061090B" w:rsidP="0061090B">
      <w:pPr>
        <w:pStyle w:val="ListParagraph"/>
        <w:numPr>
          <w:ilvl w:val="1"/>
          <w:numId w:val="46"/>
        </w:numPr>
        <w:spacing w:after="120" w:line="240" w:lineRule="auto"/>
        <w:rPr>
          <w:rFonts w:ascii="Gellix" w:hAnsi="Gellix"/>
          <w:sz w:val="21"/>
          <w:szCs w:val="21"/>
        </w:rPr>
      </w:pPr>
      <w:r w:rsidRPr="00C72910">
        <w:rPr>
          <w:rFonts w:ascii="Gellix" w:hAnsi="Gellix"/>
          <w:sz w:val="21"/>
          <w:szCs w:val="21"/>
        </w:rPr>
        <w:t>Bring administrative efficiency and lower administrative costs.</w:t>
      </w:r>
    </w:p>
    <w:p w14:paraId="1DE62844" w14:textId="77777777" w:rsidR="0061090B" w:rsidRPr="00C72910" w:rsidRDefault="0061090B" w:rsidP="0061090B">
      <w:pPr>
        <w:pStyle w:val="ListParagraph"/>
        <w:numPr>
          <w:ilvl w:val="1"/>
          <w:numId w:val="46"/>
        </w:numPr>
        <w:spacing w:after="120" w:line="240" w:lineRule="auto"/>
        <w:rPr>
          <w:rFonts w:ascii="Gellix" w:hAnsi="Gellix"/>
          <w:sz w:val="21"/>
          <w:szCs w:val="21"/>
        </w:rPr>
      </w:pPr>
      <w:r w:rsidRPr="00C72910">
        <w:rPr>
          <w:rFonts w:ascii="Gellix" w:hAnsi="Gellix"/>
          <w:sz w:val="21"/>
          <w:szCs w:val="21"/>
        </w:rPr>
        <w:t xml:space="preserve">Linking can allow different jurisdictions to increase political momentum and attention for climate action, by demonstrating their climate leadership at a global level. </w:t>
      </w:r>
    </w:p>
    <w:p w14:paraId="21A374A6" w14:textId="77777777" w:rsidR="0061090B" w:rsidRPr="00C72910" w:rsidRDefault="0061090B" w:rsidP="0061090B">
      <w:pPr>
        <w:pStyle w:val="ListParagraph"/>
        <w:spacing w:line="240" w:lineRule="auto"/>
        <w:ind w:left="1080"/>
        <w:rPr>
          <w:rFonts w:ascii="Gellix" w:hAnsi="Gellix"/>
          <w:sz w:val="21"/>
          <w:szCs w:val="21"/>
        </w:rPr>
      </w:pPr>
    </w:p>
    <w:p w14:paraId="16BEC3C6" w14:textId="77777777" w:rsidR="0061090B" w:rsidRPr="003E18DE" w:rsidRDefault="0061090B" w:rsidP="0061090B">
      <w:pPr>
        <w:pStyle w:val="ListParagraph"/>
        <w:numPr>
          <w:ilvl w:val="0"/>
          <w:numId w:val="67"/>
        </w:numPr>
        <w:spacing w:after="0" w:line="240" w:lineRule="auto"/>
        <w:rPr>
          <w:rFonts w:ascii="Gellix" w:hAnsi="Gellix"/>
          <w:sz w:val="21"/>
          <w:szCs w:val="21"/>
        </w:rPr>
      </w:pPr>
      <w:r w:rsidRPr="003E18DE">
        <w:rPr>
          <w:rFonts w:ascii="Gellix" w:hAnsi="Gellix"/>
          <w:sz w:val="21"/>
          <w:szCs w:val="21"/>
        </w:rPr>
        <w:t xml:space="preserve">Therefore, </w:t>
      </w:r>
      <w:r>
        <w:rPr>
          <w:rFonts w:ascii="Gellix" w:hAnsi="Gellix"/>
          <w:sz w:val="21"/>
          <w:szCs w:val="21"/>
        </w:rPr>
        <w:t>linking</w:t>
      </w:r>
      <w:r w:rsidRPr="003E18DE">
        <w:rPr>
          <w:rFonts w:ascii="Gellix" w:hAnsi="Gellix"/>
          <w:sz w:val="21"/>
          <w:szCs w:val="21"/>
        </w:rPr>
        <w:t xml:space="preserve"> is a determinant element that must be considered when developing or implementing an effective carbon pricing system.</w:t>
      </w:r>
    </w:p>
    <w:p w14:paraId="2F6930A3" w14:textId="77777777" w:rsidR="0061090B" w:rsidRPr="00C72910" w:rsidRDefault="0061090B" w:rsidP="0061090B">
      <w:pPr>
        <w:pStyle w:val="Heading2"/>
        <w:numPr>
          <w:ilvl w:val="0"/>
          <w:numId w:val="0"/>
        </w:numPr>
        <w:spacing w:line="240" w:lineRule="auto"/>
        <w:rPr>
          <w:color w:val="auto"/>
          <w:sz w:val="21"/>
          <w:szCs w:val="21"/>
        </w:rPr>
      </w:pPr>
      <w:r w:rsidRPr="00C72910">
        <w:rPr>
          <w:color w:val="auto"/>
          <w:sz w:val="21"/>
          <w:szCs w:val="21"/>
        </w:rPr>
        <w:t xml:space="preserve">Prerequisites for successful linking </w:t>
      </w:r>
    </w:p>
    <w:p w14:paraId="717BAF69" w14:textId="77777777" w:rsidR="0061090B" w:rsidRDefault="0061090B" w:rsidP="0061090B">
      <w:pPr>
        <w:pStyle w:val="Bullet2"/>
        <w:numPr>
          <w:ilvl w:val="0"/>
          <w:numId w:val="67"/>
        </w:numPr>
        <w:spacing w:line="240" w:lineRule="auto"/>
        <w:rPr>
          <w:sz w:val="21"/>
          <w:szCs w:val="21"/>
        </w:rPr>
      </w:pPr>
      <w:r w:rsidRPr="00595430">
        <w:rPr>
          <w:sz w:val="21"/>
          <w:szCs w:val="21"/>
        </w:rPr>
        <w:t>Whilst a larger linked system would be able to take advantage of more mitigation options, other factors such as political decisions and economic developments in every jurisdiction will become variables to consider in the larger market</w:t>
      </w:r>
      <w:r>
        <w:rPr>
          <w:sz w:val="21"/>
          <w:szCs w:val="21"/>
        </w:rPr>
        <w:t>.</w:t>
      </w:r>
    </w:p>
    <w:p w14:paraId="310532F3" w14:textId="77777777" w:rsidR="0061090B" w:rsidRDefault="0061090B" w:rsidP="0061090B">
      <w:pPr>
        <w:pStyle w:val="Bullet2"/>
        <w:numPr>
          <w:ilvl w:val="0"/>
          <w:numId w:val="0"/>
        </w:numPr>
        <w:spacing w:line="240" w:lineRule="auto"/>
        <w:ind w:left="360"/>
        <w:rPr>
          <w:sz w:val="21"/>
          <w:szCs w:val="21"/>
        </w:rPr>
      </w:pPr>
    </w:p>
    <w:p w14:paraId="2F806C05" w14:textId="77777777" w:rsidR="0061090B" w:rsidRPr="00595430" w:rsidRDefault="0061090B" w:rsidP="0061090B">
      <w:pPr>
        <w:pStyle w:val="Bullet2"/>
        <w:numPr>
          <w:ilvl w:val="0"/>
          <w:numId w:val="67"/>
        </w:numPr>
        <w:spacing w:line="240" w:lineRule="auto"/>
        <w:rPr>
          <w:sz w:val="21"/>
          <w:szCs w:val="21"/>
        </w:rPr>
      </w:pPr>
      <w:r w:rsidRPr="00595430">
        <w:rPr>
          <w:sz w:val="21"/>
          <w:szCs w:val="21"/>
        </w:rPr>
        <w:t>Given the challenges that can derive from linking carbon pricing systems, there is a strong need for coordination and compatibility between linked systems, to make sure that linking works effectively and that the environmental integrity of allowances across systems is maintained.</w:t>
      </w:r>
    </w:p>
    <w:p w14:paraId="6CBCCA30" w14:textId="77777777" w:rsidR="0061090B" w:rsidRPr="00C72910" w:rsidRDefault="0061090B" w:rsidP="0061090B">
      <w:pPr>
        <w:pStyle w:val="ListParagraph"/>
        <w:rPr>
          <w:rFonts w:ascii="Gellix" w:hAnsi="Gellix"/>
          <w:sz w:val="21"/>
          <w:szCs w:val="21"/>
        </w:rPr>
      </w:pPr>
    </w:p>
    <w:p w14:paraId="21A5937E" w14:textId="77777777" w:rsidR="0061090B" w:rsidRPr="00595430" w:rsidRDefault="0061090B" w:rsidP="0061090B">
      <w:pPr>
        <w:pStyle w:val="ListParagraph"/>
        <w:numPr>
          <w:ilvl w:val="0"/>
          <w:numId w:val="67"/>
        </w:numPr>
        <w:spacing w:line="240" w:lineRule="auto"/>
        <w:rPr>
          <w:rFonts w:ascii="Gellix" w:hAnsi="Gellix"/>
          <w:sz w:val="21"/>
          <w:szCs w:val="21"/>
        </w:rPr>
      </w:pPr>
      <w:r w:rsidRPr="00595430">
        <w:rPr>
          <w:rFonts w:ascii="Gellix" w:hAnsi="Gellix"/>
          <w:sz w:val="21"/>
          <w:szCs w:val="21"/>
        </w:rPr>
        <w:t xml:space="preserve">Ensuring compatibility of design features across systems is very important: </w:t>
      </w:r>
      <w:r w:rsidRPr="00595430">
        <w:rPr>
          <w:rFonts w:ascii="Gellix" w:hAnsi="Gellix"/>
          <w:sz w:val="21"/>
          <w:szCs w:val="21"/>
        </w:rPr>
        <w:br/>
      </w:r>
    </w:p>
    <w:p w14:paraId="68180C95" w14:textId="77777777" w:rsidR="0061090B" w:rsidRPr="00C72910" w:rsidRDefault="0061090B" w:rsidP="0061090B">
      <w:pPr>
        <w:pStyle w:val="ListParagraph"/>
        <w:numPr>
          <w:ilvl w:val="1"/>
          <w:numId w:val="47"/>
        </w:numPr>
        <w:spacing w:line="240" w:lineRule="auto"/>
        <w:rPr>
          <w:rFonts w:ascii="Gellix" w:hAnsi="Gellix"/>
          <w:sz w:val="21"/>
          <w:szCs w:val="21"/>
        </w:rPr>
      </w:pPr>
      <w:r w:rsidRPr="00C72910">
        <w:rPr>
          <w:rFonts w:ascii="Gellix" w:hAnsi="Gellix"/>
          <w:sz w:val="21"/>
          <w:szCs w:val="21"/>
        </w:rPr>
        <w:t xml:space="preserve">A clear understanding of the objective of the linking, as well as similar respective current and future levels of ambition, standards for environmental integrity, strategies for stabilising prices, and direction of future ETS policy is needed. </w:t>
      </w:r>
      <w:r w:rsidRPr="00C72910">
        <w:rPr>
          <w:rFonts w:ascii="Gellix" w:hAnsi="Gellix"/>
          <w:sz w:val="21"/>
          <w:szCs w:val="21"/>
        </w:rPr>
        <w:br/>
      </w:r>
    </w:p>
    <w:p w14:paraId="7DA798BA" w14:textId="77777777" w:rsidR="0061090B" w:rsidRPr="00C72910" w:rsidRDefault="0061090B" w:rsidP="0061090B">
      <w:pPr>
        <w:pStyle w:val="ListParagraph"/>
        <w:numPr>
          <w:ilvl w:val="1"/>
          <w:numId w:val="47"/>
        </w:numPr>
        <w:spacing w:line="240" w:lineRule="auto"/>
        <w:rPr>
          <w:rFonts w:ascii="Gellix" w:hAnsi="Gellix"/>
          <w:sz w:val="21"/>
          <w:szCs w:val="21"/>
        </w:rPr>
      </w:pPr>
      <w:r w:rsidRPr="00C72910">
        <w:rPr>
          <w:rFonts w:ascii="Gellix" w:hAnsi="Gellix"/>
          <w:sz w:val="21"/>
          <w:szCs w:val="21"/>
        </w:rPr>
        <w:t xml:space="preserve">Some design features require strict compatibility, such as the voluntary or mandatory nature of the system, the type of cap, the Price or Supply Adjustment Mechanisms (PSAMs), the use and environmental integrity of offset credits, borrowing and banking and the potential for linking with further systems. </w:t>
      </w:r>
    </w:p>
    <w:p w14:paraId="219B074A" w14:textId="77777777" w:rsidR="0061090B" w:rsidRPr="00C72910" w:rsidRDefault="0061090B" w:rsidP="0061090B">
      <w:pPr>
        <w:pStyle w:val="ListParagraph"/>
        <w:spacing w:line="240" w:lineRule="auto"/>
        <w:ind w:left="1080"/>
        <w:rPr>
          <w:rFonts w:ascii="Gellix" w:hAnsi="Gellix"/>
          <w:sz w:val="21"/>
          <w:szCs w:val="21"/>
        </w:rPr>
      </w:pPr>
    </w:p>
    <w:p w14:paraId="53737521" w14:textId="77777777" w:rsidR="0061090B" w:rsidRPr="00C72910" w:rsidRDefault="0061090B" w:rsidP="0061090B">
      <w:pPr>
        <w:pStyle w:val="ListParagraph"/>
        <w:numPr>
          <w:ilvl w:val="1"/>
          <w:numId w:val="47"/>
        </w:numPr>
        <w:spacing w:line="240" w:lineRule="auto"/>
        <w:rPr>
          <w:rFonts w:ascii="Gellix" w:hAnsi="Gellix"/>
          <w:sz w:val="21"/>
          <w:szCs w:val="21"/>
        </w:rPr>
      </w:pPr>
      <w:r w:rsidRPr="00C72910">
        <w:rPr>
          <w:rFonts w:ascii="Gellix" w:hAnsi="Gellix"/>
          <w:sz w:val="21"/>
          <w:szCs w:val="21"/>
        </w:rPr>
        <w:t>Other design features rather demand confidence that the linking partner will achieve comparable outcomes through its ETS, such as the stringency of the cap, the robustness of MRV systems, capacity of regulators to manage risks of misconduct in the secondary market, the administration of registry and tracking allowances, and ability and willingness to enforce ETS rules.</w:t>
      </w:r>
      <w:r w:rsidRPr="00C72910">
        <w:rPr>
          <w:rFonts w:ascii="Gellix" w:hAnsi="Gellix"/>
          <w:sz w:val="21"/>
          <w:szCs w:val="21"/>
        </w:rPr>
        <w:br/>
      </w:r>
    </w:p>
    <w:p w14:paraId="0F614543" w14:textId="77777777" w:rsidR="0061090B" w:rsidRPr="00C72910" w:rsidRDefault="0061090B" w:rsidP="0061090B">
      <w:pPr>
        <w:pStyle w:val="ListParagraph"/>
        <w:numPr>
          <w:ilvl w:val="0"/>
          <w:numId w:val="69"/>
        </w:numPr>
        <w:spacing w:line="240" w:lineRule="auto"/>
        <w:rPr>
          <w:rFonts w:ascii="Gellix" w:hAnsi="Gellix"/>
          <w:sz w:val="21"/>
          <w:szCs w:val="21"/>
        </w:rPr>
      </w:pPr>
      <w:r w:rsidRPr="00C72910">
        <w:rPr>
          <w:rFonts w:ascii="Gellix" w:hAnsi="Gellix"/>
          <w:sz w:val="21"/>
          <w:szCs w:val="21"/>
        </w:rPr>
        <w:t>Another critical element to consider when designing and implementing carbon pricing mechanisms is alignment with international trade rules, to avoid creating trade barriers.</w:t>
      </w:r>
    </w:p>
    <w:p w14:paraId="21AADFC0" w14:textId="77777777" w:rsidR="0061090B" w:rsidRPr="00C72910" w:rsidRDefault="0061090B" w:rsidP="0061090B">
      <w:pPr>
        <w:pStyle w:val="ListParagraph"/>
        <w:spacing w:line="240" w:lineRule="auto"/>
        <w:ind w:left="360"/>
        <w:rPr>
          <w:rFonts w:ascii="Gellix" w:hAnsi="Gellix"/>
          <w:sz w:val="21"/>
          <w:szCs w:val="21"/>
        </w:rPr>
      </w:pPr>
    </w:p>
    <w:p w14:paraId="33569C5F" w14:textId="77777777" w:rsidR="0061090B" w:rsidRPr="00C72910" w:rsidRDefault="0061090B" w:rsidP="0061090B">
      <w:pPr>
        <w:pStyle w:val="ListParagraph"/>
        <w:numPr>
          <w:ilvl w:val="0"/>
          <w:numId w:val="69"/>
        </w:numPr>
        <w:spacing w:line="240" w:lineRule="auto"/>
        <w:rPr>
          <w:rFonts w:ascii="Gellix" w:hAnsi="Gellix"/>
          <w:sz w:val="21"/>
          <w:szCs w:val="21"/>
        </w:rPr>
      </w:pPr>
      <w:r w:rsidRPr="00C72910">
        <w:rPr>
          <w:rFonts w:ascii="Gellix" w:hAnsi="Gellix"/>
          <w:sz w:val="21"/>
          <w:szCs w:val="21"/>
        </w:rPr>
        <w:lastRenderedPageBreak/>
        <w:t>For policymakers, linking also means a loss of regulatory flexibility and control on a regional level, emphasizing the need for close coordination between linked systems.</w:t>
      </w:r>
      <w:r w:rsidRPr="00C72910">
        <w:rPr>
          <w:rFonts w:ascii="Gellix" w:hAnsi="Gellix"/>
          <w:sz w:val="21"/>
          <w:szCs w:val="21"/>
        </w:rPr>
        <w:br/>
      </w:r>
    </w:p>
    <w:p w14:paraId="1CB9B744" w14:textId="77777777" w:rsidR="0061090B" w:rsidRPr="00C72910" w:rsidRDefault="0061090B" w:rsidP="0061090B">
      <w:pPr>
        <w:pStyle w:val="ListParagraph"/>
        <w:numPr>
          <w:ilvl w:val="0"/>
          <w:numId w:val="69"/>
        </w:numPr>
        <w:spacing w:line="240" w:lineRule="auto"/>
        <w:rPr>
          <w:rFonts w:ascii="Gellix" w:hAnsi="Gellix"/>
          <w:sz w:val="21"/>
          <w:szCs w:val="21"/>
        </w:rPr>
      </w:pPr>
      <w:r w:rsidRPr="00C72910">
        <w:rPr>
          <w:rFonts w:ascii="Gellix" w:hAnsi="Gellix"/>
          <w:sz w:val="21"/>
          <w:szCs w:val="21"/>
        </w:rPr>
        <w:t xml:space="preserve">The timing of the linking should also be considered, as well as its governance and rules to plan a future de-linking. </w:t>
      </w:r>
    </w:p>
    <w:p w14:paraId="1BB85B83" w14:textId="77777777" w:rsidR="0061090B" w:rsidRPr="00BA7C6A" w:rsidRDefault="0061090B" w:rsidP="0061090B">
      <w:pPr>
        <w:pStyle w:val="Heading2"/>
        <w:numPr>
          <w:ilvl w:val="0"/>
          <w:numId w:val="0"/>
        </w:numPr>
        <w:spacing w:line="240" w:lineRule="auto"/>
        <w:rPr>
          <w:color w:val="auto"/>
          <w:sz w:val="21"/>
          <w:szCs w:val="21"/>
        </w:rPr>
      </w:pPr>
      <w:r w:rsidRPr="00BA7C6A">
        <w:rPr>
          <w:color w:val="auto"/>
          <w:sz w:val="21"/>
          <w:szCs w:val="21"/>
        </w:rPr>
        <w:t>Article 6 of the Paris Agreement: A key enabler for increased cooperation and higher climate ambition and action</w:t>
      </w:r>
    </w:p>
    <w:p w14:paraId="0A9B5FB9" w14:textId="77777777" w:rsidR="0061090B" w:rsidRPr="00C72910" w:rsidRDefault="0061090B" w:rsidP="0061090B">
      <w:pPr>
        <w:pStyle w:val="ListParagraph"/>
        <w:spacing w:after="0" w:line="240" w:lineRule="auto"/>
        <w:ind w:left="1080"/>
        <w:rPr>
          <w:rFonts w:ascii="Gellix" w:hAnsi="Gellix"/>
          <w:sz w:val="21"/>
          <w:szCs w:val="21"/>
        </w:rPr>
      </w:pPr>
    </w:p>
    <w:p w14:paraId="05B3F95A" w14:textId="77777777" w:rsidR="0061090B" w:rsidRPr="00595430" w:rsidRDefault="0061090B" w:rsidP="0061090B">
      <w:pPr>
        <w:pStyle w:val="ListParagraph"/>
        <w:numPr>
          <w:ilvl w:val="0"/>
          <w:numId w:val="70"/>
        </w:numPr>
        <w:spacing w:after="100" w:afterAutospacing="1" w:line="240" w:lineRule="auto"/>
        <w:ind w:left="360"/>
        <w:rPr>
          <w:rFonts w:ascii="Gellix" w:eastAsia="Gotham" w:hAnsi="Gellix" w:cs="Arial"/>
          <w:sz w:val="21"/>
          <w:szCs w:val="21"/>
        </w:rPr>
      </w:pPr>
      <w:r w:rsidRPr="00595430">
        <w:rPr>
          <w:rFonts w:ascii="Gellix" w:hAnsi="Gellix" w:cs="Arial"/>
          <w:sz w:val="21"/>
          <w:szCs w:val="21"/>
        </w:rPr>
        <w:t xml:space="preserve">One of the key elements to increasing climate ambition and action lies in enabling </w:t>
      </w:r>
      <w:r w:rsidRPr="00595430">
        <w:rPr>
          <w:rFonts w:ascii="Gellix" w:hAnsi="Gellix" w:cs="Arial"/>
          <w:sz w:val="21"/>
          <w:szCs w:val="21"/>
          <w:shd w:val="clear" w:color="auto" w:fill="FFFFFF"/>
        </w:rPr>
        <w:t xml:space="preserve">countries and businesses to cost-effectively manage their emissions reductions through co-operation with other countries and businesses globally – this can be done through </w:t>
      </w:r>
      <w:r w:rsidRPr="00595430">
        <w:rPr>
          <w:rFonts w:ascii="Gellix" w:hAnsi="Gellix" w:cs="Arial"/>
          <w:sz w:val="21"/>
          <w:szCs w:val="21"/>
        </w:rPr>
        <w:t xml:space="preserve">the implementation of cross-border carbon markets under Article 6 of the Paris Agreement. </w:t>
      </w:r>
    </w:p>
    <w:p w14:paraId="6471AD90" w14:textId="77777777" w:rsidR="0061090B" w:rsidRPr="00C72910" w:rsidRDefault="0061090B" w:rsidP="0061090B">
      <w:pPr>
        <w:pStyle w:val="ListParagraph"/>
        <w:spacing w:after="100" w:afterAutospacing="1" w:line="240" w:lineRule="auto"/>
        <w:ind w:left="0"/>
        <w:rPr>
          <w:rStyle w:val="normaltextrun"/>
          <w:rFonts w:ascii="Gellix" w:eastAsia="Gotham" w:hAnsi="Gellix" w:cs="Arial"/>
          <w:sz w:val="21"/>
          <w:szCs w:val="21"/>
        </w:rPr>
      </w:pPr>
    </w:p>
    <w:p w14:paraId="781C4C2B" w14:textId="77777777" w:rsidR="0061090B" w:rsidRPr="00595430" w:rsidRDefault="0061090B" w:rsidP="0061090B">
      <w:pPr>
        <w:pStyle w:val="ListParagraph"/>
        <w:numPr>
          <w:ilvl w:val="0"/>
          <w:numId w:val="70"/>
        </w:numPr>
        <w:spacing w:after="100" w:afterAutospacing="1" w:line="240" w:lineRule="auto"/>
        <w:ind w:left="360"/>
        <w:rPr>
          <w:rFonts w:ascii="Gellix" w:eastAsia="Gotham" w:hAnsi="Gellix" w:cs="Arial"/>
          <w:sz w:val="21"/>
          <w:szCs w:val="21"/>
        </w:rPr>
      </w:pPr>
      <w:r w:rsidRPr="00595430">
        <w:rPr>
          <w:rStyle w:val="normaltextrun"/>
          <w:rFonts w:ascii="Gellix" w:hAnsi="Gellix" w:cs="Calibri"/>
          <w:sz w:val="21"/>
          <w:szCs w:val="21"/>
        </w:rPr>
        <w:t xml:space="preserve">The conditions for cross-border emissions trading fundamentally changed when the Paris Agreement Article 6 Rulebook was adopted at COP26 in Glasgow in 2021. The Rulebook sets out the conditions and rules for emissions trading between countries within the UN system under Article 6 of the Paris Agreement, more specifically for </w:t>
      </w:r>
      <w:hyperlink r:id="rId21" w:history="1">
        <w:r w:rsidRPr="00595430">
          <w:rPr>
            <w:rStyle w:val="Hyperlink"/>
            <w:rFonts w:ascii="Gellix" w:hAnsi="Gellix" w:cs="Arial"/>
            <w:color w:val="0064A8"/>
            <w:sz w:val="21"/>
            <w:szCs w:val="21"/>
            <w:shd w:val="clear" w:color="auto" w:fill="FFFFFF"/>
          </w:rPr>
          <w:t>Article 6.2</w:t>
        </w:r>
      </w:hyperlink>
      <w:r w:rsidRPr="00595430">
        <w:rPr>
          <w:rFonts w:ascii="Gellix" w:hAnsi="Gellix" w:cs="Arial"/>
          <w:color w:val="201F1E"/>
          <w:sz w:val="21"/>
          <w:szCs w:val="21"/>
          <w:bdr w:val="none" w:sz="0" w:space="0" w:color="auto" w:frame="1"/>
        </w:rPr>
        <w:t xml:space="preserve"> (</w:t>
      </w:r>
      <w:r w:rsidRPr="00595430">
        <w:rPr>
          <w:rStyle w:val="xmsohyperlink"/>
          <w:rFonts w:ascii="Gellix" w:hAnsi="Gellix" w:cs="Arial"/>
          <w:color w:val="201F1E"/>
          <w:sz w:val="21"/>
          <w:szCs w:val="21"/>
          <w:bdr w:val="none" w:sz="0" w:space="0" w:color="auto" w:frame="1"/>
        </w:rPr>
        <w:t xml:space="preserve">allowing for the international transfer of carbon credits between countries) </w:t>
      </w:r>
      <w:r w:rsidRPr="00595430">
        <w:rPr>
          <w:rFonts w:ascii="Gellix" w:hAnsi="Gellix" w:cs="Arial"/>
          <w:color w:val="201F1E"/>
          <w:sz w:val="21"/>
          <w:szCs w:val="21"/>
          <w:bdr w:val="none" w:sz="0" w:space="0" w:color="auto" w:frame="1"/>
        </w:rPr>
        <w:t xml:space="preserve">and </w:t>
      </w:r>
      <w:hyperlink r:id="rId22" w:history="1">
        <w:r w:rsidRPr="00595430">
          <w:rPr>
            <w:rStyle w:val="Hyperlink"/>
            <w:rFonts w:ascii="Gellix" w:hAnsi="Gellix" w:cs="Arial"/>
            <w:color w:val="0064A8"/>
            <w:sz w:val="21"/>
            <w:szCs w:val="21"/>
            <w:shd w:val="clear" w:color="auto" w:fill="FFFFFF"/>
          </w:rPr>
          <w:t>Article 6.4</w:t>
        </w:r>
      </w:hyperlink>
      <w:r w:rsidRPr="00595430">
        <w:rPr>
          <w:rFonts w:ascii="Gellix" w:hAnsi="Gellix" w:cs="Arial"/>
          <w:color w:val="201F1E"/>
          <w:sz w:val="21"/>
          <w:szCs w:val="21"/>
          <w:bdr w:val="none" w:sz="0" w:space="0" w:color="auto" w:frame="1"/>
        </w:rPr>
        <w:t xml:space="preserve"> (</w:t>
      </w:r>
      <w:r w:rsidRPr="00595430">
        <w:rPr>
          <w:rStyle w:val="xmsohyperlink"/>
          <w:rFonts w:ascii="Gellix" w:hAnsi="Gellix" w:cs="Arial"/>
          <w:color w:val="201F1E"/>
          <w:sz w:val="21"/>
          <w:szCs w:val="21"/>
          <w:bdr w:val="none" w:sz="0" w:space="0" w:color="auto" w:frame="1"/>
        </w:rPr>
        <w:t>creating a central UNFCCC mechanism to trade credits from emissions reductions generated through specific projects)</w:t>
      </w:r>
      <w:r w:rsidRPr="00595430">
        <w:rPr>
          <w:rStyle w:val="xmsohyperlink"/>
          <w:rFonts w:ascii="Gellix" w:hAnsi="Gellix" w:cs="Calibri"/>
          <w:sz w:val="21"/>
          <w:szCs w:val="21"/>
        </w:rPr>
        <w:t>.</w:t>
      </w:r>
      <w:r w:rsidRPr="00C72910">
        <w:rPr>
          <w:rStyle w:val="FootnoteReference"/>
          <w:rFonts w:ascii="Gellix" w:hAnsi="Gellix" w:cs="Calibri"/>
          <w:sz w:val="21"/>
          <w:szCs w:val="21"/>
        </w:rPr>
        <w:footnoteReference w:id="28"/>
      </w:r>
      <w:r w:rsidRPr="00595430">
        <w:rPr>
          <w:rStyle w:val="xmsohyperlink"/>
          <w:rFonts w:ascii="Gellix" w:hAnsi="Gellix" w:cs="Calibri"/>
          <w:sz w:val="21"/>
          <w:szCs w:val="21"/>
        </w:rPr>
        <w:br/>
      </w:r>
    </w:p>
    <w:p w14:paraId="70A30C2C" w14:textId="77777777" w:rsidR="0061090B" w:rsidRPr="00595430" w:rsidRDefault="0061090B" w:rsidP="0061090B">
      <w:pPr>
        <w:pStyle w:val="ListParagraph"/>
        <w:numPr>
          <w:ilvl w:val="0"/>
          <w:numId w:val="70"/>
        </w:numPr>
        <w:spacing w:line="240" w:lineRule="auto"/>
        <w:ind w:left="360"/>
        <w:rPr>
          <w:rFonts w:ascii="Gellix" w:hAnsi="Gellix"/>
          <w:sz w:val="21"/>
          <w:szCs w:val="21"/>
        </w:rPr>
      </w:pPr>
      <w:r w:rsidRPr="00595430">
        <w:rPr>
          <w:rFonts w:ascii="Gellix" w:hAnsi="Gellix" w:cs="Arial"/>
          <w:sz w:val="21"/>
          <w:szCs w:val="21"/>
        </w:rPr>
        <w:t xml:space="preserve">Article 6 itself is not designed to create a global carbon price. However, </w:t>
      </w:r>
      <w:r w:rsidRPr="00595430">
        <w:rPr>
          <w:rFonts w:ascii="Gellix" w:hAnsi="Gellix"/>
          <w:sz w:val="21"/>
          <w:szCs w:val="21"/>
        </w:rPr>
        <w:t>if operationalised and implemented effectively, it has enormous potential to establish a functioning, high-integrity cross-border carbon market and to provide the foundational overarching international architecture for countries to increase cooperation on emissions trading.</w:t>
      </w:r>
      <w:r w:rsidRPr="00595430">
        <w:rPr>
          <w:rFonts w:ascii="Gellix" w:hAnsi="Gellix"/>
          <w:sz w:val="21"/>
          <w:szCs w:val="21"/>
        </w:rPr>
        <w:br/>
        <w:t xml:space="preserve"> </w:t>
      </w:r>
    </w:p>
    <w:p w14:paraId="3A16EC3F" w14:textId="77777777" w:rsidR="0061090B" w:rsidRPr="00595430" w:rsidRDefault="0061090B" w:rsidP="0061090B">
      <w:pPr>
        <w:pStyle w:val="ListParagraph"/>
        <w:numPr>
          <w:ilvl w:val="0"/>
          <w:numId w:val="70"/>
        </w:numPr>
        <w:spacing w:line="240" w:lineRule="auto"/>
        <w:ind w:left="360"/>
        <w:rPr>
          <w:rFonts w:ascii="Gellix" w:hAnsi="Gellix"/>
          <w:sz w:val="21"/>
          <w:szCs w:val="21"/>
        </w:rPr>
      </w:pPr>
      <w:r w:rsidRPr="00595430">
        <w:rPr>
          <w:rFonts w:ascii="Gellix" w:hAnsi="Gellix" w:cs="Arial"/>
          <w:sz w:val="21"/>
          <w:szCs w:val="21"/>
        </w:rPr>
        <w:t xml:space="preserve">It can further assist in developing transparency around carbon pricing and allowing for a stronger and more coordinated approach to </w:t>
      </w:r>
      <w:r w:rsidRPr="00CB67C1">
        <w:rPr>
          <w:rFonts w:ascii="Gellix" w:hAnsi="Gellix" w:cs="Arial"/>
          <w:sz w:val="21"/>
          <w:szCs w:val="21"/>
        </w:rPr>
        <w:t>carbon</w:t>
      </w:r>
      <w:r w:rsidRPr="00595430">
        <w:rPr>
          <w:rFonts w:ascii="Gellix" w:hAnsi="Gellix" w:cs="Arial"/>
          <w:sz w:val="21"/>
          <w:szCs w:val="21"/>
        </w:rPr>
        <w:t xml:space="preserve"> pricing</w:t>
      </w:r>
      <w:r w:rsidRPr="00C72910">
        <w:rPr>
          <w:rStyle w:val="FootnoteReference"/>
          <w:rFonts w:ascii="Gellix" w:hAnsi="Gellix" w:cs="Arial"/>
          <w:sz w:val="21"/>
          <w:szCs w:val="21"/>
        </w:rPr>
        <w:footnoteReference w:id="29"/>
      </w:r>
      <w:r w:rsidRPr="00595430">
        <w:rPr>
          <w:rFonts w:ascii="Gellix" w:hAnsi="Gellix" w:cs="Arial"/>
          <w:sz w:val="21"/>
          <w:szCs w:val="21"/>
        </w:rPr>
        <w:t xml:space="preserve"> and most importantly avoid potential unilateral and protectionist climate policy measures.</w:t>
      </w:r>
    </w:p>
    <w:p w14:paraId="1C71F4E5" w14:textId="77777777" w:rsidR="0061090B" w:rsidRPr="00C72910" w:rsidRDefault="0061090B" w:rsidP="0061090B">
      <w:pPr>
        <w:pStyle w:val="ListParagraph"/>
        <w:spacing w:line="240" w:lineRule="auto"/>
        <w:ind w:left="360"/>
        <w:rPr>
          <w:rFonts w:ascii="Gellix" w:hAnsi="Gellix" w:cs="Arial"/>
          <w:color w:val="1A1919"/>
          <w:sz w:val="21"/>
          <w:szCs w:val="21"/>
          <w:shd w:val="clear" w:color="auto" w:fill="FFFFFF"/>
        </w:rPr>
      </w:pPr>
    </w:p>
    <w:p w14:paraId="5ACCBE05" w14:textId="77777777" w:rsidR="0061090B" w:rsidRPr="00595430" w:rsidRDefault="0061090B" w:rsidP="0061090B">
      <w:pPr>
        <w:pStyle w:val="ListParagraph"/>
        <w:numPr>
          <w:ilvl w:val="0"/>
          <w:numId w:val="70"/>
        </w:numPr>
        <w:spacing w:line="240" w:lineRule="auto"/>
        <w:ind w:left="360"/>
        <w:rPr>
          <w:rFonts w:ascii="Gellix" w:hAnsi="Gellix"/>
          <w:sz w:val="21"/>
          <w:szCs w:val="21"/>
        </w:rPr>
      </w:pPr>
      <w:r w:rsidRPr="00595430">
        <w:rPr>
          <w:rFonts w:ascii="Gellix" w:hAnsi="Gellix" w:cs="Arial"/>
          <w:color w:val="1A1919"/>
          <w:sz w:val="21"/>
          <w:szCs w:val="21"/>
          <w:shd w:val="clear" w:color="auto" w:fill="FFFFFF"/>
        </w:rPr>
        <w:t>Furthermore, Article 6 also has the potential to drive forward multilevel and multilateral collaboration between government and the private sector – locally and globally – offering the chance to work together collectively to achieve our common goals. To achieve this, the private sector has a key role to play in translating Article 6 collaboration frameworks into real action.</w:t>
      </w:r>
      <w:r w:rsidRPr="00C72910">
        <w:rPr>
          <w:rStyle w:val="FootnoteReference"/>
          <w:rFonts w:ascii="Gellix" w:hAnsi="Gellix" w:cs="Arial"/>
          <w:color w:val="1A1919"/>
          <w:sz w:val="21"/>
          <w:szCs w:val="21"/>
          <w:shd w:val="clear" w:color="auto" w:fill="FFFFFF"/>
        </w:rPr>
        <w:footnoteReference w:id="30"/>
      </w:r>
    </w:p>
    <w:p w14:paraId="7BA2B4EF" w14:textId="77777777" w:rsidR="0061090B" w:rsidRPr="00C72910" w:rsidRDefault="0061090B" w:rsidP="0061090B">
      <w:pPr>
        <w:pStyle w:val="ListParagraph"/>
        <w:spacing w:line="240" w:lineRule="auto"/>
        <w:ind w:left="360"/>
        <w:rPr>
          <w:rFonts w:ascii="Gellix" w:hAnsi="Gellix" w:cs="Arial"/>
          <w:sz w:val="21"/>
          <w:szCs w:val="21"/>
        </w:rPr>
      </w:pPr>
    </w:p>
    <w:p w14:paraId="2C041CFA" w14:textId="77777777" w:rsidR="0061090B" w:rsidRPr="00AA51F0" w:rsidRDefault="0061090B" w:rsidP="0061090B">
      <w:pPr>
        <w:pStyle w:val="ListParagraph"/>
        <w:numPr>
          <w:ilvl w:val="0"/>
          <w:numId w:val="70"/>
        </w:numPr>
        <w:spacing w:line="240" w:lineRule="auto"/>
        <w:ind w:left="360"/>
        <w:rPr>
          <w:rFonts w:ascii="Gellix" w:hAnsi="Gellix"/>
          <w:sz w:val="21"/>
          <w:szCs w:val="21"/>
        </w:rPr>
      </w:pPr>
      <w:r w:rsidRPr="00595430">
        <w:rPr>
          <w:rFonts w:ascii="Gellix" w:hAnsi="Gellix" w:cs="Arial"/>
          <w:sz w:val="21"/>
          <w:szCs w:val="21"/>
        </w:rPr>
        <w:t xml:space="preserve">While the fundamental rules for Article 6 are now agreed, the myriad details to make them function have still to be defined and governments have to work to ensure that the new mechanisms can deliver real and additional benefits to the climate and society. </w:t>
      </w:r>
    </w:p>
    <w:p w14:paraId="34D868E1" w14:textId="77777777" w:rsidR="0061090B" w:rsidRPr="00595430" w:rsidRDefault="0061090B" w:rsidP="0061090B">
      <w:pPr>
        <w:pStyle w:val="ListParagraph"/>
        <w:numPr>
          <w:ilvl w:val="0"/>
          <w:numId w:val="70"/>
        </w:numPr>
        <w:spacing w:line="240" w:lineRule="auto"/>
        <w:ind w:left="360"/>
        <w:rPr>
          <w:rFonts w:ascii="Gellix" w:hAnsi="Gellix"/>
          <w:sz w:val="21"/>
          <w:szCs w:val="21"/>
        </w:rPr>
      </w:pPr>
      <w:r w:rsidRPr="00595430">
        <w:rPr>
          <w:rFonts w:ascii="Gellix" w:hAnsi="Gellix"/>
          <w:sz w:val="21"/>
          <w:szCs w:val="21"/>
        </w:rPr>
        <w:lastRenderedPageBreak/>
        <w:t xml:space="preserve">ICC urges countries to agree on all outstanding elements at COP28 to fully operationalise Article 6 with high integrity and without delay and provide a workable platform for Parties and businesses to use. </w:t>
      </w:r>
      <w:r w:rsidRPr="00595430">
        <w:rPr>
          <w:rFonts w:ascii="Gellix" w:hAnsi="Gellix"/>
          <w:sz w:val="21"/>
          <w:szCs w:val="21"/>
        </w:rPr>
        <w:br/>
      </w:r>
    </w:p>
    <w:p w14:paraId="4463FD72" w14:textId="2F348EC5" w:rsidR="0061090B" w:rsidRPr="0022532D" w:rsidRDefault="006D7E2F" w:rsidP="0022532D">
      <w:pPr>
        <w:pStyle w:val="ListParagraph"/>
        <w:numPr>
          <w:ilvl w:val="0"/>
          <w:numId w:val="5"/>
        </w:numPr>
        <w:rPr>
          <w:rFonts w:ascii="Gellix" w:hAnsi="Gellix"/>
          <w:b/>
          <w:sz w:val="21"/>
          <w:szCs w:val="21"/>
          <w:lang w:val="en-US"/>
        </w:rPr>
      </w:pPr>
      <w:r>
        <w:rPr>
          <w:rFonts w:ascii="Gellix" w:hAnsi="Gellix"/>
          <w:b/>
          <w:color w:val="007DFF"/>
          <w:sz w:val="28"/>
          <w:szCs w:val="28"/>
          <w:lang w:val="en-US"/>
        </w:rPr>
        <w:t xml:space="preserve">Carbon Price </w:t>
      </w:r>
      <w:r w:rsidR="00A82527">
        <w:rPr>
          <w:rFonts w:ascii="Gellix" w:hAnsi="Gellix"/>
          <w:b/>
          <w:color w:val="007DFF"/>
          <w:sz w:val="28"/>
          <w:szCs w:val="28"/>
          <w:lang w:val="en-US"/>
        </w:rPr>
        <w:t>Levels &amp; Inflation</w:t>
      </w:r>
      <w:r w:rsidR="0061090B" w:rsidRPr="0022532D">
        <w:rPr>
          <w:rFonts w:ascii="Gellix" w:hAnsi="Gellix"/>
          <w:b/>
          <w:color w:val="007DFF"/>
          <w:sz w:val="28"/>
          <w:szCs w:val="28"/>
          <w:lang w:val="en-US"/>
        </w:rPr>
        <w:t xml:space="preserve"> </w:t>
      </w:r>
      <w:r w:rsidR="0061090B" w:rsidRPr="0022532D">
        <w:rPr>
          <w:rFonts w:ascii="Gellix" w:hAnsi="Gellix"/>
          <w:color w:val="007DFF"/>
          <w:sz w:val="28"/>
          <w:szCs w:val="28"/>
          <w:lang w:val="en-US"/>
        </w:rPr>
        <w:t>[</w:t>
      </w:r>
      <w:r w:rsidR="0061090B" w:rsidRPr="00C635A9">
        <w:rPr>
          <w:rFonts w:ascii="Gellix" w:hAnsi="Gellix"/>
          <w:color w:val="007DFF"/>
          <w:sz w:val="28"/>
          <w:szCs w:val="28"/>
          <w:highlight w:val="yellow"/>
          <w:lang w:val="en-US"/>
        </w:rPr>
        <w:t>TO BE COMPLETED</w:t>
      </w:r>
      <w:r w:rsidR="0061090B" w:rsidRPr="0022532D">
        <w:rPr>
          <w:rFonts w:ascii="Gellix" w:hAnsi="Gellix"/>
          <w:color w:val="007DFF"/>
          <w:sz w:val="28"/>
          <w:szCs w:val="28"/>
          <w:lang w:val="en-US"/>
        </w:rPr>
        <w:t>]</w:t>
      </w:r>
    </w:p>
    <w:p w14:paraId="4AFEDA20" w14:textId="77777777" w:rsidR="0061090B" w:rsidRDefault="0061090B" w:rsidP="0061090B">
      <w:pPr>
        <w:pStyle w:val="Heading2"/>
        <w:numPr>
          <w:ilvl w:val="0"/>
          <w:numId w:val="0"/>
        </w:numPr>
        <w:spacing w:before="0" w:after="0" w:line="240" w:lineRule="auto"/>
        <w:rPr>
          <w:sz w:val="21"/>
          <w:szCs w:val="21"/>
          <w:lang w:val="en-GB"/>
        </w:rPr>
      </w:pPr>
    </w:p>
    <w:p w14:paraId="2E02E40E" w14:textId="77777777" w:rsidR="0061090B" w:rsidRPr="00E00C0E" w:rsidRDefault="0061090B" w:rsidP="0061090B">
      <w:pPr>
        <w:pStyle w:val="Heading2"/>
        <w:numPr>
          <w:ilvl w:val="0"/>
          <w:numId w:val="0"/>
        </w:numPr>
        <w:spacing w:before="0" w:after="0" w:line="240" w:lineRule="auto"/>
        <w:rPr>
          <w:sz w:val="21"/>
          <w:szCs w:val="21"/>
          <w:lang w:val="en-GB"/>
        </w:rPr>
      </w:pPr>
      <w:r w:rsidRPr="00BA7C6A">
        <w:rPr>
          <w:color w:val="auto"/>
          <w:sz w:val="21"/>
          <w:szCs w:val="21"/>
          <w:lang w:val="en-GB"/>
        </w:rPr>
        <w:t>In the short to medium term, carbon pricing will create inflationary pressures</w:t>
      </w:r>
    </w:p>
    <w:p w14:paraId="3FF3AC2D" w14:textId="77777777" w:rsidR="0061090B" w:rsidRPr="00BA7C6A" w:rsidRDefault="0061090B" w:rsidP="0061090B">
      <w:pPr>
        <w:pStyle w:val="Bullet2"/>
        <w:numPr>
          <w:ilvl w:val="0"/>
          <w:numId w:val="71"/>
        </w:numPr>
        <w:spacing w:after="0" w:line="240" w:lineRule="auto"/>
        <w:ind w:left="360"/>
        <w:rPr>
          <w:sz w:val="21"/>
          <w:szCs w:val="21"/>
          <w:lang w:val="en-GB"/>
        </w:rPr>
      </w:pPr>
      <w:r w:rsidRPr="00BA7C6A">
        <w:rPr>
          <w:sz w:val="21"/>
          <w:szCs w:val="21"/>
          <w:lang w:val="en-GB"/>
        </w:rPr>
        <w:t>Carbon pricing translates into higher energy price</w:t>
      </w:r>
      <w:r>
        <w:rPr>
          <w:sz w:val="21"/>
          <w:szCs w:val="21"/>
          <w:lang w:val="en-GB"/>
        </w:rPr>
        <w:t xml:space="preserve">s </w:t>
      </w:r>
      <w:r w:rsidRPr="00BA7C6A">
        <w:rPr>
          <w:sz w:val="21"/>
          <w:szCs w:val="21"/>
          <w:lang w:val="en-GB"/>
        </w:rPr>
        <w:t>(fossil inflation to encourage substitution)</w:t>
      </w:r>
    </w:p>
    <w:p w14:paraId="022111F1" w14:textId="77777777" w:rsidR="0061090B" w:rsidRPr="00BA7C6A" w:rsidRDefault="0061090B" w:rsidP="0061090B">
      <w:pPr>
        <w:pStyle w:val="Bullet2"/>
        <w:numPr>
          <w:ilvl w:val="0"/>
          <w:numId w:val="0"/>
        </w:numPr>
        <w:spacing w:after="0" w:line="240" w:lineRule="auto"/>
        <w:ind w:left="360"/>
        <w:rPr>
          <w:sz w:val="21"/>
          <w:szCs w:val="21"/>
          <w:lang w:val="en-GB"/>
        </w:rPr>
      </w:pPr>
    </w:p>
    <w:p w14:paraId="49BA0AFD" w14:textId="77777777" w:rsidR="0061090B" w:rsidRPr="00BA7C6A" w:rsidRDefault="0061090B" w:rsidP="0061090B">
      <w:pPr>
        <w:pStyle w:val="Bullet2"/>
        <w:numPr>
          <w:ilvl w:val="0"/>
          <w:numId w:val="71"/>
        </w:numPr>
        <w:spacing w:after="0" w:line="240" w:lineRule="auto"/>
        <w:ind w:left="360"/>
        <w:rPr>
          <w:sz w:val="21"/>
          <w:szCs w:val="21"/>
          <w:lang w:val="en-GB"/>
        </w:rPr>
      </w:pPr>
      <w:r w:rsidRPr="00BA7C6A">
        <w:rPr>
          <w:sz w:val="21"/>
          <w:szCs w:val="21"/>
          <w:lang w:val="en-GB"/>
        </w:rPr>
        <w:t>leading to higher electricity prices (increase of production costs)</w:t>
      </w:r>
    </w:p>
    <w:p w14:paraId="01446DD9" w14:textId="77777777" w:rsidR="0061090B" w:rsidRPr="00BA7C6A" w:rsidRDefault="0061090B" w:rsidP="0061090B">
      <w:pPr>
        <w:pStyle w:val="Bullet2"/>
        <w:numPr>
          <w:ilvl w:val="0"/>
          <w:numId w:val="0"/>
        </w:numPr>
        <w:spacing w:after="0" w:line="240" w:lineRule="auto"/>
        <w:rPr>
          <w:sz w:val="21"/>
          <w:szCs w:val="21"/>
          <w:lang w:val="en-GB"/>
        </w:rPr>
      </w:pPr>
    </w:p>
    <w:p w14:paraId="3936D175" w14:textId="77777777" w:rsidR="0061090B" w:rsidRPr="00BA7C6A" w:rsidRDefault="0061090B" w:rsidP="0061090B">
      <w:pPr>
        <w:pStyle w:val="Bullet2"/>
        <w:numPr>
          <w:ilvl w:val="0"/>
          <w:numId w:val="71"/>
        </w:numPr>
        <w:spacing w:after="0" w:line="240" w:lineRule="auto"/>
        <w:ind w:left="360"/>
        <w:rPr>
          <w:sz w:val="21"/>
          <w:szCs w:val="21"/>
          <w:lang w:val="en-GB"/>
        </w:rPr>
      </w:pPr>
      <w:r w:rsidRPr="00BA7C6A">
        <w:rPr>
          <w:sz w:val="21"/>
          <w:szCs w:val="21"/>
          <w:lang w:val="en-GB"/>
        </w:rPr>
        <w:t xml:space="preserve">and higher price for critical mineral (high level of concentration, production cycle takes times): demand surpass the supply. </w:t>
      </w:r>
      <w:proofErr w:type="spellStart"/>
      <w:r w:rsidRPr="00BA7C6A">
        <w:rPr>
          <w:sz w:val="21"/>
          <w:szCs w:val="21"/>
          <w:lang w:val="en-GB"/>
        </w:rPr>
        <w:t>Greenflation</w:t>
      </w:r>
      <w:proofErr w:type="spellEnd"/>
      <w:r w:rsidRPr="00BA7C6A">
        <w:rPr>
          <w:sz w:val="21"/>
          <w:szCs w:val="21"/>
          <w:lang w:val="en-GB"/>
        </w:rPr>
        <w:t xml:space="preserve"> (already happening for lithium prices)</w:t>
      </w:r>
    </w:p>
    <w:p w14:paraId="070E551E" w14:textId="77777777" w:rsidR="0061090B" w:rsidRPr="00E00C0E" w:rsidRDefault="0061090B" w:rsidP="0061090B">
      <w:pPr>
        <w:pStyle w:val="Bullet2"/>
        <w:numPr>
          <w:ilvl w:val="0"/>
          <w:numId w:val="0"/>
        </w:numPr>
        <w:spacing w:after="0" w:line="240" w:lineRule="auto"/>
        <w:rPr>
          <w:sz w:val="21"/>
          <w:szCs w:val="21"/>
          <w:lang w:val="en-GB"/>
        </w:rPr>
      </w:pPr>
    </w:p>
    <w:p w14:paraId="4BE41625" w14:textId="77777777" w:rsidR="0061090B" w:rsidRDefault="0061090B" w:rsidP="0061090B">
      <w:pPr>
        <w:pStyle w:val="Bullet2"/>
        <w:numPr>
          <w:ilvl w:val="0"/>
          <w:numId w:val="71"/>
        </w:numPr>
        <w:spacing w:after="0" w:line="240" w:lineRule="auto"/>
        <w:ind w:left="360"/>
        <w:rPr>
          <w:sz w:val="21"/>
          <w:szCs w:val="21"/>
          <w:lang w:val="en-GB"/>
        </w:rPr>
      </w:pPr>
      <w:r w:rsidRPr="00E00C0E">
        <w:rPr>
          <w:sz w:val="21"/>
          <w:szCs w:val="21"/>
          <w:lang w:val="en-GB"/>
        </w:rPr>
        <w:t>At the same time, the energy transition requires structural changes of the labour markets (increase demand of skilled labour but supply is not adequate yet, leading to labour shortages).</w:t>
      </w:r>
    </w:p>
    <w:p w14:paraId="083276C4" w14:textId="77777777" w:rsidR="0061090B" w:rsidRPr="00E00C0E" w:rsidRDefault="0061090B" w:rsidP="0061090B">
      <w:pPr>
        <w:pStyle w:val="Bullet2"/>
        <w:numPr>
          <w:ilvl w:val="0"/>
          <w:numId w:val="0"/>
        </w:numPr>
        <w:spacing w:after="0" w:line="240" w:lineRule="auto"/>
        <w:rPr>
          <w:sz w:val="21"/>
          <w:szCs w:val="21"/>
          <w:lang w:val="en-GB"/>
        </w:rPr>
      </w:pPr>
    </w:p>
    <w:p w14:paraId="1302F135" w14:textId="77777777" w:rsidR="0061090B" w:rsidRPr="00EB3E05" w:rsidRDefault="0061090B" w:rsidP="0061090B">
      <w:pPr>
        <w:pStyle w:val="Bullet2"/>
        <w:numPr>
          <w:ilvl w:val="0"/>
          <w:numId w:val="71"/>
        </w:numPr>
        <w:spacing w:after="0" w:line="240" w:lineRule="auto"/>
        <w:ind w:left="360"/>
        <w:rPr>
          <w:sz w:val="21"/>
          <w:szCs w:val="21"/>
          <w:lang w:val="en-GB"/>
        </w:rPr>
      </w:pPr>
      <w:r w:rsidRPr="00E00C0E">
        <w:rPr>
          <w:sz w:val="21"/>
          <w:szCs w:val="21"/>
          <w:lang w:val="en-GB"/>
        </w:rPr>
        <w:t>This will lead to inflation.</w:t>
      </w:r>
      <w:r w:rsidRPr="00E00C0E">
        <w:rPr>
          <w:sz w:val="21"/>
          <w:szCs w:val="21"/>
        </w:rPr>
        <w:t xml:space="preserve"> (is the inflationary impact different according to the type of carbon pricing instrument (ETS, carbon tax, </w:t>
      </w:r>
      <w:proofErr w:type="spellStart"/>
      <w:r w:rsidRPr="00E00C0E">
        <w:rPr>
          <w:sz w:val="21"/>
          <w:szCs w:val="21"/>
        </w:rPr>
        <w:t>ect</w:t>
      </w:r>
      <w:proofErr w:type="spellEnd"/>
      <w:r w:rsidRPr="00E00C0E">
        <w:rPr>
          <w:sz w:val="21"/>
          <w:szCs w:val="21"/>
        </w:rPr>
        <w:t>). In some countries, ETS prices already linked to inflation.</w:t>
      </w:r>
    </w:p>
    <w:p w14:paraId="72EC33FA" w14:textId="77777777" w:rsidR="0061090B" w:rsidRPr="00E00C0E" w:rsidRDefault="0061090B" w:rsidP="0061090B">
      <w:pPr>
        <w:pStyle w:val="Bullet2"/>
        <w:numPr>
          <w:ilvl w:val="0"/>
          <w:numId w:val="0"/>
        </w:numPr>
        <w:spacing w:after="0" w:line="240" w:lineRule="auto"/>
        <w:ind w:left="720"/>
        <w:rPr>
          <w:sz w:val="21"/>
          <w:szCs w:val="21"/>
          <w:lang w:val="en-GB"/>
        </w:rPr>
      </w:pPr>
    </w:p>
    <w:p w14:paraId="6A92E0B9" w14:textId="77777777" w:rsidR="0061090B" w:rsidRPr="00BA7C6A" w:rsidRDefault="0061090B" w:rsidP="0061090B">
      <w:pPr>
        <w:pStyle w:val="Heading2"/>
        <w:numPr>
          <w:ilvl w:val="0"/>
          <w:numId w:val="0"/>
        </w:numPr>
        <w:spacing w:before="0" w:after="0" w:line="240" w:lineRule="auto"/>
        <w:rPr>
          <w:sz w:val="21"/>
          <w:szCs w:val="21"/>
          <w:lang w:val="en-GB"/>
        </w:rPr>
      </w:pPr>
      <w:r w:rsidRPr="00BA7C6A">
        <w:rPr>
          <w:color w:val="auto"/>
          <w:sz w:val="21"/>
          <w:szCs w:val="21"/>
          <w:lang w:val="en-GB"/>
        </w:rPr>
        <w:t>In the long run, inflation will gradually decrease (except if we act too late)</w:t>
      </w:r>
    </w:p>
    <w:p w14:paraId="1FC4106C" w14:textId="77777777" w:rsidR="0061090B" w:rsidRPr="00BA7C6A" w:rsidRDefault="0061090B" w:rsidP="0061090B">
      <w:pPr>
        <w:pStyle w:val="Bullet2"/>
        <w:numPr>
          <w:ilvl w:val="0"/>
          <w:numId w:val="72"/>
        </w:numPr>
        <w:spacing w:after="0" w:line="240" w:lineRule="auto"/>
        <w:ind w:left="360"/>
        <w:rPr>
          <w:sz w:val="21"/>
          <w:szCs w:val="21"/>
        </w:rPr>
      </w:pPr>
      <w:r w:rsidRPr="00BA7C6A">
        <w:rPr>
          <w:sz w:val="21"/>
          <w:szCs w:val="21"/>
        </w:rPr>
        <w:t>The cost of inaction is high and will foment inflation anyway (climate inflation): flood, drought/heat. The cost of mitigation is significant. It will also be reflected in increase in insurance rates (green premiums), increase of tax to finance reinsurance, car insurance premiums (case of Florida- Bloomberg).</w:t>
      </w:r>
    </w:p>
    <w:p w14:paraId="3FB6B256" w14:textId="77777777" w:rsidR="0061090B" w:rsidRPr="00BA7C6A" w:rsidRDefault="0061090B" w:rsidP="0061090B">
      <w:pPr>
        <w:pStyle w:val="Bullet2"/>
        <w:numPr>
          <w:ilvl w:val="0"/>
          <w:numId w:val="0"/>
        </w:numPr>
        <w:spacing w:after="0" w:line="240" w:lineRule="auto"/>
        <w:ind w:left="360"/>
        <w:rPr>
          <w:sz w:val="21"/>
          <w:szCs w:val="21"/>
        </w:rPr>
      </w:pPr>
    </w:p>
    <w:p w14:paraId="5EE4626F" w14:textId="77777777" w:rsidR="0061090B" w:rsidRPr="00BA7C6A" w:rsidRDefault="0061090B" w:rsidP="0061090B">
      <w:pPr>
        <w:pStyle w:val="Bullet2"/>
        <w:numPr>
          <w:ilvl w:val="0"/>
          <w:numId w:val="72"/>
        </w:numPr>
        <w:spacing w:after="0" w:line="240" w:lineRule="auto"/>
        <w:ind w:left="360"/>
        <w:rPr>
          <w:sz w:val="21"/>
          <w:szCs w:val="21"/>
        </w:rPr>
      </w:pPr>
      <w:r w:rsidRPr="00BA7C6A">
        <w:rPr>
          <w:sz w:val="21"/>
          <w:szCs w:val="21"/>
        </w:rPr>
        <w:t>By fostering substitution, carbon pricing policies will gradually reduce the price of clean energy (scale economies).</w:t>
      </w:r>
    </w:p>
    <w:p w14:paraId="7AA12A51" w14:textId="77777777" w:rsidR="0061090B" w:rsidRPr="00BA7C6A" w:rsidRDefault="0061090B" w:rsidP="0061090B">
      <w:pPr>
        <w:pStyle w:val="Bullet2"/>
        <w:numPr>
          <w:ilvl w:val="0"/>
          <w:numId w:val="0"/>
        </w:numPr>
        <w:spacing w:after="0" w:line="240" w:lineRule="auto"/>
        <w:rPr>
          <w:sz w:val="21"/>
          <w:szCs w:val="21"/>
        </w:rPr>
      </w:pPr>
    </w:p>
    <w:p w14:paraId="13E15825" w14:textId="77777777" w:rsidR="0061090B" w:rsidRPr="00BA7C6A" w:rsidRDefault="0061090B" w:rsidP="0061090B">
      <w:pPr>
        <w:pStyle w:val="Bullet2"/>
        <w:numPr>
          <w:ilvl w:val="0"/>
          <w:numId w:val="72"/>
        </w:numPr>
        <w:spacing w:after="0" w:line="240" w:lineRule="auto"/>
        <w:ind w:left="360"/>
        <w:rPr>
          <w:sz w:val="21"/>
          <w:szCs w:val="21"/>
        </w:rPr>
      </w:pPr>
      <w:r w:rsidRPr="00BA7C6A">
        <w:rPr>
          <w:sz w:val="21"/>
          <w:szCs w:val="21"/>
        </w:rPr>
        <w:t>The sooner we act, the better. Otherwise, the transition will need to happen fast and will cost more (in terms of investment and inflation). In addition, the faster you decarbonize, the faster you will generate and retain economic rent (competition advantage for first comers).</w:t>
      </w:r>
    </w:p>
    <w:p w14:paraId="46FF3A83" w14:textId="77777777" w:rsidR="0061090B" w:rsidRPr="00BA7C6A" w:rsidRDefault="0061090B" w:rsidP="0061090B">
      <w:pPr>
        <w:pStyle w:val="Bullet2"/>
        <w:numPr>
          <w:ilvl w:val="0"/>
          <w:numId w:val="0"/>
        </w:numPr>
        <w:spacing w:after="0" w:line="240" w:lineRule="auto"/>
        <w:rPr>
          <w:sz w:val="21"/>
          <w:szCs w:val="21"/>
        </w:rPr>
      </w:pPr>
    </w:p>
    <w:p w14:paraId="4874A0D6" w14:textId="77777777" w:rsidR="0061090B" w:rsidRPr="00BA7C6A" w:rsidRDefault="0061090B" w:rsidP="0061090B">
      <w:pPr>
        <w:pStyle w:val="Bullet2"/>
        <w:numPr>
          <w:ilvl w:val="0"/>
          <w:numId w:val="72"/>
        </w:numPr>
        <w:spacing w:after="0" w:line="240" w:lineRule="auto"/>
        <w:ind w:left="360"/>
        <w:rPr>
          <w:sz w:val="21"/>
          <w:szCs w:val="21"/>
        </w:rPr>
      </w:pPr>
      <w:r w:rsidRPr="00BA7C6A">
        <w:rPr>
          <w:sz w:val="21"/>
          <w:szCs w:val="21"/>
        </w:rPr>
        <w:t>The role of Central Banks in mitigating the inflationary shock is crucial: ECB vs Fed visions/legal mandates, market neutrality. Repricing climate risks to avoid a disorderly transition. Anticipate inflation expectations.</w:t>
      </w:r>
    </w:p>
    <w:p w14:paraId="3D4B0523" w14:textId="77777777" w:rsidR="0061090B" w:rsidRDefault="0061090B" w:rsidP="0061090B">
      <w:pPr>
        <w:pStyle w:val="ListParagraph"/>
        <w:spacing w:after="0" w:line="240" w:lineRule="auto"/>
        <w:rPr>
          <w:rFonts w:ascii="Gellix" w:hAnsi="Gellix"/>
          <w:b/>
          <w:sz w:val="21"/>
          <w:szCs w:val="21"/>
          <w:lang w:val="en-US"/>
        </w:rPr>
      </w:pPr>
    </w:p>
    <w:p w14:paraId="0210EFED" w14:textId="77777777" w:rsidR="0061090B" w:rsidRPr="00E00C0E" w:rsidRDefault="0061090B" w:rsidP="0061090B">
      <w:pPr>
        <w:pStyle w:val="ListParagraph"/>
        <w:spacing w:after="0" w:line="240" w:lineRule="auto"/>
        <w:rPr>
          <w:rFonts w:ascii="Gellix" w:hAnsi="Gellix"/>
          <w:b/>
          <w:sz w:val="21"/>
          <w:szCs w:val="21"/>
          <w:lang w:val="en-US"/>
        </w:rPr>
      </w:pPr>
    </w:p>
    <w:p w14:paraId="5ED11343" w14:textId="77777777" w:rsidR="0061090B" w:rsidRPr="00E00C0E" w:rsidRDefault="0061090B" w:rsidP="0061090B">
      <w:pPr>
        <w:pStyle w:val="ListParagraph"/>
        <w:spacing w:after="0" w:line="240" w:lineRule="auto"/>
        <w:rPr>
          <w:rFonts w:ascii="Gellix" w:hAnsi="Gellix"/>
          <w:b/>
          <w:sz w:val="21"/>
          <w:szCs w:val="21"/>
          <w:lang w:val="en-US"/>
        </w:rPr>
      </w:pPr>
    </w:p>
    <w:p w14:paraId="3B3EA850" w14:textId="2A78DFBB" w:rsidR="0061090B" w:rsidRPr="0061090B" w:rsidRDefault="0061090B" w:rsidP="0061090B">
      <w:pPr>
        <w:pStyle w:val="ListParagraph"/>
        <w:spacing w:after="0" w:line="240" w:lineRule="auto"/>
        <w:jc w:val="center"/>
        <w:rPr>
          <w:rFonts w:ascii="Gellix" w:hAnsi="Gellix"/>
          <w:b/>
          <w:sz w:val="21"/>
          <w:szCs w:val="21"/>
          <w:lang w:val="en-US"/>
        </w:rPr>
        <w:sectPr w:rsidR="0061090B" w:rsidRPr="0061090B">
          <w:pgSz w:w="11906" w:h="16838"/>
          <w:pgMar w:top="1417" w:right="1417" w:bottom="1417" w:left="1417" w:header="720" w:footer="720" w:gutter="0"/>
          <w:cols w:space="720"/>
          <w:docGrid w:linePitch="360"/>
        </w:sectPr>
      </w:pPr>
      <w:r w:rsidRPr="00E00C0E">
        <w:rPr>
          <w:rFonts w:ascii="Gellix" w:hAnsi="Gellix"/>
          <w:b/>
          <w:sz w:val="21"/>
          <w:szCs w:val="21"/>
          <w:lang w:val="en-US"/>
        </w:rPr>
        <w:t>* * *</w:t>
      </w:r>
    </w:p>
    <w:p w14:paraId="37198A8E" w14:textId="77777777" w:rsidR="001D6AD7" w:rsidRPr="00E00C0E" w:rsidRDefault="001D6AD7" w:rsidP="00722428">
      <w:pPr>
        <w:spacing w:after="0" w:line="240" w:lineRule="auto"/>
        <w:rPr>
          <w:rFonts w:ascii="Gellix" w:hAnsi="Gellix"/>
          <w:b/>
          <w:sz w:val="21"/>
          <w:szCs w:val="21"/>
          <w:lang w:val="en-US"/>
        </w:rPr>
      </w:pPr>
    </w:p>
    <w:sectPr w:rsidR="001D6AD7" w:rsidRPr="00E00C0E">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92D53" w14:textId="77777777" w:rsidR="00F04565" w:rsidRDefault="00F04565" w:rsidP="00A31867">
      <w:pPr>
        <w:spacing w:after="0" w:line="240" w:lineRule="auto"/>
      </w:pPr>
      <w:r>
        <w:separator/>
      </w:r>
    </w:p>
  </w:endnote>
  <w:endnote w:type="continuationSeparator" w:id="0">
    <w:p w14:paraId="5B440F25" w14:textId="77777777" w:rsidR="00F04565" w:rsidRDefault="00F04565" w:rsidP="00A31867">
      <w:pPr>
        <w:spacing w:after="0" w:line="240" w:lineRule="auto"/>
      </w:pPr>
      <w:r>
        <w:continuationSeparator/>
      </w:r>
    </w:p>
  </w:endnote>
  <w:endnote w:type="continuationNotice" w:id="1">
    <w:p w14:paraId="46C816FD" w14:textId="77777777" w:rsidR="00F04565" w:rsidRDefault="00F045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llix">
    <w:panose1 w:val="00000000000000000000"/>
    <w:charset w:val="00"/>
    <w:family w:val="modern"/>
    <w:notTrueType/>
    <w:pitch w:val="variable"/>
    <w:sig w:usb0="A10000EF" w:usb1="0000207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Gotham">
    <w:altName w:val="Calibri"/>
    <w:charset w:val="00"/>
    <w:family w:val="auto"/>
    <w:pitch w:val="variable"/>
    <w:sig w:usb0="00000001"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3719789"/>
      <w:docPartObj>
        <w:docPartGallery w:val="Page Numbers (Bottom of Page)"/>
        <w:docPartUnique/>
      </w:docPartObj>
    </w:sdtPr>
    <w:sdtContent>
      <w:p w14:paraId="4C2EF35E" w14:textId="77777777" w:rsidR="002D5145" w:rsidRDefault="002D5145"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1308442505"/>
      <w:docPartObj>
        <w:docPartGallery w:val="Page Numbers (Bottom of Page)"/>
        <w:docPartUnique/>
      </w:docPartObj>
    </w:sdtPr>
    <w:sdtContent>
      <w:p w14:paraId="403B4154" w14:textId="77777777" w:rsidR="002D5145" w:rsidRDefault="002D5145"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C4607BC" w14:textId="77777777" w:rsidR="002D5145" w:rsidRDefault="002D5145" w:rsidP="000222B2"/>
  <w:p w14:paraId="65A3976E" w14:textId="77777777" w:rsidR="002D5145" w:rsidRDefault="002D5145" w:rsidP="000222B2"/>
  <w:p w14:paraId="4FF53286" w14:textId="77777777" w:rsidR="002D5145" w:rsidRDefault="002D5145" w:rsidP="000222B2"/>
  <w:p w14:paraId="0CA0172C" w14:textId="77777777" w:rsidR="002D5145" w:rsidRDefault="002D5145" w:rsidP="000222B2"/>
  <w:p w14:paraId="74A5BA50" w14:textId="77777777" w:rsidR="002D5145" w:rsidRDefault="002D5145" w:rsidP="000222B2"/>
  <w:p w14:paraId="14E98C45" w14:textId="77777777" w:rsidR="002D5145" w:rsidRDefault="002D5145"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9183" w14:textId="77777777" w:rsidR="002D5145" w:rsidRDefault="002D5145" w:rsidP="000222B2">
    <w:r w:rsidRPr="000804A3">
      <w:rPr>
        <w:noProof/>
        <w:sz w:val="16"/>
        <w:szCs w:val="16"/>
      </w:rPr>
      <mc:AlternateContent>
        <mc:Choice Requires="wps">
          <w:drawing>
            <wp:anchor distT="0" distB="0" distL="114300" distR="114300" simplePos="0" relativeHeight="251659264" behindDoc="1" locked="0" layoutInCell="1" allowOverlap="0" wp14:anchorId="53A27DF5" wp14:editId="1BC6F87F">
              <wp:simplePos x="0" y="0"/>
              <wp:positionH relativeFrom="page">
                <wp:posOffset>742950</wp:posOffset>
              </wp:positionH>
              <wp:positionV relativeFrom="page">
                <wp:posOffset>10045700</wp:posOffset>
              </wp:positionV>
              <wp:extent cx="6058800" cy="127710"/>
              <wp:effectExtent l="0" t="0" r="1206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556F5" w14:textId="743CEC78" w:rsidR="002D5145" w:rsidRPr="00BC4006" w:rsidRDefault="00247E92" w:rsidP="00247E92">
                          <w:pPr>
                            <w:pStyle w:val="zFooter"/>
                          </w:pPr>
                          <w:r>
                            <w:t>July</w:t>
                          </w:r>
                          <w:r w:rsidR="002D5145">
                            <w:t xml:space="preserve"> 2023</w:t>
                          </w:r>
                          <w:r w:rsidR="002D5145" w:rsidRPr="00BC4006">
                            <w:t xml:space="preserve"> | </w:t>
                          </w:r>
                          <w:r>
                            <w:t>ICC Proposals for Effective Carbon Pricing</w:t>
                          </w:r>
                          <w:r w:rsidR="002D5145" w:rsidRPr="00BC4006">
                            <w:t xml:space="preserve"> | </w:t>
                          </w:r>
                          <w:r w:rsidR="002D5145" w:rsidRPr="00BE6229">
                            <w:rPr>
                              <w:b/>
                              <w:bCs/>
                            </w:rPr>
                            <w:fldChar w:fldCharType="begin"/>
                          </w:r>
                          <w:r w:rsidR="002D5145" w:rsidRPr="00BE6229">
                            <w:rPr>
                              <w:b/>
                              <w:bCs/>
                            </w:rPr>
                            <w:instrText xml:space="preserve"> PAGE </w:instrText>
                          </w:r>
                          <w:r w:rsidR="002D5145" w:rsidRPr="00BE6229">
                            <w:rPr>
                              <w:b/>
                              <w:bCs/>
                            </w:rPr>
                            <w:fldChar w:fldCharType="separate"/>
                          </w:r>
                          <w:r w:rsidR="002D5145">
                            <w:rPr>
                              <w:b/>
                              <w:bCs/>
                            </w:rPr>
                            <w:t>2</w:t>
                          </w:r>
                          <w:r w:rsidR="002D5145" w:rsidRPr="00BE6229">
                            <w:rPr>
                              <w:b/>
                              <w:bCs/>
                            </w:rPr>
                            <w:fldChar w:fldCharType="end"/>
                          </w:r>
                        </w:p>
                        <w:p w14:paraId="5115C28E" w14:textId="77777777" w:rsidR="002D5145" w:rsidRPr="00BC4006" w:rsidRDefault="002D5145" w:rsidP="00F400C4">
                          <w:pPr>
                            <w:pStyle w:val="zFooter"/>
                          </w:pPr>
                        </w:p>
                        <w:p w14:paraId="4AD59B5A" w14:textId="77777777" w:rsidR="002D5145" w:rsidRPr="00BC4006" w:rsidRDefault="002D5145"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27DF5" id="_x0000_t202" coordsize="21600,21600" o:spt="202" path="m,l,21600r21600,l21600,xe">
              <v:stroke joinstyle="miter"/>
              <v:path gradientshapeok="t" o:connecttype="rect"/>
            </v:shapetype>
            <v:shape id="Text Box 1" o:spid="_x0000_s1026" type="#_x0000_t202" style="position:absolute;margin-left:58.5pt;margin-top:791pt;width:477.0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xgEAAHo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" o:allowoverlap="f" filled="f" stroked="f">
              <v:path arrowok="t"/>
              <v:textbox inset="0,0,0,0">
                <w:txbxContent>
                  <w:p w14:paraId="1AF556F5" w14:textId="743CEC78" w:rsidR="002D5145" w:rsidRPr="00BC4006" w:rsidRDefault="00247E92" w:rsidP="00247E92">
                    <w:pPr>
                      <w:pStyle w:val="zFooter"/>
                    </w:pPr>
                    <w:r>
                      <w:t>July</w:t>
                    </w:r>
                    <w:r w:rsidR="002D5145">
                      <w:t xml:space="preserve"> 2023</w:t>
                    </w:r>
                    <w:r w:rsidR="002D5145" w:rsidRPr="00BC4006">
                      <w:t xml:space="preserve"> | </w:t>
                    </w:r>
                    <w:r>
                      <w:t>ICC Proposals for Effective Carbon Pricing</w:t>
                    </w:r>
                    <w:r w:rsidR="002D5145" w:rsidRPr="00BC4006">
                      <w:t xml:space="preserve"> | </w:t>
                    </w:r>
                    <w:r w:rsidR="002D5145" w:rsidRPr="00BE6229">
                      <w:rPr>
                        <w:b/>
                        <w:bCs/>
                      </w:rPr>
                      <w:fldChar w:fldCharType="begin"/>
                    </w:r>
                    <w:r w:rsidR="002D5145" w:rsidRPr="00BE6229">
                      <w:rPr>
                        <w:b/>
                        <w:bCs/>
                      </w:rPr>
                      <w:instrText xml:space="preserve"> PAGE </w:instrText>
                    </w:r>
                    <w:r w:rsidR="002D5145" w:rsidRPr="00BE6229">
                      <w:rPr>
                        <w:b/>
                        <w:bCs/>
                      </w:rPr>
                      <w:fldChar w:fldCharType="separate"/>
                    </w:r>
                    <w:r w:rsidR="002D5145">
                      <w:rPr>
                        <w:b/>
                        <w:bCs/>
                      </w:rPr>
                      <w:t>2</w:t>
                    </w:r>
                    <w:r w:rsidR="002D5145" w:rsidRPr="00BE6229">
                      <w:rPr>
                        <w:b/>
                        <w:bCs/>
                      </w:rPr>
                      <w:fldChar w:fldCharType="end"/>
                    </w:r>
                  </w:p>
                  <w:p w14:paraId="5115C28E" w14:textId="77777777" w:rsidR="002D5145" w:rsidRPr="00BC4006" w:rsidRDefault="002D5145" w:rsidP="00F400C4">
                    <w:pPr>
                      <w:pStyle w:val="zFooter"/>
                    </w:pPr>
                  </w:p>
                  <w:p w14:paraId="4AD59B5A" w14:textId="77777777" w:rsidR="002D5145" w:rsidRPr="00BC4006" w:rsidRDefault="002D5145"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799879"/>
      <w:docPartObj>
        <w:docPartGallery w:val="Page Numbers (Bottom of Page)"/>
        <w:docPartUnique/>
      </w:docPartObj>
    </w:sdtPr>
    <w:sdtEndPr>
      <w:rPr>
        <w:noProof/>
      </w:rPr>
    </w:sdtEndPr>
    <w:sdtContent>
      <w:p w14:paraId="6AF0A536" w14:textId="77777777" w:rsidR="002D5145" w:rsidRDefault="002D51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FF0334" w14:textId="77777777" w:rsidR="002D5145" w:rsidRPr="003A4365" w:rsidRDefault="002D5145" w:rsidP="003A4365">
    <w:pPr>
      <w:tabs>
        <w:tab w:val="left" w:pos="5361"/>
      </w:tabs>
      <w:rPr>
        <w:color w:val="FFC000" w:themeColor="accent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4C8A7" w14:textId="77777777" w:rsidR="00F04565" w:rsidRDefault="00F04565" w:rsidP="00A31867">
      <w:pPr>
        <w:spacing w:after="0" w:line="240" w:lineRule="auto"/>
      </w:pPr>
      <w:r>
        <w:separator/>
      </w:r>
    </w:p>
  </w:footnote>
  <w:footnote w:type="continuationSeparator" w:id="0">
    <w:p w14:paraId="5CEA4A50" w14:textId="77777777" w:rsidR="00F04565" w:rsidRDefault="00F04565" w:rsidP="00A31867">
      <w:pPr>
        <w:spacing w:after="0" w:line="240" w:lineRule="auto"/>
      </w:pPr>
      <w:r>
        <w:continuationSeparator/>
      </w:r>
    </w:p>
  </w:footnote>
  <w:footnote w:type="continuationNotice" w:id="1">
    <w:p w14:paraId="48104AC0" w14:textId="77777777" w:rsidR="00F04565" w:rsidRDefault="00F04565">
      <w:pPr>
        <w:spacing w:after="0" w:line="240" w:lineRule="auto"/>
      </w:pPr>
    </w:p>
  </w:footnote>
  <w:footnote w:id="2">
    <w:p w14:paraId="6A3FC534" w14:textId="77777777" w:rsidR="00A561F6" w:rsidRPr="005F0922" w:rsidRDefault="00A561F6" w:rsidP="00A561F6">
      <w:pPr>
        <w:pStyle w:val="FootnoteText"/>
        <w:rPr>
          <w:sz w:val="16"/>
          <w:szCs w:val="16"/>
        </w:rPr>
      </w:pPr>
      <w:r>
        <w:rPr>
          <w:rStyle w:val="FootnoteReference"/>
        </w:rPr>
        <w:footnoteRef/>
      </w:r>
      <w:r>
        <w:t xml:space="preserve"> </w:t>
      </w:r>
      <w:r w:rsidRPr="005F0922">
        <w:rPr>
          <w:sz w:val="16"/>
          <w:szCs w:val="16"/>
        </w:rPr>
        <w:t>https://www.ipcc.ch/report/sixth-assessment-report-cycle/</w:t>
      </w:r>
    </w:p>
  </w:footnote>
  <w:footnote w:id="3">
    <w:p w14:paraId="070D6E89" w14:textId="65495DCD" w:rsidR="00086ECE" w:rsidRPr="00054CB6" w:rsidRDefault="0007311C">
      <w:pPr>
        <w:pStyle w:val="FootnoteText"/>
        <w:rPr>
          <w:sz w:val="16"/>
          <w:szCs w:val="16"/>
        </w:rPr>
      </w:pPr>
      <w:r w:rsidRPr="00054CB6">
        <w:rPr>
          <w:rStyle w:val="FootnoteReference"/>
          <w:sz w:val="16"/>
          <w:szCs w:val="16"/>
        </w:rPr>
        <w:footnoteRef/>
      </w:r>
      <w:r w:rsidRPr="00054CB6">
        <w:rPr>
          <w:sz w:val="16"/>
          <w:szCs w:val="16"/>
        </w:rPr>
        <w:t xml:space="preserve"> </w:t>
      </w:r>
      <w:r w:rsidR="00F60434" w:rsidRPr="00054CB6">
        <w:rPr>
          <w:sz w:val="16"/>
          <w:szCs w:val="16"/>
        </w:rPr>
        <w:t>World Bank, 2023, State and Trends of Carbon Pricing</w:t>
      </w:r>
      <w:r w:rsidR="005903E2" w:rsidRPr="00054CB6">
        <w:rPr>
          <w:sz w:val="16"/>
          <w:szCs w:val="16"/>
        </w:rPr>
        <w:t xml:space="preserve"> </w:t>
      </w:r>
      <w:hyperlink r:id="rId1" w:history="1">
        <w:r w:rsidR="005903E2" w:rsidRPr="00054CB6">
          <w:rPr>
            <w:rStyle w:val="Hyperlink"/>
            <w:sz w:val="16"/>
            <w:szCs w:val="16"/>
          </w:rPr>
          <w:t>https://openknowledge.worldbank.org/entities/publication/58f2a409-9bb7-4ee6-899d-be47835c838f</w:t>
        </w:r>
      </w:hyperlink>
      <w:r w:rsidR="00FA2EE6" w:rsidRPr="00054CB6">
        <w:rPr>
          <w:sz w:val="16"/>
          <w:szCs w:val="16"/>
        </w:rPr>
        <w:t xml:space="preserve"> </w:t>
      </w:r>
    </w:p>
    <w:p w14:paraId="08BF609D" w14:textId="33BDA0F2" w:rsidR="0007311C" w:rsidRPr="0007311C" w:rsidRDefault="00374F2E">
      <w:pPr>
        <w:pStyle w:val="FootnoteText"/>
      </w:pPr>
      <w:r w:rsidRPr="00054CB6">
        <w:rPr>
          <w:sz w:val="16"/>
          <w:szCs w:val="16"/>
        </w:rPr>
        <w:t>Report finds that</w:t>
      </w:r>
      <w:r w:rsidR="00B82E0A" w:rsidRPr="00054CB6">
        <w:rPr>
          <w:sz w:val="16"/>
          <w:szCs w:val="16"/>
        </w:rPr>
        <w:t xml:space="preserve"> </w:t>
      </w:r>
      <w:r w:rsidR="0007311C" w:rsidRPr="00054CB6">
        <w:rPr>
          <w:sz w:val="16"/>
          <w:szCs w:val="16"/>
        </w:rPr>
        <w:t>“governments are prioritizing direct carbon pricing policies to reduce emissions, even in difficult economic times. The economic turmoil and geopolitical instability of this past year threatened to divert attention from the pressing need to act on climate. Despite these pressures, ETSs and carbon taxes have proven resilient; several jurisdictions either delivered on existing plans for new ETSs or taxes, increased their ambition, or announced further proposals for developing new initiatives in the coming years. Recent developments on Article 6 suggest a pathway for international carbon markets, though more work is needed to build the administrative capacity for countries to engage further.”</w:t>
      </w:r>
      <w:r w:rsidR="003F3D7E" w:rsidRPr="00054CB6">
        <w:rPr>
          <w:sz w:val="16"/>
          <w:szCs w:val="16"/>
        </w:rPr>
        <w:t xml:space="preserve"> The report further notes that “introducing a price signal for climate mitigation is critical to driving investment and </w:t>
      </w:r>
      <w:proofErr w:type="spellStart"/>
      <w:r w:rsidR="003F3D7E" w:rsidRPr="00054CB6">
        <w:rPr>
          <w:sz w:val="16"/>
          <w:szCs w:val="16"/>
        </w:rPr>
        <w:t>behavior</w:t>
      </w:r>
      <w:proofErr w:type="spellEnd"/>
      <w:r w:rsidR="003F3D7E" w:rsidRPr="00054CB6">
        <w:rPr>
          <w:sz w:val="16"/>
          <w:szCs w:val="16"/>
        </w:rPr>
        <w:t xml:space="preserve"> change to lower emissions. Carbon pricing must continue to grow, both in terms of coverage and price, to drive the transformational change needed to meet the Paris temperature goals. However, governments need to consider trade-offs when deciding which carbon pricing approach to use: ETSs, carbon taxes and carbon crediting, and international carbon markets each have their place.”</w:t>
      </w:r>
    </w:p>
  </w:footnote>
  <w:footnote w:id="4">
    <w:p w14:paraId="213D53C7" w14:textId="45CE04E4" w:rsidR="00B461BB" w:rsidRPr="00B71FE3" w:rsidRDefault="00B461BB">
      <w:pPr>
        <w:pStyle w:val="FootnoteText"/>
        <w:rPr>
          <w:sz w:val="16"/>
          <w:szCs w:val="16"/>
        </w:rPr>
      </w:pPr>
      <w:r w:rsidRPr="00B71FE3">
        <w:rPr>
          <w:rStyle w:val="FootnoteReference"/>
          <w:sz w:val="16"/>
          <w:szCs w:val="16"/>
        </w:rPr>
        <w:footnoteRef/>
      </w:r>
      <w:r w:rsidRPr="00B71FE3">
        <w:rPr>
          <w:sz w:val="16"/>
          <w:szCs w:val="16"/>
        </w:rPr>
        <w:t xml:space="preserve"> </w:t>
      </w:r>
      <w:r w:rsidRPr="00B71FE3">
        <w:rPr>
          <w:sz w:val="16"/>
          <w:szCs w:val="16"/>
          <w:highlight w:val="yellow"/>
        </w:rPr>
        <w:t>[ADD EXEMPLES</w:t>
      </w:r>
      <w:r w:rsidR="00E618BD" w:rsidRPr="00B71FE3">
        <w:rPr>
          <w:sz w:val="16"/>
          <w:szCs w:val="16"/>
          <w:highlight w:val="yellow"/>
        </w:rPr>
        <w:t>]</w:t>
      </w:r>
    </w:p>
  </w:footnote>
  <w:footnote w:id="5">
    <w:p w14:paraId="709B30D0" w14:textId="4996CD3B" w:rsidR="000C3FC5" w:rsidRPr="004D5855" w:rsidRDefault="000C3FC5">
      <w:pPr>
        <w:pStyle w:val="FootnoteText"/>
        <w:rPr>
          <w:sz w:val="16"/>
          <w:szCs w:val="16"/>
          <w:lang w:val="en-US"/>
        </w:rPr>
      </w:pPr>
      <w:r w:rsidRPr="004D5855">
        <w:rPr>
          <w:rStyle w:val="FootnoteReference"/>
          <w:sz w:val="16"/>
          <w:szCs w:val="16"/>
        </w:rPr>
        <w:footnoteRef/>
      </w:r>
      <w:r w:rsidRPr="004D5855">
        <w:rPr>
          <w:sz w:val="16"/>
          <w:szCs w:val="16"/>
        </w:rPr>
        <w:t xml:space="preserve"> </w:t>
      </w:r>
      <w:hyperlink r:id="rId2" w:history="1">
        <w:r w:rsidRPr="004D5855">
          <w:rPr>
            <w:rStyle w:val="Hyperlink"/>
            <w:sz w:val="16"/>
            <w:szCs w:val="16"/>
            <w:lang w:val="en-US"/>
          </w:rPr>
          <w:t xml:space="preserve">World Bank </w:t>
        </w:r>
        <w:r w:rsidR="003A188B" w:rsidRPr="004D5855">
          <w:rPr>
            <w:rStyle w:val="Hyperlink"/>
            <w:sz w:val="16"/>
            <w:szCs w:val="16"/>
            <w:lang w:val="en-US"/>
          </w:rPr>
          <w:t>State and Trends of Carbon Pricing 2023</w:t>
        </w:r>
      </w:hyperlink>
    </w:p>
  </w:footnote>
  <w:footnote w:id="6">
    <w:p w14:paraId="6F45BCAB" w14:textId="77777777" w:rsidR="00250549" w:rsidRPr="00920B4B" w:rsidRDefault="00250549" w:rsidP="00250549">
      <w:pPr>
        <w:pStyle w:val="FootnoteText"/>
        <w:rPr>
          <w:rFonts w:ascii="Gellix" w:hAnsi="Gellix" w:cs="Arial"/>
          <w:sz w:val="16"/>
          <w:szCs w:val="16"/>
        </w:rPr>
      </w:pPr>
      <w:r w:rsidRPr="00920B4B">
        <w:rPr>
          <w:rStyle w:val="FootnoteReference"/>
          <w:rFonts w:ascii="Gellix" w:hAnsi="Gellix" w:cs="Arial"/>
          <w:sz w:val="16"/>
          <w:szCs w:val="16"/>
        </w:rPr>
        <w:footnoteRef/>
      </w:r>
      <w:r w:rsidRPr="00920B4B">
        <w:rPr>
          <w:rFonts w:ascii="Gellix" w:hAnsi="Gellix" w:cs="Arial"/>
          <w:sz w:val="16"/>
          <w:szCs w:val="16"/>
        </w:rPr>
        <w:t xml:space="preserve"> The General Agreement on Tariffs and Trade is a multilateral legal framework directed to the substantial reduction of tariffs and other barriers to trade and to the elimination of discriminatory treatment in international commerce </w:t>
      </w:r>
    </w:p>
  </w:footnote>
  <w:footnote w:id="7">
    <w:p w14:paraId="119FA096" w14:textId="07C9BCCC" w:rsidR="00066C6E" w:rsidRPr="00066C6E" w:rsidRDefault="00066C6E" w:rsidP="00066C6E">
      <w:pPr>
        <w:pStyle w:val="FootnoteText"/>
        <w:rPr>
          <w:lang w:val="en-US"/>
        </w:rPr>
      </w:pPr>
      <w:r w:rsidRPr="00665B7D">
        <w:rPr>
          <w:rStyle w:val="FootnoteReference"/>
          <w:sz w:val="16"/>
          <w:szCs w:val="16"/>
        </w:rPr>
        <w:footnoteRef/>
      </w:r>
      <w:r w:rsidRPr="00665B7D">
        <w:rPr>
          <w:sz w:val="16"/>
          <w:szCs w:val="16"/>
        </w:rPr>
        <w:t xml:space="preserve"> </w:t>
      </w:r>
      <w:hyperlink r:id="rId3" w:history="1">
        <w:r w:rsidRPr="00665B7D">
          <w:rPr>
            <w:rStyle w:val="Hyperlink"/>
            <w:sz w:val="16"/>
            <w:szCs w:val="16"/>
          </w:rPr>
          <w:t>UN Tax Committee Proposed Guidance on (1) Part A: Carbon leakage and ways to address it; and (2) Part</w:t>
        </w:r>
        <w:r w:rsidR="005B3567">
          <w:rPr>
            <w:rStyle w:val="Hyperlink"/>
            <w:sz w:val="16"/>
            <w:szCs w:val="16"/>
          </w:rPr>
          <w:t xml:space="preserve"> </w:t>
        </w:r>
        <w:r w:rsidRPr="00665B7D">
          <w:rPr>
            <w:rStyle w:val="Hyperlink"/>
            <w:sz w:val="16"/>
            <w:szCs w:val="16"/>
          </w:rPr>
          <w:t>B: Carbon border adjustment measures and proposals</w:t>
        </w:r>
      </w:hyperlink>
    </w:p>
  </w:footnote>
  <w:footnote w:id="8">
    <w:p w14:paraId="7FF90D7E" w14:textId="31BE5180" w:rsidR="003C7CAE" w:rsidRPr="00665B7D" w:rsidRDefault="003C7CAE" w:rsidP="003C7CAE">
      <w:pPr>
        <w:pStyle w:val="FootnoteText"/>
        <w:rPr>
          <w:sz w:val="16"/>
          <w:szCs w:val="16"/>
        </w:rPr>
      </w:pPr>
      <w:r w:rsidRPr="00665B7D">
        <w:rPr>
          <w:rStyle w:val="FootnoteReference"/>
          <w:sz w:val="16"/>
          <w:szCs w:val="16"/>
        </w:rPr>
        <w:footnoteRef/>
      </w:r>
      <w:r w:rsidR="49E306E6" w:rsidRPr="00665B7D">
        <w:rPr>
          <w:sz w:val="16"/>
          <w:szCs w:val="16"/>
        </w:rPr>
        <w:t xml:space="preserve"> </w:t>
      </w:r>
      <w:hyperlink r:id="rId4" w:history="1">
        <w:r w:rsidR="49E306E6" w:rsidRPr="00665B7D">
          <w:rPr>
            <w:rStyle w:val="Hyperlink"/>
            <w:sz w:val="16"/>
            <w:szCs w:val="16"/>
          </w:rPr>
          <w:t>https://climate.ec.europa.eu/eu-action/eu-emissions-trading-system-eu-ets/free-allocation/carbon-leakage_en</w:t>
        </w:r>
      </w:hyperlink>
    </w:p>
  </w:footnote>
  <w:footnote w:id="9">
    <w:p w14:paraId="01CB0C08" w14:textId="6C6851D8" w:rsidR="49E306E6" w:rsidRPr="00665B7D" w:rsidRDefault="49E306E6" w:rsidP="00D33D7F">
      <w:pPr>
        <w:pStyle w:val="FootnoteText"/>
        <w:rPr>
          <w:sz w:val="16"/>
          <w:szCs w:val="16"/>
        </w:rPr>
      </w:pPr>
      <w:r w:rsidRPr="00665B7D">
        <w:rPr>
          <w:rStyle w:val="FootnoteReference"/>
          <w:sz w:val="16"/>
          <w:szCs w:val="16"/>
        </w:rPr>
        <w:footnoteRef/>
      </w:r>
      <w:r w:rsidRPr="00665B7D">
        <w:rPr>
          <w:sz w:val="16"/>
          <w:szCs w:val="16"/>
        </w:rPr>
        <w:t xml:space="preserve"> IMF Working Paper, Revisiting Carbon Leakage, August 2021.</w:t>
      </w:r>
    </w:p>
  </w:footnote>
  <w:footnote w:id="10">
    <w:p w14:paraId="71AD8BAF" w14:textId="0445B755" w:rsidR="00DA3A7A" w:rsidRPr="00DA3A7A" w:rsidRDefault="00DA3A7A">
      <w:pPr>
        <w:pStyle w:val="FootnoteText"/>
        <w:rPr>
          <w:lang w:val="en-US"/>
        </w:rPr>
      </w:pPr>
      <w:r w:rsidRPr="00665B7D">
        <w:rPr>
          <w:rStyle w:val="FootnoteReference"/>
          <w:sz w:val="16"/>
          <w:szCs w:val="16"/>
        </w:rPr>
        <w:footnoteRef/>
      </w:r>
      <w:r w:rsidRPr="00665B7D">
        <w:rPr>
          <w:sz w:val="16"/>
          <w:szCs w:val="16"/>
        </w:rPr>
        <w:t xml:space="preserve"> </w:t>
      </w:r>
      <w:r w:rsidR="002D31D2" w:rsidRPr="00665B7D">
        <w:rPr>
          <w:sz w:val="16"/>
          <w:szCs w:val="16"/>
        </w:rPr>
        <w:t>https://carbonmarketwatch.org/wp-content/uploads/2015/10/CMW-Carbon-leakage-myth-buster-WEB-single-final.pdf</w:t>
      </w:r>
    </w:p>
  </w:footnote>
  <w:footnote w:id="11">
    <w:p w14:paraId="77326D86" w14:textId="7634AD5E" w:rsidR="49E306E6" w:rsidRPr="00665B7D" w:rsidRDefault="49E306E6" w:rsidP="00D33D7F">
      <w:pPr>
        <w:pStyle w:val="FootnoteText"/>
        <w:rPr>
          <w:sz w:val="16"/>
          <w:szCs w:val="16"/>
        </w:rPr>
      </w:pPr>
      <w:r w:rsidRPr="00665B7D">
        <w:rPr>
          <w:rStyle w:val="FootnoteReference"/>
          <w:sz w:val="16"/>
          <w:szCs w:val="16"/>
        </w:rPr>
        <w:footnoteRef/>
      </w:r>
      <w:r w:rsidRPr="00665B7D">
        <w:rPr>
          <w:sz w:val="16"/>
          <w:szCs w:val="16"/>
        </w:rPr>
        <w:t xml:space="preserve"> https://www.consilium.europa.eu/en/policies/green-deal/fit-for-55-the-eu-plan-for-a-green-transition/</w:t>
      </w:r>
    </w:p>
  </w:footnote>
  <w:footnote w:id="12">
    <w:p w14:paraId="7B372A1B" w14:textId="77777777" w:rsidR="00134466" w:rsidRPr="00665B7D" w:rsidRDefault="00134466" w:rsidP="00134466">
      <w:pPr>
        <w:pStyle w:val="FootnoteText"/>
        <w:rPr>
          <w:sz w:val="16"/>
          <w:szCs w:val="16"/>
          <w:lang w:val="en-US"/>
        </w:rPr>
      </w:pPr>
      <w:r w:rsidRPr="00665B7D">
        <w:rPr>
          <w:rStyle w:val="FootnoteReference"/>
          <w:sz w:val="16"/>
          <w:szCs w:val="16"/>
        </w:rPr>
        <w:footnoteRef/>
      </w:r>
      <w:r w:rsidRPr="00665B7D">
        <w:rPr>
          <w:sz w:val="16"/>
          <w:szCs w:val="16"/>
        </w:rPr>
        <w:t xml:space="preserve"> https://taxation-customs.ec.europa.eu/carbon-border-adjustment-mechanism_en</w:t>
      </w:r>
    </w:p>
  </w:footnote>
  <w:footnote w:id="13">
    <w:p w14:paraId="1D2009ED" w14:textId="77777777" w:rsidR="00A7339E" w:rsidRPr="00665B7D" w:rsidRDefault="00A7339E" w:rsidP="00A7339E">
      <w:pPr>
        <w:pStyle w:val="FootnoteText"/>
        <w:rPr>
          <w:sz w:val="16"/>
          <w:szCs w:val="16"/>
          <w:lang w:val="en-US"/>
        </w:rPr>
      </w:pPr>
      <w:r w:rsidRPr="00665B7D">
        <w:rPr>
          <w:rStyle w:val="FootnoteReference"/>
          <w:sz w:val="16"/>
          <w:szCs w:val="16"/>
        </w:rPr>
        <w:footnoteRef/>
      </w:r>
      <w:r w:rsidRPr="00665B7D">
        <w:rPr>
          <w:sz w:val="16"/>
          <w:szCs w:val="16"/>
        </w:rPr>
        <w:t xml:space="preserve"> https://www.gov.uk/government/consultations/addressing-carbon-leakage-risk-to-support-decarbonisation</w:t>
      </w:r>
    </w:p>
  </w:footnote>
  <w:footnote w:id="14">
    <w:p w14:paraId="7915BC9A" w14:textId="60E3CCE7" w:rsidR="004A5A30" w:rsidRPr="00665B7D" w:rsidRDefault="004A5A30">
      <w:pPr>
        <w:pStyle w:val="FootnoteText"/>
        <w:rPr>
          <w:sz w:val="16"/>
          <w:szCs w:val="16"/>
          <w:lang w:val="en-US"/>
        </w:rPr>
      </w:pPr>
      <w:r w:rsidRPr="00665B7D">
        <w:rPr>
          <w:rStyle w:val="FootnoteReference"/>
          <w:sz w:val="16"/>
          <w:szCs w:val="16"/>
        </w:rPr>
        <w:footnoteRef/>
      </w:r>
      <w:r w:rsidRPr="00665B7D">
        <w:rPr>
          <w:sz w:val="16"/>
          <w:szCs w:val="16"/>
        </w:rPr>
        <w:t xml:space="preserve"> https://mcmillan.ca/insights/publications/the-eus-new-carbon-border-adjustment-mechanism-in-action-impacts-on-canada-and-beyond/</w:t>
      </w:r>
    </w:p>
  </w:footnote>
  <w:footnote w:id="15">
    <w:p w14:paraId="2A268FB5" w14:textId="27024564" w:rsidR="00E86C64" w:rsidRPr="00665B7D" w:rsidRDefault="00E86C64">
      <w:pPr>
        <w:pStyle w:val="FootnoteText"/>
        <w:rPr>
          <w:sz w:val="16"/>
          <w:szCs w:val="16"/>
          <w:lang w:val="en-US"/>
        </w:rPr>
      </w:pPr>
      <w:r w:rsidRPr="00665B7D">
        <w:rPr>
          <w:rStyle w:val="FootnoteReference"/>
          <w:sz w:val="16"/>
          <w:szCs w:val="16"/>
        </w:rPr>
        <w:footnoteRef/>
      </w:r>
      <w:r w:rsidRPr="00665B7D">
        <w:rPr>
          <w:sz w:val="16"/>
          <w:szCs w:val="16"/>
        </w:rPr>
        <w:t xml:space="preserve"> https://www.congress.gov/bill/117th-congress/senate-bill/4355</w:t>
      </w:r>
    </w:p>
  </w:footnote>
  <w:footnote w:id="16">
    <w:p w14:paraId="6DABD68C" w14:textId="04D1663F" w:rsidR="00061BB5" w:rsidRPr="00061BB5" w:rsidRDefault="00061BB5">
      <w:pPr>
        <w:pStyle w:val="FootnoteText"/>
        <w:rPr>
          <w:sz w:val="16"/>
          <w:szCs w:val="16"/>
        </w:rPr>
      </w:pPr>
      <w:r w:rsidRPr="00061BB5">
        <w:rPr>
          <w:rStyle w:val="FootnoteReference"/>
          <w:sz w:val="16"/>
          <w:szCs w:val="16"/>
        </w:rPr>
        <w:footnoteRef/>
      </w:r>
      <w:r w:rsidRPr="00061BB5">
        <w:rPr>
          <w:sz w:val="16"/>
          <w:szCs w:val="16"/>
        </w:rPr>
        <w:t xml:space="preserve"> </w:t>
      </w:r>
      <w:hyperlink r:id="rId5" w:history="1">
        <w:r w:rsidRPr="00061BB5">
          <w:rPr>
            <w:rStyle w:val="Hyperlink"/>
            <w:sz w:val="16"/>
            <w:szCs w:val="16"/>
          </w:rPr>
          <w:t>https://eur-lex.europa.eu/legal-content/EN/TXT/PDF/?uri=CELEX:32019D0708&amp;from=EN</w:t>
        </w:r>
      </w:hyperlink>
    </w:p>
    <w:p w14:paraId="6A634A4F" w14:textId="77777777" w:rsidR="00061BB5" w:rsidRPr="00061BB5" w:rsidRDefault="00061BB5">
      <w:pPr>
        <w:pStyle w:val="FootnoteText"/>
      </w:pPr>
    </w:p>
  </w:footnote>
  <w:footnote w:id="17">
    <w:p w14:paraId="199BDDFA" w14:textId="7257EEB8" w:rsidR="008C54F8" w:rsidRPr="007A5806" w:rsidRDefault="008C54F8" w:rsidP="49E306E6">
      <w:pPr>
        <w:pStyle w:val="FootnoteText"/>
        <w:rPr>
          <w:rFonts w:ascii="Gellix" w:hAnsi="Gellix"/>
          <w:sz w:val="16"/>
          <w:szCs w:val="16"/>
        </w:rPr>
      </w:pPr>
      <w:r w:rsidRPr="007A5806">
        <w:rPr>
          <w:rStyle w:val="FootnoteReference"/>
          <w:rFonts w:ascii="Gellix" w:hAnsi="Gellix"/>
          <w:sz w:val="16"/>
          <w:szCs w:val="16"/>
        </w:rPr>
        <w:footnoteRef/>
      </w:r>
      <w:r w:rsidR="49E306E6" w:rsidRPr="007A5806">
        <w:rPr>
          <w:rFonts w:ascii="Gellix" w:hAnsi="Gellix"/>
          <w:sz w:val="16"/>
          <w:szCs w:val="16"/>
        </w:rPr>
        <w:t xml:space="preserve"> See </w:t>
      </w:r>
      <w:hyperlink r:id="rId6" w:history="1">
        <w:r w:rsidR="49E306E6" w:rsidRPr="007A5806">
          <w:rPr>
            <w:rStyle w:val="Hyperlink"/>
            <w:rFonts w:ascii="Gellix" w:hAnsi="Gellix"/>
            <w:sz w:val="16"/>
            <w:szCs w:val="16"/>
          </w:rPr>
          <w:t>https://www.canada.ca/en/environment-climate-change/services/climate-change/pricing-pollution-how-it-will-work/carbon-pollution-pricing-federal-benchmark-information.html</w:t>
        </w:r>
      </w:hyperlink>
      <w:r w:rsidR="49E306E6" w:rsidRPr="007A5806">
        <w:rPr>
          <w:rFonts w:ascii="Gellix" w:hAnsi="Gellix"/>
          <w:sz w:val="16"/>
          <w:szCs w:val="16"/>
        </w:rPr>
        <w:t>; Annex III, ICC Critical Design Features for Effective Carbon Pricing – A Business Perspective, 2022.</w:t>
      </w:r>
    </w:p>
  </w:footnote>
  <w:footnote w:id="18">
    <w:p w14:paraId="0224D91C" w14:textId="29253D43" w:rsidR="008C54F8" w:rsidRPr="007A5806" w:rsidRDefault="008C54F8" w:rsidP="00FE7FF2">
      <w:pPr>
        <w:pStyle w:val="FootnoteText"/>
        <w:rPr>
          <w:rFonts w:ascii="Gellix" w:hAnsi="Gellix"/>
          <w:sz w:val="16"/>
          <w:szCs w:val="16"/>
        </w:rPr>
      </w:pPr>
      <w:r w:rsidRPr="007A5806">
        <w:rPr>
          <w:rStyle w:val="FootnoteReference"/>
          <w:rFonts w:ascii="Gellix" w:hAnsi="Gellix"/>
          <w:sz w:val="16"/>
          <w:szCs w:val="16"/>
        </w:rPr>
        <w:footnoteRef/>
      </w:r>
      <w:r w:rsidR="49E306E6" w:rsidRPr="007A5806">
        <w:rPr>
          <w:rFonts w:ascii="Gellix" w:hAnsi="Gellix"/>
          <w:sz w:val="16"/>
          <w:szCs w:val="16"/>
        </w:rPr>
        <w:t xml:space="preserve"> Please refer to the overview of current carbon pricing systems across Canada </w:t>
      </w:r>
      <w:hyperlink r:id="rId7" w:history="1">
        <w:r w:rsidR="49E306E6" w:rsidRPr="007A5806">
          <w:rPr>
            <w:rStyle w:val="Hyperlink"/>
            <w:rFonts w:ascii="Gellix" w:hAnsi="Gellix"/>
            <w:sz w:val="16"/>
            <w:szCs w:val="16"/>
          </w:rPr>
          <w:t>https://www.canada.ca/en/environment-climate-change/services/climate-change/pricing-pollution-how-it-will-work.html</w:t>
        </w:r>
      </w:hyperlink>
      <w:r w:rsidR="49E306E6" w:rsidRPr="007A5806">
        <w:rPr>
          <w:rFonts w:ascii="Gellix" w:hAnsi="Gellix"/>
          <w:sz w:val="16"/>
          <w:szCs w:val="16"/>
        </w:rPr>
        <w:t xml:space="preserve">. As in the other footnote, I will refer back also to the report we published last year as in the annex there a comprehensive explanation. </w:t>
      </w:r>
    </w:p>
  </w:footnote>
  <w:footnote w:id="19">
    <w:p w14:paraId="790429AE" w14:textId="350C443F" w:rsidR="007A5806" w:rsidRPr="007A5806" w:rsidRDefault="007A5806">
      <w:pPr>
        <w:pStyle w:val="FootnoteText"/>
        <w:rPr>
          <w:lang w:val="en-US"/>
        </w:rPr>
      </w:pPr>
      <w:r w:rsidRPr="007A5806">
        <w:rPr>
          <w:rStyle w:val="FootnoteReference"/>
          <w:rFonts w:ascii="Gellix" w:hAnsi="Gellix"/>
          <w:sz w:val="16"/>
          <w:szCs w:val="16"/>
        </w:rPr>
        <w:footnoteRef/>
      </w:r>
      <w:r w:rsidRPr="007A5806">
        <w:rPr>
          <w:rFonts w:ascii="Gellix" w:hAnsi="Gellix"/>
          <w:sz w:val="16"/>
          <w:szCs w:val="16"/>
        </w:rPr>
        <w:t xml:space="preserve"> https://icapcarbonaction.com/system/files/ets_pdfs/icap-etsmap-factsheet-112.pdf</w:t>
      </w:r>
    </w:p>
  </w:footnote>
  <w:footnote w:id="20">
    <w:p w14:paraId="079F5187" w14:textId="6C37B8DD" w:rsidR="00144250" w:rsidRPr="00A20AC4" w:rsidRDefault="00144250">
      <w:pPr>
        <w:pStyle w:val="FootnoteText"/>
        <w:rPr>
          <w:rFonts w:ascii="Gellix" w:hAnsi="Gellix"/>
          <w:sz w:val="16"/>
          <w:szCs w:val="16"/>
          <w:lang w:val="en-US"/>
        </w:rPr>
      </w:pPr>
      <w:r w:rsidRPr="00A20AC4">
        <w:rPr>
          <w:rStyle w:val="FootnoteReference"/>
          <w:rFonts w:ascii="Gellix" w:hAnsi="Gellix"/>
          <w:sz w:val="16"/>
          <w:szCs w:val="16"/>
        </w:rPr>
        <w:footnoteRef/>
      </w:r>
      <w:r w:rsidRPr="00A20AC4">
        <w:rPr>
          <w:rFonts w:ascii="Gellix" w:hAnsi="Gellix"/>
          <w:sz w:val="16"/>
          <w:szCs w:val="16"/>
        </w:rPr>
        <w:t xml:space="preserve"> </w:t>
      </w:r>
      <w:r w:rsidR="00D003BD" w:rsidRPr="00A20AC4">
        <w:rPr>
          <w:rFonts w:ascii="Gellix" w:hAnsi="Gellix"/>
          <w:sz w:val="16"/>
          <w:szCs w:val="16"/>
        </w:rPr>
        <w:t>See Joint Statement issued at the BRICS High-level Meeting on Climate Change</w:t>
      </w:r>
      <w:r w:rsidR="002758A9" w:rsidRPr="00A20AC4">
        <w:rPr>
          <w:rFonts w:ascii="Gellix" w:hAnsi="Gellix"/>
          <w:sz w:val="16"/>
          <w:szCs w:val="16"/>
        </w:rPr>
        <w:t xml:space="preserve"> </w:t>
      </w:r>
      <w:hyperlink r:id="rId8" w:history="1">
        <w:r w:rsidR="00951E73" w:rsidRPr="00A20AC4">
          <w:rPr>
            <w:rStyle w:val="Hyperlink"/>
            <w:rFonts w:ascii="Gellix" w:hAnsi="Gellix"/>
            <w:sz w:val="16"/>
            <w:szCs w:val="16"/>
          </w:rPr>
          <w:t>http://brics2022.mfa.gov.cn/eng/hywj/ODMM/202205/t20220529_10694182.html</w:t>
        </w:r>
      </w:hyperlink>
      <w:r w:rsidR="00951E73" w:rsidRPr="00A20AC4">
        <w:rPr>
          <w:rFonts w:ascii="Gellix" w:hAnsi="Gellix"/>
          <w:sz w:val="16"/>
          <w:szCs w:val="16"/>
        </w:rPr>
        <w:t xml:space="preserve"> </w:t>
      </w:r>
      <w:r w:rsidR="002758A9" w:rsidRPr="00A20AC4">
        <w:rPr>
          <w:rFonts w:ascii="Gellix" w:hAnsi="Gellix"/>
          <w:sz w:val="16"/>
          <w:szCs w:val="16"/>
        </w:rPr>
        <w:t>“We oppose the politicization of climate change issues and all forms of unilateralism and protectionism, emphasizing that unilateral measures violate the objectives and principles of the Convention and its Paris Agreement, and seriously undermine multilateral cooperation and the ability of the concerned countries to combat climate change. We oppose any measures to restrict trade and investment and setting up new green trade barriers with the pretext of addressing climate change, such as the imposition of Carbon Border Adjustment Mechanisms, which are incompatible with multilateral rules under the World Trade Organization.”</w:t>
      </w:r>
    </w:p>
  </w:footnote>
  <w:footnote w:id="21">
    <w:p w14:paraId="3E4F8067" w14:textId="21573D8E" w:rsidR="00C3093F" w:rsidRPr="00A20AC4" w:rsidRDefault="00C3093F">
      <w:pPr>
        <w:pStyle w:val="FootnoteText"/>
        <w:rPr>
          <w:rFonts w:ascii="Gellix" w:hAnsi="Gellix"/>
          <w:sz w:val="16"/>
          <w:szCs w:val="16"/>
        </w:rPr>
      </w:pPr>
      <w:r w:rsidRPr="00A20AC4">
        <w:rPr>
          <w:rStyle w:val="FootnoteReference"/>
          <w:rFonts w:ascii="Gellix" w:hAnsi="Gellix"/>
          <w:sz w:val="16"/>
          <w:szCs w:val="16"/>
        </w:rPr>
        <w:footnoteRef/>
      </w:r>
      <w:r w:rsidRPr="00A20AC4">
        <w:rPr>
          <w:rFonts w:ascii="Gellix" w:hAnsi="Gellix"/>
          <w:sz w:val="16"/>
          <w:szCs w:val="16"/>
        </w:rPr>
        <w:t xml:space="preserve"> </w:t>
      </w:r>
      <w:r w:rsidR="000D7ACD" w:rsidRPr="00A20AC4">
        <w:rPr>
          <w:rFonts w:ascii="Gellix" w:hAnsi="Gellix"/>
          <w:sz w:val="16"/>
          <w:szCs w:val="16"/>
        </w:rPr>
        <w:t xml:space="preserve">In March 2023 </w:t>
      </w:r>
      <w:r w:rsidR="00606061" w:rsidRPr="00A20AC4">
        <w:rPr>
          <w:rFonts w:ascii="Gellix" w:hAnsi="Gellix"/>
          <w:sz w:val="16"/>
          <w:szCs w:val="16"/>
        </w:rPr>
        <w:t xml:space="preserve">at the WTO Committee on Trade and Environment (CTE) meeting, </w:t>
      </w:r>
      <w:r w:rsidR="00681516" w:rsidRPr="00A20AC4">
        <w:rPr>
          <w:rFonts w:ascii="Gellix" w:hAnsi="Gellix"/>
          <w:sz w:val="16"/>
          <w:szCs w:val="16"/>
        </w:rPr>
        <w:t>China</w:t>
      </w:r>
      <w:r w:rsidR="000D7ACD" w:rsidRPr="00A20AC4">
        <w:rPr>
          <w:rFonts w:ascii="Gellix" w:hAnsi="Gellix"/>
          <w:sz w:val="16"/>
          <w:szCs w:val="16"/>
        </w:rPr>
        <w:t xml:space="preserve"> </w:t>
      </w:r>
      <w:r w:rsidR="000D7ACD" w:rsidRPr="00A20AC4">
        <w:rPr>
          <w:rFonts w:ascii="Gellix" w:hAnsi="Gellix"/>
          <w:color w:val="000000"/>
          <w:sz w:val="16"/>
          <w:szCs w:val="16"/>
          <w:shd w:val="clear" w:color="auto" w:fill="FFFFFF"/>
        </w:rPr>
        <w:t>introduced </w:t>
      </w:r>
      <w:hyperlink r:id="rId9" w:tgtFrame="_blank" w:history="1">
        <w:r w:rsidR="00A20AC4" w:rsidRPr="00883804">
          <w:rPr>
            <w:rStyle w:val="Hyperlink"/>
            <w:rFonts w:ascii="Gellix" w:hAnsi="Gellix"/>
            <w:sz w:val="16"/>
            <w:szCs w:val="16"/>
          </w:rPr>
          <w:t>a proposal</w:t>
        </w:r>
      </w:hyperlink>
      <w:r w:rsidR="000D7ACD" w:rsidRPr="00A20AC4">
        <w:rPr>
          <w:rFonts w:ascii="Gellix" w:hAnsi="Gellix"/>
          <w:color w:val="000000"/>
          <w:sz w:val="16"/>
          <w:szCs w:val="16"/>
          <w:shd w:val="clear" w:color="auto" w:fill="FFFFFF"/>
        </w:rPr>
        <w:t> to deepen multilateral discussions on the trade aspects and implications of environmental measures</w:t>
      </w:r>
      <w:r w:rsidR="0006034A" w:rsidRPr="00A20AC4">
        <w:rPr>
          <w:rFonts w:ascii="Gellix" w:hAnsi="Gellix"/>
          <w:color w:val="000000"/>
          <w:sz w:val="16"/>
          <w:szCs w:val="16"/>
          <w:shd w:val="clear" w:color="auto" w:fill="FFFFFF"/>
        </w:rPr>
        <w:t>, suggesting starting with discussions on the European Union's Carbon Border Adjustment Mechanism</w:t>
      </w:r>
      <w:r w:rsidR="003222D6">
        <w:rPr>
          <w:rFonts w:ascii="Gellix" w:hAnsi="Gellix"/>
          <w:color w:val="000000"/>
          <w:sz w:val="16"/>
          <w:szCs w:val="16"/>
          <w:shd w:val="clear" w:color="auto" w:fill="FFFFFF"/>
        </w:rPr>
        <w:t>.</w:t>
      </w:r>
      <w:r w:rsidR="005E7D15">
        <w:rPr>
          <w:rFonts w:ascii="Gellix" w:hAnsi="Gellix"/>
          <w:color w:val="000000"/>
          <w:sz w:val="16"/>
          <w:szCs w:val="16"/>
          <w:shd w:val="clear" w:color="auto" w:fill="FFFFFF"/>
        </w:rPr>
        <w:t xml:space="preserve"> </w:t>
      </w:r>
      <w:r w:rsidR="005E7D15" w:rsidRPr="005E7D15">
        <w:rPr>
          <w:rFonts w:ascii="Gellix" w:hAnsi="Gellix"/>
          <w:color w:val="000000"/>
          <w:sz w:val="16"/>
          <w:szCs w:val="16"/>
          <w:shd w:val="clear" w:color="auto" w:fill="FFFFFF"/>
        </w:rPr>
        <w:t>India presented a paper on the increasing use of environmental measures</w:t>
      </w:r>
      <w:r w:rsidR="005E7D15">
        <w:rPr>
          <w:rFonts w:ascii="Gellix" w:hAnsi="Gellix"/>
          <w:color w:val="000000"/>
          <w:sz w:val="16"/>
          <w:szCs w:val="16"/>
          <w:shd w:val="clear" w:color="auto" w:fill="FFFFFF"/>
        </w:rPr>
        <w:t xml:space="preserve">, such as </w:t>
      </w:r>
      <w:r w:rsidR="00330A3A">
        <w:rPr>
          <w:rFonts w:ascii="Gellix" w:hAnsi="Gellix"/>
          <w:color w:val="000000"/>
          <w:sz w:val="16"/>
          <w:szCs w:val="16"/>
          <w:shd w:val="clear" w:color="auto" w:fill="FFFFFF"/>
        </w:rPr>
        <w:t xml:space="preserve">carbon border measures </w:t>
      </w:r>
      <w:r w:rsidR="005E7D15" w:rsidRPr="005E7D15">
        <w:rPr>
          <w:rFonts w:ascii="Gellix" w:hAnsi="Gellix"/>
          <w:color w:val="000000"/>
          <w:sz w:val="16"/>
          <w:szCs w:val="16"/>
          <w:shd w:val="clear" w:color="auto" w:fill="FFFFFF"/>
        </w:rPr>
        <w:t>as protectionist non-tariff measures.</w:t>
      </w:r>
    </w:p>
  </w:footnote>
  <w:footnote w:id="22">
    <w:p w14:paraId="295D250A" w14:textId="77777777" w:rsidR="005E3CC7" w:rsidRPr="007829AB" w:rsidRDefault="005E3CC7" w:rsidP="005E3CC7">
      <w:pPr>
        <w:pStyle w:val="FootnoteText"/>
        <w:rPr>
          <w:lang w:val="en-US"/>
        </w:rPr>
      </w:pPr>
      <w:r w:rsidRPr="00A20AC4">
        <w:rPr>
          <w:rStyle w:val="FootnoteReference"/>
          <w:rFonts w:ascii="Gellix" w:hAnsi="Gellix"/>
          <w:sz w:val="16"/>
          <w:szCs w:val="16"/>
        </w:rPr>
        <w:footnoteRef/>
      </w:r>
      <w:r w:rsidRPr="00A20AC4">
        <w:rPr>
          <w:rFonts w:ascii="Gellix" w:hAnsi="Gellix"/>
          <w:sz w:val="16"/>
          <w:szCs w:val="16"/>
        </w:rPr>
        <w:t xml:space="preserve"> https://unctad.org/system/files/official-document/osginf2021d2_en.pdf</w:t>
      </w:r>
    </w:p>
  </w:footnote>
  <w:footnote w:id="23">
    <w:p w14:paraId="7737C2A5" w14:textId="77777777" w:rsidR="00DF0029" w:rsidRPr="00B455C3" w:rsidRDefault="00DF0029" w:rsidP="00DF0029">
      <w:pPr>
        <w:pStyle w:val="FootnoteText"/>
        <w:rPr>
          <w:sz w:val="16"/>
          <w:szCs w:val="16"/>
          <w:lang w:val="en-US"/>
        </w:rPr>
      </w:pPr>
      <w:r w:rsidRPr="00B455C3">
        <w:rPr>
          <w:rStyle w:val="FootnoteReference"/>
          <w:sz w:val="16"/>
          <w:szCs w:val="16"/>
        </w:rPr>
        <w:footnoteRef/>
      </w:r>
      <w:r w:rsidRPr="00B455C3">
        <w:rPr>
          <w:sz w:val="16"/>
          <w:szCs w:val="16"/>
        </w:rPr>
        <w:t xml:space="preserve"> https://iccwbo.org/news-publications/policies-reports/icc-recommendations-to-the-european-commission-on-the-implementation-of-the-carbon-border-adjustment-mechanism/</w:t>
      </w:r>
    </w:p>
  </w:footnote>
  <w:footnote w:id="24">
    <w:p w14:paraId="2DEBB38F" w14:textId="7D651727" w:rsidR="001F047B" w:rsidRPr="001F047B" w:rsidRDefault="001F047B">
      <w:pPr>
        <w:pStyle w:val="FootnoteText"/>
        <w:rPr>
          <w:lang w:val="en-US"/>
        </w:rPr>
      </w:pPr>
      <w:r>
        <w:rPr>
          <w:rStyle w:val="FootnoteReference"/>
        </w:rPr>
        <w:footnoteRef/>
      </w:r>
      <w:r>
        <w:t xml:space="preserve"> </w:t>
      </w:r>
      <w:hyperlink r:id="rId10" w:history="1">
        <w:r w:rsidRPr="001F047B">
          <w:rPr>
            <w:rStyle w:val="Hyperlink"/>
            <w:rFonts w:cstheme="minorHAnsi"/>
            <w:sz w:val="16"/>
            <w:szCs w:val="16"/>
          </w:rPr>
          <w:t>IMF Working Paper: Border Carbon Adjustments: Rationale, Design and Impact (2021)</w:t>
        </w:r>
      </w:hyperlink>
    </w:p>
  </w:footnote>
  <w:footnote w:id="25">
    <w:p w14:paraId="6764FF96" w14:textId="77777777" w:rsidR="004415CB" w:rsidRPr="0017504E" w:rsidRDefault="004415CB" w:rsidP="004415CB">
      <w:pPr>
        <w:pStyle w:val="FootnoteText"/>
        <w:rPr>
          <w:rFonts w:ascii="Gellix" w:hAnsi="Gellix"/>
          <w:sz w:val="16"/>
          <w:szCs w:val="16"/>
        </w:rPr>
      </w:pPr>
      <w:r w:rsidRPr="0017504E">
        <w:rPr>
          <w:rStyle w:val="FootnoteReference"/>
          <w:rFonts w:ascii="Gellix" w:hAnsi="Gellix"/>
          <w:sz w:val="16"/>
          <w:szCs w:val="16"/>
        </w:rPr>
        <w:footnoteRef/>
      </w:r>
      <w:r w:rsidRPr="0017504E">
        <w:rPr>
          <w:rFonts w:ascii="Gellix" w:hAnsi="Gellix"/>
          <w:sz w:val="16"/>
          <w:szCs w:val="16"/>
        </w:rPr>
        <w:t xml:space="preserve"> World Bank State and Trends of Carbon Pricing 2023. Examples include Indonesia launching its ETS for coal-fired power stations; India passing legislation to establish a domestic carbon market, which could support a domestic ETS in the future; and Mexico started with the operational phase of its ETS.</w:t>
      </w:r>
    </w:p>
  </w:footnote>
  <w:footnote w:id="26">
    <w:p w14:paraId="40DDE05E" w14:textId="536320A0" w:rsidR="002D5145" w:rsidRDefault="002D5145" w:rsidP="002D5145">
      <w:pPr>
        <w:pStyle w:val="FootnoteText"/>
      </w:pPr>
      <w:r w:rsidRPr="0017504E">
        <w:rPr>
          <w:rStyle w:val="FootnoteReference"/>
          <w:rFonts w:ascii="Gellix" w:hAnsi="Gellix"/>
          <w:sz w:val="16"/>
          <w:szCs w:val="16"/>
        </w:rPr>
        <w:footnoteRef/>
      </w:r>
      <w:r w:rsidRPr="0017504E">
        <w:rPr>
          <w:rFonts w:ascii="Gellix" w:hAnsi="Gellix"/>
          <w:sz w:val="16"/>
          <w:szCs w:val="16"/>
        </w:rPr>
        <w:t xml:space="preserve"> </w:t>
      </w:r>
      <w:r w:rsidR="000F516D" w:rsidRPr="0017504E">
        <w:rPr>
          <w:rFonts w:ascii="Gellix" w:hAnsi="Gellix"/>
          <w:sz w:val="16"/>
          <w:szCs w:val="16"/>
        </w:rPr>
        <w:t xml:space="preserve">In 2022 </w:t>
      </w:r>
      <w:r w:rsidR="00CC562A" w:rsidRPr="0017504E">
        <w:rPr>
          <w:rFonts w:ascii="Gellix" w:hAnsi="Gellix"/>
          <w:sz w:val="16"/>
          <w:szCs w:val="16"/>
        </w:rPr>
        <w:t>several countries reached bilateral agreements to cooperate under Article</w:t>
      </w:r>
      <w:r w:rsidR="00650883" w:rsidRPr="0017504E">
        <w:rPr>
          <w:rFonts w:ascii="Gellix" w:hAnsi="Gellix"/>
          <w:sz w:val="16"/>
          <w:szCs w:val="16"/>
        </w:rPr>
        <w:t xml:space="preserve">; Blue Carbon initiative based in UAE signed </w:t>
      </w:r>
      <w:proofErr w:type="spellStart"/>
      <w:r w:rsidR="00650883" w:rsidRPr="0017504E">
        <w:rPr>
          <w:rFonts w:ascii="Gellix" w:hAnsi="Gellix"/>
          <w:sz w:val="16"/>
          <w:szCs w:val="16"/>
        </w:rPr>
        <w:t>MoUs</w:t>
      </w:r>
      <w:proofErr w:type="spellEnd"/>
      <w:r w:rsidR="00650883" w:rsidRPr="0017504E">
        <w:rPr>
          <w:rFonts w:ascii="Gellix" w:hAnsi="Gellix"/>
          <w:sz w:val="16"/>
          <w:szCs w:val="16"/>
        </w:rPr>
        <w:t xml:space="preserve"> with </w:t>
      </w:r>
      <w:r w:rsidR="00CC3A2E" w:rsidRPr="0017504E">
        <w:rPr>
          <w:rFonts w:ascii="Gellix" w:hAnsi="Gellix"/>
          <w:sz w:val="16"/>
          <w:szCs w:val="16"/>
        </w:rPr>
        <w:t xml:space="preserve">Liberia, Tanzania , Zambia, At COP27 </w:t>
      </w:r>
      <w:r w:rsidR="00C26804" w:rsidRPr="0017504E">
        <w:rPr>
          <w:rFonts w:ascii="Gellix" w:hAnsi="Gellix"/>
          <w:sz w:val="16"/>
          <w:szCs w:val="16"/>
        </w:rPr>
        <w:t xml:space="preserve">Switzerland in partnership with </w:t>
      </w:r>
      <w:r w:rsidR="00CC3A2E" w:rsidRPr="0017504E">
        <w:rPr>
          <w:rFonts w:ascii="Gellix" w:hAnsi="Gellix"/>
          <w:sz w:val="16"/>
          <w:szCs w:val="16"/>
        </w:rPr>
        <w:t>Ghana</w:t>
      </w:r>
      <w:r w:rsidR="00C26804" w:rsidRPr="0017504E">
        <w:rPr>
          <w:rFonts w:ascii="Gellix" w:hAnsi="Gellix"/>
          <w:sz w:val="16"/>
          <w:szCs w:val="16"/>
        </w:rPr>
        <w:t xml:space="preserve"> presented first projects </w:t>
      </w:r>
      <w:r w:rsidR="00AB124E" w:rsidRPr="0017504E">
        <w:rPr>
          <w:rFonts w:ascii="Gellix" w:hAnsi="Gellix"/>
          <w:sz w:val="16"/>
          <w:szCs w:val="16"/>
        </w:rPr>
        <w:t>to generate authorised emissions reduction under Article 6.2.</w:t>
      </w:r>
      <w:r w:rsidR="00AF7AC2" w:rsidRPr="0017504E">
        <w:rPr>
          <w:rFonts w:ascii="Gellix" w:hAnsi="Gellix"/>
          <w:sz w:val="16"/>
          <w:szCs w:val="16"/>
        </w:rPr>
        <w:t xml:space="preserve"> In February 2023, Thailand and Switzerland </w:t>
      </w:r>
      <w:r w:rsidR="0017504E" w:rsidRPr="0017504E">
        <w:rPr>
          <w:rFonts w:ascii="Gellix" w:hAnsi="Gellix"/>
          <w:sz w:val="16"/>
          <w:szCs w:val="16"/>
        </w:rPr>
        <w:t>launched the first Article 6 program in Asia.</w:t>
      </w:r>
      <w:r w:rsidR="00C26804">
        <w:t xml:space="preserve"> </w:t>
      </w:r>
    </w:p>
  </w:footnote>
  <w:footnote w:id="27">
    <w:p w14:paraId="6E6B327D" w14:textId="77777777" w:rsidR="0061090B" w:rsidRPr="00842FFB" w:rsidRDefault="0061090B" w:rsidP="0061090B">
      <w:pPr>
        <w:pStyle w:val="FootnoteText"/>
        <w:rPr>
          <w:rFonts w:ascii="Gellix" w:hAnsi="Gellix"/>
          <w:sz w:val="16"/>
          <w:szCs w:val="16"/>
        </w:rPr>
      </w:pPr>
      <w:r w:rsidRPr="00842FFB">
        <w:rPr>
          <w:rStyle w:val="FootnoteReference"/>
          <w:rFonts w:ascii="Gellix" w:hAnsi="Gellix"/>
          <w:sz w:val="16"/>
          <w:szCs w:val="16"/>
        </w:rPr>
        <w:footnoteRef/>
      </w:r>
      <w:r w:rsidRPr="00842FFB">
        <w:rPr>
          <w:rFonts w:ascii="Gellix" w:hAnsi="Gellix"/>
          <w:sz w:val="16"/>
          <w:szCs w:val="16"/>
        </w:rPr>
        <w:t xml:space="preserve">  Linking can be done either directly or indirectly and can lead to price convergence, thus offering efficiency gains. In a direct linking, emission allowances in one system can be used in another. The direct linking can be bilateral (two-way link), when allowances of both schemes can be used in either systems in both directions, or unilaterally (one-way link) if this is only the case for one system and the flow of allowances only operates in one direction. In indirect linking, two or more systems are linked to a common third system, for example, if both ETSs are linked to the same offset crediting system such as the Clean Development Mechanism (CDM) or potentially the new UNFCCC 6.4 mechanism under the Paris Agreement. Several examples for successful linking exist.  </w:t>
      </w:r>
    </w:p>
  </w:footnote>
  <w:footnote w:id="28">
    <w:p w14:paraId="217CD8CD" w14:textId="77777777" w:rsidR="0061090B" w:rsidRPr="001763B9" w:rsidRDefault="0061090B" w:rsidP="0061090B">
      <w:pPr>
        <w:pStyle w:val="FootnoteText"/>
        <w:rPr>
          <w:rFonts w:ascii="Gellix" w:hAnsi="Gellix"/>
          <w:sz w:val="16"/>
          <w:szCs w:val="16"/>
        </w:rPr>
      </w:pPr>
      <w:r w:rsidRPr="001763B9">
        <w:rPr>
          <w:rStyle w:val="FootnoteReference"/>
          <w:rFonts w:ascii="Gellix" w:hAnsi="Gellix"/>
          <w:sz w:val="16"/>
          <w:szCs w:val="16"/>
        </w:rPr>
        <w:footnoteRef/>
      </w:r>
      <w:r w:rsidRPr="001763B9">
        <w:rPr>
          <w:rFonts w:ascii="Gellix" w:hAnsi="Gellix"/>
          <w:sz w:val="16"/>
          <w:szCs w:val="16"/>
        </w:rPr>
        <w:t xml:space="preserve"> See ICC Article 6 Briefs</w:t>
      </w:r>
    </w:p>
  </w:footnote>
  <w:footnote w:id="29">
    <w:p w14:paraId="4D95FFD2" w14:textId="77777777" w:rsidR="0061090B" w:rsidRPr="001763B9" w:rsidRDefault="0061090B" w:rsidP="0061090B">
      <w:pPr>
        <w:pStyle w:val="FootnoteText"/>
        <w:rPr>
          <w:rFonts w:ascii="Gellix" w:hAnsi="Gellix"/>
          <w:sz w:val="16"/>
          <w:szCs w:val="16"/>
        </w:rPr>
      </w:pPr>
      <w:r w:rsidRPr="001763B9">
        <w:rPr>
          <w:rStyle w:val="FootnoteReference"/>
          <w:rFonts w:ascii="Gellix" w:hAnsi="Gellix"/>
          <w:sz w:val="16"/>
          <w:szCs w:val="16"/>
        </w:rPr>
        <w:footnoteRef/>
      </w:r>
      <w:r w:rsidRPr="001763B9">
        <w:rPr>
          <w:rFonts w:ascii="Gellix" w:hAnsi="Gellix"/>
          <w:sz w:val="16"/>
          <w:szCs w:val="16"/>
        </w:rPr>
        <w:t xml:space="preserve"> See </w:t>
      </w:r>
      <w:hyperlink r:id="rId11" w:history="1">
        <w:r w:rsidRPr="001763B9">
          <w:rPr>
            <w:rStyle w:val="Hyperlink"/>
            <w:rFonts w:ascii="Gellix" w:hAnsi="Gellix"/>
            <w:sz w:val="16"/>
            <w:szCs w:val="16"/>
          </w:rPr>
          <w:t>https://iccwbo.org/publication/icc-carbon-pricing-principles/</w:t>
        </w:r>
      </w:hyperlink>
      <w:r w:rsidRPr="001763B9">
        <w:rPr>
          <w:rFonts w:ascii="Gellix" w:hAnsi="Gellix"/>
          <w:sz w:val="16"/>
          <w:szCs w:val="16"/>
        </w:rPr>
        <w:t xml:space="preserve"> </w:t>
      </w:r>
    </w:p>
  </w:footnote>
  <w:footnote w:id="30">
    <w:p w14:paraId="0E8402D8" w14:textId="77777777" w:rsidR="0061090B" w:rsidRDefault="0061090B" w:rsidP="0061090B">
      <w:pPr>
        <w:pStyle w:val="FootnoteText"/>
      </w:pPr>
      <w:r w:rsidRPr="001763B9">
        <w:rPr>
          <w:rStyle w:val="FootnoteReference"/>
          <w:rFonts w:ascii="Gellix" w:hAnsi="Gellix"/>
          <w:sz w:val="16"/>
          <w:szCs w:val="16"/>
        </w:rPr>
        <w:footnoteRef/>
      </w:r>
      <w:r w:rsidRPr="001763B9">
        <w:rPr>
          <w:rFonts w:ascii="Gellix" w:hAnsi="Gellix"/>
          <w:sz w:val="16"/>
          <w:szCs w:val="16"/>
        </w:rPr>
        <w:t xml:space="preserve"> See </w:t>
      </w:r>
      <w:hyperlink r:id="rId12" w:history="1">
        <w:r w:rsidRPr="001763B9">
          <w:rPr>
            <w:rStyle w:val="Hyperlink"/>
            <w:rFonts w:ascii="Gellix" w:hAnsi="Gellix"/>
            <w:sz w:val="16"/>
            <w:szCs w:val="16"/>
          </w:rPr>
          <w:t>https://www.ieta.org/The-Potential-Role-of-Article-6-Compatible-Carbon-Markets-in-Reaching-Net-Zero</w:t>
        </w:r>
      </w:hyperlink>
      <w:r w:rsidRPr="001763B9">
        <w:rPr>
          <w:rStyle w:val="Hyperlink"/>
          <w:rFonts w:ascii="Gellix" w:hAnsi="Gellix"/>
          <w:sz w:val="16"/>
          <w:szCs w:val="16"/>
        </w:rPr>
        <w:t xml:space="preserve"> </w:t>
      </w:r>
      <w:r w:rsidRPr="007748BC">
        <w:rPr>
          <w:rFonts w:ascii="Gellix" w:hAnsi="Gellix"/>
          <w:sz w:val="16"/>
          <w:szCs w:val="16"/>
        </w:rPr>
        <w:t>Recent research has shown that cooperation through Article 6 has the potential to reduce the total cost of climate action by more</w:t>
      </w:r>
      <w:r w:rsidRPr="00DF45DF">
        <w:t xml:space="preserve"> </w:t>
      </w:r>
      <w:r w:rsidRPr="001763B9">
        <w:rPr>
          <w:rFonts w:ascii="Gellix" w:hAnsi="Gellix"/>
          <w:sz w:val="16"/>
          <w:szCs w:val="16"/>
        </w:rPr>
        <w:t>than half and generate additional financing from $300 billion per year in 2030 up to $1 trillion per year in 2050 . Re-investing these funds in new climate efforts, Article 6 could enable additional emission cuts and could contribute to the enhancement of ambition in countries’ NDCs.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A490" w14:textId="77777777" w:rsidR="002D5145" w:rsidRDefault="002D5145" w:rsidP="000222B2">
    <w:pPr>
      <w:pStyle w:val="Header"/>
    </w:pPr>
  </w:p>
  <w:p w14:paraId="61511C86" w14:textId="77777777" w:rsidR="002D5145" w:rsidRDefault="002D5145" w:rsidP="000222B2"/>
  <w:p w14:paraId="7FC03663" w14:textId="77777777" w:rsidR="002D5145" w:rsidRDefault="002D5145" w:rsidP="000222B2"/>
  <w:p w14:paraId="0BF381E2" w14:textId="77777777" w:rsidR="002D5145" w:rsidRDefault="002D5145"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4AA9" w14:textId="77777777" w:rsidR="002D5145" w:rsidRDefault="002D5145">
    <w:pPr>
      <w:pStyle w:val="Header"/>
      <w:jc w:val="right"/>
    </w:pPr>
  </w:p>
  <w:p w14:paraId="19A9EA12" w14:textId="77777777" w:rsidR="002D5145" w:rsidRDefault="002D5145" w:rsidP="00DF718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829"/>
    <w:multiLevelType w:val="hybridMultilevel"/>
    <w:tmpl w:val="D6FE689A"/>
    <w:lvl w:ilvl="0" w:tplc="ADAC49E2">
      <w:start w:val="1"/>
      <w:numFmt w:val="bullet"/>
      <w:lvlText w:val="-"/>
      <w:lvlJc w:val="left"/>
      <w:pPr>
        <w:ind w:left="720" w:hanging="360"/>
      </w:pPr>
      <w:rPr>
        <w:rFonts w:ascii="Gellix" w:eastAsiaTheme="minorEastAsia" w:hAnsi="Gellix"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1142"/>
    <w:multiLevelType w:val="hybridMultilevel"/>
    <w:tmpl w:val="7EAACE4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C6119A6"/>
    <w:multiLevelType w:val="hybridMultilevel"/>
    <w:tmpl w:val="4E5209B0"/>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BD061F"/>
    <w:multiLevelType w:val="hybridMultilevel"/>
    <w:tmpl w:val="F53497CC"/>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DE4F62"/>
    <w:multiLevelType w:val="hybridMultilevel"/>
    <w:tmpl w:val="1BFC039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322C53"/>
    <w:multiLevelType w:val="hybridMultilevel"/>
    <w:tmpl w:val="EC8AFE8E"/>
    <w:lvl w:ilvl="0" w:tplc="5F803C00">
      <w:start w:val="1"/>
      <w:numFmt w:val="upperRoman"/>
      <w:lvlText w:val="%1."/>
      <w:lvlJc w:val="left"/>
      <w:pPr>
        <w:ind w:left="1080" w:hanging="720"/>
      </w:pPr>
      <w:rPr>
        <w:rFonts w:hint="default"/>
        <w:color w:val="007DFF"/>
        <w:sz w:val="28"/>
      </w:rPr>
    </w:lvl>
    <w:lvl w:ilvl="1" w:tplc="583A1EDC">
      <w:start w:val="1"/>
      <w:numFmt w:val="lowerLetter"/>
      <w:lvlText w:val="(%2)"/>
      <w:lvlJc w:val="lef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ED0C9F"/>
    <w:multiLevelType w:val="hybridMultilevel"/>
    <w:tmpl w:val="14BAA5AA"/>
    <w:lvl w:ilvl="0" w:tplc="CF7A090A">
      <w:start w:val="1"/>
      <w:numFmt w:val="bullet"/>
      <w:lvlText w:val="-"/>
      <w:lvlJc w:val="left"/>
      <w:pPr>
        <w:ind w:left="1080" w:hanging="360"/>
      </w:pPr>
      <w:rPr>
        <w:rFonts w:ascii="Gellix" w:eastAsiaTheme="minorEastAsia" w:hAnsi="Gellix"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4D434CC"/>
    <w:multiLevelType w:val="hybridMultilevel"/>
    <w:tmpl w:val="511E3CFE"/>
    <w:lvl w:ilvl="0" w:tplc="3CF01D14">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080562"/>
    <w:multiLevelType w:val="hybridMultilevel"/>
    <w:tmpl w:val="4CAE1A78"/>
    <w:lvl w:ilvl="0" w:tplc="FFFFFFFF">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9CC6C87"/>
    <w:multiLevelType w:val="hybridMultilevel"/>
    <w:tmpl w:val="15CA2B60"/>
    <w:lvl w:ilvl="0" w:tplc="FFFFFFFF">
      <w:start w:val="1"/>
      <w:numFmt w:val="upperRoman"/>
      <w:lvlText w:val="%1."/>
      <w:lvlJc w:val="left"/>
      <w:pPr>
        <w:ind w:left="1080" w:hanging="720"/>
      </w:pPr>
      <w:rPr>
        <w:rFonts w:hint="default"/>
        <w:color w:val="007DFF"/>
        <w:sz w:val="28"/>
      </w:rPr>
    </w:lvl>
    <w:lvl w:ilvl="1" w:tplc="040C000F">
      <w:start w:val="1"/>
      <w:numFmt w:val="decimal"/>
      <w:lvlText w:val="%2."/>
      <w:lvlJc w:val="left"/>
      <w:pPr>
        <w:ind w:left="3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96373B"/>
    <w:multiLevelType w:val="hybridMultilevel"/>
    <w:tmpl w:val="5EE26ABC"/>
    <w:lvl w:ilvl="0" w:tplc="E786B228">
      <w:start w:val="1"/>
      <w:numFmt w:val="upperRoman"/>
      <w:lvlText w:val="%1."/>
      <w:lvlJc w:val="left"/>
      <w:pPr>
        <w:ind w:left="1080" w:hanging="720"/>
      </w:pPr>
      <w:rPr>
        <w:rFonts w:hint="default"/>
        <w:color w:val="007DFF"/>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720709"/>
    <w:multiLevelType w:val="hybridMultilevel"/>
    <w:tmpl w:val="455AECE2"/>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C964E7"/>
    <w:multiLevelType w:val="hybridMultilevel"/>
    <w:tmpl w:val="9274ED4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1160AC2"/>
    <w:multiLevelType w:val="hybridMultilevel"/>
    <w:tmpl w:val="BE72C8D4"/>
    <w:lvl w:ilvl="0" w:tplc="040C0005">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4" w15:restartNumberingAfterBreak="0">
    <w:nsid w:val="22C931C8"/>
    <w:multiLevelType w:val="hybridMultilevel"/>
    <w:tmpl w:val="1D8CCC18"/>
    <w:lvl w:ilvl="0" w:tplc="5EE4D3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964A7D"/>
    <w:multiLevelType w:val="hybridMultilevel"/>
    <w:tmpl w:val="D9F8B4A8"/>
    <w:lvl w:ilvl="0" w:tplc="E7B46B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6EE2A5E"/>
    <w:multiLevelType w:val="hybridMultilevel"/>
    <w:tmpl w:val="2E06FDF8"/>
    <w:lvl w:ilvl="0" w:tplc="634AA3B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27772761"/>
    <w:multiLevelType w:val="hybridMultilevel"/>
    <w:tmpl w:val="C562CCA8"/>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DD140E"/>
    <w:multiLevelType w:val="hybridMultilevel"/>
    <w:tmpl w:val="03C8659C"/>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2868585C"/>
    <w:multiLevelType w:val="hybridMultilevel"/>
    <w:tmpl w:val="449ECB9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B2B47E5"/>
    <w:multiLevelType w:val="hybridMultilevel"/>
    <w:tmpl w:val="7FD693BC"/>
    <w:lvl w:ilvl="0" w:tplc="20CA3A42">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2D3E4E1E"/>
    <w:multiLevelType w:val="hybridMultilevel"/>
    <w:tmpl w:val="EE026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F1D3AF2"/>
    <w:multiLevelType w:val="hybridMultilevel"/>
    <w:tmpl w:val="92C06786"/>
    <w:lvl w:ilvl="0" w:tplc="87C87B08">
      <w:numFmt w:val="bullet"/>
      <w:lvlText w:val="─"/>
      <w:lvlJc w:val="left"/>
      <w:pPr>
        <w:ind w:left="1068" w:hanging="360"/>
      </w:pPr>
      <w:rPr>
        <w:rFonts w:ascii="Verdana" w:eastAsia="Verdana" w:hAnsi="Verdana" w:cs="Verdana" w:hint="default"/>
      </w:rPr>
    </w:lvl>
    <w:lvl w:ilvl="1" w:tplc="FFFFFFFF">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334346F4"/>
    <w:multiLevelType w:val="hybridMultilevel"/>
    <w:tmpl w:val="195648B8"/>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0A1F7A"/>
    <w:multiLevelType w:val="hybridMultilevel"/>
    <w:tmpl w:val="348644C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4555D90"/>
    <w:multiLevelType w:val="hybridMultilevel"/>
    <w:tmpl w:val="913ADBCC"/>
    <w:lvl w:ilvl="0" w:tplc="FFFFFFFF">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36575546"/>
    <w:multiLevelType w:val="hybridMultilevel"/>
    <w:tmpl w:val="5080946E"/>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94C5140"/>
    <w:multiLevelType w:val="hybridMultilevel"/>
    <w:tmpl w:val="0804C42A"/>
    <w:lvl w:ilvl="0" w:tplc="F774CF7A">
      <w:start w:val="1"/>
      <w:numFmt w:val="decimal"/>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DE35D68"/>
    <w:multiLevelType w:val="hybridMultilevel"/>
    <w:tmpl w:val="24FEA658"/>
    <w:lvl w:ilvl="0" w:tplc="106EB306">
      <w:numFmt w:val="bullet"/>
      <w:lvlText w:val=""/>
      <w:lvlJc w:val="left"/>
      <w:pPr>
        <w:ind w:left="360" w:hanging="360"/>
      </w:pPr>
      <w:rPr>
        <w:rFonts w:ascii="Symbol" w:eastAsiaTheme="minorEastAsia" w:hAnsi="Symbol"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3E34010D"/>
    <w:multiLevelType w:val="hybridMultilevel"/>
    <w:tmpl w:val="41688E12"/>
    <w:lvl w:ilvl="0" w:tplc="58B8EC06">
      <w:start w:val="2"/>
      <w:numFmt w:val="bullet"/>
      <w:lvlText w:val=""/>
      <w:lvlJc w:val="left"/>
      <w:pPr>
        <w:ind w:left="1800" w:hanging="360"/>
      </w:pPr>
      <w:rPr>
        <w:rFonts w:ascii="Symbol" w:eastAsiaTheme="minorEastAsia" w:hAnsi="Symbol" w:cstheme="minorBid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ED7101F"/>
    <w:multiLevelType w:val="hybridMultilevel"/>
    <w:tmpl w:val="747AE544"/>
    <w:lvl w:ilvl="0" w:tplc="FFFFFFFF">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31" w15:restartNumberingAfterBreak="0">
    <w:nsid w:val="3FD641F7"/>
    <w:multiLevelType w:val="hybridMultilevel"/>
    <w:tmpl w:val="25324626"/>
    <w:lvl w:ilvl="0" w:tplc="FFFFFFFF">
      <w:numFmt w:val="bullet"/>
      <w:lvlText w:val="─"/>
      <w:lvlJc w:val="left"/>
      <w:pPr>
        <w:ind w:left="1428" w:hanging="360"/>
      </w:pPr>
      <w:rPr>
        <w:rFonts w:ascii="Verdana" w:eastAsia="Verdana" w:hAnsi="Verdana" w:cs="Verdana" w:hint="default"/>
      </w:rPr>
    </w:lvl>
    <w:lvl w:ilvl="1" w:tplc="040C0005">
      <w:start w:val="1"/>
      <w:numFmt w:val="bullet"/>
      <w:lvlText w:val=""/>
      <w:lvlJc w:val="left"/>
      <w:pPr>
        <w:ind w:left="2148" w:hanging="360"/>
      </w:pPr>
      <w:rPr>
        <w:rFonts w:ascii="Wingdings" w:hAnsi="Wingdings"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2" w15:restartNumberingAfterBreak="0">
    <w:nsid w:val="41522C9D"/>
    <w:multiLevelType w:val="hybridMultilevel"/>
    <w:tmpl w:val="17B873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6B6CBA"/>
    <w:multiLevelType w:val="hybridMultilevel"/>
    <w:tmpl w:val="4F420DB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435A1F04"/>
    <w:multiLevelType w:val="hybridMultilevel"/>
    <w:tmpl w:val="3F82D4A6"/>
    <w:lvl w:ilvl="0" w:tplc="FFFFFFFF">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44541148"/>
    <w:multiLevelType w:val="hybridMultilevel"/>
    <w:tmpl w:val="F934E060"/>
    <w:lvl w:ilvl="0" w:tplc="FFFFFFFF">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6" w15:restartNumberingAfterBreak="0">
    <w:nsid w:val="44C20A72"/>
    <w:multiLevelType w:val="hybridMultilevel"/>
    <w:tmpl w:val="9E280538"/>
    <w:lvl w:ilvl="0" w:tplc="87C87B08">
      <w:numFmt w:val="bullet"/>
      <w:lvlText w:val="─"/>
      <w:lvlJc w:val="left"/>
      <w:pPr>
        <w:ind w:left="1068" w:hanging="360"/>
      </w:pPr>
      <w:rPr>
        <w:rFonts w:ascii="Verdana" w:eastAsia="Verdana" w:hAnsi="Verdana" w:cs="Verdana"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7" w15:restartNumberingAfterBreak="0">
    <w:nsid w:val="45E345F7"/>
    <w:multiLevelType w:val="hybridMultilevel"/>
    <w:tmpl w:val="AB821A4A"/>
    <w:lvl w:ilvl="0" w:tplc="106EB306">
      <w:numFmt w:val="bullet"/>
      <w:lvlText w:val=""/>
      <w:lvlJc w:val="left"/>
      <w:pPr>
        <w:ind w:left="360" w:hanging="360"/>
      </w:pPr>
      <w:rPr>
        <w:rFonts w:ascii="Symbol" w:eastAsiaTheme="minorEastAsia" w:hAnsi="Symbol"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4727798D"/>
    <w:multiLevelType w:val="hybridMultilevel"/>
    <w:tmpl w:val="93E2F0AA"/>
    <w:lvl w:ilvl="0" w:tplc="040C0005">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9" w15:restartNumberingAfterBreak="0">
    <w:nsid w:val="47D62EC3"/>
    <w:multiLevelType w:val="hybridMultilevel"/>
    <w:tmpl w:val="B07AD4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A2B1959"/>
    <w:multiLevelType w:val="hybridMultilevel"/>
    <w:tmpl w:val="7B1A0480"/>
    <w:lvl w:ilvl="0" w:tplc="106EB306">
      <w:numFmt w:val="bullet"/>
      <w:lvlText w:val=""/>
      <w:lvlJc w:val="left"/>
      <w:pPr>
        <w:ind w:left="360" w:hanging="360"/>
      </w:pPr>
      <w:rPr>
        <w:rFonts w:ascii="Symbol" w:eastAsiaTheme="minorEastAsia" w:hAnsi="Symbol"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4AAF4E3A"/>
    <w:multiLevelType w:val="hybridMultilevel"/>
    <w:tmpl w:val="797279D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4B716136"/>
    <w:multiLevelType w:val="hybridMultilevel"/>
    <w:tmpl w:val="2D7C3A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CBD2385"/>
    <w:multiLevelType w:val="hybridMultilevel"/>
    <w:tmpl w:val="DB782744"/>
    <w:lvl w:ilvl="0" w:tplc="4914E982">
      <w:numFmt w:val="bullet"/>
      <w:lvlText w:val="-"/>
      <w:lvlJc w:val="left"/>
      <w:pPr>
        <w:ind w:left="720" w:hanging="360"/>
      </w:pPr>
      <w:rPr>
        <w:rFonts w:ascii="Gellix" w:eastAsiaTheme="minorEastAsia" w:hAnsi="Gellix"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EB11664"/>
    <w:multiLevelType w:val="hybridMultilevel"/>
    <w:tmpl w:val="7094466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3274960"/>
    <w:multiLevelType w:val="hybridMultilevel"/>
    <w:tmpl w:val="EDC8A1C8"/>
    <w:lvl w:ilvl="0" w:tplc="87C87B08">
      <w:numFmt w:val="bullet"/>
      <w:lvlText w:val="─"/>
      <w:lvlJc w:val="left"/>
      <w:pPr>
        <w:ind w:left="1896" w:hanging="360"/>
      </w:pPr>
      <w:rPr>
        <w:rFonts w:ascii="Verdana" w:eastAsia="Verdana" w:hAnsi="Verdana" w:cs="Verdana" w:hint="default"/>
      </w:rPr>
    </w:lvl>
    <w:lvl w:ilvl="1" w:tplc="04090003" w:tentative="1">
      <w:start w:val="1"/>
      <w:numFmt w:val="bullet"/>
      <w:lvlText w:val="o"/>
      <w:lvlJc w:val="left"/>
      <w:pPr>
        <w:ind w:left="2616" w:hanging="360"/>
      </w:pPr>
      <w:rPr>
        <w:rFonts w:ascii="Courier New" w:hAnsi="Courier New" w:cs="Courier New" w:hint="default"/>
      </w:rPr>
    </w:lvl>
    <w:lvl w:ilvl="2" w:tplc="04090005" w:tentative="1">
      <w:start w:val="1"/>
      <w:numFmt w:val="bullet"/>
      <w:lvlText w:val=""/>
      <w:lvlJc w:val="left"/>
      <w:pPr>
        <w:ind w:left="3336" w:hanging="360"/>
      </w:pPr>
      <w:rPr>
        <w:rFonts w:ascii="Wingdings" w:hAnsi="Wingdings" w:hint="default"/>
      </w:rPr>
    </w:lvl>
    <w:lvl w:ilvl="3" w:tplc="04090001" w:tentative="1">
      <w:start w:val="1"/>
      <w:numFmt w:val="bullet"/>
      <w:lvlText w:val=""/>
      <w:lvlJc w:val="left"/>
      <w:pPr>
        <w:ind w:left="4056" w:hanging="360"/>
      </w:pPr>
      <w:rPr>
        <w:rFonts w:ascii="Symbol" w:hAnsi="Symbol" w:hint="default"/>
      </w:rPr>
    </w:lvl>
    <w:lvl w:ilvl="4" w:tplc="04090003" w:tentative="1">
      <w:start w:val="1"/>
      <w:numFmt w:val="bullet"/>
      <w:lvlText w:val="o"/>
      <w:lvlJc w:val="left"/>
      <w:pPr>
        <w:ind w:left="4776" w:hanging="360"/>
      </w:pPr>
      <w:rPr>
        <w:rFonts w:ascii="Courier New" w:hAnsi="Courier New" w:cs="Courier New" w:hint="default"/>
      </w:rPr>
    </w:lvl>
    <w:lvl w:ilvl="5" w:tplc="04090005" w:tentative="1">
      <w:start w:val="1"/>
      <w:numFmt w:val="bullet"/>
      <w:lvlText w:val=""/>
      <w:lvlJc w:val="left"/>
      <w:pPr>
        <w:ind w:left="5496" w:hanging="360"/>
      </w:pPr>
      <w:rPr>
        <w:rFonts w:ascii="Wingdings" w:hAnsi="Wingdings" w:hint="default"/>
      </w:rPr>
    </w:lvl>
    <w:lvl w:ilvl="6" w:tplc="04090001" w:tentative="1">
      <w:start w:val="1"/>
      <w:numFmt w:val="bullet"/>
      <w:lvlText w:val=""/>
      <w:lvlJc w:val="left"/>
      <w:pPr>
        <w:ind w:left="6216" w:hanging="360"/>
      </w:pPr>
      <w:rPr>
        <w:rFonts w:ascii="Symbol" w:hAnsi="Symbol" w:hint="default"/>
      </w:rPr>
    </w:lvl>
    <w:lvl w:ilvl="7" w:tplc="04090003" w:tentative="1">
      <w:start w:val="1"/>
      <w:numFmt w:val="bullet"/>
      <w:lvlText w:val="o"/>
      <w:lvlJc w:val="left"/>
      <w:pPr>
        <w:ind w:left="6936" w:hanging="360"/>
      </w:pPr>
      <w:rPr>
        <w:rFonts w:ascii="Courier New" w:hAnsi="Courier New" w:cs="Courier New" w:hint="default"/>
      </w:rPr>
    </w:lvl>
    <w:lvl w:ilvl="8" w:tplc="04090005" w:tentative="1">
      <w:start w:val="1"/>
      <w:numFmt w:val="bullet"/>
      <w:lvlText w:val=""/>
      <w:lvlJc w:val="left"/>
      <w:pPr>
        <w:ind w:left="7656" w:hanging="360"/>
      </w:pPr>
      <w:rPr>
        <w:rFonts w:ascii="Wingdings" w:hAnsi="Wingdings" w:hint="default"/>
      </w:rPr>
    </w:lvl>
  </w:abstractNum>
  <w:abstractNum w:abstractNumId="46" w15:restartNumberingAfterBreak="0">
    <w:nsid w:val="54B86122"/>
    <w:multiLevelType w:val="hybridMultilevel"/>
    <w:tmpl w:val="9A8682F4"/>
    <w:lvl w:ilvl="0" w:tplc="2F403108">
      <w:start w:val="1"/>
      <w:numFmt w:val="upperRoman"/>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090D2B"/>
    <w:multiLevelType w:val="hybridMultilevel"/>
    <w:tmpl w:val="B1D01D52"/>
    <w:lvl w:ilvl="0" w:tplc="583A1EDC">
      <w:start w:val="1"/>
      <w:numFmt w:val="low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60C6065"/>
    <w:multiLevelType w:val="hybridMultilevel"/>
    <w:tmpl w:val="8C28578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56943A8F"/>
    <w:multiLevelType w:val="hybridMultilevel"/>
    <w:tmpl w:val="71D45386"/>
    <w:lvl w:ilvl="0" w:tplc="87C87B08">
      <w:numFmt w:val="bullet"/>
      <w:lvlText w:val="─"/>
      <w:lvlJc w:val="left"/>
      <w:pPr>
        <w:ind w:left="720" w:hanging="360"/>
      </w:pPr>
      <w:rPr>
        <w:rFonts w:ascii="Verdana" w:eastAsia="Verdana" w:hAnsi="Verdana" w:cs="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6A362AD"/>
    <w:multiLevelType w:val="hybridMultilevel"/>
    <w:tmpl w:val="81622E9C"/>
    <w:lvl w:ilvl="0" w:tplc="6748AA1A">
      <w:start w:val="1"/>
      <w:numFmt w:val="bullet"/>
      <w:pStyle w:val="Bullet2"/>
      <w:lvlText w:val="•"/>
      <w:lvlJc w:val="left"/>
      <w:pPr>
        <w:ind w:left="0" w:hanging="360"/>
      </w:pPr>
      <w:rPr>
        <w:rFonts w:ascii="Helvetica" w:hAnsi="Helvetica" w:hint="default"/>
        <w:color w:val="auto"/>
        <w:sz w:val="22"/>
        <w:u w:color="FFFFFF" w:themeColor="background1"/>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1" w15:restartNumberingAfterBreak="0">
    <w:nsid w:val="57494BC9"/>
    <w:multiLevelType w:val="hybridMultilevel"/>
    <w:tmpl w:val="56C4233A"/>
    <w:lvl w:ilvl="0" w:tplc="106EB306">
      <w:numFmt w:val="bullet"/>
      <w:lvlText w:val=""/>
      <w:lvlJc w:val="left"/>
      <w:pPr>
        <w:ind w:left="360" w:hanging="360"/>
      </w:pPr>
      <w:rPr>
        <w:rFonts w:ascii="Symbol" w:eastAsiaTheme="minorEastAsia" w:hAnsi="Symbol"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15:restartNumberingAfterBreak="0">
    <w:nsid w:val="5A791ABA"/>
    <w:multiLevelType w:val="hybridMultilevel"/>
    <w:tmpl w:val="190C6AEA"/>
    <w:lvl w:ilvl="0" w:tplc="FFFFFFFF">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15:restartNumberingAfterBreak="0">
    <w:nsid w:val="5B021E1F"/>
    <w:multiLevelType w:val="hybridMultilevel"/>
    <w:tmpl w:val="3FBEE2A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5C80587A"/>
    <w:multiLevelType w:val="hybridMultilevel"/>
    <w:tmpl w:val="E7ECE762"/>
    <w:lvl w:ilvl="0" w:tplc="FFFFFFFF">
      <w:start w:val="1"/>
      <w:numFmt w:val="upperRoman"/>
      <w:lvlText w:val="%1."/>
      <w:lvlJc w:val="left"/>
      <w:pPr>
        <w:ind w:left="720" w:hanging="360"/>
      </w:pPr>
      <w:rPr>
        <w:rFonts w:asciiTheme="minorHAnsi" w:eastAsiaTheme="minorEastAsia" w:hAnsiTheme="minorHAnsi" w:cstheme="minorBidi"/>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87C87B08">
      <w:numFmt w:val="bullet"/>
      <w:lvlText w:val="─"/>
      <w:lvlJc w:val="left"/>
      <w:pPr>
        <w:ind w:left="1068" w:hanging="360"/>
      </w:pPr>
      <w:rPr>
        <w:rFonts w:ascii="Verdana" w:eastAsia="Verdana" w:hAnsi="Verdana" w:cs="Verdana"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EC617E6"/>
    <w:multiLevelType w:val="hybridMultilevel"/>
    <w:tmpl w:val="32A65460"/>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F6E5482"/>
    <w:multiLevelType w:val="hybridMultilevel"/>
    <w:tmpl w:val="46628162"/>
    <w:lvl w:ilvl="0" w:tplc="87C87B08">
      <w:numFmt w:val="bullet"/>
      <w:lvlText w:val="─"/>
      <w:lvlJc w:val="left"/>
      <w:pPr>
        <w:ind w:left="1068" w:hanging="360"/>
      </w:pPr>
      <w:rPr>
        <w:rFonts w:ascii="Verdana" w:eastAsia="Verdana" w:hAnsi="Verdana" w:cs="Verdana"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7" w15:restartNumberingAfterBreak="0">
    <w:nsid w:val="5FEF2893"/>
    <w:multiLevelType w:val="hybridMultilevel"/>
    <w:tmpl w:val="AD8EBBB4"/>
    <w:lvl w:ilvl="0" w:tplc="87C87B08">
      <w:numFmt w:val="bullet"/>
      <w:lvlText w:val="─"/>
      <w:lvlJc w:val="left"/>
      <w:pPr>
        <w:ind w:left="1068" w:hanging="360"/>
      </w:pPr>
      <w:rPr>
        <w:rFonts w:ascii="Verdana" w:eastAsia="Verdana" w:hAnsi="Verdana" w:cs="Verdan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8" w15:restartNumberingAfterBreak="0">
    <w:nsid w:val="60544155"/>
    <w:multiLevelType w:val="hybridMultilevel"/>
    <w:tmpl w:val="6E541148"/>
    <w:lvl w:ilvl="0" w:tplc="E01A0140">
      <w:numFmt w:val="bullet"/>
      <w:lvlText w:val="-"/>
      <w:lvlJc w:val="left"/>
      <w:pPr>
        <w:ind w:left="720" w:hanging="360"/>
      </w:pPr>
      <w:rPr>
        <w:rFonts w:ascii="Gellix" w:eastAsiaTheme="minorEastAsia" w:hAnsi="Gellix"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197273D"/>
    <w:multiLevelType w:val="hybridMultilevel"/>
    <w:tmpl w:val="263884AA"/>
    <w:lvl w:ilvl="0" w:tplc="87C87B08">
      <w:numFmt w:val="bullet"/>
      <w:lvlText w:val="─"/>
      <w:lvlJc w:val="left"/>
      <w:pPr>
        <w:ind w:left="1068" w:hanging="360"/>
      </w:pPr>
      <w:rPr>
        <w:rFonts w:ascii="Verdana" w:eastAsia="Verdana" w:hAnsi="Verdana" w:cs="Verdana"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0" w15:restartNumberingAfterBreak="0">
    <w:nsid w:val="62CB5DFE"/>
    <w:multiLevelType w:val="hybridMultilevel"/>
    <w:tmpl w:val="2A9E33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1" w15:restartNumberingAfterBreak="0">
    <w:nsid w:val="679D2D81"/>
    <w:multiLevelType w:val="hybridMultilevel"/>
    <w:tmpl w:val="93AEFBF6"/>
    <w:lvl w:ilvl="0" w:tplc="87CC3F30">
      <w:numFmt w:val="bullet"/>
      <w:lvlText w:val=""/>
      <w:lvlJc w:val="left"/>
      <w:pPr>
        <w:ind w:left="1068" w:hanging="360"/>
      </w:pPr>
      <w:rPr>
        <w:rFonts w:ascii="Symbol" w:eastAsiaTheme="minorEastAsia" w:hAnsi="Symbol"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2" w15:restartNumberingAfterBreak="0">
    <w:nsid w:val="68E27D75"/>
    <w:multiLevelType w:val="hybridMultilevel"/>
    <w:tmpl w:val="E22C783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6ACA0B0E"/>
    <w:multiLevelType w:val="hybridMultilevel"/>
    <w:tmpl w:val="00C4CF6C"/>
    <w:lvl w:ilvl="0" w:tplc="040C0005">
      <w:start w:val="1"/>
      <w:numFmt w:val="bullet"/>
      <w:lvlText w:val=""/>
      <w:lvlJc w:val="left"/>
      <w:pPr>
        <w:ind w:left="1428" w:hanging="360"/>
      </w:pPr>
      <w:rPr>
        <w:rFonts w:ascii="Wingdings" w:hAnsi="Wingdings" w:hint="default"/>
      </w:rPr>
    </w:lvl>
    <w:lvl w:ilvl="1" w:tplc="FFFFFFFF">
      <w:start w:val="1"/>
      <w:numFmt w:val="bullet"/>
      <w:lvlText w:val=""/>
      <w:lvlJc w:val="left"/>
      <w:pPr>
        <w:ind w:left="2148" w:hanging="360"/>
      </w:pPr>
      <w:rPr>
        <w:rFonts w:ascii="Wingdings" w:hAnsi="Wingdings"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4" w15:restartNumberingAfterBreak="0">
    <w:nsid w:val="6E8C409B"/>
    <w:multiLevelType w:val="hybridMultilevel"/>
    <w:tmpl w:val="2166B1CC"/>
    <w:lvl w:ilvl="0" w:tplc="87C87B08">
      <w:numFmt w:val="bullet"/>
      <w:lvlText w:val="─"/>
      <w:lvlJc w:val="left"/>
      <w:pPr>
        <w:ind w:left="1428" w:hanging="360"/>
      </w:pPr>
      <w:rPr>
        <w:rFonts w:ascii="Verdana" w:eastAsia="Verdana" w:hAnsi="Verdana" w:cs="Verdana"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5" w15:restartNumberingAfterBreak="0">
    <w:nsid w:val="6F9F78F3"/>
    <w:multiLevelType w:val="hybridMultilevel"/>
    <w:tmpl w:val="B71EADC4"/>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76520BF5"/>
    <w:multiLevelType w:val="hybridMultilevel"/>
    <w:tmpl w:val="1B54E01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7" w15:restartNumberingAfterBreak="0">
    <w:nsid w:val="77007E53"/>
    <w:multiLevelType w:val="hybridMultilevel"/>
    <w:tmpl w:val="17B873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7EE3981"/>
    <w:multiLevelType w:val="hybridMultilevel"/>
    <w:tmpl w:val="85EE73DA"/>
    <w:lvl w:ilvl="0" w:tplc="106EB306">
      <w:numFmt w:val="bullet"/>
      <w:lvlText w:val=""/>
      <w:lvlJc w:val="left"/>
      <w:pPr>
        <w:ind w:left="360" w:hanging="360"/>
      </w:pPr>
      <w:rPr>
        <w:rFonts w:ascii="Symbol" w:eastAsiaTheme="minorEastAsia" w:hAnsi="Symbol"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9" w15:restartNumberingAfterBreak="0">
    <w:nsid w:val="77F659F8"/>
    <w:multiLevelType w:val="hybridMultilevel"/>
    <w:tmpl w:val="F9ACE05E"/>
    <w:lvl w:ilvl="0" w:tplc="F3EA0BB8">
      <w:start w:val="1"/>
      <w:numFmt w:val="upperLetter"/>
      <w:lvlText w:val="%1."/>
      <w:lvlJc w:val="left"/>
      <w:pPr>
        <w:ind w:left="720" w:hanging="360"/>
      </w:pPr>
      <w:rPr>
        <w:b/>
        <w:bCs/>
        <w:color w:val="007DFF"/>
        <w:sz w:val="28"/>
        <w:szCs w:val="28"/>
      </w:rPr>
    </w:lvl>
    <w:lvl w:ilvl="1" w:tplc="3E56C15A">
      <w:start w:val="1"/>
      <w:numFmt w:val="upperLetter"/>
      <w:lvlText w:val="%2."/>
      <w:lvlJc w:val="left"/>
      <w:pPr>
        <w:ind w:left="1440" w:hanging="360"/>
      </w:pPr>
      <w:rPr>
        <w:b/>
        <w:bCs/>
      </w:rPr>
    </w:lvl>
    <w:lvl w:ilvl="2" w:tplc="FFFFFFFF">
      <w:start w:val="1"/>
      <w:numFmt w:val="lowerRoman"/>
      <w:lvlText w:val="%3."/>
      <w:lvlJc w:val="right"/>
      <w:pPr>
        <w:ind w:left="2160" w:hanging="180"/>
      </w:pPr>
    </w:lvl>
    <w:lvl w:ilvl="3" w:tplc="106EB306">
      <w:numFmt w:val="bullet"/>
      <w:lvlText w:val=""/>
      <w:lvlJc w:val="left"/>
      <w:pPr>
        <w:ind w:left="2880" w:hanging="360"/>
      </w:pPr>
      <w:rPr>
        <w:rFonts w:ascii="Symbol" w:eastAsiaTheme="minorEastAsia" w:hAnsi="Symbol" w:cstheme="minorBid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9266810"/>
    <w:multiLevelType w:val="hybridMultilevel"/>
    <w:tmpl w:val="6E66CF04"/>
    <w:lvl w:ilvl="0" w:tplc="FFFFFFFF">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1" w15:restartNumberingAfterBreak="0">
    <w:nsid w:val="79DB0F11"/>
    <w:multiLevelType w:val="hybridMultilevel"/>
    <w:tmpl w:val="77A686A6"/>
    <w:lvl w:ilvl="0" w:tplc="87C87B08">
      <w:numFmt w:val="bullet"/>
      <w:lvlText w:val="─"/>
      <w:lvlJc w:val="left"/>
      <w:pPr>
        <w:ind w:left="1068" w:hanging="360"/>
      </w:pPr>
      <w:rPr>
        <w:rFonts w:ascii="Verdana" w:eastAsia="Verdana" w:hAnsi="Verdana" w:cs="Verdana"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2" w15:restartNumberingAfterBreak="0">
    <w:nsid w:val="7A153B5C"/>
    <w:multiLevelType w:val="hybridMultilevel"/>
    <w:tmpl w:val="44909408"/>
    <w:lvl w:ilvl="0" w:tplc="FFFFFFFF">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3" w15:restartNumberingAfterBreak="0">
    <w:nsid w:val="7CD97677"/>
    <w:multiLevelType w:val="hybridMultilevel"/>
    <w:tmpl w:val="12269B4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7D9C16C8"/>
    <w:multiLevelType w:val="hybridMultilevel"/>
    <w:tmpl w:val="56DCBE8E"/>
    <w:lvl w:ilvl="0" w:tplc="ADAC49E2">
      <w:start w:val="1"/>
      <w:numFmt w:val="bullet"/>
      <w:lvlText w:val="-"/>
      <w:lvlJc w:val="left"/>
      <w:pPr>
        <w:ind w:left="1080" w:hanging="360"/>
      </w:pPr>
      <w:rPr>
        <w:rFonts w:ascii="Gellix" w:eastAsiaTheme="minorEastAsia" w:hAnsi="Gellix"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DE1697C"/>
    <w:multiLevelType w:val="hybridMultilevel"/>
    <w:tmpl w:val="EAA083FC"/>
    <w:lvl w:ilvl="0" w:tplc="040C001B">
      <w:start w:val="1"/>
      <w:numFmt w:val="lowerRoman"/>
      <w:lvlText w:val="%1."/>
      <w:lvlJc w:val="righ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6" w15:restartNumberingAfterBreak="0">
    <w:nsid w:val="7DE63B54"/>
    <w:multiLevelType w:val="hybridMultilevel"/>
    <w:tmpl w:val="A80698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116629613">
    <w:abstractNumId w:val="46"/>
  </w:num>
  <w:num w:numId="2" w16cid:durableId="329716841">
    <w:abstractNumId w:val="29"/>
  </w:num>
  <w:num w:numId="3" w16cid:durableId="308949407">
    <w:abstractNumId w:val="41"/>
  </w:num>
  <w:num w:numId="4" w16cid:durableId="1621106703">
    <w:abstractNumId w:val="20"/>
  </w:num>
  <w:num w:numId="5" w16cid:durableId="895777649">
    <w:abstractNumId w:val="69"/>
  </w:num>
  <w:num w:numId="6" w16cid:durableId="461314234">
    <w:abstractNumId w:val="45"/>
  </w:num>
  <w:num w:numId="7" w16cid:durableId="631207269">
    <w:abstractNumId w:val="73"/>
  </w:num>
  <w:num w:numId="8" w16cid:durableId="110906846">
    <w:abstractNumId w:val="75"/>
  </w:num>
  <w:num w:numId="9" w16cid:durableId="2058622578">
    <w:abstractNumId w:val="36"/>
  </w:num>
  <w:num w:numId="10" w16cid:durableId="926156930">
    <w:abstractNumId w:val="56"/>
  </w:num>
  <w:num w:numId="11" w16cid:durableId="433403252">
    <w:abstractNumId w:val="54"/>
  </w:num>
  <w:num w:numId="12" w16cid:durableId="1113550772">
    <w:abstractNumId w:val="64"/>
  </w:num>
  <w:num w:numId="13" w16cid:durableId="921453484">
    <w:abstractNumId w:val="49"/>
  </w:num>
  <w:num w:numId="14" w16cid:durableId="527063448">
    <w:abstractNumId w:val="57"/>
  </w:num>
  <w:num w:numId="15" w16cid:durableId="722872568">
    <w:abstractNumId w:val="65"/>
  </w:num>
  <w:num w:numId="16" w16cid:durableId="720904768">
    <w:abstractNumId w:val="22"/>
  </w:num>
  <w:num w:numId="17" w16cid:durableId="1581863172">
    <w:abstractNumId w:val="38"/>
  </w:num>
  <w:num w:numId="18" w16cid:durableId="1999335715">
    <w:abstractNumId w:val="18"/>
  </w:num>
  <w:num w:numId="19" w16cid:durableId="982196516">
    <w:abstractNumId w:val="43"/>
  </w:num>
  <w:num w:numId="20" w16cid:durableId="336225983">
    <w:abstractNumId w:val="71"/>
  </w:num>
  <w:num w:numId="21" w16cid:durableId="1649940381">
    <w:abstractNumId w:val="31"/>
  </w:num>
  <w:num w:numId="22" w16cid:durableId="1091971544">
    <w:abstractNumId w:val="63"/>
  </w:num>
  <w:num w:numId="23" w16cid:durableId="1997489913">
    <w:abstractNumId w:val="58"/>
  </w:num>
  <w:num w:numId="24" w16cid:durableId="328951388">
    <w:abstractNumId w:val="59"/>
  </w:num>
  <w:num w:numId="25" w16cid:durableId="1977637482">
    <w:abstractNumId w:val="13"/>
  </w:num>
  <w:num w:numId="26" w16cid:durableId="45498837">
    <w:abstractNumId w:val="23"/>
  </w:num>
  <w:num w:numId="27" w16cid:durableId="1725373008">
    <w:abstractNumId w:val="14"/>
  </w:num>
  <w:num w:numId="28" w16cid:durableId="641617603">
    <w:abstractNumId w:val="0"/>
  </w:num>
  <w:num w:numId="29" w16cid:durableId="180584150">
    <w:abstractNumId w:val="19"/>
  </w:num>
  <w:num w:numId="30" w16cid:durableId="1096175723">
    <w:abstractNumId w:val="74"/>
  </w:num>
  <w:num w:numId="31" w16cid:durableId="1852522024">
    <w:abstractNumId w:val="53"/>
  </w:num>
  <w:num w:numId="32" w16cid:durableId="35198182">
    <w:abstractNumId w:val="39"/>
  </w:num>
  <w:num w:numId="33" w16cid:durableId="819545213">
    <w:abstractNumId w:val="67"/>
  </w:num>
  <w:num w:numId="34" w16cid:durableId="1874921222">
    <w:abstractNumId w:val="32"/>
  </w:num>
  <w:num w:numId="35" w16cid:durableId="740912369">
    <w:abstractNumId w:val="21"/>
  </w:num>
  <w:num w:numId="36" w16cid:durableId="1237320738">
    <w:abstractNumId w:val="15"/>
  </w:num>
  <w:num w:numId="37" w16cid:durableId="2105153050">
    <w:abstractNumId w:val="1"/>
  </w:num>
  <w:num w:numId="38" w16cid:durableId="1277560019">
    <w:abstractNumId w:val="61"/>
  </w:num>
  <w:num w:numId="39" w16cid:durableId="1963421795">
    <w:abstractNumId w:val="60"/>
  </w:num>
  <w:num w:numId="40" w16cid:durableId="884870952">
    <w:abstractNumId w:val="50"/>
  </w:num>
  <w:num w:numId="41" w16cid:durableId="671492535">
    <w:abstractNumId w:val="7"/>
  </w:num>
  <w:num w:numId="42" w16cid:durableId="564727991">
    <w:abstractNumId w:val="10"/>
  </w:num>
  <w:num w:numId="43" w16cid:durableId="1969706023">
    <w:abstractNumId w:val="5"/>
  </w:num>
  <w:num w:numId="44" w16cid:durableId="552548135">
    <w:abstractNumId w:val="37"/>
  </w:num>
  <w:num w:numId="45" w16cid:durableId="154803809">
    <w:abstractNumId w:val="51"/>
  </w:num>
  <w:num w:numId="46" w16cid:durableId="724455444">
    <w:abstractNumId w:val="40"/>
  </w:num>
  <w:num w:numId="47" w16cid:durableId="1269656122">
    <w:abstractNumId w:val="28"/>
  </w:num>
  <w:num w:numId="48" w16cid:durableId="2049639486">
    <w:abstractNumId w:val="68"/>
  </w:num>
  <w:num w:numId="49" w16cid:durableId="1808008755">
    <w:abstractNumId w:val="42"/>
  </w:num>
  <w:num w:numId="50" w16cid:durableId="1922369443">
    <w:abstractNumId w:val="76"/>
  </w:num>
  <w:num w:numId="51" w16cid:durableId="1246495017">
    <w:abstractNumId w:val="27"/>
  </w:num>
  <w:num w:numId="52" w16cid:durableId="212499346">
    <w:abstractNumId w:val="6"/>
  </w:num>
  <w:num w:numId="53" w16cid:durableId="1681274900">
    <w:abstractNumId w:val="66"/>
  </w:num>
  <w:num w:numId="54" w16cid:durableId="662271347">
    <w:abstractNumId w:val="2"/>
  </w:num>
  <w:num w:numId="55" w16cid:durableId="224530560">
    <w:abstractNumId w:val="35"/>
  </w:num>
  <w:num w:numId="56" w16cid:durableId="1403599522">
    <w:abstractNumId w:val="24"/>
  </w:num>
  <w:num w:numId="57" w16cid:durableId="1347292777">
    <w:abstractNumId w:val="8"/>
  </w:num>
  <w:num w:numId="58" w16cid:durableId="958342206">
    <w:abstractNumId w:val="17"/>
  </w:num>
  <w:num w:numId="59" w16cid:durableId="1979527996">
    <w:abstractNumId w:val="30"/>
  </w:num>
  <w:num w:numId="60" w16cid:durableId="596837383">
    <w:abstractNumId w:val="25"/>
  </w:num>
  <w:num w:numId="61" w16cid:durableId="1146093667">
    <w:abstractNumId w:val="72"/>
  </w:num>
  <w:num w:numId="62" w16cid:durableId="382828529">
    <w:abstractNumId w:val="3"/>
  </w:num>
  <w:num w:numId="63" w16cid:durableId="919676793">
    <w:abstractNumId w:val="4"/>
  </w:num>
  <w:num w:numId="64" w16cid:durableId="1117870330">
    <w:abstractNumId w:val="48"/>
  </w:num>
  <w:num w:numId="65" w16cid:durableId="899444858">
    <w:abstractNumId w:val="12"/>
  </w:num>
  <w:num w:numId="66" w16cid:durableId="833646007">
    <w:abstractNumId w:val="34"/>
  </w:num>
  <w:num w:numId="67" w16cid:durableId="547685735">
    <w:abstractNumId w:val="70"/>
  </w:num>
  <w:num w:numId="68" w16cid:durableId="1455825023">
    <w:abstractNumId w:val="44"/>
  </w:num>
  <w:num w:numId="69" w16cid:durableId="1341735312">
    <w:abstractNumId w:val="62"/>
  </w:num>
  <w:num w:numId="70" w16cid:durableId="1818180980">
    <w:abstractNumId w:val="55"/>
  </w:num>
  <w:num w:numId="71" w16cid:durableId="594483235">
    <w:abstractNumId w:val="11"/>
  </w:num>
  <w:num w:numId="72" w16cid:durableId="1362634675">
    <w:abstractNumId w:val="26"/>
  </w:num>
  <w:num w:numId="73" w16cid:durableId="1184826131">
    <w:abstractNumId w:val="16"/>
  </w:num>
  <w:num w:numId="74" w16cid:durableId="1430081703">
    <w:abstractNumId w:val="47"/>
  </w:num>
  <w:num w:numId="75" w16cid:durableId="1264847792">
    <w:abstractNumId w:val="9"/>
  </w:num>
  <w:num w:numId="76" w16cid:durableId="725370174">
    <w:abstractNumId w:val="33"/>
  </w:num>
  <w:num w:numId="77" w16cid:durableId="1954052376">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94"/>
    <w:rsid w:val="00000AEA"/>
    <w:rsid w:val="000011EB"/>
    <w:rsid w:val="00002789"/>
    <w:rsid w:val="000027B4"/>
    <w:rsid w:val="000041A5"/>
    <w:rsid w:val="00004630"/>
    <w:rsid w:val="000054F5"/>
    <w:rsid w:val="00005734"/>
    <w:rsid w:val="00005E9B"/>
    <w:rsid w:val="00007263"/>
    <w:rsid w:val="00010CFF"/>
    <w:rsid w:val="000112B1"/>
    <w:rsid w:val="00012315"/>
    <w:rsid w:val="000154D9"/>
    <w:rsid w:val="0001648D"/>
    <w:rsid w:val="0001789B"/>
    <w:rsid w:val="000208EA"/>
    <w:rsid w:val="00020DA4"/>
    <w:rsid w:val="00021331"/>
    <w:rsid w:val="00021459"/>
    <w:rsid w:val="00023ADF"/>
    <w:rsid w:val="00024B91"/>
    <w:rsid w:val="00025317"/>
    <w:rsid w:val="0002634D"/>
    <w:rsid w:val="00026B7F"/>
    <w:rsid w:val="000271E7"/>
    <w:rsid w:val="0002769E"/>
    <w:rsid w:val="00030A20"/>
    <w:rsid w:val="00030FD5"/>
    <w:rsid w:val="00032743"/>
    <w:rsid w:val="00033230"/>
    <w:rsid w:val="00033C19"/>
    <w:rsid w:val="0003403D"/>
    <w:rsid w:val="00035AEB"/>
    <w:rsid w:val="00036122"/>
    <w:rsid w:val="00040A5F"/>
    <w:rsid w:val="00041572"/>
    <w:rsid w:val="000442A1"/>
    <w:rsid w:val="00044C4B"/>
    <w:rsid w:val="00044E91"/>
    <w:rsid w:val="000452CD"/>
    <w:rsid w:val="00045393"/>
    <w:rsid w:val="00045A3B"/>
    <w:rsid w:val="0004607F"/>
    <w:rsid w:val="00046D7B"/>
    <w:rsid w:val="000510F9"/>
    <w:rsid w:val="00054CB6"/>
    <w:rsid w:val="00055437"/>
    <w:rsid w:val="00055D5F"/>
    <w:rsid w:val="00057A4A"/>
    <w:rsid w:val="00057EBA"/>
    <w:rsid w:val="0006034A"/>
    <w:rsid w:val="00060B55"/>
    <w:rsid w:val="00061BB5"/>
    <w:rsid w:val="00061EE2"/>
    <w:rsid w:val="000622BE"/>
    <w:rsid w:val="00062E88"/>
    <w:rsid w:val="00065621"/>
    <w:rsid w:val="00066331"/>
    <w:rsid w:val="00066C6E"/>
    <w:rsid w:val="000708A9"/>
    <w:rsid w:val="00070D4D"/>
    <w:rsid w:val="00071703"/>
    <w:rsid w:val="0007311C"/>
    <w:rsid w:val="00073F47"/>
    <w:rsid w:val="00074B63"/>
    <w:rsid w:val="00075235"/>
    <w:rsid w:val="00075F2E"/>
    <w:rsid w:val="00076591"/>
    <w:rsid w:val="00077B0E"/>
    <w:rsid w:val="000806C4"/>
    <w:rsid w:val="000809D4"/>
    <w:rsid w:val="00081A8E"/>
    <w:rsid w:val="00081ACC"/>
    <w:rsid w:val="00083AFE"/>
    <w:rsid w:val="00084021"/>
    <w:rsid w:val="00086BEB"/>
    <w:rsid w:val="00086ECE"/>
    <w:rsid w:val="000872A8"/>
    <w:rsid w:val="000875EE"/>
    <w:rsid w:val="0008762D"/>
    <w:rsid w:val="000900AA"/>
    <w:rsid w:val="000922E4"/>
    <w:rsid w:val="00092C25"/>
    <w:rsid w:val="00093355"/>
    <w:rsid w:val="0009354B"/>
    <w:rsid w:val="00097044"/>
    <w:rsid w:val="000A06F9"/>
    <w:rsid w:val="000A1247"/>
    <w:rsid w:val="000A3E2D"/>
    <w:rsid w:val="000A4849"/>
    <w:rsid w:val="000A52D6"/>
    <w:rsid w:val="000A7600"/>
    <w:rsid w:val="000B08C4"/>
    <w:rsid w:val="000B175B"/>
    <w:rsid w:val="000B188A"/>
    <w:rsid w:val="000B32AF"/>
    <w:rsid w:val="000B6C24"/>
    <w:rsid w:val="000B7C83"/>
    <w:rsid w:val="000C011D"/>
    <w:rsid w:val="000C0258"/>
    <w:rsid w:val="000C27D3"/>
    <w:rsid w:val="000C39F2"/>
    <w:rsid w:val="000C3D19"/>
    <w:rsid w:val="000C3FC5"/>
    <w:rsid w:val="000C4A41"/>
    <w:rsid w:val="000C5AAF"/>
    <w:rsid w:val="000D047A"/>
    <w:rsid w:val="000D2E23"/>
    <w:rsid w:val="000D3AD3"/>
    <w:rsid w:val="000D6D4A"/>
    <w:rsid w:val="000D7ACD"/>
    <w:rsid w:val="000E5383"/>
    <w:rsid w:val="000E5B19"/>
    <w:rsid w:val="000F0BF2"/>
    <w:rsid w:val="000F15B7"/>
    <w:rsid w:val="000F220D"/>
    <w:rsid w:val="000F2B79"/>
    <w:rsid w:val="000F2F6F"/>
    <w:rsid w:val="000F516D"/>
    <w:rsid w:val="000F562D"/>
    <w:rsid w:val="00101708"/>
    <w:rsid w:val="0010182F"/>
    <w:rsid w:val="001030B4"/>
    <w:rsid w:val="00105AEC"/>
    <w:rsid w:val="001079BD"/>
    <w:rsid w:val="0011008A"/>
    <w:rsid w:val="00111B4B"/>
    <w:rsid w:val="001132FA"/>
    <w:rsid w:val="00113E4A"/>
    <w:rsid w:val="0011614E"/>
    <w:rsid w:val="00116EA7"/>
    <w:rsid w:val="001179F0"/>
    <w:rsid w:val="00117A29"/>
    <w:rsid w:val="00117A8C"/>
    <w:rsid w:val="00120A36"/>
    <w:rsid w:val="00120A95"/>
    <w:rsid w:val="0012497B"/>
    <w:rsid w:val="001264BB"/>
    <w:rsid w:val="00126989"/>
    <w:rsid w:val="00130521"/>
    <w:rsid w:val="00131BBF"/>
    <w:rsid w:val="00133C9B"/>
    <w:rsid w:val="00134263"/>
    <w:rsid w:val="00134466"/>
    <w:rsid w:val="001347A3"/>
    <w:rsid w:val="00135809"/>
    <w:rsid w:val="0013615E"/>
    <w:rsid w:val="00137625"/>
    <w:rsid w:val="0013784D"/>
    <w:rsid w:val="0014290F"/>
    <w:rsid w:val="00144224"/>
    <w:rsid w:val="00144250"/>
    <w:rsid w:val="00145777"/>
    <w:rsid w:val="001509BC"/>
    <w:rsid w:val="0015139F"/>
    <w:rsid w:val="00151603"/>
    <w:rsid w:val="001518BB"/>
    <w:rsid w:val="0015362A"/>
    <w:rsid w:val="0015614D"/>
    <w:rsid w:val="00157A5A"/>
    <w:rsid w:val="00161415"/>
    <w:rsid w:val="001619C6"/>
    <w:rsid w:val="00162753"/>
    <w:rsid w:val="0016372D"/>
    <w:rsid w:val="00164442"/>
    <w:rsid w:val="0016600A"/>
    <w:rsid w:val="001666FA"/>
    <w:rsid w:val="001677A9"/>
    <w:rsid w:val="00171126"/>
    <w:rsid w:val="00172C86"/>
    <w:rsid w:val="00173EE2"/>
    <w:rsid w:val="0017504E"/>
    <w:rsid w:val="00175C41"/>
    <w:rsid w:val="001763B9"/>
    <w:rsid w:val="00181AF3"/>
    <w:rsid w:val="00185805"/>
    <w:rsid w:val="001926A6"/>
    <w:rsid w:val="0019289C"/>
    <w:rsid w:val="0019573C"/>
    <w:rsid w:val="00196C97"/>
    <w:rsid w:val="001A11E4"/>
    <w:rsid w:val="001A1FA9"/>
    <w:rsid w:val="001A417E"/>
    <w:rsid w:val="001A65C0"/>
    <w:rsid w:val="001A7E1D"/>
    <w:rsid w:val="001B0AC5"/>
    <w:rsid w:val="001B1F87"/>
    <w:rsid w:val="001B5BDB"/>
    <w:rsid w:val="001B687F"/>
    <w:rsid w:val="001C01BF"/>
    <w:rsid w:val="001C2067"/>
    <w:rsid w:val="001C2F86"/>
    <w:rsid w:val="001C325F"/>
    <w:rsid w:val="001C5605"/>
    <w:rsid w:val="001C5691"/>
    <w:rsid w:val="001C7931"/>
    <w:rsid w:val="001D08A2"/>
    <w:rsid w:val="001D28F8"/>
    <w:rsid w:val="001D2FEB"/>
    <w:rsid w:val="001D3692"/>
    <w:rsid w:val="001D4CD1"/>
    <w:rsid w:val="001D5CD2"/>
    <w:rsid w:val="001D6AD7"/>
    <w:rsid w:val="001D7585"/>
    <w:rsid w:val="001D77EF"/>
    <w:rsid w:val="001E1ECF"/>
    <w:rsid w:val="001E2C1D"/>
    <w:rsid w:val="001E301B"/>
    <w:rsid w:val="001E42C1"/>
    <w:rsid w:val="001E45E7"/>
    <w:rsid w:val="001E5F8A"/>
    <w:rsid w:val="001F047B"/>
    <w:rsid w:val="001F0BB6"/>
    <w:rsid w:val="001F1A15"/>
    <w:rsid w:val="001F1CD6"/>
    <w:rsid w:val="001F3A1E"/>
    <w:rsid w:val="001F4B92"/>
    <w:rsid w:val="001F4C26"/>
    <w:rsid w:val="001F5A60"/>
    <w:rsid w:val="00201C73"/>
    <w:rsid w:val="002066C6"/>
    <w:rsid w:val="002108A2"/>
    <w:rsid w:val="00211957"/>
    <w:rsid w:val="0021351D"/>
    <w:rsid w:val="00215329"/>
    <w:rsid w:val="00215596"/>
    <w:rsid w:val="00216ABB"/>
    <w:rsid w:val="00220FBF"/>
    <w:rsid w:val="00222AF3"/>
    <w:rsid w:val="00222D97"/>
    <w:rsid w:val="002242C1"/>
    <w:rsid w:val="0022441E"/>
    <w:rsid w:val="002244EE"/>
    <w:rsid w:val="0022532D"/>
    <w:rsid w:val="00225A59"/>
    <w:rsid w:val="00226780"/>
    <w:rsid w:val="00227BEF"/>
    <w:rsid w:val="00227F58"/>
    <w:rsid w:val="00230449"/>
    <w:rsid w:val="002333C9"/>
    <w:rsid w:val="00235169"/>
    <w:rsid w:val="002357FD"/>
    <w:rsid w:val="00236C7C"/>
    <w:rsid w:val="00237820"/>
    <w:rsid w:val="002378A7"/>
    <w:rsid w:val="00241C6F"/>
    <w:rsid w:val="00242678"/>
    <w:rsid w:val="002430AF"/>
    <w:rsid w:val="00243643"/>
    <w:rsid w:val="00245397"/>
    <w:rsid w:val="00247E92"/>
    <w:rsid w:val="00250549"/>
    <w:rsid w:val="00250FA8"/>
    <w:rsid w:val="00251851"/>
    <w:rsid w:val="00251EF6"/>
    <w:rsid w:val="00252D04"/>
    <w:rsid w:val="00255E70"/>
    <w:rsid w:val="00256AAF"/>
    <w:rsid w:val="00257D97"/>
    <w:rsid w:val="00265623"/>
    <w:rsid w:val="00266719"/>
    <w:rsid w:val="00266855"/>
    <w:rsid w:val="00266F46"/>
    <w:rsid w:val="002675A4"/>
    <w:rsid w:val="00267FE9"/>
    <w:rsid w:val="002719C5"/>
    <w:rsid w:val="00272E0F"/>
    <w:rsid w:val="0027394C"/>
    <w:rsid w:val="002746F7"/>
    <w:rsid w:val="002758A9"/>
    <w:rsid w:val="00275A53"/>
    <w:rsid w:val="00276268"/>
    <w:rsid w:val="0028065F"/>
    <w:rsid w:val="0028110B"/>
    <w:rsid w:val="00281F74"/>
    <w:rsid w:val="0028491F"/>
    <w:rsid w:val="00290899"/>
    <w:rsid w:val="002924A2"/>
    <w:rsid w:val="0029311F"/>
    <w:rsid w:val="00293B71"/>
    <w:rsid w:val="0029421B"/>
    <w:rsid w:val="0029567A"/>
    <w:rsid w:val="0029635B"/>
    <w:rsid w:val="00296ABB"/>
    <w:rsid w:val="00296ECE"/>
    <w:rsid w:val="0029768E"/>
    <w:rsid w:val="00297919"/>
    <w:rsid w:val="002A0010"/>
    <w:rsid w:val="002A04BE"/>
    <w:rsid w:val="002A0D01"/>
    <w:rsid w:val="002A22FF"/>
    <w:rsid w:val="002A508A"/>
    <w:rsid w:val="002A56F5"/>
    <w:rsid w:val="002A5D78"/>
    <w:rsid w:val="002A7C0F"/>
    <w:rsid w:val="002B0D8A"/>
    <w:rsid w:val="002B10A1"/>
    <w:rsid w:val="002B2C37"/>
    <w:rsid w:val="002B375E"/>
    <w:rsid w:val="002B5190"/>
    <w:rsid w:val="002B5EB8"/>
    <w:rsid w:val="002B689C"/>
    <w:rsid w:val="002C22DE"/>
    <w:rsid w:val="002C25D2"/>
    <w:rsid w:val="002C424E"/>
    <w:rsid w:val="002C77EA"/>
    <w:rsid w:val="002C7CBC"/>
    <w:rsid w:val="002D0E68"/>
    <w:rsid w:val="002D2FAA"/>
    <w:rsid w:val="002D31D2"/>
    <w:rsid w:val="002D3265"/>
    <w:rsid w:val="002D3370"/>
    <w:rsid w:val="002D33A2"/>
    <w:rsid w:val="002D5145"/>
    <w:rsid w:val="002D7612"/>
    <w:rsid w:val="002D7B53"/>
    <w:rsid w:val="002E16EA"/>
    <w:rsid w:val="002E44E3"/>
    <w:rsid w:val="002E4FAE"/>
    <w:rsid w:val="002E5CAC"/>
    <w:rsid w:val="002E678F"/>
    <w:rsid w:val="002F1271"/>
    <w:rsid w:val="002F2071"/>
    <w:rsid w:val="002F26CA"/>
    <w:rsid w:val="002F6F47"/>
    <w:rsid w:val="002F7697"/>
    <w:rsid w:val="00303786"/>
    <w:rsid w:val="00303ABE"/>
    <w:rsid w:val="00304B99"/>
    <w:rsid w:val="00305756"/>
    <w:rsid w:val="003076E7"/>
    <w:rsid w:val="00310596"/>
    <w:rsid w:val="003105A9"/>
    <w:rsid w:val="00311516"/>
    <w:rsid w:val="00314DD0"/>
    <w:rsid w:val="00317DE9"/>
    <w:rsid w:val="00320894"/>
    <w:rsid w:val="00320A85"/>
    <w:rsid w:val="00321D15"/>
    <w:rsid w:val="003222D6"/>
    <w:rsid w:val="003262A8"/>
    <w:rsid w:val="00330A3A"/>
    <w:rsid w:val="00331083"/>
    <w:rsid w:val="00334F3C"/>
    <w:rsid w:val="00335262"/>
    <w:rsid w:val="00335EFA"/>
    <w:rsid w:val="0033668B"/>
    <w:rsid w:val="00337622"/>
    <w:rsid w:val="00340199"/>
    <w:rsid w:val="0034020B"/>
    <w:rsid w:val="0034371D"/>
    <w:rsid w:val="00343D69"/>
    <w:rsid w:val="00346ED8"/>
    <w:rsid w:val="00347408"/>
    <w:rsid w:val="003479B8"/>
    <w:rsid w:val="00347DE6"/>
    <w:rsid w:val="00352014"/>
    <w:rsid w:val="00352A2E"/>
    <w:rsid w:val="00352D72"/>
    <w:rsid w:val="00353F9A"/>
    <w:rsid w:val="003553B1"/>
    <w:rsid w:val="0035698B"/>
    <w:rsid w:val="003627F8"/>
    <w:rsid w:val="00363D2F"/>
    <w:rsid w:val="00364140"/>
    <w:rsid w:val="003646A2"/>
    <w:rsid w:val="00367E92"/>
    <w:rsid w:val="003722F2"/>
    <w:rsid w:val="003726FC"/>
    <w:rsid w:val="00372A5D"/>
    <w:rsid w:val="00373247"/>
    <w:rsid w:val="003734F3"/>
    <w:rsid w:val="00374F2E"/>
    <w:rsid w:val="003765AC"/>
    <w:rsid w:val="00376C8A"/>
    <w:rsid w:val="0037713A"/>
    <w:rsid w:val="0037738F"/>
    <w:rsid w:val="0038055E"/>
    <w:rsid w:val="00381E6B"/>
    <w:rsid w:val="00382E60"/>
    <w:rsid w:val="0038595D"/>
    <w:rsid w:val="00386A96"/>
    <w:rsid w:val="00386BD3"/>
    <w:rsid w:val="00387F46"/>
    <w:rsid w:val="0039018E"/>
    <w:rsid w:val="0039357C"/>
    <w:rsid w:val="003936F2"/>
    <w:rsid w:val="003944B2"/>
    <w:rsid w:val="00394F00"/>
    <w:rsid w:val="003969E0"/>
    <w:rsid w:val="003979A9"/>
    <w:rsid w:val="00397BDF"/>
    <w:rsid w:val="003A03FD"/>
    <w:rsid w:val="003A0B1F"/>
    <w:rsid w:val="003A0C0F"/>
    <w:rsid w:val="003A188B"/>
    <w:rsid w:val="003A4DE6"/>
    <w:rsid w:val="003A5574"/>
    <w:rsid w:val="003A6C57"/>
    <w:rsid w:val="003A7EB0"/>
    <w:rsid w:val="003B220D"/>
    <w:rsid w:val="003B25F5"/>
    <w:rsid w:val="003B2CE6"/>
    <w:rsid w:val="003B2F8C"/>
    <w:rsid w:val="003B33F2"/>
    <w:rsid w:val="003B4469"/>
    <w:rsid w:val="003B6832"/>
    <w:rsid w:val="003C1C98"/>
    <w:rsid w:val="003C2AF2"/>
    <w:rsid w:val="003C2F5F"/>
    <w:rsid w:val="003C339B"/>
    <w:rsid w:val="003C3947"/>
    <w:rsid w:val="003C4ED0"/>
    <w:rsid w:val="003C62BF"/>
    <w:rsid w:val="003C7CAE"/>
    <w:rsid w:val="003D38F9"/>
    <w:rsid w:val="003D4B2D"/>
    <w:rsid w:val="003E18DE"/>
    <w:rsid w:val="003E1D39"/>
    <w:rsid w:val="003E550C"/>
    <w:rsid w:val="003F1C9B"/>
    <w:rsid w:val="003F22C6"/>
    <w:rsid w:val="003F3BBC"/>
    <w:rsid w:val="003F3D7E"/>
    <w:rsid w:val="003F427B"/>
    <w:rsid w:val="003F60C4"/>
    <w:rsid w:val="003F6615"/>
    <w:rsid w:val="003F753C"/>
    <w:rsid w:val="003F773D"/>
    <w:rsid w:val="00401B55"/>
    <w:rsid w:val="00402167"/>
    <w:rsid w:val="00402916"/>
    <w:rsid w:val="00405512"/>
    <w:rsid w:val="0040685C"/>
    <w:rsid w:val="00412D4E"/>
    <w:rsid w:val="004141D8"/>
    <w:rsid w:val="004156D9"/>
    <w:rsid w:val="0041690E"/>
    <w:rsid w:val="00416A65"/>
    <w:rsid w:val="00421011"/>
    <w:rsid w:val="00421D8D"/>
    <w:rsid w:val="0042209B"/>
    <w:rsid w:val="00422932"/>
    <w:rsid w:val="00424BE7"/>
    <w:rsid w:val="00424F54"/>
    <w:rsid w:val="00425565"/>
    <w:rsid w:val="004261E6"/>
    <w:rsid w:val="00430670"/>
    <w:rsid w:val="00432D14"/>
    <w:rsid w:val="00435604"/>
    <w:rsid w:val="00435631"/>
    <w:rsid w:val="004365F2"/>
    <w:rsid w:val="004375FB"/>
    <w:rsid w:val="004377E4"/>
    <w:rsid w:val="004415CB"/>
    <w:rsid w:val="004418E4"/>
    <w:rsid w:val="00445853"/>
    <w:rsid w:val="0044690D"/>
    <w:rsid w:val="0045104F"/>
    <w:rsid w:val="00451412"/>
    <w:rsid w:val="0045476C"/>
    <w:rsid w:val="00454FFE"/>
    <w:rsid w:val="00455CF0"/>
    <w:rsid w:val="0045641C"/>
    <w:rsid w:val="00456E05"/>
    <w:rsid w:val="00460681"/>
    <w:rsid w:val="00462867"/>
    <w:rsid w:val="00462EED"/>
    <w:rsid w:val="00463290"/>
    <w:rsid w:val="00471BFC"/>
    <w:rsid w:val="00472FFC"/>
    <w:rsid w:val="00473B52"/>
    <w:rsid w:val="00473DB4"/>
    <w:rsid w:val="00473E5C"/>
    <w:rsid w:val="00475AC3"/>
    <w:rsid w:val="00475FF0"/>
    <w:rsid w:val="004826CB"/>
    <w:rsid w:val="00482AD0"/>
    <w:rsid w:val="00483767"/>
    <w:rsid w:val="00483786"/>
    <w:rsid w:val="00483A25"/>
    <w:rsid w:val="00484786"/>
    <w:rsid w:val="00486B14"/>
    <w:rsid w:val="00490BB7"/>
    <w:rsid w:val="00491ECE"/>
    <w:rsid w:val="00492027"/>
    <w:rsid w:val="004923A9"/>
    <w:rsid w:val="00492D80"/>
    <w:rsid w:val="004938E3"/>
    <w:rsid w:val="0049504E"/>
    <w:rsid w:val="0049600D"/>
    <w:rsid w:val="004A0540"/>
    <w:rsid w:val="004A0DDB"/>
    <w:rsid w:val="004A2057"/>
    <w:rsid w:val="004A45A1"/>
    <w:rsid w:val="004A5102"/>
    <w:rsid w:val="004A5A30"/>
    <w:rsid w:val="004A6AC9"/>
    <w:rsid w:val="004A73CA"/>
    <w:rsid w:val="004B0FFB"/>
    <w:rsid w:val="004B121C"/>
    <w:rsid w:val="004B19FE"/>
    <w:rsid w:val="004B40FB"/>
    <w:rsid w:val="004B4C06"/>
    <w:rsid w:val="004B6071"/>
    <w:rsid w:val="004B64AE"/>
    <w:rsid w:val="004B729E"/>
    <w:rsid w:val="004C0173"/>
    <w:rsid w:val="004C1DA3"/>
    <w:rsid w:val="004C2772"/>
    <w:rsid w:val="004C2CF4"/>
    <w:rsid w:val="004C303A"/>
    <w:rsid w:val="004C4B15"/>
    <w:rsid w:val="004C64F2"/>
    <w:rsid w:val="004D1168"/>
    <w:rsid w:val="004D1316"/>
    <w:rsid w:val="004D1744"/>
    <w:rsid w:val="004D25FB"/>
    <w:rsid w:val="004D2EB0"/>
    <w:rsid w:val="004D46B1"/>
    <w:rsid w:val="004D5058"/>
    <w:rsid w:val="004D54B1"/>
    <w:rsid w:val="004D5855"/>
    <w:rsid w:val="004D6313"/>
    <w:rsid w:val="004E5240"/>
    <w:rsid w:val="004E54F4"/>
    <w:rsid w:val="004E57F4"/>
    <w:rsid w:val="004E6B86"/>
    <w:rsid w:val="004E6E12"/>
    <w:rsid w:val="004F0689"/>
    <w:rsid w:val="004F1C95"/>
    <w:rsid w:val="004F47EC"/>
    <w:rsid w:val="004F4A4A"/>
    <w:rsid w:val="004F6493"/>
    <w:rsid w:val="00502B8D"/>
    <w:rsid w:val="0050317A"/>
    <w:rsid w:val="0050446F"/>
    <w:rsid w:val="005059FE"/>
    <w:rsid w:val="00507F17"/>
    <w:rsid w:val="00507F68"/>
    <w:rsid w:val="0051123C"/>
    <w:rsid w:val="0051333D"/>
    <w:rsid w:val="0051349A"/>
    <w:rsid w:val="00513BAD"/>
    <w:rsid w:val="005142F4"/>
    <w:rsid w:val="005159BE"/>
    <w:rsid w:val="00515CFF"/>
    <w:rsid w:val="00520C6D"/>
    <w:rsid w:val="00523877"/>
    <w:rsid w:val="0052423B"/>
    <w:rsid w:val="00525F2F"/>
    <w:rsid w:val="00526430"/>
    <w:rsid w:val="00526F48"/>
    <w:rsid w:val="00531237"/>
    <w:rsid w:val="00531C90"/>
    <w:rsid w:val="005343EF"/>
    <w:rsid w:val="00534CA1"/>
    <w:rsid w:val="005359E3"/>
    <w:rsid w:val="00535A13"/>
    <w:rsid w:val="00535CB6"/>
    <w:rsid w:val="0053621C"/>
    <w:rsid w:val="005365EF"/>
    <w:rsid w:val="005418B9"/>
    <w:rsid w:val="0054224D"/>
    <w:rsid w:val="00542EA9"/>
    <w:rsid w:val="00542FEC"/>
    <w:rsid w:val="005445BB"/>
    <w:rsid w:val="00544606"/>
    <w:rsid w:val="00544DE1"/>
    <w:rsid w:val="0054555F"/>
    <w:rsid w:val="00546067"/>
    <w:rsid w:val="0054624E"/>
    <w:rsid w:val="00550063"/>
    <w:rsid w:val="005511A3"/>
    <w:rsid w:val="0055190A"/>
    <w:rsid w:val="00552BE3"/>
    <w:rsid w:val="00553369"/>
    <w:rsid w:val="005540FC"/>
    <w:rsid w:val="00554709"/>
    <w:rsid w:val="00554A6E"/>
    <w:rsid w:val="00554C8C"/>
    <w:rsid w:val="00555705"/>
    <w:rsid w:val="005564AE"/>
    <w:rsid w:val="0055774A"/>
    <w:rsid w:val="00557F8C"/>
    <w:rsid w:val="00560494"/>
    <w:rsid w:val="00560AE1"/>
    <w:rsid w:val="00561DA7"/>
    <w:rsid w:val="00561DAF"/>
    <w:rsid w:val="00564E93"/>
    <w:rsid w:val="00566B72"/>
    <w:rsid w:val="00566F6A"/>
    <w:rsid w:val="005738B3"/>
    <w:rsid w:val="00575201"/>
    <w:rsid w:val="005760AF"/>
    <w:rsid w:val="0057662D"/>
    <w:rsid w:val="00576B1D"/>
    <w:rsid w:val="00582346"/>
    <w:rsid w:val="005866CE"/>
    <w:rsid w:val="00587730"/>
    <w:rsid w:val="005877E9"/>
    <w:rsid w:val="00587C41"/>
    <w:rsid w:val="005903E2"/>
    <w:rsid w:val="0059107A"/>
    <w:rsid w:val="00592DB5"/>
    <w:rsid w:val="00592F19"/>
    <w:rsid w:val="00593820"/>
    <w:rsid w:val="0059480D"/>
    <w:rsid w:val="00595430"/>
    <w:rsid w:val="00597F10"/>
    <w:rsid w:val="005A232C"/>
    <w:rsid w:val="005A48A3"/>
    <w:rsid w:val="005A762B"/>
    <w:rsid w:val="005B0643"/>
    <w:rsid w:val="005B29B2"/>
    <w:rsid w:val="005B331F"/>
    <w:rsid w:val="005B3567"/>
    <w:rsid w:val="005B402C"/>
    <w:rsid w:val="005B4D5F"/>
    <w:rsid w:val="005C081A"/>
    <w:rsid w:val="005C0897"/>
    <w:rsid w:val="005C179E"/>
    <w:rsid w:val="005C2B4C"/>
    <w:rsid w:val="005C2B65"/>
    <w:rsid w:val="005C4799"/>
    <w:rsid w:val="005C5FD6"/>
    <w:rsid w:val="005C6408"/>
    <w:rsid w:val="005C6E97"/>
    <w:rsid w:val="005C7782"/>
    <w:rsid w:val="005C7D52"/>
    <w:rsid w:val="005D016A"/>
    <w:rsid w:val="005D1406"/>
    <w:rsid w:val="005D2EF2"/>
    <w:rsid w:val="005D4D94"/>
    <w:rsid w:val="005D56A7"/>
    <w:rsid w:val="005D6535"/>
    <w:rsid w:val="005D6AE9"/>
    <w:rsid w:val="005E2E3F"/>
    <w:rsid w:val="005E31D5"/>
    <w:rsid w:val="005E3CC7"/>
    <w:rsid w:val="005E483B"/>
    <w:rsid w:val="005E7D15"/>
    <w:rsid w:val="005F07D5"/>
    <w:rsid w:val="005F0922"/>
    <w:rsid w:val="005F3447"/>
    <w:rsid w:val="005F4E3C"/>
    <w:rsid w:val="00600331"/>
    <w:rsid w:val="006023E0"/>
    <w:rsid w:val="00603885"/>
    <w:rsid w:val="00606061"/>
    <w:rsid w:val="00606A87"/>
    <w:rsid w:val="00606DF2"/>
    <w:rsid w:val="006079CF"/>
    <w:rsid w:val="0061090B"/>
    <w:rsid w:val="00611039"/>
    <w:rsid w:val="006131BA"/>
    <w:rsid w:val="00613313"/>
    <w:rsid w:val="00614391"/>
    <w:rsid w:val="00616674"/>
    <w:rsid w:val="0061778E"/>
    <w:rsid w:val="0062021C"/>
    <w:rsid w:val="006209E5"/>
    <w:rsid w:val="006328EF"/>
    <w:rsid w:val="00633127"/>
    <w:rsid w:val="0063372C"/>
    <w:rsid w:val="00633BF6"/>
    <w:rsid w:val="00635016"/>
    <w:rsid w:val="00635233"/>
    <w:rsid w:val="006410DC"/>
    <w:rsid w:val="006414D8"/>
    <w:rsid w:val="00643063"/>
    <w:rsid w:val="00644323"/>
    <w:rsid w:val="006452F8"/>
    <w:rsid w:val="00646942"/>
    <w:rsid w:val="00650883"/>
    <w:rsid w:val="006512F2"/>
    <w:rsid w:val="00651F57"/>
    <w:rsid w:val="00652EAB"/>
    <w:rsid w:val="00652FE7"/>
    <w:rsid w:val="00653B46"/>
    <w:rsid w:val="00656425"/>
    <w:rsid w:val="00661852"/>
    <w:rsid w:val="006628FB"/>
    <w:rsid w:val="00663FBE"/>
    <w:rsid w:val="00664058"/>
    <w:rsid w:val="006645E8"/>
    <w:rsid w:val="006650CA"/>
    <w:rsid w:val="00665B7D"/>
    <w:rsid w:val="00666BEC"/>
    <w:rsid w:val="00670091"/>
    <w:rsid w:val="0067154B"/>
    <w:rsid w:val="00671A64"/>
    <w:rsid w:val="00671C7E"/>
    <w:rsid w:val="006807DB"/>
    <w:rsid w:val="00680DB2"/>
    <w:rsid w:val="00681516"/>
    <w:rsid w:val="006859B2"/>
    <w:rsid w:val="00686C95"/>
    <w:rsid w:val="00691134"/>
    <w:rsid w:val="00693EEA"/>
    <w:rsid w:val="006978FB"/>
    <w:rsid w:val="00697BD3"/>
    <w:rsid w:val="006A01BE"/>
    <w:rsid w:val="006A09E9"/>
    <w:rsid w:val="006A2538"/>
    <w:rsid w:val="006A291A"/>
    <w:rsid w:val="006A35CF"/>
    <w:rsid w:val="006A3FCB"/>
    <w:rsid w:val="006A4495"/>
    <w:rsid w:val="006B0E5F"/>
    <w:rsid w:val="006B291F"/>
    <w:rsid w:val="006B32E6"/>
    <w:rsid w:val="006B4CF9"/>
    <w:rsid w:val="006B7F49"/>
    <w:rsid w:val="006C13DE"/>
    <w:rsid w:val="006C15A2"/>
    <w:rsid w:val="006C2139"/>
    <w:rsid w:val="006C50BB"/>
    <w:rsid w:val="006C64F4"/>
    <w:rsid w:val="006C6B67"/>
    <w:rsid w:val="006D0E9C"/>
    <w:rsid w:val="006D135F"/>
    <w:rsid w:val="006D2C47"/>
    <w:rsid w:val="006D315C"/>
    <w:rsid w:val="006D5F2E"/>
    <w:rsid w:val="006D6766"/>
    <w:rsid w:val="006D7E2F"/>
    <w:rsid w:val="006E0371"/>
    <w:rsid w:val="006E2EF6"/>
    <w:rsid w:val="006E535E"/>
    <w:rsid w:val="006E76EF"/>
    <w:rsid w:val="006F0CB4"/>
    <w:rsid w:val="006F2526"/>
    <w:rsid w:val="006F44DC"/>
    <w:rsid w:val="006F728E"/>
    <w:rsid w:val="006FEDCA"/>
    <w:rsid w:val="00700440"/>
    <w:rsid w:val="00701901"/>
    <w:rsid w:val="0070247A"/>
    <w:rsid w:val="00702A71"/>
    <w:rsid w:val="0070590C"/>
    <w:rsid w:val="00705EB9"/>
    <w:rsid w:val="00706756"/>
    <w:rsid w:val="007075DF"/>
    <w:rsid w:val="007106E9"/>
    <w:rsid w:val="00710813"/>
    <w:rsid w:val="00710C11"/>
    <w:rsid w:val="00710D3F"/>
    <w:rsid w:val="007118E7"/>
    <w:rsid w:val="007152F0"/>
    <w:rsid w:val="007162DA"/>
    <w:rsid w:val="00717BC2"/>
    <w:rsid w:val="00722428"/>
    <w:rsid w:val="0072476C"/>
    <w:rsid w:val="00724A2A"/>
    <w:rsid w:val="0072529E"/>
    <w:rsid w:val="007252F7"/>
    <w:rsid w:val="00730823"/>
    <w:rsid w:val="00731C06"/>
    <w:rsid w:val="0073214B"/>
    <w:rsid w:val="0073414B"/>
    <w:rsid w:val="00735F0F"/>
    <w:rsid w:val="00736431"/>
    <w:rsid w:val="007415BC"/>
    <w:rsid w:val="00742F80"/>
    <w:rsid w:val="0074530A"/>
    <w:rsid w:val="0074595E"/>
    <w:rsid w:val="00747F9A"/>
    <w:rsid w:val="00751055"/>
    <w:rsid w:val="00751114"/>
    <w:rsid w:val="00751A39"/>
    <w:rsid w:val="007523DD"/>
    <w:rsid w:val="00753054"/>
    <w:rsid w:val="00753C1A"/>
    <w:rsid w:val="00755D85"/>
    <w:rsid w:val="00756D43"/>
    <w:rsid w:val="00756E0D"/>
    <w:rsid w:val="0076145C"/>
    <w:rsid w:val="007626D4"/>
    <w:rsid w:val="0076309A"/>
    <w:rsid w:val="00763541"/>
    <w:rsid w:val="00767AF5"/>
    <w:rsid w:val="007748BC"/>
    <w:rsid w:val="00777C05"/>
    <w:rsid w:val="00781378"/>
    <w:rsid w:val="00782568"/>
    <w:rsid w:val="007829AB"/>
    <w:rsid w:val="0078336A"/>
    <w:rsid w:val="00783FE7"/>
    <w:rsid w:val="00784E5B"/>
    <w:rsid w:val="00785369"/>
    <w:rsid w:val="00791084"/>
    <w:rsid w:val="00791567"/>
    <w:rsid w:val="00792671"/>
    <w:rsid w:val="00793B3F"/>
    <w:rsid w:val="00794677"/>
    <w:rsid w:val="00794688"/>
    <w:rsid w:val="007954ED"/>
    <w:rsid w:val="00795B34"/>
    <w:rsid w:val="00795FCE"/>
    <w:rsid w:val="00796C46"/>
    <w:rsid w:val="00796F74"/>
    <w:rsid w:val="007A01D0"/>
    <w:rsid w:val="007A2121"/>
    <w:rsid w:val="007A214A"/>
    <w:rsid w:val="007A3B09"/>
    <w:rsid w:val="007A3B42"/>
    <w:rsid w:val="007A49D8"/>
    <w:rsid w:val="007A5205"/>
    <w:rsid w:val="007A5806"/>
    <w:rsid w:val="007A58EA"/>
    <w:rsid w:val="007B2B8B"/>
    <w:rsid w:val="007B4BA7"/>
    <w:rsid w:val="007B59EE"/>
    <w:rsid w:val="007B6560"/>
    <w:rsid w:val="007B74E0"/>
    <w:rsid w:val="007B77A7"/>
    <w:rsid w:val="007C03A2"/>
    <w:rsid w:val="007C15DE"/>
    <w:rsid w:val="007C414F"/>
    <w:rsid w:val="007C7705"/>
    <w:rsid w:val="007D1828"/>
    <w:rsid w:val="007D4787"/>
    <w:rsid w:val="007D49DB"/>
    <w:rsid w:val="007D7676"/>
    <w:rsid w:val="007E0012"/>
    <w:rsid w:val="007E5227"/>
    <w:rsid w:val="007E5583"/>
    <w:rsid w:val="007E669C"/>
    <w:rsid w:val="007F0D38"/>
    <w:rsid w:val="007F1533"/>
    <w:rsid w:val="007F6CAC"/>
    <w:rsid w:val="0080034C"/>
    <w:rsid w:val="00800CD3"/>
    <w:rsid w:val="00801F77"/>
    <w:rsid w:val="008036C7"/>
    <w:rsid w:val="00806340"/>
    <w:rsid w:val="008073A4"/>
    <w:rsid w:val="00813E21"/>
    <w:rsid w:val="00814732"/>
    <w:rsid w:val="00814ACF"/>
    <w:rsid w:val="00815859"/>
    <w:rsid w:val="0082353C"/>
    <w:rsid w:val="00824733"/>
    <w:rsid w:val="00825BBF"/>
    <w:rsid w:val="00826607"/>
    <w:rsid w:val="00826B7D"/>
    <w:rsid w:val="008345F7"/>
    <w:rsid w:val="00836AC4"/>
    <w:rsid w:val="00836C1F"/>
    <w:rsid w:val="00842807"/>
    <w:rsid w:val="00842FFB"/>
    <w:rsid w:val="008432F0"/>
    <w:rsid w:val="0084483E"/>
    <w:rsid w:val="0084570D"/>
    <w:rsid w:val="008466A0"/>
    <w:rsid w:val="00846F33"/>
    <w:rsid w:val="0084714E"/>
    <w:rsid w:val="00847A36"/>
    <w:rsid w:val="00850C47"/>
    <w:rsid w:val="008532E4"/>
    <w:rsid w:val="00853D36"/>
    <w:rsid w:val="00856888"/>
    <w:rsid w:val="008574F9"/>
    <w:rsid w:val="00860D29"/>
    <w:rsid w:val="0086442B"/>
    <w:rsid w:val="00867B13"/>
    <w:rsid w:val="00867B9C"/>
    <w:rsid w:val="00870751"/>
    <w:rsid w:val="0087078D"/>
    <w:rsid w:val="00871F8E"/>
    <w:rsid w:val="0087307B"/>
    <w:rsid w:val="00873099"/>
    <w:rsid w:val="00874171"/>
    <w:rsid w:val="00874DFD"/>
    <w:rsid w:val="00875417"/>
    <w:rsid w:val="008755AD"/>
    <w:rsid w:val="00877E9C"/>
    <w:rsid w:val="00880EA4"/>
    <w:rsid w:val="00881D19"/>
    <w:rsid w:val="00883265"/>
    <w:rsid w:val="00883804"/>
    <w:rsid w:val="00883D67"/>
    <w:rsid w:val="008859B2"/>
    <w:rsid w:val="00885C82"/>
    <w:rsid w:val="00886701"/>
    <w:rsid w:val="008873A6"/>
    <w:rsid w:val="00887EA1"/>
    <w:rsid w:val="0089018E"/>
    <w:rsid w:val="00891159"/>
    <w:rsid w:val="00891626"/>
    <w:rsid w:val="00895B36"/>
    <w:rsid w:val="00896B23"/>
    <w:rsid w:val="008A0138"/>
    <w:rsid w:val="008A137E"/>
    <w:rsid w:val="008A3088"/>
    <w:rsid w:val="008A34A3"/>
    <w:rsid w:val="008A3D32"/>
    <w:rsid w:val="008B0909"/>
    <w:rsid w:val="008B3386"/>
    <w:rsid w:val="008B3484"/>
    <w:rsid w:val="008B3635"/>
    <w:rsid w:val="008B3868"/>
    <w:rsid w:val="008B3CDF"/>
    <w:rsid w:val="008B410B"/>
    <w:rsid w:val="008B44AF"/>
    <w:rsid w:val="008B46D8"/>
    <w:rsid w:val="008B5B19"/>
    <w:rsid w:val="008B6E92"/>
    <w:rsid w:val="008C0053"/>
    <w:rsid w:val="008C2697"/>
    <w:rsid w:val="008C27CB"/>
    <w:rsid w:val="008C2A5A"/>
    <w:rsid w:val="008C2A77"/>
    <w:rsid w:val="008C4788"/>
    <w:rsid w:val="008C4CA9"/>
    <w:rsid w:val="008C54F8"/>
    <w:rsid w:val="008C5600"/>
    <w:rsid w:val="008D4853"/>
    <w:rsid w:val="008D4BFD"/>
    <w:rsid w:val="008D4F98"/>
    <w:rsid w:val="008D5A08"/>
    <w:rsid w:val="008D7AA6"/>
    <w:rsid w:val="008E0505"/>
    <w:rsid w:val="008E0FCB"/>
    <w:rsid w:val="008E1879"/>
    <w:rsid w:val="008E1DB1"/>
    <w:rsid w:val="008E245A"/>
    <w:rsid w:val="008E2E2E"/>
    <w:rsid w:val="008E30BD"/>
    <w:rsid w:val="008E363F"/>
    <w:rsid w:val="008E5B02"/>
    <w:rsid w:val="008E65CA"/>
    <w:rsid w:val="008E7599"/>
    <w:rsid w:val="008F0837"/>
    <w:rsid w:val="008F0F8F"/>
    <w:rsid w:val="008F10E4"/>
    <w:rsid w:val="008F2282"/>
    <w:rsid w:val="008F2487"/>
    <w:rsid w:val="008F3CA1"/>
    <w:rsid w:val="008F7D05"/>
    <w:rsid w:val="00901BA3"/>
    <w:rsid w:val="009030C1"/>
    <w:rsid w:val="009038DB"/>
    <w:rsid w:val="00903D0A"/>
    <w:rsid w:val="00903DFF"/>
    <w:rsid w:val="00903EDA"/>
    <w:rsid w:val="00904750"/>
    <w:rsid w:val="00905D2F"/>
    <w:rsid w:val="009062EA"/>
    <w:rsid w:val="00906683"/>
    <w:rsid w:val="00906B1F"/>
    <w:rsid w:val="0090779C"/>
    <w:rsid w:val="00910944"/>
    <w:rsid w:val="009120E3"/>
    <w:rsid w:val="00913BC9"/>
    <w:rsid w:val="009209B4"/>
    <w:rsid w:val="00920B4B"/>
    <w:rsid w:val="009221AD"/>
    <w:rsid w:val="0092289B"/>
    <w:rsid w:val="00925C85"/>
    <w:rsid w:val="00926DB9"/>
    <w:rsid w:val="00933BAE"/>
    <w:rsid w:val="00934AAB"/>
    <w:rsid w:val="00937F61"/>
    <w:rsid w:val="00945850"/>
    <w:rsid w:val="00946A73"/>
    <w:rsid w:val="00946A98"/>
    <w:rsid w:val="00951E73"/>
    <w:rsid w:val="00952742"/>
    <w:rsid w:val="009535A3"/>
    <w:rsid w:val="00953DFE"/>
    <w:rsid w:val="00955F74"/>
    <w:rsid w:val="009568C0"/>
    <w:rsid w:val="00956EAE"/>
    <w:rsid w:val="00956F1E"/>
    <w:rsid w:val="0095792C"/>
    <w:rsid w:val="0096132A"/>
    <w:rsid w:val="009616BA"/>
    <w:rsid w:val="00962546"/>
    <w:rsid w:val="00962580"/>
    <w:rsid w:val="00962BE2"/>
    <w:rsid w:val="00963B8E"/>
    <w:rsid w:val="00963E28"/>
    <w:rsid w:val="00965E9F"/>
    <w:rsid w:val="00966DB1"/>
    <w:rsid w:val="009709A8"/>
    <w:rsid w:val="00970B9F"/>
    <w:rsid w:val="00971F70"/>
    <w:rsid w:val="00972518"/>
    <w:rsid w:val="00974250"/>
    <w:rsid w:val="00975FB6"/>
    <w:rsid w:val="0097622F"/>
    <w:rsid w:val="00976839"/>
    <w:rsid w:val="009773E7"/>
    <w:rsid w:val="00977F62"/>
    <w:rsid w:val="00980FBA"/>
    <w:rsid w:val="00981C71"/>
    <w:rsid w:val="00984352"/>
    <w:rsid w:val="0098668D"/>
    <w:rsid w:val="0098777F"/>
    <w:rsid w:val="009879EE"/>
    <w:rsid w:val="00990E02"/>
    <w:rsid w:val="00992542"/>
    <w:rsid w:val="0099304A"/>
    <w:rsid w:val="00994A6F"/>
    <w:rsid w:val="00994D9E"/>
    <w:rsid w:val="00995373"/>
    <w:rsid w:val="009957E3"/>
    <w:rsid w:val="0099632A"/>
    <w:rsid w:val="00996AE9"/>
    <w:rsid w:val="0099768F"/>
    <w:rsid w:val="009A1A4F"/>
    <w:rsid w:val="009A2A63"/>
    <w:rsid w:val="009A40C4"/>
    <w:rsid w:val="009A43FC"/>
    <w:rsid w:val="009A6097"/>
    <w:rsid w:val="009B0211"/>
    <w:rsid w:val="009B04E2"/>
    <w:rsid w:val="009B05D6"/>
    <w:rsid w:val="009B168B"/>
    <w:rsid w:val="009B17F3"/>
    <w:rsid w:val="009B370F"/>
    <w:rsid w:val="009B3D36"/>
    <w:rsid w:val="009B3DD4"/>
    <w:rsid w:val="009B4F47"/>
    <w:rsid w:val="009B6488"/>
    <w:rsid w:val="009B7F6D"/>
    <w:rsid w:val="009BDF98"/>
    <w:rsid w:val="009C0652"/>
    <w:rsid w:val="009C14C0"/>
    <w:rsid w:val="009C1B09"/>
    <w:rsid w:val="009C31E1"/>
    <w:rsid w:val="009C530B"/>
    <w:rsid w:val="009C6FE7"/>
    <w:rsid w:val="009C7224"/>
    <w:rsid w:val="009C7801"/>
    <w:rsid w:val="009D072B"/>
    <w:rsid w:val="009D18D0"/>
    <w:rsid w:val="009D3059"/>
    <w:rsid w:val="009D4329"/>
    <w:rsid w:val="009D448B"/>
    <w:rsid w:val="009D532E"/>
    <w:rsid w:val="009D56A7"/>
    <w:rsid w:val="009E0C79"/>
    <w:rsid w:val="009E3DAE"/>
    <w:rsid w:val="009E4639"/>
    <w:rsid w:val="009E6127"/>
    <w:rsid w:val="009F053D"/>
    <w:rsid w:val="009F18AD"/>
    <w:rsid w:val="009F572D"/>
    <w:rsid w:val="009F5AFC"/>
    <w:rsid w:val="009F5FBA"/>
    <w:rsid w:val="009F67B3"/>
    <w:rsid w:val="009F728A"/>
    <w:rsid w:val="00A03AAD"/>
    <w:rsid w:val="00A05495"/>
    <w:rsid w:val="00A10A0A"/>
    <w:rsid w:val="00A1107F"/>
    <w:rsid w:val="00A111B5"/>
    <w:rsid w:val="00A115D3"/>
    <w:rsid w:val="00A139FB"/>
    <w:rsid w:val="00A14D1A"/>
    <w:rsid w:val="00A168A9"/>
    <w:rsid w:val="00A173F8"/>
    <w:rsid w:val="00A20A13"/>
    <w:rsid w:val="00A20AC4"/>
    <w:rsid w:val="00A2165A"/>
    <w:rsid w:val="00A22C76"/>
    <w:rsid w:val="00A22ED9"/>
    <w:rsid w:val="00A31867"/>
    <w:rsid w:val="00A41B18"/>
    <w:rsid w:val="00A42947"/>
    <w:rsid w:val="00A454A3"/>
    <w:rsid w:val="00A46B81"/>
    <w:rsid w:val="00A47342"/>
    <w:rsid w:val="00A4797E"/>
    <w:rsid w:val="00A47C7B"/>
    <w:rsid w:val="00A51883"/>
    <w:rsid w:val="00A523C5"/>
    <w:rsid w:val="00A545A6"/>
    <w:rsid w:val="00A54D36"/>
    <w:rsid w:val="00A55D87"/>
    <w:rsid w:val="00A561F6"/>
    <w:rsid w:val="00A60313"/>
    <w:rsid w:val="00A61779"/>
    <w:rsid w:val="00A618D1"/>
    <w:rsid w:val="00A62620"/>
    <w:rsid w:val="00A63CAA"/>
    <w:rsid w:val="00A7096D"/>
    <w:rsid w:val="00A7118F"/>
    <w:rsid w:val="00A7339E"/>
    <w:rsid w:val="00A7783A"/>
    <w:rsid w:val="00A77A90"/>
    <w:rsid w:val="00A800F4"/>
    <w:rsid w:val="00A80CD6"/>
    <w:rsid w:val="00A81717"/>
    <w:rsid w:val="00A82511"/>
    <w:rsid w:val="00A82527"/>
    <w:rsid w:val="00A846A0"/>
    <w:rsid w:val="00A85BCD"/>
    <w:rsid w:val="00A90563"/>
    <w:rsid w:val="00A918CB"/>
    <w:rsid w:val="00A93ED4"/>
    <w:rsid w:val="00A96558"/>
    <w:rsid w:val="00A97295"/>
    <w:rsid w:val="00A97AA7"/>
    <w:rsid w:val="00AA121F"/>
    <w:rsid w:val="00AA25EF"/>
    <w:rsid w:val="00AA351A"/>
    <w:rsid w:val="00AA4FD4"/>
    <w:rsid w:val="00AA51F0"/>
    <w:rsid w:val="00AA5378"/>
    <w:rsid w:val="00AB0310"/>
    <w:rsid w:val="00AB0AE5"/>
    <w:rsid w:val="00AB0CB4"/>
    <w:rsid w:val="00AB124E"/>
    <w:rsid w:val="00AB1AB2"/>
    <w:rsid w:val="00AB35ED"/>
    <w:rsid w:val="00AB37AE"/>
    <w:rsid w:val="00AB39D2"/>
    <w:rsid w:val="00AB3BC3"/>
    <w:rsid w:val="00AB56A6"/>
    <w:rsid w:val="00AB6C90"/>
    <w:rsid w:val="00AB72EF"/>
    <w:rsid w:val="00AC0CC9"/>
    <w:rsid w:val="00AC2DF1"/>
    <w:rsid w:val="00AC3BD6"/>
    <w:rsid w:val="00AC4AB9"/>
    <w:rsid w:val="00AC581B"/>
    <w:rsid w:val="00AC5EB1"/>
    <w:rsid w:val="00AC6CB5"/>
    <w:rsid w:val="00AC71FB"/>
    <w:rsid w:val="00AC72A3"/>
    <w:rsid w:val="00AC7BD4"/>
    <w:rsid w:val="00AD02B4"/>
    <w:rsid w:val="00AD18C4"/>
    <w:rsid w:val="00AD2044"/>
    <w:rsid w:val="00AD274A"/>
    <w:rsid w:val="00AD4052"/>
    <w:rsid w:val="00AE06D5"/>
    <w:rsid w:val="00AE3DBD"/>
    <w:rsid w:val="00AE40DA"/>
    <w:rsid w:val="00AE4AF3"/>
    <w:rsid w:val="00AE70AA"/>
    <w:rsid w:val="00AF1AF7"/>
    <w:rsid w:val="00AF21C8"/>
    <w:rsid w:val="00AF3894"/>
    <w:rsid w:val="00AF49E1"/>
    <w:rsid w:val="00AF4D87"/>
    <w:rsid w:val="00AF5122"/>
    <w:rsid w:val="00AF5A0B"/>
    <w:rsid w:val="00AF6AD1"/>
    <w:rsid w:val="00AF7AC2"/>
    <w:rsid w:val="00B020FC"/>
    <w:rsid w:val="00B03FC6"/>
    <w:rsid w:val="00B0599C"/>
    <w:rsid w:val="00B06B90"/>
    <w:rsid w:val="00B12120"/>
    <w:rsid w:val="00B1400C"/>
    <w:rsid w:val="00B14034"/>
    <w:rsid w:val="00B15ABC"/>
    <w:rsid w:val="00B15DF3"/>
    <w:rsid w:val="00B17304"/>
    <w:rsid w:val="00B174B3"/>
    <w:rsid w:val="00B211A1"/>
    <w:rsid w:val="00B22C1C"/>
    <w:rsid w:val="00B23CC7"/>
    <w:rsid w:val="00B24694"/>
    <w:rsid w:val="00B3163A"/>
    <w:rsid w:val="00B37613"/>
    <w:rsid w:val="00B3789B"/>
    <w:rsid w:val="00B40A75"/>
    <w:rsid w:val="00B42901"/>
    <w:rsid w:val="00B44815"/>
    <w:rsid w:val="00B455C3"/>
    <w:rsid w:val="00B45840"/>
    <w:rsid w:val="00B460E8"/>
    <w:rsid w:val="00B461BB"/>
    <w:rsid w:val="00B47576"/>
    <w:rsid w:val="00B47645"/>
    <w:rsid w:val="00B53287"/>
    <w:rsid w:val="00B537A9"/>
    <w:rsid w:val="00B55B94"/>
    <w:rsid w:val="00B62F89"/>
    <w:rsid w:val="00B6331F"/>
    <w:rsid w:val="00B643AA"/>
    <w:rsid w:val="00B65620"/>
    <w:rsid w:val="00B67668"/>
    <w:rsid w:val="00B703DB"/>
    <w:rsid w:val="00B71FE3"/>
    <w:rsid w:val="00B7234A"/>
    <w:rsid w:val="00B72A56"/>
    <w:rsid w:val="00B72E54"/>
    <w:rsid w:val="00B73095"/>
    <w:rsid w:val="00B734FF"/>
    <w:rsid w:val="00B80EB3"/>
    <w:rsid w:val="00B81BC2"/>
    <w:rsid w:val="00B82087"/>
    <w:rsid w:val="00B82E0A"/>
    <w:rsid w:val="00B83463"/>
    <w:rsid w:val="00B84287"/>
    <w:rsid w:val="00B849A5"/>
    <w:rsid w:val="00B91A40"/>
    <w:rsid w:val="00B92F61"/>
    <w:rsid w:val="00B945AD"/>
    <w:rsid w:val="00B9568B"/>
    <w:rsid w:val="00BA13C0"/>
    <w:rsid w:val="00BA23B2"/>
    <w:rsid w:val="00BA461B"/>
    <w:rsid w:val="00BA51B1"/>
    <w:rsid w:val="00BA5807"/>
    <w:rsid w:val="00BA6398"/>
    <w:rsid w:val="00BA65FE"/>
    <w:rsid w:val="00BA74A9"/>
    <w:rsid w:val="00BA7C6A"/>
    <w:rsid w:val="00BB0D7A"/>
    <w:rsid w:val="00BB1675"/>
    <w:rsid w:val="00BB5DBF"/>
    <w:rsid w:val="00BC0A11"/>
    <w:rsid w:val="00BC1BA7"/>
    <w:rsid w:val="00BC1E3B"/>
    <w:rsid w:val="00BC23B8"/>
    <w:rsid w:val="00BC5323"/>
    <w:rsid w:val="00BC5A1B"/>
    <w:rsid w:val="00BD303F"/>
    <w:rsid w:val="00BD74AF"/>
    <w:rsid w:val="00BE1729"/>
    <w:rsid w:val="00BE42A4"/>
    <w:rsid w:val="00BF1BFB"/>
    <w:rsid w:val="00BF2058"/>
    <w:rsid w:val="00BF3DA0"/>
    <w:rsid w:val="00BF4BA1"/>
    <w:rsid w:val="00BF4C20"/>
    <w:rsid w:val="00BF5B73"/>
    <w:rsid w:val="00BF5C5F"/>
    <w:rsid w:val="00BF61D5"/>
    <w:rsid w:val="00C05B04"/>
    <w:rsid w:val="00C07F3B"/>
    <w:rsid w:val="00C07FEF"/>
    <w:rsid w:val="00C11E99"/>
    <w:rsid w:val="00C13842"/>
    <w:rsid w:val="00C13B02"/>
    <w:rsid w:val="00C1675F"/>
    <w:rsid w:val="00C175C4"/>
    <w:rsid w:val="00C20A3C"/>
    <w:rsid w:val="00C226C4"/>
    <w:rsid w:val="00C23098"/>
    <w:rsid w:val="00C23774"/>
    <w:rsid w:val="00C23AAD"/>
    <w:rsid w:val="00C2476E"/>
    <w:rsid w:val="00C260B3"/>
    <w:rsid w:val="00C26738"/>
    <w:rsid w:val="00C26804"/>
    <w:rsid w:val="00C26E5D"/>
    <w:rsid w:val="00C26FE5"/>
    <w:rsid w:val="00C274AF"/>
    <w:rsid w:val="00C30293"/>
    <w:rsid w:val="00C3033E"/>
    <w:rsid w:val="00C30555"/>
    <w:rsid w:val="00C3093F"/>
    <w:rsid w:val="00C31486"/>
    <w:rsid w:val="00C3383D"/>
    <w:rsid w:val="00C33C86"/>
    <w:rsid w:val="00C34813"/>
    <w:rsid w:val="00C348D7"/>
    <w:rsid w:val="00C35B9B"/>
    <w:rsid w:val="00C4267D"/>
    <w:rsid w:val="00C43938"/>
    <w:rsid w:val="00C50A01"/>
    <w:rsid w:val="00C50D03"/>
    <w:rsid w:val="00C52253"/>
    <w:rsid w:val="00C5265F"/>
    <w:rsid w:val="00C530C4"/>
    <w:rsid w:val="00C5484D"/>
    <w:rsid w:val="00C55957"/>
    <w:rsid w:val="00C56207"/>
    <w:rsid w:val="00C57955"/>
    <w:rsid w:val="00C57EE7"/>
    <w:rsid w:val="00C611D2"/>
    <w:rsid w:val="00C61E15"/>
    <w:rsid w:val="00C63141"/>
    <w:rsid w:val="00C635A9"/>
    <w:rsid w:val="00C6381C"/>
    <w:rsid w:val="00C638FE"/>
    <w:rsid w:val="00C65D0B"/>
    <w:rsid w:val="00C6730B"/>
    <w:rsid w:val="00C71A62"/>
    <w:rsid w:val="00C72187"/>
    <w:rsid w:val="00C72910"/>
    <w:rsid w:val="00C72B59"/>
    <w:rsid w:val="00C72DA7"/>
    <w:rsid w:val="00C75DAB"/>
    <w:rsid w:val="00C814BB"/>
    <w:rsid w:val="00C865B6"/>
    <w:rsid w:val="00C91AAE"/>
    <w:rsid w:val="00C947F5"/>
    <w:rsid w:val="00C96E41"/>
    <w:rsid w:val="00C97001"/>
    <w:rsid w:val="00CA0D1F"/>
    <w:rsid w:val="00CA3F06"/>
    <w:rsid w:val="00CA407A"/>
    <w:rsid w:val="00CA4764"/>
    <w:rsid w:val="00CA58AB"/>
    <w:rsid w:val="00CB2197"/>
    <w:rsid w:val="00CB32B8"/>
    <w:rsid w:val="00CB4EE9"/>
    <w:rsid w:val="00CB5AC4"/>
    <w:rsid w:val="00CB6458"/>
    <w:rsid w:val="00CB67C1"/>
    <w:rsid w:val="00CC1AF8"/>
    <w:rsid w:val="00CC2792"/>
    <w:rsid w:val="00CC3A2E"/>
    <w:rsid w:val="00CC562A"/>
    <w:rsid w:val="00CC70CC"/>
    <w:rsid w:val="00CC7B66"/>
    <w:rsid w:val="00CD40CA"/>
    <w:rsid w:val="00CD4880"/>
    <w:rsid w:val="00CD4AEA"/>
    <w:rsid w:val="00CD6B9E"/>
    <w:rsid w:val="00CD6C96"/>
    <w:rsid w:val="00CE20F8"/>
    <w:rsid w:val="00CE3758"/>
    <w:rsid w:val="00CE4150"/>
    <w:rsid w:val="00CE587E"/>
    <w:rsid w:val="00CE78B9"/>
    <w:rsid w:val="00CF02C5"/>
    <w:rsid w:val="00CF1549"/>
    <w:rsid w:val="00CF18C4"/>
    <w:rsid w:val="00CF18F5"/>
    <w:rsid w:val="00CF6C73"/>
    <w:rsid w:val="00D003BD"/>
    <w:rsid w:val="00D0084F"/>
    <w:rsid w:val="00D0143A"/>
    <w:rsid w:val="00D03769"/>
    <w:rsid w:val="00D07A3B"/>
    <w:rsid w:val="00D119A4"/>
    <w:rsid w:val="00D11A9D"/>
    <w:rsid w:val="00D13266"/>
    <w:rsid w:val="00D166FF"/>
    <w:rsid w:val="00D175AC"/>
    <w:rsid w:val="00D22D72"/>
    <w:rsid w:val="00D234BA"/>
    <w:rsid w:val="00D252E6"/>
    <w:rsid w:val="00D301A4"/>
    <w:rsid w:val="00D30698"/>
    <w:rsid w:val="00D312CE"/>
    <w:rsid w:val="00D32A57"/>
    <w:rsid w:val="00D33D7F"/>
    <w:rsid w:val="00D3576B"/>
    <w:rsid w:val="00D35898"/>
    <w:rsid w:val="00D37475"/>
    <w:rsid w:val="00D418E7"/>
    <w:rsid w:val="00D41E5C"/>
    <w:rsid w:val="00D46612"/>
    <w:rsid w:val="00D47FE2"/>
    <w:rsid w:val="00D5004F"/>
    <w:rsid w:val="00D54784"/>
    <w:rsid w:val="00D54DB2"/>
    <w:rsid w:val="00D57AB6"/>
    <w:rsid w:val="00D57D38"/>
    <w:rsid w:val="00D6156A"/>
    <w:rsid w:val="00D61629"/>
    <w:rsid w:val="00D6217C"/>
    <w:rsid w:val="00D635FD"/>
    <w:rsid w:val="00D64354"/>
    <w:rsid w:val="00D64A83"/>
    <w:rsid w:val="00D65764"/>
    <w:rsid w:val="00D6675F"/>
    <w:rsid w:val="00D6779B"/>
    <w:rsid w:val="00D7036D"/>
    <w:rsid w:val="00D72134"/>
    <w:rsid w:val="00D74589"/>
    <w:rsid w:val="00D75E25"/>
    <w:rsid w:val="00D7794F"/>
    <w:rsid w:val="00D816DD"/>
    <w:rsid w:val="00D84FC5"/>
    <w:rsid w:val="00D865BF"/>
    <w:rsid w:val="00D869DF"/>
    <w:rsid w:val="00D90084"/>
    <w:rsid w:val="00D93AEA"/>
    <w:rsid w:val="00D93E0E"/>
    <w:rsid w:val="00D95265"/>
    <w:rsid w:val="00D95C84"/>
    <w:rsid w:val="00DA1075"/>
    <w:rsid w:val="00DA165A"/>
    <w:rsid w:val="00DA3A7A"/>
    <w:rsid w:val="00DA6324"/>
    <w:rsid w:val="00DA7CAB"/>
    <w:rsid w:val="00DB04F6"/>
    <w:rsid w:val="00DB17D0"/>
    <w:rsid w:val="00DB36EF"/>
    <w:rsid w:val="00DB3BE0"/>
    <w:rsid w:val="00DB4F52"/>
    <w:rsid w:val="00DB736E"/>
    <w:rsid w:val="00DC1371"/>
    <w:rsid w:val="00DC13F2"/>
    <w:rsid w:val="00DC1D28"/>
    <w:rsid w:val="00DC3255"/>
    <w:rsid w:val="00DC4736"/>
    <w:rsid w:val="00DC494C"/>
    <w:rsid w:val="00DC5E11"/>
    <w:rsid w:val="00DC6144"/>
    <w:rsid w:val="00DC628C"/>
    <w:rsid w:val="00DC63F1"/>
    <w:rsid w:val="00DD0D01"/>
    <w:rsid w:val="00DD310F"/>
    <w:rsid w:val="00DD4541"/>
    <w:rsid w:val="00DD4784"/>
    <w:rsid w:val="00DD4ADB"/>
    <w:rsid w:val="00DD4E8D"/>
    <w:rsid w:val="00DD590F"/>
    <w:rsid w:val="00DE12A6"/>
    <w:rsid w:val="00DE2361"/>
    <w:rsid w:val="00DF0029"/>
    <w:rsid w:val="00DF07F2"/>
    <w:rsid w:val="00DF1172"/>
    <w:rsid w:val="00DF1370"/>
    <w:rsid w:val="00DF35BA"/>
    <w:rsid w:val="00DF3985"/>
    <w:rsid w:val="00DF3F73"/>
    <w:rsid w:val="00DF4464"/>
    <w:rsid w:val="00DF47BB"/>
    <w:rsid w:val="00DF4F7B"/>
    <w:rsid w:val="00E00559"/>
    <w:rsid w:val="00E00C0E"/>
    <w:rsid w:val="00E0139C"/>
    <w:rsid w:val="00E01B2B"/>
    <w:rsid w:val="00E024D4"/>
    <w:rsid w:val="00E02578"/>
    <w:rsid w:val="00E056D0"/>
    <w:rsid w:val="00E05F99"/>
    <w:rsid w:val="00E06294"/>
    <w:rsid w:val="00E07541"/>
    <w:rsid w:val="00E07DBE"/>
    <w:rsid w:val="00E100A2"/>
    <w:rsid w:val="00E103AB"/>
    <w:rsid w:val="00E16C62"/>
    <w:rsid w:val="00E178AC"/>
    <w:rsid w:val="00E2174E"/>
    <w:rsid w:val="00E224C2"/>
    <w:rsid w:val="00E23A2F"/>
    <w:rsid w:val="00E263CA"/>
    <w:rsid w:val="00E26C8B"/>
    <w:rsid w:val="00E33062"/>
    <w:rsid w:val="00E3679E"/>
    <w:rsid w:val="00E3782A"/>
    <w:rsid w:val="00E37EAF"/>
    <w:rsid w:val="00E412E1"/>
    <w:rsid w:val="00E43C3F"/>
    <w:rsid w:val="00E44430"/>
    <w:rsid w:val="00E445FE"/>
    <w:rsid w:val="00E4702E"/>
    <w:rsid w:val="00E473FB"/>
    <w:rsid w:val="00E47D21"/>
    <w:rsid w:val="00E500AF"/>
    <w:rsid w:val="00E503FD"/>
    <w:rsid w:val="00E50731"/>
    <w:rsid w:val="00E51E70"/>
    <w:rsid w:val="00E5419C"/>
    <w:rsid w:val="00E55393"/>
    <w:rsid w:val="00E55792"/>
    <w:rsid w:val="00E5609A"/>
    <w:rsid w:val="00E60CBF"/>
    <w:rsid w:val="00E618BD"/>
    <w:rsid w:val="00E63699"/>
    <w:rsid w:val="00E64C79"/>
    <w:rsid w:val="00E65A3C"/>
    <w:rsid w:val="00E65C07"/>
    <w:rsid w:val="00E67501"/>
    <w:rsid w:val="00E7232A"/>
    <w:rsid w:val="00E72915"/>
    <w:rsid w:val="00E72A6F"/>
    <w:rsid w:val="00E73CDD"/>
    <w:rsid w:val="00E73DD1"/>
    <w:rsid w:val="00E75F1B"/>
    <w:rsid w:val="00E81B11"/>
    <w:rsid w:val="00E81E6F"/>
    <w:rsid w:val="00E8247F"/>
    <w:rsid w:val="00E82D16"/>
    <w:rsid w:val="00E832F1"/>
    <w:rsid w:val="00E8437A"/>
    <w:rsid w:val="00E85791"/>
    <w:rsid w:val="00E86C64"/>
    <w:rsid w:val="00E92C41"/>
    <w:rsid w:val="00E93457"/>
    <w:rsid w:val="00E95F8E"/>
    <w:rsid w:val="00E966A1"/>
    <w:rsid w:val="00EA1144"/>
    <w:rsid w:val="00EA301B"/>
    <w:rsid w:val="00EA36F1"/>
    <w:rsid w:val="00EA6A5C"/>
    <w:rsid w:val="00EA6CE9"/>
    <w:rsid w:val="00EB02A1"/>
    <w:rsid w:val="00EB116E"/>
    <w:rsid w:val="00EB2029"/>
    <w:rsid w:val="00EB3E05"/>
    <w:rsid w:val="00EB5922"/>
    <w:rsid w:val="00EB5FA4"/>
    <w:rsid w:val="00EB62AB"/>
    <w:rsid w:val="00EB7EA3"/>
    <w:rsid w:val="00EC0D96"/>
    <w:rsid w:val="00EC1367"/>
    <w:rsid w:val="00EC149B"/>
    <w:rsid w:val="00EC29BE"/>
    <w:rsid w:val="00EC529B"/>
    <w:rsid w:val="00EC74C5"/>
    <w:rsid w:val="00EC7DEF"/>
    <w:rsid w:val="00ED47A7"/>
    <w:rsid w:val="00ED68A0"/>
    <w:rsid w:val="00EE1AF2"/>
    <w:rsid w:val="00EE4B37"/>
    <w:rsid w:val="00EE6513"/>
    <w:rsid w:val="00EE664F"/>
    <w:rsid w:val="00EE710C"/>
    <w:rsid w:val="00EF0289"/>
    <w:rsid w:val="00EF1685"/>
    <w:rsid w:val="00EF2F46"/>
    <w:rsid w:val="00F00723"/>
    <w:rsid w:val="00F033FE"/>
    <w:rsid w:val="00F03884"/>
    <w:rsid w:val="00F041D8"/>
    <w:rsid w:val="00F04565"/>
    <w:rsid w:val="00F049DA"/>
    <w:rsid w:val="00F054D8"/>
    <w:rsid w:val="00F06CB0"/>
    <w:rsid w:val="00F070EC"/>
    <w:rsid w:val="00F11F24"/>
    <w:rsid w:val="00F121BD"/>
    <w:rsid w:val="00F128E9"/>
    <w:rsid w:val="00F1308D"/>
    <w:rsid w:val="00F147B5"/>
    <w:rsid w:val="00F15381"/>
    <w:rsid w:val="00F1572A"/>
    <w:rsid w:val="00F15C34"/>
    <w:rsid w:val="00F20C0E"/>
    <w:rsid w:val="00F219BE"/>
    <w:rsid w:val="00F23407"/>
    <w:rsid w:val="00F25CBA"/>
    <w:rsid w:val="00F30C63"/>
    <w:rsid w:val="00F32AAB"/>
    <w:rsid w:val="00F33B3A"/>
    <w:rsid w:val="00F37F43"/>
    <w:rsid w:val="00F42F5C"/>
    <w:rsid w:val="00F4326C"/>
    <w:rsid w:val="00F434CB"/>
    <w:rsid w:val="00F43A62"/>
    <w:rsid w:val="00F44C35"/>
    <w:rsid w:val="00F4534E"/>
    <w:rsid w:val="00F5521A"/>
    <w:rsid w:val="00F554C4"/>
    <w:rsid w:val="00F5563A"/>
    <w:rsid w:val="00F60434"/>
    <w:rsid w:val="00F6186B"/>
    <w:rsid w:val="00F61E46"/>
    <w:rsid w:val="00F6269F"/>
    <w:rsid w:val="00F6401E"/>
    <w:rsid w:val="00F65748"/>
    <w:rsid w:val="00F6601A"/>
    <w:rsid w:val="00F6637D"/>
    <w:rsid w:val="00F66F21"/>
    <w:rsid w:val="00F67E8C"/>
    <w:rsid w:val="00F70A37"/>
    <w:rsid w:val="00F72224"/>
    <w:rsid w:val="00F734C5"/>
    <w:rsid w:val="00F74023"/>
    <w:rsid w:val="00F74967"/>
    <w:rsid w:val="00F774E1"/>
    <w:rsid w:val="00F776A1"/>
    <w:rsid w:val="00F81166"/>
    <w:rsid w:val="00F82067"/>
    <w:rsid w:val="00F82E3F"/>
    <w:rsid w:val="00F84920"/>
    <w:rsid w:val="00F8551D"/>
    <w:rsid w:val="00F87BC9"/>
    <w:rsid w:val="00F900E3"/>
    <w:rsid w:val="00F9078C"/>
    <w:rsid w:val="00F907BC"/>
    <w:rsid w:val="00F937F7"/>
    <w:rsid w:val="00F94647"/>
    <w:rsid w:val="00F94B50"/>
    <w:rsid w:val="00F94F5A"/>
    <w:rsid w:val="00F95D9A"/>
    <w:rsid w:val="00F97C6A"/>
    <w:rsid w:val="00FA1658"/>
    <w:rsid w:val="00FA1DA1"/>
    <w:rsid w:val="00FA2EE6"/>
    <w:rsid w:val="00FA5C42"/>
    <w:rsid w:val="00FA6B8E"/>
    <w:rsid w:val="00FB0582"/>
    <w:rsid w:val="00FB331B"/>
    <w:rsid w:val="00FB3618"/>
    <w:rsid w:val="00FB3E1E"/>
    <w:rsid w:val="00FB6B90"/>
    <w:rsid w:val="00FC021D"/>
    <w:rsid w:val="00FC1F0A"/>
    <w:rsid w:val="00FC4C59"/>
    <w:rsid w:val="00FC525A"/>
    <w:rsid w:val="00FC5C9A"/>
    <w:rsid w:val="00FC6BF9"/>
    <w:rsid w:val="00FC7CD1"/>
    <w:rsid w:val="00FD17F3"/>
    <w:rsid w:val="00FD2AC3"/>
    <w:rsid w:val="00FD331F"/>
    <w:rsid w:val="00FD68E6"/>
    <w:rsid w:val="00FD7AC4"/>
    <w:rsid w:val="00FE09D8"/>
    <w:rsid w:val="00FE27C5"/>
    <w:rsid w:val="00FE3063"/>
    <w:rsid w:val="00FE3F26"/>
    <w:rsid w:val="00FE5C98"/>
    <w:rsid w:val="00FE6765"/>
    <w:rsid w:val="00FE7688"/>
    <w:rsid w:val="00FE7721"/>
    <w:rsid w:val="00FE7DB3"/>
    <w:rsid w:val="00FE7FF2"/>
    <w:rsid w:val="00FF03D6"/>
    <w:rsid w:val="00FF0490"/>
    <w:rsid w:val="00FF3BCB"/>
    <w:rsid w:val="00FF557A"/>
    <w:rsid w:val="00FF616D"/>
    <w:rsid w:val="015E1388"/>
    <w:rsid w:val="03D3C8A9"/>
    <w:rsid w:val="066A4389"/>
    <w:rsid w:val="06963A54"/>
    <w:rsid w:val="07411843"/>
    <w:rsid w:val="0885FA4B"/>
    <w:rsid w:val="0DD828E8"/>
    <w:rsid w:val="0E1A8589"/>
    <w:rsid w:val="0E444515"/>
    <w:rsid w:val="1073A620"/>
    <w:rsid w:val="10BE8EEA"/>
    <w:rsid w:val="12516839"/>
    <w:rsid w:val="13F93956"/>
    <w:rsid w:val="174BC5B5"/>
    <w:rsid w:val="18CFEC5F"/>
    <w:rsid w:val="19DDC44B"/>
    <w:rsid w:val="1B2C25DD"/>
    <w:rsid w:val="1B424AF0"/>
    <w:rsid w:val="1C69DE46"/>
    <w:rsid w:val="1DCA436D"/>
    <w:rsid w:val="1DD2EFA9"/>
    <w:rsid w:val="1E5B48F5"/>
    <w:rsid w:val="1EC5E0B3"/>
    <w:rsid w:val="20F4A567"/>
    <w:rsid w:val="212DDAFA"/>
    <w:rsid w:val="212FB662"/>
    <w:rsid w:val="22577DC0"/>
    <w:rsid w:val="2364B1C5"/>
    <w:rsid w:val="236F8322"/>
    <w:rsid w:val="24F1E4BA"/>
    <w:rsid w:val="2528124D"/>
    <w:rsid w:val="25EBB090"/>
    <w:rsid w:val="26C3E2AE"/>
    <w:rsid w:val="27C85398"/>
    <w:rsid w:val="285FB30F"/>
    <w:rsid w:val="29F8AC53"/>
    <w:rsid w:val="2B88C00A"/>
    <w:rsid w:val="2E624767"/>
    <w:rsid w:val="2E8E6C3F"/>
    <w:rsid w:val="348F364C"/>
    <w:rsid w:val="35F366A2"/>
    <w:rsid w:val="365CCB7D"/>
    <w:rsid w:val="390DC118"/>
    <w:rsid w:val="399AD8AE"/>
    <w:rsid w:val="39E72F70"/>
    <w:rsid w:val="3A1F5AC2"/>
    <w:rsid w:val="3BE2FDAD"/>
    <w:rsid w:val="3DD54443"/>
    <w:rsid w:val="4353B761"/>
    <w:rsid w:val="43B9B870"/>
    <w:rsid w:val="442D46F3"/>
    <w:rsid w:val="445491AE"/>
    <w:rsid w:val="46B41A65"/>
    <w:rsid w:val="46F80F31"/>
    <w:rsid w:val="4706C604"/>
    <w:rsid w:val="471BDC18"/>
    <w:rsid w:val="48753ABE"/>
    <w:rsid w:val="49E306E6"/>
    <w:rsid w:val="4AAEE02D"/>
    <w:rsid w:val="4AC3D332"/>
    <w:rsid w:val="4B51632C"/>
    <w:rsid w:val="4E39DB71"/>
    <w:rsid w:val="4F89BD0F"/>
    <w:rsid w:val="535E6C8F"/>
    <w:rsid w:val="53C2A80A"/>
    <w:rsid w:val="58479283"/>
    <w:rsid w:val="58D51822"/>
    <w:rsid w:val="5AEA8FC3"/>
    <w:rsid w:val="5B89050B"/>
    <w:rsid w:val="5BB49192"/>
    <w:rsid w:val="5C5808C7"/>
    <w:rsid w:val="5DF23DAB"/>
    <w:rsid w:val="5F1372EE"/>
    <w:rsid w:val="6223D316"/>
    <w:rsid w:val="65E4CFE5"/>
    <w:rsid w:val="66F34578"/>
    <w:rsid w:val="67C5D587"/>
    <w:rsid w:val="69C06AE0"/>
    <w:rsid w:val="6EE4F79A"/>
    <w:rsid w:val="6F24B2A1"/>
    <w:rsid w:val="6F898175"/>
    <w:rsid w:val="7008E77F"/>
    <w:rsid w:val="73FD4E11"/>
    <w:rsid w:val="75798528"/>
    <w:rsid w:val="75F16253"/>
    <w:rsid w:val="76782903"/>
    <w:rsid w:val="771E00CA"/>
    <w:rsid w:val="78012530"/>
    <w:rsid w:val="7CE16AA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8624"/>
  <w15:chartTrackingRefBased/>
  <w15:docId w15:val="{ACF8A9E2-B0B0-49F4-AD61-7B66981B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Heading3"/>
    <w:next w:val="Normal"/>
    <w:link w:val="Heading2Char"/>
    <w:unhideWhenUsed/>
    <w:qFormat/>
    <w:rsid w:val="00311516"/>
    <w:pPr>
      <w:numPr>
        <w:numId w:val="41"/>
      </w:numPr>
      <w:spacing w:before="360" w:after="120" w:line="276" w:lineRule="auto"/>
      <w:outlineLvl w:val="1"/>
    </w:pPr>
    <w:rPr>
      <w:rFonts w:ascii="Gellix" w:hAnsi="Gellix"/>
      <w:b/>
      <w:color w:val="4472C4" w:themeColor="accent1"/>
      <w:kern w:val="0"/>
      <w:sz w:val="26"/>
      <w:szCs w:val="26"/>
      <w:lang w:val="en-US" w:eastAsia="en-US"/>
      <w14:ligatures w14:val="none"/>
    </w:rPr>
  </w:style>
  <w:style w:type="paragraph" w:styleId="Heading3">
    <w:name w:val="heading 3"/>
    <w:basedOn w:val="Normal"/>
    <w:next w:val="Normal"/>
    <w:link w:val="Heading3Char"/>
    <w:uiPriority w:val="9"/>
    <w:semiHidden/>
    <w:unhideWhenUsed/>
    <w:qFormat/>
    <w:rsid w:val="003115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B94"/>
    <w:pPr>
      <w:ind w:left="720"/>
      <w:contextualSpacing/>
    </w:pPr>
  </w:style>
  <w:style w:type="paragraph" w:styleId="Header">
    <w:name w:val="header"/>
    <w:basedOn w:val="Normal"/>
    <w:link w:val="HeaderChar"/>
    <w:uiPriority w:val="99"/>
    <w:unhideWhenUsed/>
    <w:rsid w:val="00A31867"/>
    <w:pPr>
      <w:tabs>
        <w:tab w:val="center" w:pos="4703"/>
        <w:tab w:val="right" w:pos="9406"/>
      </w:tabs>
      <w:spacing w:after="0" w:line="240" w:lineRule="auto"/>
    </w:pPr>
  </w:style>
  <w:style w:type="character" w:customStyle="1" w:styleId="HeaderChar">
    <w:name w:val="Header Char"/>
    <w:basedOn w:val="DefaultParagraphFont"/>
    <w:link w:val="Header"/>
    <w:uiPriority w:val="99"/>
    <w:rsid w:val="00A31867"/>
    <w:rPr>
      <w:lang w:val="en-GB"/>
    </w:rPr>
  </w:style>
  <w:style w:type="paragraph" w:styleId="Footer">
    <w:name w:val="footer"/>
    <w:basedOn w:val="Normal"/>
    <w:link w:val="FooterChar"/>
    <w:uiPriority w:val="99"/>
    <w:unhideWhenUsed/>
    <w:rsid w:val="00A31867"/>
    <w:pPr>
      <w:tabs>
        <w:tab w:val="center" w:pos="4703"/>
        <w:tab w:val="right" w:pos="9406"/>
      </w:tabs>
      <w:spacing w:after="0" w:line="240" w:lineRule="auto"/>
    </w:pPr>
  </w:style>
  <w:style w:type="character" w:customStyle="1" w:styleId="FooterChar">
    <w:name w:val="Footer Char"/>
    <w:basedOn w:val="DefaultParagraphFont"/>
    <w:link w:val="Footer"/>
    <w:uiPriority w:val="99"/>
    <w:rsid w:val="00A31867"/>
    <w:rPr>
      <w:lang w:val="en-GB"/>
    </w:rPr>
  </w:style>
  <w:style w:type="character" w:styleId="Hyperlink">
    <w:name w:val="Hyperlink"/>
    <w:basedOn w:val="DefaultParagraphFont"/>
    <w:uiPriority w:val="99"/>
    <w:unhideWhenUsed/>
    <w:rsid w:val="00507F17"/>
    <w:rPr>
      <w:color w:val="0563C1" w:themeColor="hyperlink"/>
      <w:u w:val="single"/>
    </w:rPr>
  </w:style>
  <w:style w:type="character" w:styleId="UnresolvedMention">
    <w:name w:val="Unresolved Mention"/>
    <w:basedOn w:val="DefaultParagraphFont"/>
    <w:uiPriority w:val="99"/>
    <w:semiHidden/>
    <w:unhideWhenUsed/>
    <w:rsid w:val="00507F17"/>
    <w:rPr>
      <w:color w:val="605E5C"/>
      <w:shd w:val="clear" w:color="auto" w:fill="E1DFDD"/>
    </w:rPr>
  </w:style>
  <w:style w:type="character" w:customStyle="1" w:styleId="normaltextrun">
    <w:name w:val="normaltextrun"/>
    <w:basedOn w:val="DefaultParagraphFont"/>
    <w:rsid w:val="00652FE7"/>
  </w:style>
  <w:style w:type="character" w:customStyle="1" w:styleId="eop">
    <w:name w:val="eop"/>
    <w:basedOn w:val="DefaultParagraphFont"/>
    <w:rsid w:val="0055774A"/>
  </w:style>
  <w:style w:type="paragraph" w:styleId="FootnoteText">
    <w:name w:val="footnote text"/>
    <w:basedOn w:val="Normal"/>
    <w:link w:val="FootnoteTextChar"/>
    <w:uiPriority w:val="99"/>
    <w:unhideWhenUsed/>
    <w:qFormat/>
    <w:rsid w:val="00066C6E"/>
    <w:pPr>
      <w:spacing w:after="0" w:line="240" w:lineRule="auto"/>
    </w:pPr>
    <w:rPr>
      <w:sz w:val="20"/>
      <w:szCs w:val="20"/>
    </w:rPr>
  </w:style>
  <w:style w:type="character" w:customStyle="1" w:styleId="FootnoteTextChar">
    <w:name w:val="Footnote Text Char"/>
    <w:basedOn w:val="DefaultParagraphFont"/>
    <w:link w:val="FootnoteText"/>
    <w:uiPriority w:val="99"/>
    <w:rsid w:val="00066C6E"/>
    <w:rPr>
      <w:sz w:val="20"/>
      <w:szCs w:val="20"/>
      <w:lang w:val="en-GB"/>
    </w:rPr>
  </w:style>
  <w:style w:type="character" w:styleId="FootnoteReference">
    <w:name w:val="footnote reference"/>
    <w:basedOn w:val="DefaultParagraphFont"/>
    <w:uiPriority w:val="99"/>
    <w:semiHidden/>
    <w:unhideWhenUsed/>
    <w:rsid w:val="00066C6E"/>
    <w:rPr>
      <w:vertAlign w:val="superscript"/>
    </w:rPr>
  </w:style>
  <w:style w:type="paragraph" w:styleId="BodyText">
    <w:name w:val="Body Text"/>
    <w:basedOn w:val="Normal"/>
    <w:link w:val="BodyTextChar"/>
    <w:uiPriority w:val="1"/>
    <w:qFormat/>
    <w:rsid w:val="00795FCE"/>
    <w:pPr>
      <w:widowControl w:val="0"/>
      <w:autoSpaceDE w:val="0"/>
      <w:autoSpaceDN w:val="0"/>
      <w:spacing w:after="0" w:line="240" w:lineRule="auto"/>
    </w:pPr>
    <w:rPr>
      <w:rFonts w:ascii="Verdana" w:eastAsia="Verdana" w:hAnsi="Verdana" w:cs="Verdana"/>
      <w:kern w:val="0"/>
      <w:sz w:val="21"/>
      <w:szCs w:val="21"/>
      <w:lang w:eastAsia="en-US"/>
      <w14:ligatures w14:val="none"/>
    </w:rPr>
  </w:style>
  <w:style w:type="character" w:customStyle="1" w:styleId="BodyTextChar">
    <w:name w:val="Body Text Char"/>
    <w:basedOn w:val="DefaultParagraphFont"/>
    <w:link w:val="BodyText"/>
    <w:uiPriority w:val="1"/>
    <w:rsid w:val="00795FCE"/>
    <w:rPr>
      <w:rFonts w:ascii="Verdana" w:eastAsia="Verdana" w:hAnsi="Verdana" w:cs="Verdana"/>
      <w:kern w:val="0"/>
      <w:sz w:val="21"/>
      <w:szCs w:val="21"/>
      <w:lang w:val="en-GB" w:eastAsia="en-US"/>
      <w14:ligatures w14:val="non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00723"/>
    <w:pPr>
      <w:spacing w:after="0" w:line="240" w:lineRule="auto"/>
    </w:pPr>
    <w:rPr>
      <w:lang w:val="en-GB"/>
    </w:rPr>
  </w:style>
  <w:style w:type="character" w:customStyle="1" w:styleId="Heading2Char">
    <w:name w:val="Heading 2 Char"/>
    <w:basedOn w:val="DefaultParagraphFont"/>
    <w:link w:val="Heading2"/>
    <w:rsid w:val="00311516"/>
    <w:rPr>
      <w:rFonts w:ascii="Gellix" w:eastAsiaTheme="majorEastAsia" w:hAnsi="Gellix" w:cstheme="majorBidi"/>
      <w:b/>
      <w:color w:val="4472C4" w:themeColor="accent1"/>
      <w:kern w:val="0"/>
      <w:sz w:val="26"/>
      <w:szCs w:val="26"/>
      <w:lang w:val="en-US" w:eastAsia="en-US"/>
      <w14:ligatures w14:val="none"/>
    </w:rPr>
  </w:style>
  <w:style w:type="paragraph" w:customStyle="1" w:styleId="Bullet2">
    <w:name w:val="Bullet 2"/>
    <w:basedOn w:val="Normal"/>
    <w:qFormat/>
    <w:rsid w:val="00311516"/>
    <w:pPr>
      <w:numPr>
        <w:numId w:val="40"/>
      </w:numPr>
      <w:spacing w:after="60" w:line="276" w:lineRule="auto"/>
    </w:pPr>
    <w:rPr>
      <w:rFonts w:ascii="Gellix" w:eastAsia="ヒラギノ角ゴ Pro W3" w:hAnsi="Gellix" w:cs="Times New Roman"/>
      <w:color w:val="000000"/>
      <w:kern w:val="0"/>
      <w:sz w:val="20"/>
      <w:szCs w:val="24"/>
      <w:lang w:val="en-US" w:eastAsia="en-US"/>
      <w14:ligatures w14:val="none"/>
    </w:rPr>
  </w:style>
  <w:style w:type="paragraph" w:customStyle="1" w:styleId="SubTitle">
    <w:name w:val="Sub Title"/>
    <w:basedOn w:val="Heading2"/>
    <w:link w:val="SubTitleCar"/>
    <w:qFormat/>
    <w:rsid w:val="00311516"/>
    <w:pPr>
      <w:numPr>
        <w:numId w:val="0"/>
      </w:numPr>
      <w:spacing w:before="0"/>
    </w:pPr>
    <w:rPr>
      <w:sz w:val="36"/>
      <w:szCs w:val="36"/>
    </w:rPr>
  </w:style>
  <w:style w:type="character" w:customStyle="1" w:styleId="SubTitleCar">
    <w:name w:val="Sub Title Car"/>
    <w:basedOn w:val="Heading2Char"/>
    <w:link w:val="SubTitle"/>
    <w:rsid w:val="00311516"/>
    <w:rPr>
      <w:rFonts w:ascii="Gellix" w:eastAsiaTheme="majorEastAsia" w:hAnsi="Gellix" w:cstheme="majorBidi"/>
      <w:b/>
      <w:color w:val="4472C4" w:themeColor="accent1"/>
      <w:kern w:val="0"/>
      <w:sz w:val="36"/>
      <w:szCs w:val="36"/>
      <w:lang w:val="en-US" w:eastAsia="en-US"/>
      <w14:ligatures w14:val="none"/>
    </w:rPr>
  </w:style>
  <w:style w:type="character" w:customStyle="1" w:styleId="Heading3Char">
    <w:name w:val="Heading 3 Char"/>
    <w:basedOn w:val="DefaultParagraphFont"/>
    <w:link w:val="Heading3"/>
    <w:uiPriority w:val="9"/>
    <w:semiHidden/>
    <w:rsid w:val="00311516"/>
    <w:rPr>
      <w:rFonts w:asciiTheme="majorHAnsi" w:eastAsiaTheme="majorEastAsia" w:hAnsiTheme="majorHAnsi" w:cstheme="majorBidi"/>
      <w:color w:val="1F3763" w:themeColor="accent1" w:themeShade="7F"/>
      <w:sz w:val="24"/>
      <w:szCs w:val="24"/>
      <w:lang w:val="en-GB"/>
    </w:rPr>
  </w:style>
  <w:style w:type="paragraph" w:styleId="CommentSubject">
    <w:name w:val="annotation subject"/>
    <w:basedOn w:val="CommentText"/>
    <w:next w:val="CommentText"/>
    <w:link w:val="CommentSubjectChar"/>
    <w:uiPriority w:val="99"/>
    <w:semiHidden/>
    <w:unhideWhenUsed/>
    <w:rsid w:val="00EB62AB"/>
    <w:rPr>
      <w:b/>
      <w:bCs/>
    </w:rPr>
  </w:style>
  <w:style w:type="character" w:customStyle="1" w:styleId="CommentSubjectChar">
    <w:name w:val="Comment Subject Char"/>
    <w:basedOn w:val="CommentTextChar"/>
    <w:link w:val="CommentSubject"/>
    <w:uiPriority w:val="99"/>
    <w:semiHidden/>
    <w:rsid w:val="00EB62AB"/>
    <w:rPr>
      <w:b/>
      <w:bCs/>
      <w:sz w:val="20"/>
      <w:szCs w:val="20"/>
      <w:lang w:val="en-GB"/>
    </w:rPr>
  </w:style>
  <w:style w:type="character" w:styleId="FollowedHyperlink">
    <w:name w:val="FollowedHyperlink"/>
    <w:basedOn w:val="DefaultParagraphFont"/>
    <w:uiPriority w:val="99"/>
    <w:semiHidden/>
    <w:unhideWhenUsed/>
    <w:rsid w:val="00346ED8"/>
    <w:rPr>
      <w:color w:val="954F72" w:themeColor="followedHyperlink"/>
      <w:u w:val="single"/>
    </w:rPr>
  </w:style>
  <w:style w:type="paragraph" w:customStyle="1" w:styleId="zFooter">
    <w:name w:val="z Footer"/>
    <w:basedOn w:val="Normal"/>
    <w:qFormat/>
    <w:rsid w:val="002D5145"/>
    <w:pPr>
      <w:spacing w:after="0" w:line="276" w:lineRule="auto"/>
      <w:jc w:val="center"/>
    </w:pPr>
    <w:rPr>
      <w:rFonts w:ascii="Gellix" w:eastAsia="ヒラギノ角ゴ Pro W3" w:hAnsi="Gellix" w:cs="Times New Roman"/>
      <w:color w:val="5B9BD5" w:themeColor="accent5"/>
      <w:kern w:val="0"/>
      <w:sz w:val="16"/>
      <w:szCs w:val="16"/>
      <w:lang w:val="en-US" w:eastAsia="en-US"/>
      <w14:ligatures w14:val="none"/>
    </w:rPr>
  </w:style>
  <w:style w:type="character" w:styleId="PageNumber">
    <w:name w:val="page number"/>
    <w:basedOn w:val="DefaultParagraphFont"/>
    <w:semiHidden/>
    <w:unhideWhenUsed/>
    <w:rsid w:val="002D5145"/>
  </w:style>
  <w:style w:type="paragraph" w:customStyle="1" w:styleId="paragraph">
    <w:name w:val="paragraph"/>
    <w:basedOn w:val="Normal"/>
    <w:rsid w:val="002D5145"/>
    <w:pPr>
      <w:spacing w:before="100" w:beforeAutospacing="1" w:after="100" w:afterAutospacing="1" w:line="276" w:lineRule="auto"/>
    </w:pPr>
    <w:rPr>
      <w:rFonts w:ascii="Times New Roman" w:eastAsia="Times New Roman" w:hAnsi="Times New Roman" w:cs="Times New Roman"/>
      <w:kern w:val="0"/>
      <w:sz w:val="24"/>
      <w:szCs w:val="24"/>
      <w:lang w:val="en-US" w:eastAsia="en-US"/>
      <w14:ligatures w14:val="none"/>
    </w:rPr>
  </w:style>
  <w:style w:type="table" w:styleId="GridTable1Light">
    <w:name w:val="Grid Table 1 Light"/>
    <w:basedOn w:val="TableNormal"/>
    <w:rsid w:val="002D5145"/>
    <w:pPr>
      <w:spacing w:after="0" w:line="240" w:lineRule="auto"/>
    </w:pPr>
    <w:rPr>
      <w:rFonts w:ascii="Times New Roman" w:eastAsia="Times New Roman" w:hAnsi="Times New Roman" w:cs="Times New Roman"/>
      <w:kern w:val="0"/>
      <w:sz w:val="20"/>
      <w:szCs w:val="20"/>
      <w:lang w:val="en-US" w:eastAsia="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xmsohyperlink">
    <w:name w:val="x_msohyperlink"/>
    <w:basedOn w:val="DefaultParagraphFont"/>
    <w:rsid w:val="00224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671503">
      <w:bodyDiv w:val="1"/>
      <w:marLeft w:val="0"/>
      <w:marRight w:val="0"/>
      <w:marTop w:val="0"/>
      <w:marBottom w:val="0"/>
      <w:divBdr>
        <w:top w:val="none" w:sz="0" w:space="0" w:color="auto"/>
        <w:left w:val="none" w:sz="0" w:space="0" w:color="auto"/>
        <w:bottom w:val="none" w:sz="0" w:space="0" w:color="auto"/>
        <w:right w:val="none" w:sz="0" w:space="0" w:color="auto"/>
      </w:divBdr>
      <w:divsChild>
        <w:div w:id="527063948">
          <w:marLeft w:val="0"/>
          <w:marRight w:val="0"/>
          <w:marTop w:val="300"/>
          <w:marBottom w:val="0"/>
          <w:divBdr>
            <w:top w:val="none" w:sz="0" w:space="0" w:color="auto"/>
            <w:left w:val="none" w:sz="0" w:space="0" w:color="auto"/>
            <w:bottom w:val="none" w:sz="0" w:space="0" w:color="auto"/>
            <w:right w:val="none" w:sz="0" w:space="0" w:color="auto"/>
          </w:divBdr>
          <w:divsChild>
            <w:div w:id="55709487">
              <w:marLeft w:val="300"/>
              <w:marRight w:val="0"/>
              <w:marTop w:val="0"/>
              <w:marBottom w:val="300"/>
              <w:divBdr>
                <w:top w:val="none" w:sz="0" w:space="0" w:color="auto"/>
                <w:left w:val="none" w:sz="0" w:space="0" w:color="auto"/>
                <w:bottom w:val="none" w:sz="0" w:space="0" w:color="auto"/>
                <w:right w:val="none" w:sz="0" w:space="0" w:color="auto"/>
              </w:divBdr>
              <w:divsChild>
                <w:div w:id="1341274012">
                  <w:marLeft w:val="0"/>
                  <w:marRight w:val="0"/>
                  <w:marTop w:val="0"/>
                  <w:marBottom w:val="0"/>
                  <w:divBdr>
                    <w:top w:val="single" w:sz="6" w:space="0" w:color="auto"/>
                    <w:left w:val="none" w:sz="0" w:space="0" w:color="auto"/>
                    <w:bottom w:val="single" w:sz="6" w:space="0" w:color="auto"/>
                    <w:right w:val="none" w:sz="0" w:space="0" w:color="auto"/>
                  </w:divBdr>
                </w:div>
              </w:divsChild>
            </w:div>
            <w:div w:id="208422891">
              <w:marLeft w:val="0"/>
              <w:marRight w:val="0"/>
              <w:marTop w:val="150"/>
              <w:marBottom w:val="0"/>
              <w:divBdr>
                <w:top w:val="none" w:sz="0" w:space="0" w:color="auto"/>
                <w:left w:val="none" w:sz="0" w:space="0" w:color="auto"/>
                <w:bottom w:val="none" w:sz="0" w:space="0" w:color="auto"/>
                <w:right w:val="none" w:sz="0" w:space="0" w:color="auto"/>
              </w:divBdr>
              <w:divsChild>
                <w:div w:id="40398813">
                  <w:marLeft w:val="75"/>
                  <w:marRight w:val="75"/>
                  <w:marTop w:val="75"/>
                  <w:marBottom w:val="75"/>
                  <w:divBdr>
                    <w:top w:val="none" w:sz="0" w:space="0" w:color="auto"/>
                    <w:left w:val="none" w:sz="0" w:space="0" w:color="auto"/>
                    <w:bottom w:val="none" w:sz="0" w:space="0" w:color="auto"/>
                    <w:right w:val="none" w:sz="0" w:space="0" w:color="auto"/>
                  </w:divBdr>
                </w:div>
                <w:div w:id="60280384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024133449">
          <w:marLeft w:val="300"/>
          <w:marRight w:val="0"/>
          <w:marTop w:val="150"/>
          <w:marBottom w:val="0"/>
          <w:divBdr>
            <w:top w:val="none" w:sz="0" w:space="0" w:color="auto"/>
            <w:left w:val="single" w:sz="18" w:space="8" w:color="117931"/>
            <w:bottom w:val="none" w:sz="0" w:space="0" w:color="auto"/>
            <w:right w:val="none" w:sz="0" w:space="0" w:color="auto"/>
          </w:divBdr>
        </w:div>
      </w:divsChild>
    </w:div>
    <w:div w:id="561604496">
      <w:bodyDiv w:val="1"/>
      <w:marLeft w:val="0"/>
      <w:marRight w:val="0"/>
      <w:marTop w:val="0"/>
      <w:marBottom w:val="0"/>
      <w:divBdr>
        <w:top w:val="none" w:sz="0" w:space="0" w:color="auto"/>
        <w:left w:val="none" w:sz="0" w:space="0" w:color="auto"/>
        <w:bottom w:val="none" w:sz="0" w:space="0" w:color="auto"/>
        <w:right w:val="none" w:sz="0" w:space="0" w:color="auto"/>
      </w:divBdr>
      <w:divsChild>
        <w:div w:id="494305118">
          <w:marLeft w:val="0"/>
          <w:marRight w:val="0"/>
          <w:marTop w:val="0"/>
          <w:marBottom w:val="0"/>
          <w:divBdr>
            <w:top w:val="none" w:sz="0" w:space="0" w:color="auto"/>
            <w:left w:val="none" w:sz="0" w:space="0" w:color="auto"/>
            <w:bottom w:val="none" w:sz="0" w:space="0" w:color="auto"/>
            <w:right w:val="none" w:sz="0" w:space="0" w:color="auto"/>
          </w:divBdr>
        </w:div>
        <w:div w:id="1152714663">
          <w:marLeft w:val="0"/>
          <w:marRight w:val="0"/>
          <w:marTop w:val="0"/>
          <w:marBottom w:val="0"/>
          <w:divBdr>
            <w:top w:val="none" w:sz="0" w:space="0" w:color="auto"/>
            <w:left w:val="none" w:sz="0" w:space="0" w:color="auto"/>
            <w:bottom w:val="none" w:sz="0" w:space="0" w:color="auto"/>
            <w:right w:val="none" w:sz="0" w:space="0" w:color="auto"/>
          </w:divBdr>
        </w:div>
        <w:div w:id="2036344399">
          <w:marLeft w:val="0"/>
          <w:marRight w:val="0"/>
          <w:marTop w:val="0"/>
          <w:marBottom w:val="0"/>
          <w:divBdr>
            <w:top w:val="none" w:sz="0" w:space="0" w:color="auto"/>
            <w:left w:val="none" w:sz="0" w:space="0" w:color="auto"/>
            <w:bottom w:val="none" w:sz="0" w:space="0" w:color="auto"/>
            <w:right w:val="none" w:sz="0" w:space="0" w:color="auto"/>
          </w:divBdr>
        </w:div>
      </w:divsChild>
    </w:div>
    <w:div w:id="617637554">
      <w:bodyDiv w:val="1"/>
      <w:marLeft w:val="0"/>
      <w:marRight w:val="0"/>
      <w:marTop w:val="0"/>
      <w:marBottom w:val="0"/>
      <w:divBdr>
        <w:top w:val="none" w:sz="0" w:space="0" w:color="auto"/>
        <w:left w:val="none" w:sz="0" w:space="0" w:color="auto"/>
        <w:bottom w:val="none" w:sz="0" w:space="0" w:color="auto"/>
        <w:right w:val="none" w:sz="0" w:space="0" w:color="auto"/>
      </w:divBdr>
    </w:div>
    <w:div w:id="898441807">
      <w:bodyDiv w:val="1"/>
      <w:marLeft w:val="0"/>
      <w:marRight w:val="0"/>
      <w:marTop w:val="0"/>
      <w:marBottom w:val="0"/>
      <w:divBdr>
        <w:top w:val="none" w:sz="0" w:space="0" w:color="auto"/>
        <w:left w:val="none" w:sz="0" w:space="0" w:color="auto"/>
        <w:bottom w:val="none" w:sz="0" w:space="0" w:color="auto"/>
        <w:right w:val="none" w:sz="0" w:space="0" w:color="auto"/>
      </w:divBdr>
    </w:div>
    <w:div w:id="1024087716">
      <w:bodyDiv w:val="1"/>
      <w:marLeft w:val="0"/>
      <w:marRight w:val="0"/>
      <w:marTop w:val="0"/>
      <w:marBottom w:val="0"/>
      <w:divBdr>
        <w:top w:val="none" w:sz="0" w:space="0" w:color="auto"/>
        <w:left w:val="none" w:sz="0" w:space="0" w:color="auto"/>
        <w:bottom w:val="none" w:sz="0" w:space="0" w:color="auto"/>
        <w:right w:val="none" w:sz="0" w:space="0" w:color="auto"/>
      </w:divBdr>
    </w:div>
    <w:div w:id="1391537264">
      <w:bodyDiv w:val="1"/>
      <w:marLeft w:val="0"/>
      <w:marRight w:val="0"/>
      <w:marTop w:val="0"/>
      <w:marBottom w:val="0"/>
      <w:divBdr>
        <w:top w:val="none" w:sz="0" w:space="0" w:color="auto"/>
        <w:left w:val="none" w:sz="0" w:space="0" w:color="auto"/>
        <w:bottom w:val="none" w:sz="0" w:space="0" w:color="auto"/>
        <w:right w:val="none" w:sz="0" w:space="0" w:color="auto"/>
      </w:divBdr>
    </w:div>
    <w:div w:id="1419205970">
      <w:bodyDiv w:val="1"/>
      <w:marLeft w:val="0"/>
      <w:marRight w:val="0"/>
      <w:marTop w:val="0"/>
      <w:marBottom w:val="0"/>
      <w:divBdr>
        <w:top w:val="none" w:sz="0" w:space="0" w:color="auto"/>
        <w:left w:val="none" w:sz="0" w:space="0" w:color="auto"/>
        <w:bottom w:val="none" w:sz="0" w:space="0" w:color="auto"/>
        <w:right w:val="none" w:sz="0" w:space="0" w:color="auto"/>
      </w:divBdr>
    </w:div>
    <w:div w:id="1561402129">
      <w:bodyDiv w:val="1"/>
      <w:marLeft w:val="0"/>
      <w:marRight w:val="0"/>
      <w:marTop w:val="0"/>
      <w:marBottom w:val="0"/>
      <w:divBdr>
        <w:top w:val="none" w:sz="0" w:space="0" w:color="auto"/>
        <w:left w:val="none" w:sz="0" w:space="0" w:color="auto"/>
        <w:bottom w:val="none" w:sz="0" w:space="0" w:color="auto"/>
        <w:right w:val="none" w:sz="0" w:space="0" w:color="auto"/>
      </w:divBdr>
      <w:divsChild>
        <w:div w:id="1427657184">
          <w:marLeft w:val="0"/>
          <w:marRight w:val="0"/>
          <w:marTop w:val="0"/>
          <w:marBottom w:val="0"/>
          <w:divBdr>
            <w:top w:val="none" w:sz="0" w:space="0" w:color="auto"/>
            <w:left w:val="none" w:sz="0" w:space="0" w:color="auto"/>
            <w:bottom w:val="none" w:sz="0" w:space="0" w:color="auto"/>
            <w:right w:val="none" w:sz="0" w:space="0" w:color="auto"/>
          </w:divBdr>
          <w:divsChild>
            <w:div w:id="261110357">
              <w:marLeft w:val="0"/>
              <w:marRight w:val="0"/>
              <w:marTop w:val="0"/>
              <w:marBottom w:val="0"/>
              <w:divBdr>
                <w:top w:val="none" w:sz="0" w:space="0" w:color="auto"/>
                <w:left w:val="none" w:sz="0" w:space="0" w:color="auto"/>
                <w:bottom w:val="none" w:sz="0" w:space="0" w:color="auto"/>
                <w:right w:val="none" w:sz="0" w:space="0" w:color="auto"/>
              </w:divBdr>
              <w:divsChild>
                <w:div w:id="1583224353">
                  <w:marLeft w:val="0"/>
                  <w:marRight w:val="0"/>
                  <w:marTop w:val="0"/>
                  <w:marBottom w:val="0"/>
                  <w:divBdr>
                    <w:top w:val="none" w:sz="0" w:space="0" w:color="auto"/>
                    <w:left w:val="none" w:sz="0" w:space="0" w:color="auto"/>
                    <w:bottom w:val="none" w:sz="0" w:space="0" w:color="auto"/>
                    <w:right w:val="none" w:sz="0" w:space="0" w:color="auto"/>
                  </w:divBdr>
                  <w:divsChild>
                    <w:div w:id="13628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1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cwbo.org/news-publications/policies-reports/critical-design-features-for-effective-carbon-pricing-a-business-perspectiv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ur01.safelinks.protection.outlook.com/?url=https%3A%2F%2Funfccc.int%2Fsites%2Fdefault%2Ffiles%2Fresource%2Fcma3_auv_12a_PA_6.2.pdf&amp;data=05%7C01%7CSandra.HANNI%40iccwbo.org%7C988524db17544236feda08da54855823%7Cc541a3c6520b49ce82202228ac7c3626%7C0%7C0%7C637915228945171069%7CUnknown%7CTWFpbGZsb3d8eyJWIjoiMC4wLjAwMDAiLCJQIjoiV2luMzIiLCJBTiI6Ik1haWwiLCJXVCI6Mn0%3D%7C3000%7C%7C%7C&amp;sdata=CX8Cx%2FC0hEyHJ%2FNOTwWdVrzmYWVDZhyW1x25D9qzLvM%3D&amp;reserved=0" TargetMode="External"/><Relationship Id="rId7" Type="http://schemas.openxmlformats.org/officeDocument/2006/relationships/settings" Target="settings.xml"/><Relationship Id="rId12" Type="http://schemas.openxmlformats.org/officeDocument/2006/relationships/hyperlink" Target="https://iccwbo.org/news-publications/policies-reports/icc-carbon-pricing-princip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fccc.int/cop27/au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eti.go.jp/information/g7hirosima/energy/pdf/Annex004.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mbioclimatico.go.cr/sanjoseprinciples/about-the-san-jose-principles/" TargetMode="External"/><Relationship Id="rId22" Type="http://schemas.openxmlformats.org/officeDocument/2006/relationships/hyperlink" Target="https://eur01.safelinks.protection.outlook.com/?url=https%3A%2F%2Funfccc.int%2Fsites%2Fdefault%2Ffiles%2Fresource%2Fcma3_auv_12b_PA_6.4.pdf&amp;data=05%7C01%7CSandra.HANNI%40iccwbo.org%7C988524db17544236feda08da54855823%7Cc541a3c6520b49ce82202228ac7c3626%7C0%7C0%7C637915228945171069%7CUnknown%7CTWFpbGZsb3d8eyJWIjoiMC4wLjAwMDAiLCJQIjoiV2luMzIiLCJBTiI6Ik1haWwiLCJXVCI6Mn0%3D%7C3000%7C%7C%7C&amp;sdata=IfGLTXCBV9UwTL%2Ftg6u%2BI1WG0s17w5PRKDP0RzuwlGA%3D&amp;reserved=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brics2022.mfa.gov.cn/eng/hywj/ODMM/202205/t20220529_10694182.html" TargetMode="External"/><Relationship Id="rId3" Type="http://schemas.openxmlformats.org/officeDocument/2006/relationships/hyperlink" Target="https://financing.desa.un.org/sites/default/files/2023-04/CRP.17%20Environmental_Workstream%204%20%28BCAs%29.pdf" TargetMode="External"/><Relationship Id="rId7" Type="http://schemas.openxmlformats.org/officeDocument/2006/relationships/hyperlink" Target="https://www.canada.ca/en/environment-climate-change/services/climate-change/pricing-pollution-how-it-will-work.html" TargetMode="External"/><Relationship Id="rId12" Type="http://schemas.openxmlformats.org/officeDocument/2006/relationships/hyperlink" Target="https://www.ieta.org/The-Potential-Role-of-Article-6-Compatible-Carbon-Markets-in-Reaching-Net-Zero" TargetMode="External"/><Relationship Id="rId2" Type="http://schemas.openxmlformats.org/officeDocument/2006/relationships/hyperlink" Target="https://openknowledge.worldbank.org/entities/publication/58f2a409-9bb7-4ee6-899d-be47835c838f" TargetMode="External"/><Relationship Id="rId1" Type="http://schemas.openxmlformats.org/officeDocument/2006/relationships/hyperlink" Target="https://openknowledge.worldbank.org/entities/publication/58f2a409-9bb7-4ee6-899d-be47835c838f" TargetMode="External"/><Relationship Id="rId6" Type="http://schemas.openxmlformats.org/officeDocument/2006/relationships/hyperlink" Target="https://www.canada.ca/en/environment-climate-change/services/climate-change/pricing-pollution-how-it-will-work/carbon-pollution-pricing-federal-benchmark-information.html" TargetMode="External"/><Relationship Id="rId11" Type="http://schemas.openxmlformats.org/officeDocument/2006/relationships/hyperlink" Target="https://iccwbo.org/publication/icc-carbon-pricing-principles/" TargetMode="External"/><Relationship Id="rId5" Type="http://schemas.openxmlformats.org/officeDocument/2006/relationships/hyperlink" Target="https://eur-lex.europa.eu/legal-content/EN/TXT/PDF/?uri=CELEX:32019D0708&amp;from=EN" TargetMode="External"/><Relationship Id="rId10" Type="http://schemas.openxmlformats.org/officeDocument/2006/relationships/hyperlink" Target="https://deliverypdf.ssrn.com/delivery.php?ID=360003072099004007066011126097001030052038002020063091107016063018104019054064067127072009117026095100010023011118006125104126082125082106022119064064099082090019076125067086090020082122119&amp;EXT=pdf&amp;INDEX=TRUE" TargetMode="External"/><Relationship Id="rId4" Type="http://schemas.openxmlformats.org/officeDocument/2006/relationships/hyperlink" Target="https://climate.ec.europa.eu/eu-action/eu-emissions-trading-system-eu-ets/free-allocation/carbon-leakage_en" TargetMode="External"/><Relationship Id="rId9" Type="http://schemas.openxmlformats.org/officeDocument/2006/relationships/hyperlink" Target="https://docs.wto.org/dol2fe/Pages/SS/directdoc.aspx?filename=q:/WT/CTE/W251.pdf&amp;Open=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7" ma:contentTypeDescription="Create a new document." ma:contentTypeScope="" ma:versionID="2e754feca39e09b3b51e0a0f69e615e3">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252dc435c72297ae287a5a0fe633524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xsi:nil="true"/>
    <SharedWithUsers xmlns="465ae127-5d1e-48f1-8bba-a4710e9de403">
      <UserInfo>
        <DisplayName>HANNI Sandra</DisplayName>
        <AccountId>1342</AccountId>
        <AccountType/>
      </UserInfo>
      <UserInfo>
        <DisplayName>SCARCELLA Luisa</DisplayName>
        <AccountId>7487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72087-FBB1-47EC-A4CC-6955AD671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0FFA7-D3D1-4261-8D19-4B98F1CA5008}">
  <ds:schemaRefs>
    <ds:schemaRef ds:uri="http://schemas.microsoft.com/office/2006/metadata/properties"/>
    <ds:schemaRef ds:uri="http://schemas.microsoft.com/office/infopath/2007/PartnerControls"/>
    <ds:schemaRef ds:uri="fecf7fcc-4ac6-4448-a404-5e4417a2ee04"/>
    <ds:schemaRef ds:uri="598f140b-4145-4024-8bcc-6d7083f15a24"/>
    <ds:schemaRef ds:uri="465ae127-5d1e-48f1-8bba-a4710e9de403"/>
  </ds:schemaRefs>
</ds:datastoreItem>
</file>

<file path=customXml/itemProps3.xml><?xml version="1.0" encoding="utf-8"?>
<ds:datastoreItem xmlns:ds="http://schemas.openxmlformats.org/officeDocument/2006/customXml" ds:itemID="{EB711B66-915C-4576-81D1-489F4F704373}">
  <ds:schemaRefs>
    <ds:schemaRef ds:uri="http://schemas.openxmlformats.org/officeDocument/2006/bibliography"/>
  </ds:schemaRefs>
</ds:datastoreItem>
</file>

<file path=customXml/itemProps4.xml><?xml version="1.0" encoding="utf-8"?>
<ds:datastoreItem xmlns:ds="http://schemas.openxmlformats.org/officeDocument/2006/customXml" ds:itemID="{3F5CB7A7-4077-463A-AF40-72F87F54A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9474</Words>
  <Characters>52111</Characters>
  <Application>Microsoft Office Word</Application>
  <DocSecurity>0</DocSecurity>
  <Lines>434</Lines>
  <Paragraphs>122</Paragraphs>
  <ScaleCrop>false</ScaleCrop>
  <Company>International Chamber of Commerce</Company>
  <LinksUpToDate>false</LinksUpToDate>
  <CharactersWithSpaces>61463</CharactersWithSpaces>
  <SharedDoc>false</SharedDoc>
  <HLinks>
    <vt:vector size="66" baseType="variant">
      <vt:variant>
        <vt:i4>2621476</vt:i4>
      </vt:variant>
      <vt:variant>
        <vt:i4>9</vt:i4>
      </vt:variant>
      <vt:variant>
        <vt:i4>0</vt:i4>
      </vt:variant>
      <vt:variant>
        <vt:i4>5</vt:i4>
      </vt:variant>
      <vt:variant>
        <vt:lpwstr>https://icapcarbonaction.com/en/publications/emissions-trading-practice-handbook-design-and-implementation-2nd-edition</vt:lpwstr>
      </vt:variant>
      <vt:variant>
        <vt:lpwstr/>
      </vt:variant>
      <vt:variant>
        <vt:i4>24</vt:i4>
      </vt:variant>
      <vt:variant>
        <vt:i4>6</vt:i4>
      </vt:variant>
      <vt:variant>
        <vt:i4>0</vt:i4>
      </vt:variant>
      <vt:variant>
        <vt:i4>5</vt:i4>
      </vt:variant>
      <vt:variant>
        <vt:lpwstr>https://deliverypdf.ssrn.com/delivery.php?ID=360003072099004007066011126097001030052038002020063091107016063018104019054064067127072009117026095100010023011118006125104126082125082106022119064064099082090019076125067086090020082122119&amp;EXT=pdf&amp;INDEX=TRUE</vt:lpwstr>
      </vt:variant>
      <vt:variant>
        <vt:lpwstr/>
      </vt:variant>
      <vt:variant>
        <vt:i4>2424882</vt:i4>
      </vt:variant>
      <vt:variant>
        <vt:i4>3</vt:i4>
      </vt:variant>
      <vt:variant>
        <vt:i4>0</vt:i4>
      </vt:variant>
      <vt:variant>
        <vt:i4>5</vt:i4>
      </vt:variant>
      <vt:variant>
        <vt:lpwstr>https://iccwbo.org/news-publications/policies-reports/critical-design-features-for-effective-carbon-pricing-a-business-perspective/</vt:lpwstr>
      </vt:variant>
      <vt:variant>
        <vt:lpwstr/>
      </vt:variant>
      <vt:variant>
        <vt:i4>5636097</vt:i4>
      </vt:variant>
      <vt:variant>
        <vt:i4>0</vt:i4>
      </vt:variant>
      <vt:variant>
        <vt:i4>0</vt:i4>
      </vt:variant>
      <vt:variant>
        <vt:i4>5</vt:i4>
      </vt:variant>
      <vt:variant>
        <vt:lpwstr>https://iccwbo.org/news-publications/policies-reports/icc-carbon-pricing-principles/</vt:lpwstr>
      </vt:variant>
      <vt:variant>
        <vt:lpwstr/>
      </vt:variant>
      <vt:variant>
        <vt:i4>7340080</vt:i4>
      </vt:variant>
      <vt:variant>
        <vt:i4>18</vt:i4>
      </vt:variant>
      <vt:variant>
        <vt:i4>0</vt:i4>
      </vt:variant>
      <vt:variant>
        <vt:i4>5</vt:i4>
      </vt:variant>
      <vt:variant>
        <vt:lpwstr>https://www.canada.ca/en/environment-climate-change/services/climate-change/pricing-pollution-how-it-will-work.html</vt:lpwstr>
      </vt:variant>
      <vt:variant>
        <vt:lpwstr/>
      </vt:variant>
      <vt:variant>
        <vt:i4>7864381</vt:i4>
      </vt:variant>
      <vt:variant>
        <vt:i4>15</vt:i4>
      </vt:variant>
      <vt:variant>
        <vt:i4>0</vt:i4>
      </vt:variant>
      <vt:variant>
        <vt:i4>5</vt:i4>
      </vt:variant>
      <vt:variant>
        <vt:lpwstr>https://www.canada.ca/en/environment-climate-change/services/climate-change/pricing-pollution-how-it-will-work/carbon-pollution-pricing-federal-benchmark-information.html</vt:lpwstr>
      </vt:variant>
      <vt:variant>
        <vt:lpwstr/>
      </vt:variant>
      <vt:variant>
        <vt:i4>5177395</vt:i4>
      </vt:variant>
      <vt:variant>
        <vt:i4>12</vt:i4>
      </vt:variant>
      <vt:variant>
        <vt:i4>0</vt:i4>
      </vt:variant>
      <vt:variant>
        <vt:i4>5</vt:i4>
      </vt:variant>
      <vt:variant>
        <vt:lpwstr>https://unctad.org/system/files/official-document/osginf2021d2_en.pdf</vt:lpwstr>
      </vt:variant>
      <vt:variant>
        <vt:lpwstr/>
      </vt:variant>
      <vt:variant>
        <vt:i4>3080220</vt:i4>
      </vt:variant>
      <vt:variant>
        <vt:i4>9</vt:i4>
      </vt:variant>
      <vt:variant>
        <vt:i4>0</vt:i4>
      </vt:variant>
      <vt:variant>
        <vt:i4>5</vt:i4>
      </vt:variant>
      <vt:variant>
        <vt:lpwstr>https://climate.ec.europa.eu/eu-action/eu-emissions-trading-system-eu-ets/free-allocation/carbon-leakage_en</vt:lpwstr>
      </vt:variant>
      <vt:variant>
        <vt:lpwstr/>
      </vt:variant>
      <vt:variant>
        <vt:i4>2359310</vt:i4>
      </vt:variant>
      <vt:variant>
        <vt:i4>6</vt:i4>
      </vt:variant>
      <vt:variant>
        <vt:i4>0</vt:i4>
      </vt:variant>
      <vt:variant>
        <vt:i4>5</vt:i4>
      </vt:variant>
      <vt:variant>
        <vt:lpwstr>https://financing.desa.un.org/sites/default/files/2023-04/CRP.17 Environmental_Workstream 4 %28BCAs%29.pdf</vt:lpwstr>
      </vt:variant>
      <vt:variant>
        <vt:lpwstr/>
      </vt:variant>
      <vt:variant>
        <vt:i4>4587550</vt:i4>
      </vt:variant>
      <vt:variant>
        <vt:i4>3</vt:i4>
      </vt:variant>
      <vt:variant>
        <vt:i4>0</vt:i4>
      </vt:variant>
      <vt:variant>
        <vt:i4>5</vt:i4>
      </vt:variant>
      <vt:variant>
        <vt:lpwstr>https://openknowledge.worldbank.org/entities/publication/58f2a409-9bb7-4ee6-899d-be47835c838f</vt:lpwstr>
      </vt:variant>
      <vt:variant>
        <vt:lpwstr/>
      </vt:variant>
      <vt:variant>
        <vt:i4>4587550</vt:i4>
      </vt:variant>
      <vt:variant>
        <vt:i4>0</vt:i4>
      </vt:variant>
      <vt:variant>
        <vt:i4>0</vt:i4>
      </vt:variant>
      <vt:variant>
        <vt:i4>5</vt:i4>
      </vt:variant>
      <vt:variant>
        <vt:lpwstr>https://openknowledge.worldbank.org/entities/publication/58f2a409-9bb7-4ee6-899d-be47835c838f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Raelene</dc:creator>
  <cp:keywords/>
  <dc:description/>
  <cp:lastModifiedBy>ICC</cp:lastModifiedBy>
  <cp:revision>1131</cp:revision>
  <dcterms:created xsi:type="dcterms:W3CDTF">2023-06-09T11:23:00Z</dcterms:created>
  <dcterms:modified xsi:type="dcterms:W3CDTF">2023-07-28T09:57:00Z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MediaServiceImageTags">
    <vt:lpwstr/>
  </property>
</Properties>
</file>