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6F" w:rsidRDefault="007E0D6F" w:rsidP="007E0D6F">
      <w:pPr>
        <w:spacing w:line="216" w:lineRule="auto"/>
        <w:rPr>
          <w:rFonts w:eastAsiaTheme="minorEastAsia" w:cstheme="minorHAnsi"/>
          <w:b/>
          <w:color w:val="404040" w:themeColor="text1" w:themeTint="BF"/>
          <w:kern w:val="24"/>
          <w:sz w:val="36"/>
          <w:szCs w:val="36"/>
        </w:rPr>
      </w:pPr>
      <w:r>
        <w:rPr>
          <w:rFonts w:eastAsiaTheme="minorEastAsia" w:cstheme="minorHAnsi"/>
          <w:b/>
          <w:color w:val="404040" w:themeColor="text1" w:themeTint="BF"/>
          <w:kern w:val="24"/>
          <w:sz w:val="36"/>
          <w:szCs w:val="36"/>
        </w:rPr>
        <w:t xml:space="preserve">SIMON HOLMES, </w:t>
      </w:r>
      <w:r w:rsidR="00196721">
        <w:rPr>
          <w:rFonts w:eastAsiaTheme="minorEastAsia" w:cstheme="minorHAnsi"/>
          <w:b/>
          <w:color w:val="404040" w:themeColor="text1" w:themeTint="BF"/>
          <w:kern w:val="24"/>
          <w:sz w:val="36"/>
          <w:szCs w:val="36"/>
        </w:rPr>
        <w:t xml:space="preserve">SELECTED </w:t>
      </w:r>
      <w:r>
        <w:rPr>
          <w:rFonts w:eastAsiaTheme="minorEastAsia" w:cstheme="minorHAnsi"/>
          <w:b/>
          <w:color w:val="404040" w:themeColor="text1" w:themeTint="BF"/>
          <w:kern w:val="24"/>
          <w:sz w:val="36"/>
          <w:szCs w:val="36"/>
        </w:rPr>
        <w:t>PAPERS ON CLIMATE CHANGE, SUSTAINABILITY AND COMPETITION POLICY</w:t>
      </w:r>
      <w:proofErr w:type="gramStart"/>
      <w:r>
        <w:rPr>
          <w:rFonts w:eastAsiaTheme="minorEastAsia" w:cstheme="minorHAnsi"/>
          <w:b/>
          <w:color w:val="404040" w:themeColor="text1" w:themeTint="BF"/>
          <w:kern w:val="24"/>
          <w:sz w:val="36"/>
          <w:szCs w:val="36"/>
        </w:rPr>
        <w:t>.</w:t>
      </w:r>
      <w:r w:rsidR="00CF7E11">
        <w:rPr>
          <w:rFonts w:eastAsiaTheme="minorEastAsia" w:cstheme="minorHAnsi"/>
          <w:b/>
          <w:color w:val="404040" w:themeColor="text1" w:themeTint="BF"/>
          <w:kern w:val="24"/>
          <w:sz w:val="36"/>
          <w:szCs w:val="36"/>
        </w:rPr>
        <w:t>(</w:t>
      </w:r>
      <w:proofErr w:type="gramEnd"/>
      <w:r w:rsidR="00CF7E11">
        <w:rPr>
          <w:rFonts w:eastAsiaTheme="minorEastAsia" w:cstheme="minorHAnsi"/>
          <w:b/>
          <w:color w:val="404040" w:themeColor="text1" w:themeTint="BF"/>
          <w:kern w:val="24"/>
          <w:sz w:val="36"/>
          <w:szCs w:val="36"/>
        </w:rPr>
        <w:t>May, 2022).</w:t>
      </w:r>
    </w:p>
    <w:p w:rsidR="000F2E6B" w:rsidRDefault="000F2E6B" w:rsidP="000F2E6B">
      <w:pPr>
        <w:pStyle w:val="ListParagraph"/>
        <w:ind w:left="37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Simon Holmes.</w:t>
      </w:r>
    </w:p>
    <w:p w:rsidR="000F2E6B" w:rsidRDefault="000F2E6B" w:rsidP="000F2E6B">
      <w:pPr>
        <w:pStyle w:val="ListParagraph"/>
        <w:ind w:left="37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Visiting Professor of Law, Oxford University.</w:t>
      </w:r>
    </w:p>
    <w:p w:rsidR="005F03EF" w:rsidRDefault="000F2E6B" w:rsidP="000F2E6B">
      <w:pPr>
        <w:pStyle w:val="ListParagraph"/>
        <w:shd w:val="clear" w:color="auto" w:fill="FFFFFF"/>
        <w:spacing w:before="100" w:beforeAutospacing="1" w:after="100" w:afterAutospacing="1" w:line="240" w:lineRule="auto"/>
        <w:ind w:left="375"/>
      </w:pPr>
      <w:r>
        <w:rPr>
          <w:rFonts w:cstheme="minorHAnsi"/>
          <w:b/>
          <w:sz w:val="24"/>
          <w:szCs w:val="24"/>
        </w:rPr>
        <w:t>Judge, UK Competition Appeal Tribunal.</w:t>
      </w:r>
      <w:r w:rsidR="005F03EF" w:rsidRPr="005F03EF">
        <w:t xml:space="preserve"> </w:t>
      </w:r>
    </w:p>
    <w:p w:rsidR="00196721" w:rsidRDefault="00196721" w:rsidP="000F2E6B">
      <w:pPr>
        <w:pStyle w:val="ListParagraph"/>
        <w:shd w:val="clear" w:color="auto" w:fill="FFFFFF"/>
        <w:spacing w:before="100" w:beforeAutospacing="1" w:after="100" w:afterAutospacing="1" w:line="240" w:lineRule="auto"/>
        <w:ind w:left="375"/>
      </w:pPr>
    </w:p>
    <w:p w:rsidR="000F2E6B" w:rsidRPr="00D2204E" w:rsidRDefault="005F03EF" w:rsidP="005F03E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>
        <w:t>A Sustai</w:t>
      </w:r>
      <w:r w:rsidR="00E26AD6">
        <w:t>n</w:t>
      </w:r>
      <w:r>
        <w:t>able Future: how can control of monopoly po</w:t>
      </w:r>
      <w:r w:rsidR="00E26AD6">
        <w:t>w</w:t>
      </w:r>
      <w:r>
        <w:t xml:space="preserve">er play a part? Simon </w:t>
      </w:r>
      <w:r w:rsidR="00E26AD6">
        <w:t>Holmes and Mi</w:t>
      </w:r>
      <w:r>
        <w:t>chelle</w:t>
      </w:r>
      <w:r w:rsidR="00E26AD6">
        <w:t xml:space="preserve"> Meagher</w:t>
      </w:r>
      <w:r>
        <w:t xml:space="preserve">, 3 May, 2022. </w:t>
      </w:r>
      <w:hyperlink r:id="rId5" w:history="1">
        <w:r w:rsidRPr="005F03EF">
          <w:rPr>
            <w:rFonts w:ascii="Helvetica" w:hAnsi="Helvetica" w:cs="Helvetica"/>
            <w:color w:val="0071EB"/>
            <w:spacing w:val="-6"/>
            <w:sz w:val="26"/>
            <w:szCs w:val="26"/>
            <w:u w:val="single"/>
            <w:shd w:val="clear" w:color="auto" w:fill="FFFFFF"/>
          </w:rPr>
          <w:t>https://papers.ssrn.com/sol3/papers.cfm?abstract_id=4099796</w:t>
        </w:r>
      </w:hyperlink>
    </w:p>
    <w:p w:rsidR="00D2204E" w:rsidRPr="00E26AD6" w:rsidRDefault="00D2204E" w:rsidP="00D2204E">
      <w:pPr>
        <w:pStyle w:val="ListParagraph"/>
        <w:shd w:val="clear" w:color="auto" w:fill="FFFFFF"/>
        <w:spacing w:before="100" w:beforeAutospacing="1" w:after="100" w:afterAutospacing="1" w:line="240" w:lineRule="auto"/>
        <w:ind w:left="765"/>
        <w:rPr>
          <w:rFonts w:cstheme="minorHAnsi"/>
          <w:b/>
          <w:sz w:val="24"/>
          <w:szCs w:val="24"/>
        </w:rPr>
      </w:pPr>
    </w:p>
    <w:p w:rsidR="00E26AD6" w:rsidRPr="00196721" w:rsidRDefault="00E26AD6" w:rsidP="0019672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96721">
        <w:t>Revised draft horizontal guideless on sustainability agreements.</w:t>
      </w:r>
      <w:r w:rsidRPr="00196721">
        <w:rPr>
          <w:rFonts w:cstheme="minorHAnsi"/>
          <w:sz w:val="24"/>
          <w:szCs w:val="24"/>
        </w:rPr>
        <w:t xml:space="preserve"> </w:t>
      </w:r>
      <w:proofErr w:type="spellStart"/>
      <w:r w:rsidRPr="00196721">
        <w:rPr>
          <w:rFonts w:cstheme="minorHAnsi"/>
          <w:sz w:val="24"/>
          <w:szCs w:val="24"/>
        </w:rPr>
        <w:t>ClientEarth</w:t>
      </w:r>
      <w:proofErr w:type="spellEnd"/>
      <w:r w:rsidRPr="00196721">
        <w:rPr>
          <w:rFonts w:cstheme="minorHAnsi"/>
          <w:sz w:val="24"/>
          <w:szCs w:val="24"/>
        </w:rPr>
        <w:t xml:space="preserve"> and Simon Holmes’ contribution to the European Commission’s public consultation, April, 2022.</w:t>
      </w:r>
      <w:r w:rsidR="00196721" w:rsidRPr="00196721">
        <w:t xml:space="preserve"> </w:t>
      </w:r>
      <w:r w:rsidR="00196721" w:rsidRPr="00196721">
        <w:rPr>
          <w:rFonts w:cstheme="minorHAnsi"/>
          <w:sz w:val="24"/>
          <w:szCs w:val="24"/>
        </w:rPr>
        <w:t>https://www.clientearth.org/latest/documents/horizontal-agreements-between-companies-revision-of-eu-competition-rules/</w:t>
      </w:r>
    </w:p>
    <w:p w:rsidR="007E0D6F" w:rsidRDefault="007E0D6F" w:rsidP="007E0D6F">
      <w:pPr>
        <w:pStyle w:val="ListParagraph"/>
        <w:spacing w:line="216" w:lineRule="auto"/>
        <w:ind w:left="375"/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</w:pPr>
    </w:p>
    <w:p w:rsidR="007E0D6F" w:rsidRPr="00D2204E" w:rsidRDefault="007E0D6F" w:rsidP="005F03EF">
      <w:pPr>
        <w:pStyle w:val="ListParagraph"/>
        <w:numPr>
          <w:ilvl w:val="0"/>
          <w:numId w:val="2"/>
        </w:numPr>
        <w:spacing w:line="216" w:lineRule="auto"/>
        <w:rPr>
          <w:rFonts w:cstheme="minorHAnsi"/>
          <w:color w:val="E48312"/>
          <w:sz w:val="24"/>
          <w:szCs w:val="24"/>
        </w:rPr>
      </w:pPr>
      <w:r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  <w:t xml:space="preserve"> JAE Paper “Climate Change, Sustainability and Competition Law”:</w:t>
      </w:r>
      <w:r>
        <w:rPr>
          <w:rFonts w:cstheme="minorHAnsi"/>
          <w:color w:val="E48312"/>
          <w:sz w:val="24"/>
          <w:szCs w:val="24"/>
        </w:rPr>
        <w:t xml:space="preserve"> </w:t>
      </w:r>
      <w:hyperlink r:id="rId6" w:history="1">
        <w:r>
          <w:rPr>
            <w:rStyle w:val="Hyperlink"/>
          </w:rPr>
          <w:t>https://academic.oup.com/antitrust/article/8/2/354/5819564?login=true</w:t>
        </w:r>
      </w:hyperlink>
      <w:r>
        <w:t xml:space="preserve"> </w:t>
      </w:r>
    </w:p>
    <w:p w:rsidR="00D2204E" w:rsidRPr="00D2204E" w:rsidRDefault="00D2204E" w:rsidP="00D2204E">
      <w:pPr>
        <w:pStyle w:val="ListParagraph"/>
        <w:rPr>
          <w:rFonts w:cstheme="minorHAnsi"/>
          <w:color w:val="E48312"/>
          <w:sz w:val="24"/>
          <w:szCs w:val="24"/>
        </w:rPr>
      </w:pPr>
    </w:p>
    <w:p w:rsidR="00D2204E" w:rsidRDefault="00D2204E" w:rsidP="00D2204E">
      <w:pPr>
        <w:pStyle w:val="ListParagraph"/>
        <w:spacing w:line="216" w:lineRule="auto"/>
        <w:ind w:left="765"/>
        <w:rPr>
          <w:rFonts w:cstheme="minorHAnsi"/>
          <w:color w:val="E48312"/>
          <w:sz w:val="24"/>
          <w:szCs w:val="24"/>
        </w:rPr>
      </w:pPr>
    </w:p>
    <w:p w:rsidR="007E0D6F" w:rsidRDefault="007E0D6F" w:rsidP="00D2204E">
      <w:pPr>
        <w:pStyle w:val="ListParagraph"/>
        <w:numPr>
          <w:ilvl w:val="0"/>
          <w:numId w:val="2"/>
        </w:numPr>
        <w:spacing w:line="216" w:lineRule="auto"/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</w:pPr>
      <w:r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  <w:t xml:space="preserve">“Climate Change, Sustainability and Competition Law in the UK” (published in the ECLR, July, 2020); </w:t>
      </w:r>
      <w:hyperlink r:id="rId7" w:history="1">
        <w:r>
          <w:rPr>
            <w:rStyle w:val="Hyperlink"/>
            <w:rFonts w:eastAsiaTheme="minorEastAsia" w:cstheme="minorHAnsi"/>
            <w:kern w:val="24"/>
            <w:sz w:val="24"/>
            <w:szCs w:val="24"/>
          </w:rPr>
          <w:t>https://www.law.ox.ac.uk/sites/files/oxlaw/cclp_working_paper_cclpl51.pdf</w:t>
        </w:r>
      </w:hyperlink>
      <w:r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  <w:t xml:space="preserve"> </w:t>
      </w:r>
    </w:p>
    <w:p w:rsidR="00D2204E" w:rsidRDefault="00D2204E" w:rsidP="00D2204E">
      <w:pPr>
        <w:pStyle w:val="ListParagraph"/>
        <w:spacing w:line="216" w:lineRule="auto"/>
        <w:ind w:left="765"/>
        <w:rPr>
          <w:rFonts w:cstheme="minorHAnsi"/>
          <w:color w:val="E48312"/>
          <w:sz w:val="24"/>
          <w:szCs w:val="24"/>
        </w:rPr>
      </w:pPr>
    </w:p>
    <w:p w:rsidR="007E0D6F" w:rsidRDefault="007E0D6F" w:rsidP="00D2204E">
      <w:pPr>
        <w:pStyle w:val="ListParagraph"/>
        <w:numPr>
          <w:ilvl w:val="0"/>
          <w:numId w:val="2"/>
        </w:numPr>
        <w:spacing w:line="216" w:lineRule="auto"/>
        <w:rPr>
          <w:rStyle w:val="Hyperlink"/>
          <w:rFonts w:eastAsiaTheme="minorEastAsia" w:cstheme="minorHAnsi"/>
          <w:color w:val="4040FF"/>
          <w:kern w:val="24"/>
          <w:sz w:val="24"/>
          <w:szCs w:val="24"/>
        </w:rPr>
      </w:pPr>
      <w:r>
        <w:rPr>
          <w:rFonts w:eastAsiaTheme="minorEastAsia" w:cstheme="minorHAnsi"/>
          <w:i/>
          <w:iCs/>
          <w:color w:val="404040" w:themeColor="text1" w:themeTint="BF"/>
          <w:kern w:val="24"/>
          <w:sz w:val="24"/>
          <w:szCs w:val="24"/>
        </w:rPr>
        <w:t xml:space="preserve">Climate Change and Competition Law –Simon Holmes note for OECD Roundtable on sustainability and competition law: </w:t>
      </w:r>
      <w:hyperlink r:id="rId8" w:history="1">
        <w:r>
          <w:rPr>
            <w:rStyle w:val="Hyperlink"/>
            <w:rFonts w:eastAsiaTheme="minorEastAsia" w:cstheme="minorHAnsi"/>
            <w:color w:val="4040FF"/>
            <w:kern w:val="24"/>
            <w:sz w:val="24"/>
            <w:szCs w:val="24"/>
          </w:rPr>
          <w:t>https://one.oecd.org/document/DAF/COMP/WD(2020)94/en/pdf</w:t>
        </w:r>
      </w:hyperlink>
    </w:p>
    <w:p w:rsidR="00D2204E" w:rsidRPr="00D2204E" w:rsidRDefault="00D2204E" w:rsidP="00D2204E">
      <w:pPr>
        <w:pStyle w:val="ListParagraph"/>
        <w:rPr>
          <w:rStyle w:val="Hyperlink"/>
          <w:rFonts w:eastAsiaTheme="minorEastAsia"/>
          <w:color w:val="4040FF"/>
          <w:kern w:val="24"/>
        </w:rPr>
      </w:pPr>
    </w:p>
    <w:p w:rsidR="00D2204E" w:rsidRDefault="00D2204E" w:rsidP="00D2204E">
      <w:pPr>
        <w:pStyle w:val="ListParagraph"/>
        <w:spacing w:line="216" w:lineRule="auto"/>
        <w:ind w:left="765"/>
        <w:rPr>
          <w:rStyle w:val="Hyperlink"/>
          <w:rFonts w:eastAsiaTheme="minorEastAsia"/>
          <w:color w:val="4040FF"/>
          <w:kern w:val="24"/>
        </w:rPr>
      </w:pPr>
    </w:p>
    <w:p w:rsidR="007E0D6F" w:rsidRDefault="007E0D6F" w:rsidP="00D2204E">
      <w:pPr>
        <w:pStyle w:val="ListParagraph"/>
        <w:numPr>
          <w:ilvl w:val="0"/>
          <w:numId w:val="2"/>
        </w:numPr>
        <w:spacing w:line="216" w:lineRule="auto"/>
        <w:rPr>
          <w:rStyle w:val="Hyperlink"/>
          <w:rFonts w:ascii="Helvetica" w:hAnsi="Helvetica" w:cs="Helvetica"/>
          <w:color w:val="0071EB"/>
          <w:spacing w:val="-6"/>
          <w:sz w:val="26"/>
          <w:szCs w:val="26"/>
          <w:shd w:val="clear" w:color="auto" w:fill="FFFFFF"/>
        </w:rPr>
      </w:pPr>
      <w:r w:rsidRPr="00196721">
        <w:rPr>
          <w:rFonts w:ascii="Helvetica" w:hAnsi="Helvetica" w:cs="Helvetica"/>
          <w:color w:val="000000"/>
          <w:spacing w:val="-6"/>
          <w:sz w:val="26"/>
          <w:szCs w:val="26"/>
        </w:rPr>
        <w:t xml:space="preserve">Horizontal agreements between companies-revision of EU competition rules. </w:t>
      </w:r>
      <w:proofErr w:type="spellStart"/>
      <w:r w:rsidRPr="00196721">
        <w:rPr>
          <w:rFonts w:ascii="Helvetica" w:hAnsi="Helvetica" w:cs="Helvetica"/>
          <w:color w:val="000000"/>
          <w:spacing w:val="-6"/>
          <w:sz w:val="26"/>
          <w:szCs w:val="26"/>
        </w:rPr>
        <w:t>ClientEarth</w:t>
      </w:r>
      <w:proofErr w:type="spellEnd"/>
      <w:r w:rsidRPr="00196721">
        <w:rPr>
          <w:rFonts w:ascii="Helvetica" w:hAnsi="Helvetica" w:cs="Helvetica"/>
          <w:color w:val="000000"/>
          <w:spacing w:val="-6"/>
          <w:sz w:val="26"/>
          <w:szCs w:val="26"/>
        </w:rPr>
        <w:t xml:space="preserve"> and Simon Holmes contribution t</w:t>
      </w:r>
      <w:r w:rsidR="00D2204E">
        <w:rPr>
          <w:rFonts w:ascii="Helvetica" w:hAnsi="Helvetica" w:cs="Helvetica"/>
          <w:color w:val="000000"/>
          <w:spacing w:val="-6"/>
          <w:sz w:val="26"/>
          <w:szCs w:val="26"/>
        </w:rPr>
        <w:t>o the Commission’s consultation, October, 2021.</w:t>
      </w:r>
      <w:r w:rsidRPr="00196721">
        <w:rPr>
          <w:rFonts w:ascii="Helvetica" w:hAnsi="Helvetica" w:cs="Helvetica"/>
          <w:color w:val="000000"/>
          <w:spacing w:val="-6"/>
          <w:sz w:val="26"/>
          <w:szCs w:val="26"/>
        </w:rPr>
        <w:br/>
      </w:r>
      <w:hyperlink r:id="rId9" w:history="1">
        <w:r w:rsidRPr="00196721">
          <w:rPr>
            <w:rStyle w:val="Hyperlink"/>
            <w:rFonts w:ascii="Helvetica" w:hAnsi="Helvetica" w:cs="Helvetica"/>
            <w:color w:val="0071EB"/>
            <w:spacing w:val="-6"/>
            <w:sz w:val="26"/>
            <w:szCs w:val="26"/>
            <w:shd w:val="clear" w:color="auto" w:fill="FFFFFF"/>
          </w:rPr>
          <w:t>https://www.clientearth.org/media/3c4lsaex/clientearth-and-s-holmes-contribution-horizontal-agreements-04-10-2021.pdf</w:t>
        </w:r>
      </w:hyperlink>
    </w:p>
    <w:p w:rsidR="00D2204E" w:rsidRPr="00196721" w:rsidRDefault="00D2204E" w:rsidP="00D2204E">
      <w:pPr>
        <w:pStyle w:val="ListParagraph"/>
        <w:spacing w:line="216" w:lineRule="auto"/>
        <w:ind w:left="765"/>
        <w:rPr>
          <w:rFonts w:eastAsiaTheme="minorEastAsia" w:cstheme="minorHAnsi"/>
          <w:i/>
          <w:iCs/>
          <w:color w:val="404040" w:themeColor="text1" w:themeTint="BF"/>
          <w:kern w:val="24"/>
          <w:sz w:val="24"/>
          <w:szCs w:val="24"/>
        </w:rPr>
      </w:pPr>
    </w:p>
    <w:p w:rsidR="007E0D6F" w:rsidRDefault="007E0D6F" w:rsidP="00D2204E">
      <w:pPr>
        <w:pStyle w:val="ListParagraph"/>
        <w:numPr>
          <w:ilvl w:val="0"/>
          <w:numId w:val="2"/>
        </w:numPr>
        <w:spacing w:line="216" w:lineRule="auto"/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</w:pPr>
      <w:r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  <w:t xml:space="preserve">"Competition Policy supporting the Green Deal". [Concurrences No 1-2021]. </w:t>
      </w:r>
      <w:hyperlink r:id="rId10" w:history="1">
        <w:r>
          <w:rPr>
            <w:rStyle w:val="Hyperlink"/>
            <w:rFonts w:eastAsiaTheme="minorEastAsia" w:cstheme="minorHAnsi"/>
            <w:kern w:val="24"/>
            <w:sz w:val="24"/>
            <w:szCs w:val="24"/>
          </w:rPr>
          <w:t>https://www.concurrences.com/en/review/issues/no-1-2021/conferences/sustainable-development-what-role-for-competition-policy-new-frontiers-of</w:t>
        </w:r>
      </w:hyperlink>
      <w:r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  <w:t xml:space="preserve"> </w:t>
      </w:r>
    </w:p>
    <w:p w:rsidR="00D2204E" w:rsidRPr="00D2204E" w:rsidRDefault="00D2204E" w:rsidP="00D2204E">
      <w:pPr>
        <w:pStyle w:val="ListParagraph"/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</w:pPr>
    </w:p>
    <w:p w:rsidR="00D2204E" w:rsidRDefault="00D2204E" w:rsidP="00D2204E">
      <w:pPr>
        <w:pStyle w:val="ListParagraph"/>
        <w:spacing w:line="216" w:lineRule="auto"/>
        <w:ind w:left="765"/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</w:pPr>
    </w:p>
    <w:p w:rsidR="007E0D6F" w:rsidRDefault="007E0D6F" w:rsidP="00D2204E">
      <w:pPr>
        <w:pStyle w:val="ListParagraph"/>
        <w:numPr>
          <w:ilvl w:val="0"/>
          <w:numId w:val="2"/>
        </w:numPr>
        <w:spacing w:line="216" w:lineRule="auto"/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</w:pPr>
      <w:r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  <w:t xml:space="preserve">“Climate Change is an existential Threat: competition law must be part of the solution and not part of the problem” [CPI Antitrust Chronical, July 2020]. </w:t>
      </w:r>
      <w:hyperlink r:id="rId11" w:history="1">
        <w:r>
          <w:rPr>
            <w:rStyle w:val="Hyperlink"/>
            <w:rFonts w:eastAsiaTheme="minorEastAsia" w:cstheme="minorHAnsi"/>
            <w:kern w:val="24"/>
            <w:sz w:val="24"/>
            <w:szCs w:val="24"/>
          </w:rPr>
          <w:t>https://www.competitionpolicyinternational.com/climate-change-is-an-existential-threat-competition-law-must-be-part-of-the-solution-and-not-part-of-the-problem/</w:t>
        </w:r>
      </w:hyperlink>
      <w:r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  <w:t xml:space="preserve"> </w:t>
      </w:r>
    </w:p>
    <w:p w:rsidR="001F7420" w:rsidRDefault="001F7420" w:rsidP="001F7420">
      <w:pPr>
        <w:pStyle w:val="ListParagraph"/>
        <w:spacing w:line="216" w:lineRule="auto"/>
        <w:ind w:left="765"/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</w:pPr>
    </w:p>
    <w:p w:rsidR="00D2204E" w:rsidRDefault="00D2204E" w:rsidP="00D2204E">
      <w:pPr>
        <w:pStyle w:val="ListParagraph"/>
        <w:spacing w:line="216" w:lineRule="auto"/>
        <w:ind w:left="765"/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</w:pPr>
    </w:p>
    <w:p w:rsidR="007E0D6F" w:rsidRDefault="00032EAD" w:rsidP="007E0D6F">
      <w:pPr>
        <w:pStyle w:val="ListParagraph"/>
        <w:spacing w:line="216" w:lineRule="auto"/>
        <w:ind w:left="375"/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</w:pPr>
      <w:r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  <w:t xml:space="preserve"> </w:t>
      </w:r>
      <w:r w:rsidR="001F7420"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  <w:t>9</w:t>
      </w:r>
      <w:r w:rsidR="007E0D6F"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  <w:t>.</w:t>
      </w:r>
      <w:r w:rsidR="00196721"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  <w:t xml:space="preserve"> </w:t>
      </w:r>
      <w:r w:rsidR="001F7420"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  <w:t xml:space="preserve"> </w:t>
      </w:r>
      <w:r w:rsidR="007E0D6F"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  <w:t xml:space="preserve"> “Consumer welfare, sustainability and competition law goals” [Concurrence No 2</w:t>
      </w:r>
      <w:proofErr w:type="gramStart"/>
      <w:r w:rsidR="007E0D6F"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  <w:t>-</w:t>
      </w:r>
      <w:r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  <w:t xml:space="preserve">  </w:t>
      </w:r>
      <w:r w:rsidR="007E0D6F"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  <w:t>2020</w:t>
      </w:r>
      <w:proofErr w:type="gramEnd"/>
      <w:r w:rsidR="007E0D6F"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  <w:t xml:space="preserve">]. </w:t>
      </w:r>
      <w:hyperlink r:id="rId12" w:history="1">
        <w:r w:rsidR="007E0D6F">
          <w:rPr>
            <w:rStyle w:val="Hyperlink"/>
            <w:rFonts w:eastAsiaTheme="minorEastAsia" w:cstheme="minorHAnsi"/>
            <w:kern w:val="24"/>
            <w:sz w:val="24"/>
            <w:szCs w:val="24"/>
          </w:rPr>
          <w:t>https://www.concurrences.com/en/review/issues/no-2-2020/foreword/consumer-welfare-sustainability-and-competition-law-goals-93496-en</w:t>
        </w:r>
      </w:hyperlink>
      <w:r w:rsidR="007E0D6F"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  <w:t xml:space="preserve"> </w:t>
      </w:r>
    </w:p>
    <w:p w:rsidR="007E0D6F" w:rsidRDefault="001F7420" w:rsidP="007E0D6F">
      <w:pPr>
        <w:pStyle w:val="ListParagraph"/>
        <w:spacing w:line="216" w:lineRule="auto"/>
        <w:ind w:left="375"/>
        <w:rPr>
          <w:rFonts w:cstheme="minorHAnsi"/>
          <w:sz w:val="24"/>
          <w:szCs w:val="24"/>
        </w:rPr>
      </w:pPr>
      <w:r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  <w:lastRenderedPageBreak/>
        <w:t>10</w:t>
      </w:r>
      <w:r w:rsidR="00032EAD"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  <w:t xml:space="preserve">. </w:t>
      </w:r>
      <w:r w:rsidR="007E0D6F">
        <w:rPr>
          <w:rFonts w:eastAsiaTheme="minorEastAsia" w:cstheme="minorHAnsi"/>
          <w:i/>
          <w:iCs/>
          <w:color w:val="404040" w:themeColor="text1" w:themeTint="BF"/>
          <w:kern w:val="24"/>
          <w:sz w:val="24"/>
          <w:szCs w:val="24"/>
        </w:rPr>
        <w:t xml:space="preserve">  </w:t>
      </w:r>
      <w:proofErr w:type="spellStart"/>
      <w:r w:rsidR="007E0D6F">
        <w:rPr>
          <w:rFonts w:eastAsiaTheme="minorEastAsia" w:cstheme="minorHAnsi"/>
          <w:i/>
          <w:iCs/>
          <w:color w:val="404040" w:themeColor="text1" w:themeTint="BF"/>
          <w:kern w:val="24"/>
          <w:sz w:val="24"/>
          <w:szCs w:val="24"/>
        </w:rPr>
        <w:t>Covid</w:t>
      </w:r>
      <w:proofErr w:type="spellEnd"/>
      <w:r w:rsidR="007E0D6F">
        <w:rPr>
          <w:rFonts w:eastAsiaTheme="minorEastAsia" w:cstheme="minorHAnsi"/>
          <w:i/>
          <w:iCs/>
          <w:color w:val="404040" w:themeColor="text1" w:themeTint="BF"/>
          <w:kern w:val="24"/>
          <w:sz w:val="24"/>
          <w:szCs w:val="24"/>
        </w:rPr>
        <w:t xml:space="preserve"> 19 Lessons for climate change blog: </w:t>
      </w:r>
      <w:hyperlink r:id="rId13" w:history="1">
        <w:r w:rsidR="007E0D6F">
          <w:rPr>
            <w:rStyle w:val="Hyperlink"/>
            <w:rFonts w:cstheme="minorHAnsi"/>
            <w:sz w:val="24"/>
            <w:szCs w:val="24"/>
          </w:rPr>
          <w:t>http://competitionlawblog.kluwercompetitionlaw.com/2020/04/23/climate-change-sustainability-and-competition-law-lessons-from-covid-19/</w:t>
        </w:r>
      </w:hyperlink>
      <w:r w:rsidR="007E0D6F">
        <w:rPr>
          <w:rFonts w:cstheme="minorHAnsi"/>
          <w:sz w:val="24"/>
          <w:szCs w:val="24"/>
        </w:rPr>
        <w:t xml:space="preserve"> </w:t>
      </w:r>
    </w:p>
    <w:p w:rsidR="001F7420" w:rsidRDefault="001F7420" w:rsidP="007E0D6F">
      <w:pPr>
        <w:pStyle w:val="ListParagraph"/>
        <w:spacing w:line="216" w:lineRule="auto"/>
        <w:ind w:left="375"/>
        <w:rPr>
          <w:rFonts w:cstheme="minorHAnsi"/>
          <w:sz w:val="24"/>
          <w:szCs w:val="24"/>
        </w:rPr>
      </w:pPr>
    </w:p>
    <w:p w:rsidR="001F7420" w:rsidRDefault="001F7420" w:rsidP="007E0D6F">
      <w:pPr>
        <w:pStyle w:val="ListParagraph"/>
        <w:spacing w:line="216" w:lineRule="auto"/>
        <w:ind w:left="375"/>
        <w:rPr>
          <w:rFonts w:cstheme="minorHAnsi"/>
          <w:sz w:val="24"/>
          <w:szCs w:val="24"/>
        </w:rPr>
      </w:pPr>
    </w:p>
    <w:p w:rsidR="001F7420" w:rsidRDefault="001F7420" w:rsidP="001F7420">
      <w:pPr>
        <w:pStyle w:val="ListParagraph"/>
        <w:spacing w:line="216" w:lineRule="auto"/>
        <w:ind w:left="37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11. And</w:t>
      </w:r>
      <w:r w:rsidR="00FD0224">
        <w:rPr>
          <w:rFonts w:cstheme="minorHAnsi"/>
          <w:sz w:val="24"/>
          <w:szCs w:val="24"/>
        </w:rPr>
        <w:t xml:space="preserve"> the one </w:t>
      </w:r>
      <w:r>
        <w:rPr>
          <w:rFonts w:cstheme="minorHAnsi"/>
          <w:sz w:val="24"/>
          <w:szCs w:val="24"/>
        </w:rPr>
        <w:t>page summary:</w:t>
      </w:r>
    </w:p>
    <w:p w:rsidR="001F7420" w:rsidRPr="001F7420" w:rsidRDefault="001F7420" w:rsidP="001F7420">
      <w:pPr>
        <w:spacing w:line="216" w:lineRule="auto"/>
        <w:rPr>
          <w:rFonts w:cstheme="minorHAnsi"/>
          <w:sz w:val="24"/>
          <w:szCs w:val="24"/>
        </w:rPr>
      </w:pPr>
    </w:p>
    <w:p w:rsidR="007E0D6F" w:rsidRDefault="007E0D6F" w:rsidP="007E0D6F">
      <w:pPr>
        <w:pStyle w:val="ListParagraph"/>
        <w:spacing w:line="216" w:lineRule="auto"/>
        <w:ind w:left="375"/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</w:pPr>
    </w:p>
    <w:p w:rsidR="007E0D6F" w:rsidRDefault="001F7420" w:rsidP="007E0D6F">
      <w:pPr>
        <w:pStyle w:val="ListParagraph"/>
        <w:spacing w:line="216" w:lineRule="auto"/>
        <w:ind w:left="375"/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005C0F6" wp14:editId="12ED310A">
            <wp:extent cx="1219200" cy="1219200"/>
            <wp:effectExtent l="0" t="0" r="0" b="0"/>
            <wp:docPr id="1" name="Picture 1" descr="https://www.icloud.com/coretypes/ios/com.adobe.pdf_128@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cloud.com/coretypes/ios/com.adobe.pdf_128@1x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7420" w:rsidRDefault="001F7420" w:rsidP="007E0D6F">
      <w:pPr>
        <w:pStyle w:val="ListParagraph"/>
        <w:spacing w:line="216" w:lineRule="auto"/>
        <w:ind w:left="375"/>
        <w:rPr>
          <w:rFonts w:eastAsiaTheme="minorEastAsia" w:cstheme="minorHAnsi"/>
          <w:color w:val="404040" w:themeColor="text1" w:themeTint="BF"/>
          <w:kern w:val="24"/>
          <w:sz w:val="24"/>
          <w:szCs w:val="24"/>
        </w:rPr>
      </w:pPr>
    </w:p>
    <w:p w:rsidR="007E0D6F" w:rsidRDefault="007E0D6F" w:rsidP="007E0D6F">
      <w:pPr>
        <w:pStyle w:val="ListParagraph"/>
        <w:spacing w:line="216" w:lineRule="auto"/>
        <w:ind w:left="375"/>
        <w:rPr>
          <w:rFonts w:cstheme="minorHAnsi"/>
          <w:b/>
          <w:color w:val="E48312"/>
          <w:sz w:val="24"/>
          <w:szCs w:val="24"/>
        </w:rPr>
      </w:pPr>
      <w:r>
        <w:rPr>
          <w:rFonts w:eastAsiaTheme="minorEastAsia" w:cstheme="minorHAnsi"/>
          <w:b/>
          <w:color w:val="404040" w:themeColor="text1" w:themeTint="BF"/>
          <w:kern w:val="24"/>
          <w:sz w:val="24"/>
          <w:szCs w:val="24"/>
        </w:rPr>
        <w:t xml:space="preserve">See also “Competition Law, Climate Change &amp; Environmental Sustainability”, edited by Simon Holmes, Dirk </w:t>
      </w:r>
      <w:proofErr w:type="spellStart"/>
      <w:r>
        <w:rPr>
          <w:rFonts w:eastAsiaTheme="minorEastAsia" w:cstheme="minorHAnsi"/>
          <w:b/>
          <w:color w:val="404040" w:themeColor="text1" w:themeTint="BF"/>
          <w:kern w:val="24"/>
          <w:sz w:val="24"/>
          <w:szCs w:val="24"/>
        </w:rPr>
        <w:t>Middelschulte</w:t>
      </w:r>
      <w:proofErr w:type="spellEnd"/>
      <w:r>
        <w:rPr>
          <w:rFonts w:eastAsiaTheme="minorEastAsia" w:cstheme="minorHAnsi"/>
          <w:b/>
          <w:color w:val="404040" w:themeColor="text1" w:themeTint="BF"/>
          <w:kern w:val="24"/>
          <w:sz w:val="24"/>
          <w:szCs w:val="24"/>
        </w:rPr>
        <w:t xml:space="preserve"> and </w:t>
      </w:r>
      <w:proofErr w:type="spellStart"/>
      <w:r>
        <w:rPr>
          <w:rFonts w:eastAsiaTheme="minorEastAsia" w:cstheme="minorHAnsi"/>
          <w:b/>
          <w:color w:val="404040" w:themeColor="text1" w:themeTint="BF"/>
          <w:kern w:val="24"/>
          <w:sz w:val="24"/>
          <w:szCs w:val="24"/>
        </w:rPr>
        <w:t>Martijn</w:t>
      </w:r>
      <w:proofErr w:type="spellEnd"/>
      <w:r>
        <w:rPr>
          <w:rFonts w:eastAsiaTheme="minorEastAsia" w:cstheme="minorHAnsi"/>
          <w:b/>
          <w:color w:val="404040" w:themeColor="text1" w:themeTint="BF"/>
          <w:kern w:val="24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b/>
          <w:color w:val="404040" w:themeColor="text1" w:themeTint="BF"/>
          <w:kern w:val="24"/>
          <w:sz w:val="24"/>
          <w:szCs w:val="24"/>
        </w:rPr>
        <w:t>Snoep</w:t>
      </w:r>
      <w:proofErr w:type="spellEnd"/>
      <w:r>
        <w:rPr>
          <w:rFonts w:eastAsiaTheme="minorEastAsia" w:cstheme="minorHAnsi"/>
          <w:b/>
          <w:color w:val="404040" w:themeColor="text1" w:themeTint="BF"/>
          <w:kern w:val="24"/>
          <w:sz w:val="24"/>
          <w:szCs w:val="24"/>
        </w:rPr>
        <w:t xml:space="preserve">-a collection of some 40 essays. [Concurrence]. </w:t>
      </w:r>
      <w:hyperlink r:id="rId15" w:history="1">
        <w:r>
          <w:rPr>
            <w:rStyle w:val="Hyperlink"/>
            <w:rFonts w:eastAsiaTheme="minorEastAsia" w:cstheme="minorHAnsi"/>
            <w:kern w:val="24"/>
            <w:sz w:val="24"/>
            <w:szCs w:val="24"/>
          </w:rPr>
          <w:t>https://www.concurrences.com/en/all-books/competition-law-climate-change-environmental-sustainability</w:t>
        </w:r>
      </w:hyperlink>
      <w:r>
        <w:rPr>
          <w:rFonts w:cstheme="minorHAnsi"/>
          <w:b/>
          <w:color w:val="E48312"/>
          <w:sz w:val="24"/>
          <w:szCs w:val="24"/>
        </w:rPr>
        <w:t xml:space="preserve"> </w:t>
      </w:r>
    </w:p>
    <w:p w:rsidR="007E0D6F" w:rsidRDefault="007E0D6F" w:rsidP="007E0D6F">
      <w:pPr>
        <w:spacing w:line="216" w:lineRule="auto"/>
        <w:rPr>
          <w:rFonts w:cstheme="minorHAnsi"/>
          <w:color w:val="E48312"/>
          <w:sz w:val="24"/>
          <w:szCs w:val="24"/>
        </w:rPr>
      </w:pPr>
    </w:p>
    <w:p w:rsidR="00A03528" w:rsidRDefault="00A03528"/>
    <w:sectPr w:rsidR="00A03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75F04"/>
    <w:multiLevelType w:val="hybridMultilevel"/>
    <w:tmpl w:val="D2EE8E4A"/>
    <w:lvl w:ilvl="0" w:tplc="AAA06BC4">
      <w:start w:val="1"/>
      <w:numFmt w:val="decimal"/>
      <w:lvlText w:val="%1."/>
      <w:lvlJc w:val="left"/>
      <w:pPr>
        <w:ind w:left="765" w:hanging="360"/>
      </w:pPr>
      <w:rPr>
        <w:rFonts w:cstheme="minorBidi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35F083D"/>
    <w:multiLevelType w:val="hybridMultilevel"/>
    <w:tmpl w:val="550C1C46"/>
    <w:lvl w:ilvl="0" w:tplc="8C921F34">
      <w:start w:val="1"/>
      <w:numFmt w:val="decimal"/>
      <w:lvlText w:val="%1."/>
      <w:lvlJc w:val="left"/>
      <w:pPr>
        <w:ind w:left="735" w:hanging="360"/>
      </w:pPr>
      <w:rPr>
        <w:rFonts w:cstheme="minorBidi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6F"/>
    <w:rsid w:val="00032EAD"/>
    <w:rsid w:val="000F2E6B"/>
    <w:rsid w:val="00196721"/>
    <w:rsid w:val="001F7420"/>
    <w:rsid w:val="005F03EF"/>
    <w:rsid w:val="00677E88"/>
    <w:rsid w:val="007E0D6F"/>
    <w:rsid w:val="00A03528"/>
    <w:rsid w:val="00A25A05"/>
    <w:rsid w:val="00CF7E11"/>
    <w:rsid w:val="00D2204E"/>
    <w:rsid w:val="00E26AD6"/>
    <w:rsid w:val="00E66B47"/>
    <w:rsid w:val="00FD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62F6D-421F-4953-A055-4C097BC9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D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0D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.oecd.org/document/DAF/COMP/WD(2020)94/en/pdf" TargetMode="External"/><Relationship Id="rId13" Type="http://schemas.openxmlformats.org/officeDocument/2006/relationships/hyperlink" Target="http://competitionlawblog.kluwercompetitionlaw.com/2020/04/23/climate-change-sustainability-and-competition-law-lessons-from-covid-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w.ox.ac.uk/sites/files/oxlaw/cclp_working_paper_cclpl51.pdf" TargetMode="External"/><Relationship Id="rId12" Type="http://schemas.openxmlformats.org/officeDocument/2006/relationships/hyperlink" Target="https://www.concurrences.com/en/review/issues/no-2-2020/foreword/consumer-welfare-sustainability-and-competition-law-goals-93496-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cademic.oup.com/antitrust/article/8/2/354/5819564?login=true" TargetMode="External"/><Relationship Id="rId11" Type="http://schemas.openxmlformats.org/officeDocument/2006/relationships/hyperlink" Target="https://www.competitionpolicyinternational.com/climate-change-is-an-existential-threat-competition-law-must-be-part-of-the-solution-and-not-part-of-the-problem/" TargetMode="External"/><Relationship Id="rId5" Type="http://schemas.openxmlformats.org/officeDocument/2006/relationships/hyperlink" Target="https://papers.ssrn.com/sol3/papers.cfm?abstract_id=4099796" TargetMode="External"/><Relationship Id="rId15" Type="http://schemas.openxmlformats.org/officeDocument/2006/relationships/hyperlink" Target="https://www.concurrences.com/en/all-books/competition-law-climate-change-environmental-sustainability" TargetMode="External"/><Relationship Id="rId10" Type="http://schemas.openxmlformats.org/officeDocument/2006/relationships/hyperlink" Target="https://www.concurrences.com/en/review/issues/no-1-2021/conferences/sustainable-development-what-role-for-competition-policy-new-frontiers-o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ientearth.org/media/3c4lsaex/clientearth-and-s-holmes-contribution-horizontal-agreements-04-10-2021.pdf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Portia Goldsmith</dc:creator>
  <cp:keywords/>
  <dc:description/>
  <cp:lastModifiedBy>Portia Goldsmith</cp:lastModifiedBy>
  <cp:revision>10</cp:revision>
  <dcterms:created xsi:type="dcterms:W3CDTF">2022-05-05T10:14:00Z</dcterms:created>
  <dcterms:modified xsi:type="dcterms:W3CDTF">2022-05-05T10:28:00Z</dcterms:modified>
</cp:coreProperties>
</file>