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8CD3"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2456E79D"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641028B7"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5C3D9FCE" w14:textId="77777777" w:rsidR="00811716" w:rsidRPr="00EC526B" w:rsidRDefault="00811716" w:rsidP="00811716">
      <w:pPr>
        <w:pStyle w:val="Rubrik3"/>
        <w:rPr>
          <w:rFonts w:ascii="Arial" w:hAnsi="Arial" w:cs="Arial"/>
          <w:b/>
          <w:bCs/>
          <w:i w:val="0"/>
          <w:iCs/>
          <w:color w:val="000000" w:themeColor="text1"/>
        </w:rPr>
      </w:pPr>
      <w:r w:rsidRPr="00EC526B">
        <w:rPr>
          <w:rFonts w:ascii="Arial" w:hAnsi="Arial" w:cs="Arial"/>
          <w:b/>
          <w:bCs/>
          <w:iCs/>
          <w:color w:val="000000" w:themeColor="text1"/>
        </w:rPr>
        <w:t>Banking Commission</w:t>
      </w:r>
    </w:p>
    <w:p w14:paraId="432882CB" w14:textId="77777777" w:rsidR="00811716" w:rsidRPr="00DB096A" w:rsidRDefault="00811716" w:rsidP="00811716">
      <w:pPr>
        <w:rPr>
          <w:rFonts w:ascii="Arial" w:hAnsi="Arial" w:cs="Arial"/>
          <w:sz w:val="22"/>
          <w:szCs w:val="22"/>
        </w:rPr>
      </w:pPr>
    </w:p>
    <w:p w14:paraId="042E813D" w14:textId="77777777" w:rsidR="00811716" w:rsidRPr="00DB096A" w:rsidRDefault="00811716" w:rsidP="00811716">
      <w:pPr>
        <w:rPr>
          <w:rFonts w:ascii="Arial" w:hAnsi="Arial" w:cs="Arial"/>
          <w:bCs/>
          <w:spacing w:val="-10"/>
          <w:sz w:val="22"/>
          <w:szCs w:val="22"/>
        </w:rPr>
      </w:pPr>
    </w:p>
    <w:p w14:paraId="0720AC53" w14:textId="57F5BCFD" w:rsidR="00811716" w:rsidRPr="00DB096A" w:rsidRDefault="00811716" w:rsidP="00811716">
      <w:pPr>
        <w:rPr>
          <w:rFonts w:ascii="Arial" w:hAnsi="Arial" w:cs="Arial"/>
          <w:b/>
          <w:bCs/>
          <w:sz w:val="22"/>
          <w:szCs w:val="22"/>
        </w:rPr>
      </w:pPr>
      <w:r>
        <w:rPr>
          <w:rFonts w:ascii="Arial" w:hAnsi="Arial" w:cs="Arial"/>
          <w:b/>
          <w:bCs/>
          <w:sz w:val="22"/>
          <w:szCs w:val="22"/>
        </w:rPr>
        <w:t>Draft</w:t>
      </w:r>
      <w:r w:rsidRPr="00DB096A">
        <w:rPr>
          <w:rFonts w:ascii="Arial" w:hAnsi="Arial" w:cs="Arial"/>
          <w:b/>
          <w:bCs/>
          <w:sz w:val="22"/>
          <w:szCs w:val="22"/>
        </w:rPr>
        <w:t xml:space="preserve"> consolidated Opinions of the Banking Commission, </w:t>
      </w:r>
      <w:r>
        <w:rPr>
          <w:rFonts w:ascii="Arial" w:hAnsi="Arial" w:cs="Arial"/>
          <w:b/>
          <w:bCs/>
          <w:sz w:val="22"/>
          <w:szCs w:val="22"/>
        </w:rPr>
        <w:t>April 2023</w:t>
      </w:r>
    </w:p>
    <w:p w14:paraId="0B7F913F" w14:textId="2A6B7702" w:rsidR="00811716" w:rsidRPr="00DB096A" w:rsidRDefault="00811716" w:rsidP="00811716">
      <w:pPr>
        <w:rPr>
          <w:rFonts w:ascii="Arial" w:hAnsi="Arial" w:cs="Arial"/>
          <w:sz w:val="22"/>
          <w:szCs w:val="22"/>
        </w:rPr>
      </w:pPr>
      <w:r w:rsidRPr="00DB096A">
        <w:rPr>
          <w:rFonts w:ascii="Arial" w:hAnsi="Arial" w:cs="Arial"/>
          <w:sz w:val="22"/>
          <w:szCs w:val="22"/>
        </w:rPr>
        <w:t xml:space="preserve">Attached are the following Opinions as distributed in </w:t>
      </w:r>
      <w:r>
        <w:rPr>
          <w:rFonts w:ascii="Arial" w:hAnsi="Arial" w:cs="Arial"/>
          <w:sz w:val="22"/>
          <w:szCs w:val="22"/>
        </w:rPr>
        <w:t>February 2023</w:t>
      </w:r>
    </w:p>
    <w:p w14:paraId="37F3CDFE" w14:textId="77777777" w:rsidR="00811716" w:rsidRPr="00DB096A" w:rsidRDefault="00811716" w:rsidP="00811716">
      <w:pPr>
        <w:rPr>
          <w:rFonts w:ascii="Arial" w:hAnsi="Arial" w:cs="Arial"/>
          <w:sz w:val="22"/>
          <w:szCs w:val="22"/>
        </w:rPr>
      </w:pPr>
    </w:p>
    <w:p w14:paraId="1F325447" w14:textId="334F23C2" w:rsidR="00811716" w:rsidRPr="00F71483" w:rsidRDefault="00811716" w:rsidP="00811716">
      <w:pPr>
        <w:rPr>
          <w:rFonts w:ascii="Arial" w:hAnsi="Arial" w:cs="Arial"/>
          <w:b/>
          <w:bCs/>
          <w:sz w:val="22"/>
          <w:szCs w:val="22"/>
        </w:rPr>
      </w:pPr>
      <w:r w:rsidRPr="00F71483">
        <w:rPr>
          <w:rFonts w:ascii="Arial" w:hAnsi="Arial" w:cs="Arial"/>
          <w:b/>
          <w:bCs/>
          <w:sz w:val="22"/>
          <w:szCs w:val="22"/>
        </w:rPr>
        <w:t xml:space="preserve">470/TA927rev </w:t>
      </w:r>
    </w:p>
    <w:p w14:paraId="68D7FAD0" w14:textId="1F379B57" w:rsidR="00811716" w:rsidRPr="00F71483" w:rsidRDefault="00811716" w:rsidP="00811716">
      <w:pPr>
        <w:rPr>
          <w:rFonts w:ascii="Arial" w:hAnsi="Arial" w:cs="Arial"/>
          <w:b/>
          <w:bCs/>
          <w:sz w:val="22"/>
          <w:szCs w:val="22"/>
        </w:rPr>
      </w:pPr>
      <w:r w:rsidRPr="00F71483">
        <w:rPr>
          <w:rFonts w:ascii="Arial" w:hAnsi="Arial" w:cs="Arial"/>
          <w:b/>
          <w:bCs/>
          <w:sz w:val="22"/>
          <w:szCs w:val="22"/>
        </w:rPr>
        <w:t>470/TA930</w:t>
      </w:r>
    </w:p>
    <w:p w14:paraId="49F40A59" w14:textId="77777777" w:rsidR="002C07DA" w:rsidRPr="00F71483" w:rsidRDefault="002C07DA">
      <w:pPr>
        <w:overflowPunct/>
        <w:autoSpaceDE/>
        <w:autoSpaceDN/>
        <w:adjustRightInd/>
        <w:spacing w:line="240" w:lineRule="auto"/>
        <w:textAlignment w:val="auto"/>
        <w:rPr>
          <w:rFonts w:ascii="Arial" w:hAnsi="Arial" w:cs="Arial"/>
          <w:sz w:val="22"/>
          <w:szCs w:val="22"/>
        </w:rPr>
      </w:pPr>
    </w:p>
    <w:p w14:paraId="092A8E5C" w14:textId="77777777" w:rsidR="002C07DA" w:rsidRPr="00F71483" w:rsidRDefault="002C07DA">
      <w:pPr>
        <w:overflowPunct/>
        <w:autoSpaceDE/>
        <w:autoSpaceDN/>
        <w:adjustRightInd/>
        <w:spacing w:line="240" w:lineRule="auto"/>
        <w:textAlignment w:val="auto"/>
        <w:rPr>
          <w:rFonts w:ascii="Arial" w:hAnsi="Arial" w:cs="Arial"/>
          <w:sz w:val="22"/>
          <w:szCs w:val="22"/>
        </w:rPr>
      </w:pPr>
    </w:p>
    <w:p w14:paraId="11A7C3A6" w14:textId="323DD53F" w:rsidR="002C07DA" w:rsidRPr="00F71483" w:rsidRDefault="002C07DA">
      <w:pPr>
        <w:overflowPunct/>
        <w:autoSpaceDE/>
        <w:autoSpaceDN/>
        <w:adjustRightInd/>
        <w:spacing w:line="240" w:lineRule="auto"/>
        <w:textAlignment w:val="auto"/>
        <w:rPr>
          <w:rFonts w:ascii="Arial" w:hAnsi="Arial" w:cs="Arial"/>
          <w:sz w:val="22"/>
          <w:szCs w:val="22"/>
        </w:rPr>
      </w:pPr>
      <w:r w:rsidRPr="00F71483">
        <w:rPr>
          <w:rFonts w:ascii="Arial" w:hAnsi="Arial" w:cs="Arial"/>
          <w:sz w:val="22"/>
          <w:szCs w:val="22"/>
        </w:rPr>
        <w:br w:type="page"/>
      </w:r>
    </w:p>
    <w:p w14:paraId="7A6591B5" w14:textId="77777777" w:rsidR="00421BC8" w:rsidRPr="00F71483" w:rsidRDefault="00421BC8" w:rsidP="005A3A75">
      <w:pPr>
        <w:ind w:left="4536"/>
        <w:rPr>
          <w:rFonts w:ascii="Arial" w:hAnsi="Arial" w:cs="Arial"/>
          <w:sz w:val="22"/>
          <w:szCs w:val="22"/>
        </w:rPr>
      </w:pPr>
    </w:p>
    <w:p w14:paraId="561265BE" w14:textId="35838590" w:rsidR="005A3A75" w:rsidRPr="00F71483" w:rsidRDefault="00D13DA4" w:rsidP="005A3A75">
      <w:pPr>
        <w:ind w:left="4536"/>
        <w:rPr>
          <w:rFonts w:ascii="Arial" w:hAnsi="Arial" w:cs="Arial"/>
          <w:sz w:val="22"/>
          <w:szCs w:val="22"/>
        </w:rPr>
      </w:pPr>
      <w:r w:rsidRPr="00F71483">
        <w:rPr>
          <w:rFonts w:ascii="Arial" w:hAnsi="Arial" w:cs="Arial"/>
          <w:sz w:val="22"/>
          <w:szCs w:val="22"/>
        </w:rPr>
        <w:t xml:space="preserve">          </w:t>
      </w:r>
    </w:p>
    <w:p w14:paraId="5F5F6900" w14:textId="04F7471B" w:rsidR="005A3A75" w:rsidRPr="00F71483" w:rsidRDefault="00F8416D" w:rsidP="005A3A75">
      <w:pPr>
        <w:ind w:left="4536"/>
        <w:rPr>
          <w:rFonts w:ascii="Arial" w:hAnsi="Arial" w:cs="Arial"/>
          <w:sz w:val="22"/>
          <w:szCs w:val="22"/>
        </w:rPr>
      </w:pPr>
      <w:r w:rsidRPr="00F71483">
        <w:rPr>
          <w:rFonts w:ascii="Arial" w:hAnsi="Arial" w:cs="Arial"/>
          <w:sz w:val="22"/>
          <w:szCs w:val="22"/>
        </w:rPr>
        <w:t>Ms. Li Yuanzi</w:t>
      </w:r>
      <w:r w:rsidR="005A3A75" w:rsidRPr="00F71483">
        <w:rPr>
          <w:rFonts w:ascii="Arial" w:hAnsi="Arial" w:cs="Arial"/>
          <w:sz w:val="22"/>
          <w:szCs w:val="22"/>
        </w:rPr>
        <w:br/>
      </w:r>
      <w:r w:rsidRPr="00F71483">
        <w:rPr>
          <w:rFonts w:ascii="Arial" w:hAnsi="Arial" w:cs="Arial"/>
          <w:sz w:val="22"/>
          <w:szCs w:val="22"/>
        </w:rPr>
        <w:t>Policy Manager</w:t>
      </w:r>
      <w:r w:rsidR="005A3A75" w:rsidRPr="00F71483">
        <w:rPr>
          <w:rFonts w:ascii="Arial" w:hAnsi="Arial" w:cs="Arial"/>
          <w:sz w:val="22"/>
          <w:szCs w:val="22"/>
        </w:rPr>
        <w:t xml:space="preserve">, </w:t>
      </w:r>
    </w:p>
    <w:p w14:paraId="393885E2" w14:textId="44500509" w:rsidR="005A3A75" w:rsidRPr="00F71483" w:rsidRDefault="005A3A75" w:rsidP="005A3A75">
      <w:pPr>
        <w:ind w:left="4536"/>
        <w:rPr>
          <w:rFonts w:ascii="Arial" w:hAnsi="Arial" w:cs="Arial"/>
          <w:sz w:val="22"/>
          <w:szCs w:val="22"/>
        </w:rPr>
      </w:pPr>
      <w:r w:rsidRPr="00F71483">
        <w:rPr>
          <w:rFonts w:ascii="Arial" w:hAnsi="Arial" w:cs="Arial"/>
          <w:sz w:val="22"/>
          <w:szCs w:val="22"/>
        </w:rPr>
        <w:t xml:space="preserve">ICC </w:t>
      </w:r>
      <w:r w:rsidR="00F8416D" w:rsidRPr="00F71483">
        <w:rPr>
          <w:rFonts w:ascii="Arial" w:hAnsi="Arial" w:cs="Arial"/>
          <w:sz w:val="22"/>
          <w:szCs w:val="22"/>
        </w:rPr>
        <w:t>China</w:t>
      </w:r>
      <w:r w:rsidRPr="00F71483">
        <w:rPr>
          <w:rFonts w:ascii="Arial" w:hAnsi="Arial" w:cs="Arial"/>
          <w:sz w:val="22"/>
          <w:szCs w:val="22"/>
        </w:rPr>
        <w:t xml:space="preserve"> Banking Com</w:t>
      </w:r>
      <w:r w:rsidR="001E4454" w:rsidRPr="00F71483">
        <w:rPr>
          <w:rFonts w:ascii="Arial" w:hAnsi="Arial" w:cs="Arial"/>
          <w:sz w:val="22"/>
          <w:szCs w:val="22"/>
        </w:rPr>
        <w:t>m</w:t>
      </w:r>
      <w:r w:rsidRPr="00F71483">
        <w:rPr>
          <w:rFonts w:ascii="Arial" w:hAnsi="Arial" w:cs="Arial"/>
          <w:sz w:val="22"/>
          <w:szCs w:val="22"/>
        </w:rPr>
        <w:t>ission</w:t>
      </w:r>
      <w:r w:rsidRPr="00F71483">
        <w:rPr>
          <w:rFonts w:ascii="Arial" w:hAnsi="Arial" w:cs="Arial"/>
          <w:sz w:val="22"/>
          <w:szCs w:val="22"/>
        </w:rPr>
        <w:br/>
        <w:t xml:space="preserve">ICC </w:t>
      </w:r>
      <w:r w:rsidR="00F8416D" w:rsidRPr="00F71483">
        <w:rPr>
          <w:rFonts w:ascii="Arial" w:hAnsi="Arial" w:cs="Arial"/>
          <w:sz w:val="22"/>
          <w:szCs w:val="22"/>
        </w:rPr>
        <w:t>China</w:t>
      </w:r>
      <w:r w:rsidRPr="00F71483">
        <w:rPr>
          <w:rFonts w:ascii="Arial" w:hAnsi="Arial" w:cs="Arial"/>
          <w:sz w:val="22"/>
          <w:szCs w:val="22"/>
        </w:rPr>
        <w:br/>
      </w:r>
      <w:r w:rsidR="00F8416D" w:rsidRPr="00F71483">
        <w:rPr>
          <w:rFonts w:ascii="Arial" w:hAnsi="Arial" w:cs="Arial"/>
          <w:sz w:val="22"/>
          <w:szCs w:val="22"/>
        </w:rPr>
        <w:t>No. 2 Huapichang Hutong</w:t>
      </w:r>
      <w:r w:rsidRPr="00F71483">
        <w:rPr>
          <w:rFonts w:ascii="Arial" w:hAnsi="Arial" w:cs="Arial"/>
          <w:sz w:val="22"/>
          <w:szCs w:val="22"/>
        </w:rPr>
        <w:t xml:space="preserve">, </w:t>
      </w:r>
    </w:p>
    <w:p w14:paraId="4874F0E3" w14:textId="6995E7D4"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Xicheng District</w:t>
      </w:r>
    </w:p>
    <w:p w14:paraId="494A20BC" w14:textId="16527511"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Beijing</w:t>
      </w:r>
    </w:p>
    <w:p w14:paraId="3BD6B832" w14:textId="5A0FECCD"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China</w:t>
      </w:r>
    </w:p>
    <w:p w14:paraId="75A48B8B" w14:textId="77777777" w:rsidR="004117C8" w:rsidRPr="00DF1AD2" w:rsidRDefault="004117C8" w:rsidP="005A3A75">
      <w:pPr>
        <w:pStyle w:val="Heading1AA"/>
        <w:ind w:left="3912"/>
        <w:rPr>
          <w:rFonts w:ascii="Arial" w:hAnsi="Arial" w:cs="Arial"/>
          <w:color w:val="auto"/>
          <w:sz w:val="22"/>
          <w:szCs w:val="22"/>
          <w:lang w:val="en-GB"/>
        </w:rPr>
      </w:pPr>
      <w:r w:rsidRPr="00DF1AD2">
        <w:rPr>
          <w:rFonts w:ascii="Arial" w:hAnsi="Arial" w:cs="Arial"/>
          <w:color w:val="auto"/>
          <w:sz w:val="22"/>
          <w:szCs w:val="22"/>
          <w:lang w:val="en-GB"/>
        </w:rPr>
        <w:t xml:space="preserve">             </w:t>
      </w:r>
    </w:p>
    <w:p w14:paraId="448A484F" w14:textId="145EDC2A" w:rsidR="004117C8" w:rsidRPr="00DF1AD2" w:rsidRDefault="00DF1AD2" w:rsidP="004117C8">
      <w:pPr>
        <w:pStyle w:val="Heading1AA"/>
        <w:ind w:left="4536"/>
        <w:rPr>
          <w:rFonts w:ascii="Arial" w:hAnsi="Arial" w:cs="Arial"/>
          <w:color w:val="auto"/>
          <w:sz w:val="22"/>
          <w:szCs w:val="22"/>
          <w:lang w:val="en-GB"/>
        </w:rPr>
      </w:pPr>
      <w:r>
        <w:rPr>
          <w:rFonts w:ascii="Arial" w:hAnsi="Arial" w:cs="Arial"/>
          <w:color w:val="auto"/>
          <w:sz w:val="22"/>
          <w:szCs w:val="22"/>
          <w:lang w:val="en-GB"/>
        </w:rPr>
        <w:t>16</w:t>
      </w:r>
      <w:r w:rsidR="00AD5351" w:rsidRPr="00DF1AD2">
        <w:rPr>
          <w:rFonts w:ascii="Arial" w:hAnsi="Arial" w:cs="Arial"/>
          <w:color w:val="auto"/>
          <w:sz w:val="22"/>
          <w:szCs w:val="22"/>
          <w:lang w:val="en-GB"/>
        </w:rPr>
        <w:t xml:space="preserve"> February 2023</w:t>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p>
    <w:p w14:paraId="0804DF6F" w14:textId="77777777" w:rsidR="004117C8" w:rsidRPr="00DF1AD2" w:rsidRDefault="004117C8" w:rsidP="004117C8">
      <w:pPr>
        <w:pStyle w:val="Heading1AA"/>
        <w:rPr>
          <w:rFonts w:ascii="Arial" w:hAnsi="Arial" w:cs="Arial"/>
          <w:color w:val="auto"/>
          <w:sz w:val="22"/>
          <w:szCs w:val="22"/>
          <w:lang w:val="en-GB"/>
        </w:rPr>
      </w:pPr>
    </w:p>
    <w:p w14:paraId="3DFC6BE8" w14:textId="0870C12C" w:rsidR="004117C8" w:rsidRPr="00DF1AD2" w:rsidRDefault="00D13DA4" w:rsidP="004117C8">
      <w:pPr>
        <w:pStyle w:val="Heading1AA"/>
        <w:rPr>
          <w:rFonts w:ascii="Arial" w:hAnsi="Arial" w:cs="Arial"/>
          <w:b/>
          <w:bCs/>
          <w:color w:val="auto"/>
          <w:sz w:val="22"/>
          <w:szCs w:val="22"/>
          <w:lang w:val="en-GB"/>
        </w:rPr>
      </w:pPr>
      <w:r w:rsidRPr="00DF1AD2">
        <w:rPr>
          <w:rFonts w:ascii="Arial" w:hAnsi="Arial" w:cs="Arial"/>
          <w:b/>
          <w:bCs/>
          <w:color w:val="auto"/>
          <w:sz w:val="22"/>
          <w:szCs w:val="22"/>
          <w:lang w:val="en-GB"/>
        </w:rPr>
        <w:t>Document 470/TA.</w:t>
      </w:r>
      <w:r w:rsidR="002A5D75" w:rsidRPr="00DF1AD2">
        <w:rPr>
          <w:rFonts w:ascii="Arial" w:hAnsi="Arial" w:cs="Arial"/>
          <w:b/>
          <w:bCs/>
          <w:color w:val="auto"/>
          <w:sz w:val="22"/>
          <w:szCs w:val="22"/>
          <w:lang w:val="en-GB"/>
        </w:rPr>
        <w:t>9</w:t>
      </w:r>
      <w:r w:rsidR="00C173E9" w:rsidRPr="00DF1AD2">
        <w:rPr>
          <w:rFonts w:ascii="Arial" w:hAnsi="Arial" w:cs="Arial"/>
          <w:b/>
          <w:bCs/>
          <w:color w:val="auto"/>
          <w:sz w:val="22"/>
          <w:szCs w:val="22"/>
          <w:lang w:val="en-GB"/>
        </w:rPr>
        <w:t>2</w:t>
      </w:r>
      <w:r w:rsidR="00F8416D" w:rsidRPr="00DF1AD2">
        <w:rPr>
          <w:rFonts w:ascii="Arial" w:hAnsi="Arial" w:cs="Arial"/>
          <w:b/>
          <w:bCs/>
          <w:color w:val="auto"/>
          <w:sz w:val="22"/>
          <w:szCs w:val="22"/>
          <w:lang w:val="en-GB"/>
        </w:rPr>
        <w:t>7</w:t>
      </w:r>
      <w:r w:rsidR="00AD5351" w:rsidRPr="00DF1AD2">
        <w:rPr>
          <w:rFonts w:ascii="Arial" w:hAnsi="Arial" w:cs="Arial"/>
          <w:b/>
          <w:bCs/>
          <w:color w:val="auto"/>
          <w:sz w:val="22"/>
          <w:szCs w:val="22"/>
          <w:lang w:val="en-GB"/>
        </w:rPr>
        <w:t>rev</w:t>
      </w:r>
    </w:p>
    <w:p w14:paraId="17C4812B" w14:textId="77777777" w:rsidR="004117C8" w:rsidRPr="00DF1AD2" w:rsidRDefault="004117C8" w:rsidP="004117C8">
      <w:pPr>
        <w:pStyle w:val="Heading1AA"/>
        <w:rPr>
          <w:rFonts w:ascii="Arial" w:hAnsi="Arial" w:cs="Arial"/>
          <w:color w:val="auto"/>
          <w:sz w:val="22"/>
          <w:szCs w:val="22"/>
          <w:lang w:val="en-GB"/>
        </w:rPr>
      </w:pPr>
    </w:p>
    <w:p w14:paraId="689C18F3" w14:textId="77777777" w:rsidR="004117C8" w:rsidRPr="00DF1AD2" w:rsidRDefault="004117C8" w:rsidP="004117C8">
      <w:pPr>
        <w:rPr>
          <w:rFonts w:ascii="Arial" w:hAnsi="Arial" w:cs="Arial"/>
          <w:sz w:val="22"/>
          <w:szCs w:val="22"/>
          <w:lang w:val="en-GB"/>
        </w:rPr>
      </w:pPr>
    </w:p>
    <w:p w14:paraId="4776034F" w14:textId="1DE01869" w:rsidR="004117C8" w:rsidRPr="00DF1AD2" w:rsidRDefault="004117C8" w:rsidP="004117C8">
      <w:pPr>
        <w:rPr>
          <w:rFonts w:ascii="Arial" w:hAnsi="Arial" w:cs="Arial"/>
          <w:sz w:val="22"/>
          <w:szCs w:val="22"/>
          <w:lang w:val="en-GB"/>
        </w:rPr>
      </w:pPr>
      <w:r w:rsidRPr="00DF1AD2">
        <w:rPr>
          <w:rFonts w:ascii="Arial" w:hAnsi="Arial" w:cs="Arial"/>
          <w:sz w:val="22"/>
          <w:szCs w:val="22"/>
          <w:lang w:val="en-GB"/>
        </w:rPr>
        <w:t xml:space="preserve">Dear </w:t>
      </w:r>
      <w:r w:rsidR="00F8416D" w:rsidRPr="00DF1AD2">
        <w:rPr>
          <w:rFonts w:ascii="Arial" w:hAnsi="Arial" w:cs="Arial"/>
          <w:sz w:val="22"/>
          <w:szCs w:val="22"/>
          <w:lang w:val="en-GB"/>
        </w:rPr>
        <w:t>Ms. Li Yuanzi</w:t>
      </w:r>
      <w:r w:rsidR="00D13DA4" w:rsidRPr="00DF1AD2">
        <w:rPr>
          <w:rFonts w:ascii="Arial" w:hAnsi="Arial" w:cs="Arial"/>
          <w:sz w:val="22"/>
          <w:szCs w:val="22"/>
          <w:lang w:val="en-GB"/>
        </w:rPr>
        <w:t>,</w:t>
      </w:r>
    </w:p>
    <w:p w14:paraId="1569D028" w14:textId="77777777" w:rsidR="004117C8" w:rsidRPr="00DF1AD2" w:rsidRDefault="004117C8" w:rsidP="004117C8">
      <w:pPr>
        <w:rPr>
          <w:rFonts w:ascii="Arial" w:hAnsi="Arial" w:cs="Arial"/>
          <w:sz w:val="22"/>
          <w:szCs w:val="22"/>
          <w:lang w:val="en-GB"/>
        </w:rPr>
      </w:pPr>
    </w:p>
    <w:p w14:paraId="5D857EDB" w14:textId="77777777" w:rsidR="006E1F11" w:rsidRPr="00DF1AD2" w:rsidRDefault="004117C8" w:rsidP="004117C8">
      <w:pPr>
        <w:spacing w:line="216" w:lineRule="auto"/>
        <w:ind w:firstLine="510"/>
        <w:rPr>
          <w:rFonts w:ascii="Arial" w:hAnsi="Arial" w:cs="Arial"/>
          <w:sz w:val="22"/>
          <w:szCs w:val="22"/>
          <w:lang w:val="en-GB" w:eastAsia="en-GB"/>
        </w:rPr>
      </w:pPr>
      <w:r w:rsidRPr="00DF1AD2">
        <w:rPr>
          <w:rFonts w:ascii="Arial" w:hAnsi="Arial" w:cs="Arial"/>
          <w:sz w:val="22"/>
          <w:szCs w:val="22"/>
          <w:lang w:val="en-GB" w:eastAsia="en-GB"/>
        </w:rPr>
        <w:t xml:space="preserve">Thank you for your query regarding </w:t>
      </w:r>
      <w:r w:rsidR="008B7BA3" w:rsidRPr="00DF1AD2">
        <w:rPr>
          <w:rFonts w:ascii="Arial" w:hAnsi="Arial" w:cs="Arial"/>
          <w:sz w:val="22"/>
          <w:szCs w:val="22"/>
          <w:lang w:val="en-GB" w:eastAsia="en-GB"/>
        </w:rPr>
        <w:t>UCP 600</w:t>
      </w:r>
      <w:r w:rsidR="00231895" w:rsidRPr="00DF1AD2">
        <w:rPr>
          <w:rFonts w:ascii="Arial" w:hAnsi="Arial" w:cs="Arial"/>
          <w:sz w:val="22"/>
          <w:szCs w:val="22"/>
          <w:lang w:val="en-GB" w:eastAsia="en-GB"/>
        </w:rPr>
        <w:t xml:space="preserve"> and ISBP 745</w:t>
      </w:r>
      <w:r w:rsidRPr="00DF1AD2">
        <w:rPr>
          <w:rFonts w:ascii="Arial" w:hAnsi="Arial" w:cs="Arial"/>
          <w:sz w:val="22"/>
          <w:szCs w:val="22"/>
          <w:lang w:val="en-GB" w:eastAsia="en-GB"/>
        </w:rPr>
        <w:t xml:space="preserve">. Please find below the </w:t>
      </w:r>
    </w:p>
    <w:p w14:paraId="17635BEF" w14:textId="232F02A7" w:rsidR="004117C8" w:rsidRPr="00DF1AD2" w:rsidRDefault="004117C8" w:rsidP="006E1F11">
      <w:pPr>
        <w:spacing w:line="216" w:lineRule="auto"/>
        <w:rPr>
          <w:rFonts w:ascii="Arial" w:hAnsi="Arial" w:cs="Arial"/>
          <w:sz w:val="22"/>
          <w:szCs w:val="22"/>
          <w:lang w:val="en-GB" w:eastAsia="en-GB"/>
        </w:rPr>
      </w:pPr>
      <w:r w:rsidRPr="00DF1AD2">
        <w:rPr>
          <w:rFonts w:ascii="Arial" w:hAnsi="Arial" w:cs="Arial"/>
          <w:sz w:val="22"/>
          <w:szCs w:val="22"/>
          <w:lang w:val="en-GB" w:eastAsia="en-GB"/>
        </w:rPr>
        <w:t>opinion of the ICC Banking Commission Technical Advisers.</w:t>
      </w:r>
    </w:p>
    <w:p w14:paraId="59CAABA7" w14:textId="77777777" w:rsidR="004117C8" w:rsidRPr="00DF1AD2" w:rsidRDefault="004117C8" w:rsidP="004117C8">
      <w:pPr>
        <w:spacing w:line="216" w:lineRule="auto"/>
        <w:jc w:val="both"/>
        <w:rPr>
          <w:rFonts w:ascii="Arial" w:hAnsi="Arial" w:cs="Arial"/>
          <w:sz w:val="22"/>
          <w:szCs w:val="22"/>
          <w:lang w:val="en-GB" w:eastAsia="en-GB"/>
        </w:rPr>
      </w:pPr>
    </w:p>
    <w:p w14:paraId="58AA51A5" w14:textId="708C876D" w:rsidR="00DD3676" w:rsidRPr="00DF1AD2" w:rsidRDefault="004117C8" w:rsidP="00412D37">
      <w:pPr>
        <w:tabs>
          <w:tab w:val="left" w:pos="3119"/>
          <w:tab w:val="left" w:pos="6237"/>
          <w:tab w:val="left" w:pos="8789"/>
        </w:tabs>
        <w:jc w:val="both"/>
        <w:rPr>
          <w:rFonts w:ascii="Arial" w:hAnsi="Arial" w:cs="Arial"/>
          <w:color w:val="000000" w:themeColor="text1"/>
          <w:sz w:val="22"/>
          <w:szCs w:val="22"/>
          <w:lang w:val="en-GB"/>
        </w:rPr>
      </w:pPr>
      <w:r w:rsidRPr="00DF1AD2">
        <w:rPr>
          <w:rFonts w:ascii="Arial" w:hAnsi="Arial" w:cs="Arial"/>
          <w:b/>
          <w:sz w:val="22"/>
          <w:szCs w:val="22"/>
          <w:lang w:val="en-GB" w:eastAsia="en-GB"/>
        </w:rPr>
        <w:t>QUOTE</w:t>
      </w:r>
    </w:p>
    <w:p w14:paraId="5E22FB98" w14:textId="1BA7FACD"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A documentary credit, subject to UCP 600 and URR 725, was issued available with any bank by negotiation. Description of goods field specified as follows:</w:t>
      </w:r>
    </w:p>
    <w:p w14:paraId="7F1ADA9E" w14:textId="77777777" w:rsidR="00F8416D" w:rsidRPr="00DF1AD2" w:rsidRDefault="00F8416D" w:rsidP="00F8416D">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QUOTE</w:t>
      </w:r>
    </w:p>
    <w:p w14:paraId="4441EEE3" w14:textId="7777777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COOKING RANGE AND ITS SPARE PARTS AS PER PURCHASE ORDER NO. XXX DATED 05-MAY-2021. FOB ANY PORT IN CHINA. </w:t>
      </w:r>
    </w:p>
    <w:p w14:paraId="30764E50" w14:textId="77777777" w:rsidR="00F8416D" w:rsidRPr="00DF1AD2" w:rsidRDefault="00F8416D" w:rsidP="00F8416D">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UNQUOTE</w:t>
      </w:r>
    </w:p>
    <w:p w14:paraId="444C354A" w14:textId="77777777" w:rsidR="006E1F11"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Among other </w:t>
      </w:r>
      <w:bookmarkStart w:id="0" w:name="OLE_LINK1"/>
      <w:r w:rsidRPr="00DF1AD2">
        <w:rPr>
          <w:rFonts w:ascii="Arial" w:eastAsia="FangSong" w:hAnsi="Arial" w:cs="Arial"/>
          <w:sz w:val="22"/>
          <w:szCs w:val="22"/>
          <w:lang w:val="en-GB"/>
        </w:rPr>
        <w:t>documents</w:t>
      </w:r>
      <w:bookmarkEnd w:id="0"/>
      <w:r w:rsidRPr="00DF1AD2">
        <w:rPr>
          <w:rFonts w:ascii="Arial" w:eastAsia="FangSong" w:hAnsi="Arial" w:cs="Arial"/>
          <w:sz w:val="22"/>
          <w:szCs w:val="22"/>
          <w:lang w:val="en-GB"/>
        </w:rPr>
        <w:t xml:space="preserve">, “SIGNED COMMERCIAL INVOICES IN 3 ORIGINAL AND 3 </w:t>
      </w:r>
    </w:p>
    <w:p w14:paraId="45A7105B" w14:textId="65608E9E" w:rsidR="00F8416D" w:rsidRPr="00DF1AD2" w:rsidRDefault="00F8416D" w:rsidP="006E1F11">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COPIES” were required.</w:t>
      </w:r>
    </w:p>
    <w:p w14:paraId="352B3CDD" w14:textId="4B1100D6"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On 10 September 2021, the nominated bank received a set of documents under </w:t>
      </w:r>
      <w:r w:rsidR="00231895"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 xml:space="preserve">above </w:t>
      </w:r>
      <w:r w:rsidR="00231895" w:rsidRPr="00DF1AD2">
        <w:rPr>
          <w:rFonts w:ascii="Arial" w:eastAsia="FangSong" w:hAnsi="Arial" w:cs="Arial"/>
          <w:sz w:val="22"/>
          <w:szCs w:val="22"/>
          <w:lang w:val="en-GB"/>
        </w:rPr>
        <w:t>credit</w:t>
      </w:r>
      <w:r w:rsidRPr="00DF1AD2">
        <w:rPr>
          <w:rFonts w:ascii="Arial" w:eastAsia="FangSong" w:hAnsi="Arial" w:cs="Arial"/>
          <w:sz w:val="22"/>
          <w:szCs w:val="22"/>
          <w:lang w:val="en-GB"/>
        </w:rPr>
        <w:t xml:space="preserve">, which they determined as complying and forwarded to the issuing bank without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negotiation. Extracted details </w:t>
      </w:r>
      <w:r w:rsidR="00231895" w:rsidRPr="00DF1AD2">
        <w:rPr>
          <w:rFonts w:ascii="Arial" w:eastAsia="FangSong" w:hAnsi="Arial" w:cs="Arial"/>
          <w:sz w:val="22"/>
          <w:szCs w:val="22"/>
          <w:lang w:val="en-GB"/>
        </w:rPr>
        <w:t xml:space="preserve">as </w:t>
      </w:r>
      <w:r w:rsidRPr="00DF1AD2">
        <w:rPr>
          <w:rFonts w:ascii="Arial" w:eastAsia="FangSong" w:hAnsi="Arial" w:cs="Arial"/>
          <w:sz w:val="22"/>
          <w:szCs w:val="22"/>
          <w:lang w:val="en-GB"/>
        </w:rPr>
        <w:t xml:space="preserve">shown in the invoice </w:t>
      </w:r>
      <w:r w:rsidR="00231895" w:rsidRPr="00DF1AD2">
        <w:rPr>
          <w:rFonts w:ascii="Arial" w:eastAsia="FangSong" w:hAnsi="Arial" w:cs="Arial"/>
          <w:sz w:val="22"/>
          <w:szCs w:val="22"/>
          <w:lang w:val="en-GB"/>
        </w:rPr>
        <w:t xml:space="preserve">are </w:t>
      </w:r>
      <w:r w:rsidRPr="00DF1AD2">
        <w:rPr>
          <w:rFonts w:ascii="Arial" w:eastAsia="FangSong" w:hAnsi="Arial" w:cs="Arial"/>
          <w:sz w:val="22"/>
          <w:szCs w:val="22"/>
          <w:lang w:val="en-GB"/>
        </w:rPr>
        <w:t>as follows: (xxx refers to specific numbers)</w:t>
      </w:r>
    </w:p>
    <w:tbl>
      <w:tblPr>
        <w:tblStyle w:val="Tabellrutnt"/>
        <w:tblpPr w:leftFromText="180" w:rightFromText="180" w:vertAnchor="text" w:tblpX="199" w:tblpY="172"/>
        <w:tblOverlap w:val="never"/>
        <w:tblW w:w="0" w:type="auto"/>
        <w:tblLayout w:type="fixed"/>
        <w:tblLook w:val="04A0" w:firstRow="1" w:lastRow="0" w:firstColumn="1" w:lastColumn="0" w:noHBand="0" w:noVBand="1"/>
      </w:tblPr>
      <w:tblGrid>
        <w:gridCol w:w="1938"/>
        <w:gridCol w:w="1162"/>
        <w:gridCol w:w="1250"/>
        <w:gridCol w:w="1288"/>
        <w:gridCol w:w="1262"/>
        <w:gridCol w:w="1438"/>
      </w:tblGrid>
      <w:tr w:rsidR="00F8416D" w:rsidRPr="00DF1AD2" w14:paraId="1D1DE8BB" w14:textId="77777777" w:rsidTr="000343D4">
        <w:trPr>
          <w:trHeight w:val="397"/>
        </w:trPr>
        <w:tc>
          <w:tcPr>
            <w:tcW w:w="1938" w:type="dxa"/>
            <w:vAlign w:val="center"/>
          </w:tcPr>
          <w:p w14:paraId="56CAC0E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Commodity</w:t>
            </w:r>
          </w:p>
        </w:tc>
        <w:tc>
          <w:tcPr>
            <w:tcW w:w="1162" w:type="dxa"/>
            <w:vAlign w:val="center"/>
          </w:tcPr>
          <w:p w14:paraId="3B5736D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Item No.</w:t>
            </w:r>
          </w:p>
        </w:tc>
        <w:tc>
          <w:tcPr>
            <w:tcW w:w="1250" w:type="dxa"/>
            <w:vAlign w:val="center"/>
          </w:tcPr>
          <w:p w14:paraId="1BE060B4"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Quantity</w:t>
            </w:r>
          </w:p>
        </w:tc>
        <w:tc>
          <w:tcPr>
            <w:tcW w:w="1288" w:type="dxa"/>
            <w:vAlign w:val="center"/>
          </w:tcPr>
          <w:p w14:paraId="09EA9783"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Carton</w:t>
            </w:r>
          </w:p>
        </w:tc>
        <w:tc>
          <w:tcPr>
            <w:tcW w:w="1262" w:type="dxa"/>
            <w:vAlign w:val="center"/>
          </w:tcPr>
          <w:p w14:paraId="07C31FF6"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Unit Price</w:t>
            </w:r>
          </w:p>
        </w:tc>
        <w:tc>
          <w:tcPr>
            <w:tcW w:w="1438" w:type="dxa"/>
            <w:vAlign w:val="center"/>
          </w:tcPr>
          <w:p w14:paraId="63ADC9A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Amount</w:t>
            </w:r>
          </w:p>
        </w:tc>
      </w:tr>
      <w:tr w:rsidR="00F8416D" w:rsidRPr="00DF1AD2" w14:paraId="25D92AC4" w14:textId="77777777" w:rsidTr="000343D4">
        <w:trPr>
          <w:trHeight w:val="397"/>
        </w:trPr>
        <w:tc>
          <w:tcPr>
            <w:tcW w:w="1938" w:type="dxa"/>
            <w:vAlign w:val="center"/>
          </w:tcPr>
          <w:p w14:paraId="1F76185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Cooking range</w:t>
            </w:r>
          </w:p>
        </w:tc>
        <w:tc>
          <w:tcPr>
            <w:tcW w:w="1162" w:type="dxa"/>
            <w:vAlign w:val="center"/>
          </w:tcPr>
          <w:p w14:paraId="1090833F"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ABC</w:t>
            </w:r>
          </w:p>
        </w:tc>
        <w:tc>
          <w:tcPr>
            <w:tcW w:w="1250" w:type="dxa"/>
            <w:vAlign w:val="center"/>
          </w:tcPr>
          <w:p w14:paraId="1307BFD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2B5828B3"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62" w:type="dxa"/>
            <w:vAlign w:val="center"/>
          </w:tcPr>
          <w:p w14:paraId="701E2355"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438" w:type="dxa"/>
            <w:vAlign w:val="center"/>
          </w:tcPr>
          <w:p w14:paraId="4F3E5895"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r>
      <w:tr w:rsidR="00F8416D" w:rsidRPr="00DF1AD2" w14:paraId="5DA977B8" w14:textId="77777777" w:rsidTr="000343D4">
        <w:trPr>
          <w:trHeight w:val="397"/>
        </w:trPr>
        <w:tc>
          <w:tcPr>
            <w:tcW w:w="1938" w:type="dxa"/>
            <w:vAlign w:val="center"/>
          </w:tcPr>
          <w:p w14:paraId="174A647E" w14:textId="77777777" w:rsidR="00F8416D" w:rsidRPr="00DF1AD2" w:rsidRDefault="00F8416D" w:rsidP="000343D4">
            <w:pPr>
              <w:jc w:val="center"/>
              <w:rPr>
                <w:rFonts w:ascii="Arial" w:eastAsia="FangSong" w:hAnsi="Arial" w:cs="Arial"/>
                <w:sz w:val="22"/>
                <w:szCs w:val="22"/>
                <w:lang w:val="en-GB"/>
              </w:rPr>
            </w:pPr>
            <w:r w:rsidRPr="00DF1AD2">
              <w:rPr>
                <w:rFonts w:ascii="Arial" w:eastAsia="FangSong" w:hAnsi="Arial" w:cs="Arial"/>
                <w:sz w:val="22"/>
                <w:szCs w:val="22"/>
                <w:lang w:val="en-GB"/>
              </w:rPr>
              <w:t>Spare parts</w:t>
            </w:r>
          </w:p>
        </w:tc>
        <w:tc>
          <w:tcPr>
            <w:tcW w:w="1162" w:type="dxa"/>
            <w:vAlign w:val="center"/>
          </w:tcPr>
          <w:p w14:paraId="1BFDED9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123</w:t>
            </w:r>
          </w:p>
        </w:tc>
        <w:tc>
          <w:tcPr>
            <w:tcW w:w="1250" w:type="dxa"/>
            <w:vAlign w:val="center"/>
          </w:tcPr>
          <w:p w14:paraId="7790C66B"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0818EDC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62" w:type="dxa"/>
            <w:vAlign w:val="center"/>
          </w:tcPr>
          <w:p w14:paraId="3F66F5B0"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438" w:type="dxa"/>
            <w:vAlign w:val="center"/>
          </w:tcPr>
          <w:p w14:paraId="6BEC2738"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r>
      <w:tr w:rsidR="00F8416D" w:rsidRPr="00DF1AD2" w14:paraId="4BC3FA5E" w14:textId="77777777" w:rsidTr="000343D4">
        <w:trPr>
          <w:trHeight w:val="397"/>
        </w:trPr>
        <w:tc>
          <w:tcPr>
            <w:tcW w:w="1938" w:type="dxa"/>
            <w:vAlign w:val="center"/>
          </w:tcPr>
          <w:p w14:paraId="4962A8BB" w14:textId="77777777" w:rsidR="00F8416D" w:rsidRPr="00DF1AD2" w:rsidRDefault="00F8416D" w:rsidP="000343D4">
            <w:pPr>
              <w:jc w:val="center"/>
              <w:rPr>
                <w:rFonts w:ascii="Arial" w:eastAsia="FangSong" w:hAnsi="Arial" w:cs="Arial"/>
                <w:sz w:val="22"/>
                <w:szCs w:val="22"/>
                <w:lang w:val="en-GB"/>
              </w:rPr>
            </w:pPr>
            <w:r w:rsidRPr="00DF1AD2">
              <w:rPr>
                <w:rFonts w:ascii="Arial" w:eastAsia="FangSong" w:hAnsi="Arial" w:cs="Arial"/>
                <w:sz w:val="22"/>
                <w:szCs w:val="22"/>
                <w:lang w:val="en-GB"/>
              </w:rPr>
              <w:t>Spare parts</w:t>
            </w:r>
          </w:p>
          <w:p w14:paraId="68EFF46F" w14:textId="77777777" w:rsidR="00F8416D" w:rsidRPr="00DF1AD2" w:rsidRDefault="00F8416D" w:rsidP="000343D4">
            <w:pPr>
              <w:ind w:firstLineChars="100" w:firstLine="220"/>
              <w:jc w:val="center"/>
              <w:rPr>
                <w:rFonts w:ascii="Arial" w:eastAsia="FangSong" w:hAnsi="Arial" w:cs="Arial"/>
                <w:sz w:val="22"/>
                <w:szCs w:val="22"/>
                <w:lang w:val="en-GB"/>
              </w:rPr>
            </w:pPr>
            <w:r w:rsidRPr="00DF1AD2">
              <w:rPr>
                <w:rFonts w:ascii="Arial" w:eastAsia="FangSong" w:hAnsi="Arial" w:cs="Arial"/>
                <w:sz w:val="22"/>
                <w:szCs w:val="22"/>
                <w:lang w:val="en-GB"/>
              </w:rPr>
              <w:t>(f.o.c)</w:t>
            </w:r>
          </w:p>
        </w:tc>
        <w:tc>
          <w:tcPr>
            <w:tcW w:w="1162" w:type="dxa"/>
            <w:vAlign w:val="center"/>
          </w:tcPr>
          <w:p w14:paraId="588132BF"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321</w:t>
            </w:r>
          </w:p>
        </w:tc>
        <w:tc>
          <w:tcPr>
            <w:tcW w:w="1250" w:type="dxa"/>
            <w:vAlign w:val="center"/>
          </w:tcPr>
          <w:p w14:paraId="6F849CDB"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4D8264B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2700" w:type="dxa"/>
            <w:gridSpan w:val="2"/>
            <w:vAlign w:val="center"/>
          </w:tcPr>
          <w:p w14:paraId="1E5F5EC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Free of Charge</w:t>
            </w:r>
          </w:p>
        </w:tc>
      </w:tr>
    </w:tbl>
    <w:p w14:paraId="3868CE94" w14:textId="12BEF23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On 16 Sep</w:t>
      </w:r>
      <w:r w:rsidR="00010C0D" w:rsidRPr="00DF1AD2">
        <w:rPr>
          <w:rFonts w:ascii="Arial" w:eastAsia="FangSong" w:hAnsi="Arial" w:cs="Arial"/>
          <w:sz w:val="22"/>
          <w:szCs w:val="22"/>
          <w:lang w:val="en-GB"/>
        </w:rPr>
        <w:t>tember</w:t>
      </w:r>
      <w:r w:rsidRPr="00DF1AD2">
        <w:rPr>
          <w:rFonts w:ascii="Arial" w:eastAsia="FangSong" w:hAnsi="Arial" w:cs="Arial"/>
          <w:sz w:val="22"/>
          <w:szCs w:val="22"/>
          <w:lang w:val="en-GB"/>
        </w:rPr>
        <w:t xml:space="preserve"> 2021, a refusal notice was received from the issuing bank, citing a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discrepancy: INVOICE EVIDENCE FREE OF CHARGE GOODS NOT ALLOWED AS PER L/C. The nominated bank objected to this refusal.</w:t>
      </w:r>
    </w:p>
    <w:p w14:paraId="27C9C2DB" w14:textId="33BCCAAB" w:rsidR="00F8416D" w:rsidRPr="00DF1AD2" w:rsidRDefault="00F8416D"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On 20</w:t>
      </w:r>
      <w:r w:rsidR="00010C0D"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Sep</w:t>
      </w:r>
      <w:r w:rsidR="00010C0D" w:rsidRPr="00DF1AD2">
        <w:rPr>
          <w:rFonts w:ascii="Arial" w:eastAsia="FangSong" w:hAnsi="Arial" w:cs="Arial"/>
          <w:sz w:val="22"/>
          <w:szCs w:val="22"/>
          <w:lang w:val="en-GB"/>
        </w:rPr>
        <w:t>tember</w:t>
      </w:r>
      <w:r w:rsidRPr="00DF1AD2">
        <w:rPr>
          <w:rFonts w:ascii="Arial" w:eastAsia="FangSong" w:hAnsi="Arial" w:cs="Arial"/>
          <w:sz w:val="22"/>
          <w:szCs w:val="22"/>
          <w:lang w:val="en-GB"/>
        </w:rPr>
        <w:t xml:space="preserve"> 2021, the nominated bank received the issuing bank’s authorization to claim reimbursement from the reimbursing bank. The message also indicated </w:t>
      </w:r>
      <w:r w:rsidR="00231895" w:rsidRPr="00DF1AD2">
        <w:rPr>
          <w:rFonts w:ascii="Arial" w:eastAsia="FangSong" w:hAnsi="Arial" w:cs="Arial"/>
          <w:sz w:val="22"/>
          <w:szCs w:val="22"/>
          <w:lang w:val="en-GB"/>
        </w:rPr>
        <w:t>the</w:t>
      </w:r>
      <w:r w:rsidRPr="00DF1AD2">
        <w:rPr>
          <w:rFonts w:ascii="Arial" w:eastAsia="FangSong" w:hAnsi="Arial" w:cs="Arial"/>
          <w:sz w:val="22"/>
          <w:szCs w:val="22"/>
          <w:lang w:val="en-GB"/>
        </w:rPr>
        <w:t xml:space="preserve"> deduction of </w:t>
      </w:r>
      <w:r w:rsidR="00010C0D" w:rsidRPr="00DF1AD2">
        <w:rPr>
          <w:rFonts w:ascii="Arial" w:eastAsia="FangSong" w:hAnsi="Arial" w:cs="Arial"/>
          <w:sz w:val="22"/>
          <w:szCs w:val="22"/>
          <w:lang w:val="en-GB"/>
        </w:rPr>
        <w:t xml:space="preserve">a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discrepancy fee </w:t>
      </w:r>
      <w:r w:rsidR="00010C0D" w:rsidRPr="00DF1AD2">
        <w:rPr>
          <w:rFonts w:ascii="Arial" w:eastAsia="FangSong" w:hAnsi="Arial" w:cs="Arial"/>
          <w:sz w:val="22"/>
          <w:szCs w:val="22"/>
          <w:lang w:val="en-GB"/>
        </w:rPr>
        <w:t xml:space="preserve">of </w:t>
      </w:r>
      <w:r w:rsidRPr="00DF1AD2">
        <w:rPr>
          <w:rFonts w:ascii="Arial" w:eastAsia="FangSong" w:hAnsi="Arial" w:cs="Arial"/>
          <w:sz w:val="22"/>
          <w:szCs w:val="22"/>
          <w:lang w:val="en-GB"/>
        </w:rPr>
        <w:t xml:space="preserve">USD100. In order to accelerate payment for the beneficiary, the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nominated bank claimed as instructed. However, the nominated bank subsequently argued with the</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issuing bank by sending</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messages insisting that the discrepancy was invalid and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requesting a refund of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discrepancy fee. The discrepancy fee was never refunded.</w:t>
      </w:r>
    </w:p>
    <w:p w14:paraId="02452327" w14:textId="36520407" w:rsidR="00F8416D" w:rsidRPr="00DF1AD2" w:rsidRDefault="00F8416D" w:rsidP="00F8416D">
      <w:pPr>
        <w:widowControl w:val="0"/>
        <w:numPr>
          <w:ilvl w:val="0"/>
          <w:numId w:val="17"/>
        </w:numPr>
        <w:overflowPunct/>
        <w:autoSpaceDE/>
        <w:autoSpaceDN/>
        <w:adjustRightInd/>
        <w:spacing w:beforeLines="50" w:before="120" w:afterLines="50" w:after="120" w:line="240" w:lineRule="auto"/>
        <w:jc w:val="both"/>
        <w:textAlignment w:val="auto"/>
        <w:rPr>
          <w:rFonts w:ascii="Arial" w:eastAsia="SimHei" w:hAnsi="Arial" w:cs="Arial"/>
          <w:sz w:val="22"/>
          <w:szCs w:val="22"/>
          <w:lang w:val="en-GB"/>
        </w:rPr>
      </w:pPr>
      <w:r w:rsidRPr="00DF1AD2">
        <w:rPr>
          <w:rFonts w:ascii="Arial" w:eastAsia="SimHei" w:hAnsi="Arial" w:cs="Arial"/>
          <w:sz w:val="22"/>
          <w:szCs w:val="22"/>
          <w:lang w:val="en-GB"/>
        </w:rPr>
        <w:t xml:space="preserve">Preliminary Analysis and Opinion from </w:t>
      </w:r>
      <w:r w:rsidR="00010C0D" w:rsidRPr="00DF1AD2">
        <w:rPr>
          <w:rFonts w:ascii="Arial" w:eastAsia="SimHei" w:hAnsi="Arial" w:cs="Arial"/>
          <w:sz w:val="22"/>
          <w:szCs w:val="22"/>
          <w:lang w:val="en-GB"/>
        </w:rPr>
        <w:t>Nominated Bank</w:t>
      </w:r>
      <w:r w:rsidR="00231895" w:rsidRPr="00DF1AD2">
        <w:rPr>
          <w:rFonts w:ascii="Arial" w:eastAsia="SimHei" w:hAnsi="Arial" w:cs="Arial"/>
          <w:sz w:val="22"/>
          <w:szCs w:val="22"/>
          <w:lang w:val="en-GB"/>
        </w:rPr>
        <w:t xml:space="preserve"> :</w:t>
      </w:r>
    </w:p>
    <w:p w14:paraId="31624F9C" w14:textId="22C3579B"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its first reply, the issuing bank’s main arguments were that ”FREE OF CHARGE GOODS NOT ALLOWED AS PER LC TERMS” and “FOC GOODS CAN BE SHIPPED ONLY IF LC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PERMITS”.</w:t>
      </w:r>
    </w:p>
    <w:p w14:paraId="2394CF3F" w14:textId="5F4873B0" w:rsidR="00F8416D" w:rsidRPr="00DF1AD2" w:rsidRDefault="00F8416D"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nominated bank considered that neither </w:t>
      </w:r>
      <w:r w:rsidR="00010C0D" w:rsidRPr="00DF1AD2">
        <w:rPr>
          <w:rFonts w:ascii="Arial" w:eastAsia="FangSong" w:hAnsi="Arial" w:cs="Arial"/>
          <w:sz w:val="22"/>
          <w:szCs w:val="22"/>
          <w:lang w:val="en-GB"/>
        </w:rPr>
        <w:t>field</w:t>
      </w:r>
      <w:r w:rsidRPr="00DF1AD2">
        <w:rPr>
          <w:rFonts w:ascii="Arial" w:eastAsia="FangSong" w:hAnsi="Arial" w:cs="Arial"/>
          <w:sz w:val="22"/>
          <w:szCs w:val="22"/>
          <w:lang w:val="en-GB"/>
        </w:rPr>
        <w:t xml:space="preserve"> 45A stipulated the price of the spare parts nor did it include any prohibitive clause on the price, and argued that spare parts could</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therefore</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be</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invoiced for a specific value or be free of charge. In either case, no L/C terms were violated. </w:t>
      </w:r>
    </w:p>
    <w:p w14:paraId="1EDF5784" w14:textId="648A0563"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its subsequent replies, the issuing bank maintained that the discrepancy was valid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quoting ISBP</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745 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(b).</w:t>
      </w:r>
    </w:p>
    <w:p w14:paraId="792D1C32" w14:textId="2C0C427C"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However, the nominated bank considered that </w:t>
      </w:r>
      <w:r w:rsidR="00010C0D" w:rsidRPr="00DF1AD2">
        <w:rPr>
          <w:rFonts w:ascii="Arial" w:eastAsia="FangSong" w:hAnsi="Arial" w:cs="Arial"/>
          <w:sz w:val="22"/>
          <w:szCs w:val="22"/>
          <w:lang w:val="en-GB"/>
        </w:rPr>
        <w:t xml:space="preserve">this </w:t>
      </w:r>
      <w:r w:rsidRPr="00DF1AD2">
        <w:rPr>
          <w:rFonts w:ascii="Arial" w:eastAsia="FangSong" w:hAnsi="Arial" w:cs="Arial"/>
          <w:sz w:val="22"/>
          <w:szCs w:val="22"/>
          <w:lang w:val="en-GB"/>
        </w:rPr>
        <w:t>paragraph did not apply to this case</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based on the following reasons:</w:t>
      </w:r>
    </w:p>
    <w:p w14:paraId="529FA1AD" w14:textId="4E371E4B"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ISBP </w:t>
      </w:r>
      <w:r w:rsidR="00010C0D"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does not prohibit </w:t>
      </w:r>
      <w:r w:rsidR="00010C0D" w:rsidRPr="00DF1AD2">
        <w:rPr>
          <w:rFonts w:ascii="Arial" w:eastAsia="FangSong" w:hAnsi="Arial" w:cs="Arial"/>
          <w:sz w:val="22"/>
          <w:szCs w:val="22"/>
          <w:lang w:val="en-GB"/>
        </w:rPr>
        <w:t xml:space="preserve">an </w:t>
      </w:r>
      <w:r w:rsidRPr="00DF1AD2">
        <w:rPr>
          <w:rFonts w:ascii="Arial" w:eastAsia="FangSong" w:hAnsi="Arial" w:cs="Arial"/>
          <w:sz w:val="22"/>
          <w:szCs w:val="22"/>
          <w:lang w:val="en-GB"/>
        </w:rPr>
        <w:t xml:space="preserve">invoice indicating goods to be free of charge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under any circumstances. The intention of this paragraph is not to discuss the question as to whether goods that are free of charge are acceptable or not. It focuses on whether over-shipped goods could be accepted or not even if they are stated to be free of charge. </w:t>
      </w:r>
    </w:p>
    <w:p w14:paraId="510A38E5" w14:textId="47EE1976"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this case, field 45A stipulates 'SPARE PARTS' without specifying any quantity, so it is unable to conclude that the spare parts shown are “ADDITIONAL” goods as specified in ISBP </w:t>
      </w:r>
      <w:r w:rsidR="00010C0D"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Moreover, as </w:t>
      </w:r>
      <w:r w:rsidR="00010C0D" w:rsidRPr="00DF1AD2">
        <w:rPr>
          <w:rFonts w:ascii="Arial" w:eastAsia="FangSong" w:hAnsi="Arial" w:cs="Arial"/>
          <w:sz w:val="22"/>
          <w:szCs w:val="22"/>
          <w:lang w:val="en-GB"/>
        </w:rPr>
        <w:t>the credit</w:t>
      </w:r>
      <w:r w:rsidRPr="00DF1AD2">
        <w:rPr>
          <w:rFonts w:ascii="Arial" w:eastAsia="FangSong" w:hAnsi="Arial" w:cs="Arial"/>
          <w:sz w:val="22"/>
          <w:szCs w:val="22"/>
          <w:lang w:val="en-GB"/>
        </w:rPr>
        <w:t xml:space="preserve"> does not stipulate the price of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spare parts, it is up to the beneficiary and the applicant</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rather than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banks</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to decide whether spare parts are to be free of charge or not. </w:t>
      </w:r>
    </w:p>
    <w:p w14:paraId="10359B3C" w14:textId="27357408"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issuing bank disagreed with the nominated bank’s arguments and considered such interpretation “INCORRECT PERSPECTIVE TO PARA C12”. In addition, the issuing bank stated that it was standard banking practice that unless permitted in </w:t>
      </w:r>
      <w:r w:rsidR="00010C0D" w:rsidRPr="00DF1AD2">
        <w:rPr>
          <w:rFonts w:ascii="Arial" w:eastAsia="FangSong" w:hAnsi="Arial" w:cs="Arial"/>
          <w:sz w:val="22"/>
          <w:szCs w:val="22"/>
          <w:lang w:val="en-GB"/>
        </w:rPr>
        <w:t>the credit</w:t>
      </w:r>
      <w:r w:rsidRPr="00DF1AD2">
        <w:rPr>
          <w:rFonts w:ascii="Arial" w:eastAsia="FangSong" w:hAnsi="Arial" w:cs="Arial"/>
          <w:sz w:val="22"/>
          <w:szCs w:val="22"/>
          <w:lang w:val="en-GB"/>
        </w:rPr>
        <w:t xml:space="preserve">, shipment of free of cost goods would not be allowed even though shipped goods were part of </w:t>
      </w:r>
      <w:r w:rsidR="00010C0D" w:rsidRPr="00DF1AD2">
        <w:rPr>
          <w:rFonts w:ascii="Arial" w:eastAsia="FangSong" w:hAnsi="Arial" w:cs="Arial"/>
          <w:sz w:val="22"/>
          <w:szCs w:val="22"/>
          <w:lang w:val="en-GB"/>
        </w:rPr>
        <w:t>field</w:t>
      </w:r>
      <w:r w:rsidRPr="00DF1AD2">
        <w:rPr>
          <w:rFonts w:ascii="Arial" w:eastAsia="FangSong" w:hAnsi="Arial" w:cs="Arial"/>
          <w:sz w:val="22"/>
          <w:szCs w:val="22"/>
          <w:lang w:val="en-GB"/>
        </w:rPr>
        <w:t xml:space="preserve"> 45A.</w:t>
      </w:r>
    </w:p>
    <w:p w14:paraId="739111CE" w14:textId="4AF7B1D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nominated bank strongly disagreed </w:t>
      </w:r>
      <w:r w:rsidR="00010C0D" w:rsidRPr="00DF1AD2">
        <w:rPr>
          <w:rFonts w:ascii="Arial" w:eastAsia="FangSong" w:hAnsi="Arial" w:cs="Arial"/>
          <w:sz w:val="22"/>
          <w:szCs w:val="22"/>
          <w:lang w:val="en-GB"/>
        </w:rPr>
        <w:t xml:space="preserve">to </w:t>
      </w:r>
      <w:r w:rsidRPr="00DF1AD2">
        <w:rPr>
          <w:rFonts w:ascii="Arial" w:eastAsia="FangSong" w:hAnsi="Arial" w:cs="Arial"/>
          <w:sz w:val="22"/>
          <w:szCs w:val="22"/>
          <w:lang w:val="en-GB"/>
        </w:rPr>
        <w:t>the issuing bank’s interpretation and argued that the</w:t>
      </w:r>
      <w:r w:rsidR="006E1F11" w:rsidRPr="00DF1AD2">
        <w:rPr>
          <w:rFonts w:ascii="Arial" w:eastAsia="FangSong" w:hAnsi="Arial" w:cs="Arial"/>
          <w:sz w:val="22"/>
          <w:szCs w:val="22"/>
          <w:lang w:val="en-GB"/>
        </w:rPr>
        <w:t xml:space="preserve"> </w:t>
      </w:r>
      <w:r w:rsidR="00231895" w:rsidRPr="00DF1AD2">
        <w:rPr>
          <w:rFonts w:ascii="Arial" w:eastAsia="FangSong" w:hAnsi="Arial" w:cs="Arial"/>
          <w:sz w:val="22"/>
          <w:szCs w:val="22"/>
          <w:lang w:val="en-GB"/>
        </w:rPr>
        <w:t xml:space="preserve">issuing bank’s </w:t>
      </w:r>
      <w:r w:rsidRPr="00DF1AD2">
        <w:rPr>
          <w:rFonts w:ascii="Arial" w:eastAsia="FangSong" w:hAnsi="Arial" w:cs="Arial"/>
          <w:sz w:val="22"/>
          <w:szCs w:val="22"/>
          <w:lang w:val="en-GB"/>
        </w:rPr>
        <w:t xml:space="preserve">alleged standard banking practice had never been acknowledged by UCP, ISBP or ICC official Opinions. </w:t>
      </w:r>
    </w:p>
    <w:p w14:paraId="1F64F0D7" w14:textId="77777777" w:rsidR="00F8416D" w:rsidRPr="00DF1AD2" w:rsidRDefault="00F8416D" w:rsidP="00F8416D">
      <w:pPr>
        <w:widowControl w:val="0"/>
        <w:numPr>
          <w:ilvl w:val="0"/>
          <w:numId w:val="17"/>
        </w:numPr>
        <w:overflowPunct/>
        <w:autoSpaceDE/>
        <w:autoSpaceDN/>
        <w:adjustRightInd/>
        <w:spacing w:beforeLines="50" w:before="120" w:afterLines="50" w:after="120" w:line="240" w:lineRule="auto"/>
        <w:jc w:val="both"/>
        <w:textAlignment w:val="auto"/>
        <w:rPr>
          <w:rFonts w:ascii="Arial" w:eastAsia="SimHei" w:hAnsi="Arial" w:cs="Arial"/>
          <w:b/>
          <w:bCs/>
          <w:sz w:val="22"/>
          <w:szCs w:val="22"/>
          <w:lang w:val="en-GB"/>
        </w:rPr>
      </w:pPr>
      <w:r w:rsidRPr="00DF1AD2">
        <w:rPr>
          <w:rFonts w:ascii="Arial" w:eastAsia="SimHei" w:hAnsi="Arial" w:cs="Arial"/>
          <w:sz w:val="22"/>
          <w:szCs w:val="22"/>
          <w:lang w:val="en-GB"/>
        </w:rPr>
        <w:t>Our Questions are</w:t>
      </w:r>
      <w:r w:rsidRPr="00DF1AD2">
        <w:rPr>
          <w:rFonts w:ascii="Arial" w:eastAsia="SimHei" w:hAnsi="Arial" w:cs="Arial"/>
          <w:sz w:val="22"/>
          <w:szCs w:val="22"/>
          <w:lang w:val="en-GB"/>
        </w:rPr>
        <w:t>：</w:t>
      </w:r>
    </w:p>
    <w:p w14:paraId="7E783C3F" w14:textId="7777777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We would appreciate an official Opinion to the following questions:</w:t>
      </w:r>
    </w:p>
    <w:p w14:paraId="65AC3C6A" w14:textId="1B402B52"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1)</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Was the discrepancy raised by the issuing bank valid? Absent any stipulation on the price and quantity in the </w:t>
      </w:r>
      <w:r w:rsidR="00231895" w:rsidRPr="00DF1AD2">
        <w:rPr>
          <w:rFonts w:ascii="Arial" w:eastAsia="FangSong" w:hAnsi="Arial" w:cs="Arial"/>
          <w:sz w:val="22"/>
          <w:szCs w:val="22"/>
          <w:lang w:val="en-GB"/>
        </w:rPr>
        <w:t>credit</w:t>
      </w:r>
      <w:r w:rsidRPr="00DF1AD2">
        <w:rPr>
          <w:rFonts w:ascii="Arial" w:eastAsia="FangSong" w:hAnsi="Arial" w:cs="Arial"/>
          <w:sz w:val="22"/>
          <w:szCs w:val="22"/>
          <w:lang w:val="en-GB"/>
        </w:rPr>
        <w:t>, is it acceptable for the beneficiary to indicate goods that are free of charge on an invoice?</w:t>
      </w:r>
    </w:p>
    <w:p w14:paraId="1B968E58" w14:textId="12FAD83D"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2)</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Is it correct to interpret ISBP </w:t>
      </w:r>
      <w:r w:rsidR="00231895"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as “it means to prohibit </w:t>
      </w:r>
      <w:r w:rsidR="00231895" w:rsidRPr="00DF1AD2">
        <w:rPr>
          <w:rFonts w:ascii="Arial" w:eastAsia="FangSong" w:hAnsi="Arial" w:cs="Arial"/>
          <w:sz w:val="22"/>
          <w:szCs w:val="22"/>
          <w:lang w:val="en-GB"/>
        </w:rPr>
        <w:t xml:space="preserve">an </w:t>
      </w:r>
      <w:r w:rsidRPr="00DF1AD2">
        <w:rPr>
          <w:rFonts w:ascii="Arial" w:eastAsia="FangSong" w:hAnsi="Arial" w:cs="Arial"/>
          <w:sz w:val="22"/>
          <w:szCs w:val="22"/>
          <w:lang w:val="en-GB"/>
        </w:rPr>
        <w:t>invoice indicating goods stat</w:t>
      </w:r>
      <w:r w:rsidR="00E77C6A" w:rsidRPr="00DF1AD2">
        <w:rPr>
          <w:rFonts w:ascii="Arial" w:eastAsia="FangSong" w:hAnsi="Arial" w:cs="Arial"/>
          <w:sz w:val="22"/>
          <w:szCs w:val="22"/>
          <w:lang w:val="en-GB"/>
        </w:rPr>
        <w:t>ed</w:t>
      </w:r>
      <w:r w:rsidRPr="00DF1AD2">
        <w:rPr>
          <w:rFonts w:ascii="Arial" w:eastAsia="FangSong" w:hAnsi="Arial" w:cs="Arial"/>
          <w:sz w:val="22"/>
          <w:szCs w:val="22"/>
          <w:lang w:val="en-GB"/>
        </w:rPr>
        <w:t xml:space="preserve"> to be free of charge under any circumstances unless allowed by the L/C”?</w:t>
      </w:r>
    </w:p>
    <w:p w14:paraId="35089E3D" w14:textId="77777777" w:rsidR="00B1257E" w:rsidRPr="00DF1AD2" w:rsidRDefault="00B1257E" w:rsidP="00677677">
      <w:pPr>
        <w:widowControl w:val="0"/>
        <w:overflowPunct/>
        <w:spacing w:line="240" w:lineRule="auto"/>
        <w:textAlignment w:val="auto"/>
        <w:rPr>
          <w:rFonts w:ascii="Arial" w:hAnsi="Arial" w:cs="Arial"/>
          <w:sz w:val="22"/>
          <w:szCs w:val="22"/>
          <w:lang w:val="en-GB" w:eastAsia="en-GB"/>
        </w:rPr>
      </w:pPr>
    </w:p>
    <w:p w14:paraId="22D46265" w14:textId="67800339" w:rsidR="004117C8" w:rsidRPr="00DF1AD2" w:rsidRDefault="004117C8" w:rsidP="00677677">
      <w:pPr>
        <w:widowControl w:val="0"/>
        <w:overflowPunct/>
        <w:spacing w:line="240" w:lineRule="auto"/>
        <w:textAlignment w:val="auto"/>
        <w:rPr>
          <w:rFonts w:ascii="Arial" w:hAnsi="Arial" w:cs="Arial"/>
          <w:b/>
          <w:sz w:val="22"/>
          <w:szCs w:val="22"/>
          <w:lang w:val="en-GB" w:eastAsia="en-GB"/>
        </w:rPr>
      </w:pPr>
      <w:r w:rsidRPr="00DF1AD2">
        <w:rPr>
          <w:rFonts w:ascii="Arial" w:hAnsi="Arial" w:cs="Arial"/>
          <w:b/>
          <w:sz w:val="22"/>
          <w:szCs w:val="22"/>
          <w:lang w:val="en-GB" w:eastAsia="en-GB"/>
        </w:rPr>
        <w:t>UNQUOTE</w:t>
      </w:r>
    </w:p>
    <w:p w14:paraId="2B909E7C" w14:textId="77777777" w:rsidR="004117C8" w:rsidRPr="00DF1AD2" w:rsidRDefault="004117C8" w:rsidP="004117C8">
      <w:pPr>
        <w:tabs>
          <w:tab w:val="left" w:pos="3119"/>
          <w:tab w:val="left" w:pos="6237"/>
          <w:tab w:val="left" w:pos="8789"/>
        </w:tabs>
        <w:jc w:val="both"/>
        <w:rPr>
          <w:rFonts w:ascii="Arial" w:hAnsi="Arial" w:cs="Arial"/>
          <w:b/>
          <w:sz w:val="22"/>
          <w:szCs w:val="22"/>
          <w:lang w:val="en-GB"/>
        </w:rPr>
      </w:pPr>
    </w:p>
    <w:p w14:paraId="16B51FAB" w14:textId="0404A0EE" w:rsidR="00EA79E4" w:rsidRPr="00DF1AD2" w:rsidRDefault="004117C8" w:rsidP="00EA79E4">
      <w:pPr>
        <w:tabs>
          <w:tab w:val="left" w:pos="3119"/>
          <w:tab w:val="left" w:pos="6237"/>
          <w:tab w:val="left" w:pos="8789"/>
        </w:tabs>
        <w:jc w:val="both"/>
        <w:rPr>
          <w:rFonts w:ascii="Arial" w:hAnsi="Arial" w:cs="Arial"/>
          <w:bCs/>
          <w:sz w:val="22"/>
          <w:szCs w:val="22"/>
          <w:lang w:val="en-GB"/>
        </w:rPr>
      </w:pPr>
      <w:r w:rsidRPr="00DF1AD2">
        <w:rPr>
          <w:rFonts w:ascii="Arial" w:hAnsi="Arial" w:cs="Arial"/>
          <w:b/>
          <w:sz w:val="22"/>
          <w:szCs w:val="22"/>
          <w:lang w:val="en-GB"/>
        </w:rPr>
        <w:t>ANALYSIS</w:t>
      </w:r>
    </w:p>
    <w:p w14:paraId="019426D0" w14:textId="452108C0"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Documents were presented under a credit subject to UCP 600 and refused by the issuing bank on the basis that the invoice included free of charge goods. Four days later, the issuing bank provided the nominated bank with an authorisation to claim reimbursement but with deduction of a discrepancy fee of USD100.  </w:t>
      </w:r>
    </w:p>
    <w:p w14:paraId="2BA1B8A7" w14:textId="32EC8A5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discrepancy fee was disputed by the nominated bank but, in the interests of time, they proceeded with the reimbursement process whilst separately raising an objection to the fee.</w:t>
      </w:r>
    </w:p>
    <w:p w14:paraId="7635B642"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In order to have an awareness of the nuances of this issue, it is essential to examine the evolution of the content of ISBP 745 paragraph C12 (b):</w:t>
      </w:r>
    </w:p>
    <w:p w14:paraId="059DF449" w14:textId="77777777"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ISBP 645 - paragraph 68 (b) “[An invoice must not show:] merchandise not called for in the credit (including samples, advertising materials, etc.) even if stated to be free of charge.”</w:t>
      </w:r>
    </w:p>
    <w:p w14:paraId="17B1386A" w14:textId="77777777"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ISBP 681 - paragraph 64 (b) "[An invoice must not show:] merchandise not called for in the credit (including samples, advertising materials, etc.) even if stated to be free of charge.”</w:t>
      </w:r>
    </w:p>
    <w:p w14:paraId="04CDEE36"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If a similar presentation had been made under a credit where either ISBP 645 or ISBP 681 were applicable, it can certainly be agreed that the spare parts were actually “called for” within the goods description of the credit, which would infer that such a presentation would have been considered as compliant. </w:t>
      </w:r>
    </w:p>
    <w:p w14:paraId="6B384DD4"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However, ISBP 745 paragraph C12 (b) reflects an expanded practice and states:</w:t>
      </w:r>
    </w:p>
    <w:p w14:paraId="6A0EB167" w14:textId="46AC6401"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"[An invoice must not include:] goods, services or performance not called for in the credit. This applies even when the invoice includes additional quantities of goods, services or performance as required by the credit or samples or advertising material and are stated to be free of charge.”</w:t>
      </w:r>
    </w:p>
    <w:p w14:paraId="5896838A"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text is now focussed on the unacceptability of three data elements that may appear in an invoice i.e., data relating to:</w:t>
      </w:r>
    </w:p>
    <w:p w14:paraId="21412006"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goods, services or performance not called for in the credit;</w:t>
      </w:r>
    </w:p>
    <w:p w14:paraId="5A764651"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additional quantities of goods, services or performance as required by the credit; and</w:t>
      </w:r>
    </w:p>
    <w:p w14:paraId="06747DDA"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samples or advertising material.</w:t>
      </w:r>
    </w:p>
    <w:p w14:paraId="3E0CC14D" w14:textId="3F9057F4"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An invoice will not be acceptable under (1), (2) and (3) even if such items are stated to be free of charge. It should be noted that “additional quantities of goods, services or performance” is not confined to circumstances where a quantity or pricing of one or more individual items is included in the credit. “Additional quantities” applies in the general sense of a quantity that is in excess of that which is required to be shipped and paid for under the credit.</w:t>
      </w:r>
    </w:p>
    <w:p w14:paraId="12D8E0BA" w14:textId="070FDE2A"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key issue in this query is that the goods description in the invoice displays three   separate rows, “Cooking range” (goods required by the credit), “spare parts” (goods required by the credit)’ and “spare parts (f.o.c)” (spare parts that can be considered as an additional quantity to those covered within the value of the credit and for which are stated to be free of charge).</w:t>
      </w:r>
    </w:p>
    <w:p w14:paraId="0BC67AEB" w14:textId="10D671DA"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To explain further, the credit was issued for a specific amount; that amount reflected the cost of Cooking Range </w:t>
      </w:r>
      <w:r w:rsidRPr="00DF1AD2">
        <w:rPr>
          <w:rFonts w:ascii="Arial" w:eastAsia="FangSong" w:hAnsi="Arial" w:cs="Arial"/>
          <w:b/>
          <w:bCs/>
          <w:sz w:val="22"/>
          <w:szCs w:val="22"/>
          <w:lang w:val="en-GB"/>
        </w:rPr>
        <w:t>AND</w:t>
      </w:r>
      <w:r w:rsidRPr="00DF1AD2">
        <w:rPr>
          <w:rFonts w:ascii="Arial" w:eastAsia="FangSong" w:hAnsi="Arial" w:cs="Arial"/>
          <w:sz w:val="22"/>
          <w:szCs w:val="22"/>
          <w:lang w:val="en-GB"/>
        </w:rPr>
        <w:t xml:space="preserve"> Spare Parts (emphasis added). Therefore, the credit amount      included an amount in respect of the spare parts, even if the credit did not split the amount   between the cost of the cooking range and spare parts. The credit made no reference to “free of charge” spare parts. At this point, if only cooking range and spare parts are shipped for, or within, the credit amount (subject to any applicable tolerance), there is no issue.</w:t>
      </w:r>
    </w:p>
    <w:p w14:paraId="5866380D"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However, and as stated above, the description “Spare parts (f.o.c.)” can be considered as an additional quantity of goods to those required by the credit. Any counter-argument based on a reference to any agreement of the commercial parties or the contract or the lack of pricing in the credit would be incorrect as banks deal with the examination of documents on their face. </w:t>
      </w:r>
    </w:p>
    <w:p w14:paraId="64812AC7"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position under ISBP 745 paragraph C12 (b) is that no free of charge goods are acceptable unless the credit states otherwise.</w:t>
      </w:r>
    </w:p>
    <w:p w14:paraId="4A530F40" w14:textId="1144616F"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From a separate grammatical context, it cannot be ignored that the text “f.o.c” has been surrounded by parentheses, i.e. “(“ and “)”. Parentheses are always used in pairs in order to   allow the provision of </w:t>
      </w:r>
      <w:r w:rsidRPr="00DF1AD2">
        <w:rPr>
          <w:rFonts w:ascii="Arial" w:eastAsia="FangSong" w:hAnsi="Arial" w:cs="Arial"/>
          <w:i/>
          <w:iCs/>
          <w:sz w:val="22"/>
          <w:szCs w:val="22"/>
          <w:lang w:val="en-GB"/>
        </w:rPr>
        <w:t>additional</w:t>
      </w:r>
      <w:r w:rsidRPr="00DF1AD2">
        <w:rPr>
          <w:rFonts w:ascii="Arial" w:eastAsia="FangSong" w:hAnsi="Arial" w:cs="Arial"/>
          <w:sz w:val="22"/>
          <w:szCs w:val="22"/>
          <w:lang w:val="en-GB"/>
        </w:rPr>
        <w:t xml:space="preserve"> or </w:t>
      </w:r>
      <w:r w:rsidRPr="00DF1AD2">
        <w:rPr>
          <w:rFonts w:ascii="Arial" w:eastAsia="FangSong" w:hAnsi="Arial" w:cs="Arial"/>
          <w:i/>
          <w:iCs/>
          <w:sz w:val="22"/>
          <w:szCs w:val="22"/>
          <w:lang w:val="en-GB"/>
        </w:rPr>
        <w:t>supplemental</w:t>
      </w:r>
      <w:r w:rsidRPr="00DF1AD2">
        <w:rPr>
          <w:rFonts w:ascii="Arial" w:eastAsia="FangSong" w:hAnsi="Arial" w:cs="Arial"/>
          <w:sz w:val="22"/>
          <w:szCs w:val="22"/>
          <w:lang w:val="en-GB"/>
        </w:rPr>
        <w:t xml:space="preserve"> information that clarifies or illustrates the related wording. Accordingly, parentheses are used to insert a word, phrase, or clause into a sentence to add additional, extra, subordinate or clarifying information. </w:t>
      </w:r>
    </w:p>
    <w:p w14:paraId="6F7CE6DC" w14:textId="0A06220C"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Based on these criterion, “(f.o.c)” must be interpreted as inferring an “additional” quantity which, as stated above, is not acceptable under ISBP 745 paragraph C12 (b). </w:t>
      </w:r>
    </w:p>
    <w:p w14:paraId="14DBBAF0" w14:textId="77777777" w:rsidR="00FF00CC" w:rsidRPr="00DF1AD2" w:rsidRDefault="00FF00CC" w:rsidP="00EA79E4">
      <w:pPr>
        <w:tabs>
          <w:tab w:val="left" w:pos="3119"/>
          <w:tab w:val="left" w:pos="6237"/>
          <w:tab w:val="left" w:pos="8789"/>
        </w:tabs>
        <w:jc w:val="both"/>
        <w:rPr>
          <w:rFonts w:ascii="Arial" w:hAnsi="Arial" w:cs="Arial"/>
          <w:bCs/>
          <w:sz w:val="22"/>
          <w:szCs w:val="22"/>
          <w:lang w:val="en-GB"/>
        </w:rPr>
      </w:pPr>
    </w:p>
    <w:p w14:paraId="77C821B9" w14:textId="67BAA1D8" w:rsidR="004117C8" w:rsidRPr="00DF1AD2" w:rsidRDefault="004117C8" w:rsidP="004117C8">
      <w:pPr>
        <w:tabs>
          <w:tab w:val="left" w:pos="3119"/>
          <w:tab w:val="left" w:pos="6237"/>
          <w:tab w:val="left" w:pos="8789"/>
        </w:tabs>
        <w:jc w:val="both"/>
        <w:rPr>
          <w:rFonts w:ascii="Arial" w:hAnsi="Arial" w:cs="Arial"/>
          <w:b/>
          <w:sz w:val="22"/>
          <w:szCs w:val="22"/>
          <w:lang w:val="en-GB"/>
        </w:rPr>
      </w:pPr>
      <w:r w:rsidRPr="00DF1AD2">
        <w:rPr>
          <w:rFonts w:ascii="Arial" w:hAnsi="Arial" w:cs="Arial"/>
          <w:b/>
          <w:sz w:val="22"/>
          <w:szCs w:val="22"/>
          <w:lang w:val="en-GB"/>
        </w:rPr>
        <w:t>CONCLUSION</w:t>
      </w:r>
    </w:p>
    <w:p w14:paraId="7DDFD96B" w14:textId="64C92A2E" w:rsidR="008B7BA3" w:rsidRPr="00DF1AD2" w:rsidRDefault="008B7BA3" w:rsidP="004117C8">
      <w:pPr>
        <w:tabs>
          <w:tab w:val="left" w:pos="3119"/>
          <w:tab w:val="left" w:pos="6237"/>
          <w:tab w:val="left" w:pos="8789"/>
        </w:tabs>
        <w:jc w:val="both"/>
        <w:rPr>
          <w:rFonts w:ascii="Arial" w:hAnsi="Arial" w:cs="Arial"/>
          <w:b/>
          <w:sz w:val="22"/>
          <w:szCs w:val="22"/>
          <w:lang w:val="en-GB"/>
        </w:rPr>
      </w:pPr>
    </w:p>
    <w:p w14:paraId="4DE7B085" w14:textId="31E28296" w:rsidR="00F27BAD" w:rsidRPr="00DF1AD2" w:rsidRDefault="00F27BAD" w:rsidP="00F27BAD">
      <w:pPr>
        <w:pStyle w:val="Liststycke"/>
        <w:numPr>
          <w:ilvl w:val="0"/>
          <w:numId w:val="21"/>
        </w:numPr>
        <w:rPr>
          <w:rFonts w:ascii="Arial" w:eastAsia="FangSong" w:hAnsi="Arial" w:cs="Arial"/>
          <w:sz w:val="22"/>
          <w:szCs w:val="22"/>
          <w:lang w:val="en-GB"/>
        </w:rPr>
      </w:pPr>
      <w:r w:rsidRPr="00DF1AD2">
        <w:rPr>
          <w:rFonts w:ascii="Arial" w:eastAsia="FangSong" w:hAnsi="Arial" w:cs="Arial"/>
          <w:sz w:val="22"/>
          <w:szCs w:val="22"/>
          <w:lang w:val="en-GB"/>
        </w:rPr>
        <w:t xml:space="preserve">The discrepancy is valid. Unless </w:t>
      </w:r>
      <w:r w:rsidR="00E00737" w:rsidRPr="00DF1AD2">
        <w:rPr>
          <w:rFonts w:ascii="Arial" w:eastAsia="FangSong" w:hAnsi="Arial" w:cs="Arial"/>
          <w:sz w:val="22"/>
          <w:szCs w:val="22"/>
          <w:lang w:val="en-GB"/>
        </w:rPr>
        <w:t xml:space="preserve">allowed </w:t>
      </w:r>
      <w:r w:rsidRPr="00DF1AD2">
        <w:rPr>
          <w:rFonts w:ascii="Arial" w:eastAsia="FangSong" w:hAnsi="Arial" w:cs="Arial"/>
          <w:sz w:val="22"/>
          <w:szCs w:val="22"/>
          <w:lang w:val="en-GB"/>
        </w:rPr>
        <w:t>by the terms and conditions of a credit, an invoice should not indicate goods that are free of charge.</w:t>
      </w:r>
    </w:p>
    <w:p w14:paraId="280B907F" w14:textId="4C7D41D7" w:rsidR="00926E7C" w:rsidRPr="00DF1AD2" w:rsidRDefault="00F27BAD" w:rsidP="00B33E91">
      <w:pPr>
        <w:pStyle w:val="Liststycke"/>
        <w:numPr>
          <w:ilvl w:val="0"/>
          <w:numId w:val="21"/>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Yes, this is correct.</w:t>
      </w:r>
    </w:p>
    <w:p w14:paraId="1D1B9748" w14:textId="77777777" w:rsidR="008B7BA3" w:rsidRPr="00DF1AD2" w:rsidRDefault="008B7BA3" w:rsidP="004117C8">
      <w:pPr>
        <w:tabs>
          <w:tab w:val="left" w:pos="3119"/>
          <w:tab w:val="left" w:pos="6237"/>
          <w:tab w:val="left" w:pos="8789"/>
        </w:tabs>
        <w:jc w:val="both"/>
        <w:rPr>
          <w:rFonts w:ascii="Arial" w:hAnsi="Arial" w:cs="Arial"/>
          <w:b/>
          <w:sz w:val="22"/>
          <w:szCs w:val="22"/>
          <w:lang w:val="en-GB"/>
        </w:rPr>
      </w:pPr>
    </w:p>
    <w:p w14:paraId="211C2DDB" w14:textId="77777777" w:rsidR="004117C8" w:rsidRPr="00DF1AD2" w:rsidRDefault="004117C8" w:rsidP="004117C8">
      <w:pPr>
        <w:pStyle w:val="BodyText1"/>
        <w:ind w:firstLine="510"/>
        <w:rPr>
          <w:rFonts w:ascii="Arial" w:hAnsi="Arial" w:cs="Arial"/>
          <w:b/>
          <w:color w:val="auto"/>
          <w:sz w:val="22"/>
          <w:szCs w:val="22"/>
          <w:lang w:val="en-GB"/>
        </w:rPr>
      </w:pPr>
      <w:r w:rsidRPr="00DF1AD2">
        <w:rPr>
          <w:rFonts w:ascii="Arial" w:hAnsi="Arial" w:cs="Arial"/>
          <w:b/>
          <w:color w:val="auto"/>
          <w:sz w:val="22"/>
          <w:szCs w:val="22"/>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5117FEB4" w14:textId="77777777" w:rsidR="004117C8" w:rsidRPr="00DF1AD2" w:rsidRDefault="004117C8" w:rsidP="004117C8">
      <w:pPr>
        <w:ind w:firstLine="510"/>
        <w:rPr>
          <w:rFonts w:ascii="Arial" w:hAnsi="Arial" w:cs="Arial"/>
          <w:b/>
          <w:sz w:val="22"/>
          <w:szCs w:val="22"/>
          <w:lang w:val="en-GB"/>
        </w:rPr>
      </w:pPr>
    </w:p>
    <w:p w14:paraId="2093188F"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The reply given is not to be construed as being other than solely for the benefit of guidance and there should be no legal imputation associated with the reply offered.</w:t>
      </w:r>
    </w:p>
    <w:p w14:paraId="4621DF45" w14:textId="77777777" w:rsidR="004117C8" w:rsidRPr="00DF1AD2" w:rsidRDefault="004117C8" w:rsidP="004117C8">
      <w:pPr>
        <w:ind w:firstLine="510"/>
        <w:rPr>
          <w:rFonts w:ascii="Arial" w:hAnsi="Arial" w:cs="Arial"/>
          <w:b/>
          <w:sz w:val="22"/>
          <w:szCs w:val="22"/>
          <w:lang w:val="en-GB"/>
        </w:rPr>
      </w:pPr>
    </w:p>
    <w:p w14:paraId="1C7F322F"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If this query relates to a matter currently under consideration by the courts, the ICC Banking Commission will refrain from considering it for adoption as an opinion.</w:t>
      </w:r>
    </w:p>
    <w:p w14:paraId="56B4FFED" w14:textId="77777777" w:rsidR="004117C8" w:rsidRPr="00DF1AD2" w:rsidRDefault="004117C8" w:rsidP="004117C8">
      <w:pPr>
        <w:ind w:firstLine="510"/>
        <w:rPr>
          <w:rFonts w:ascii="Arial" w:hAnsi="Arial" w:cs="Arial"/>
          <w:b/>
          <w:sz w:val="22"/>
          <w:szCs w:val="22"/>
          <w:lang w:val="en-GB"/>
        </w:rPr>
      </w:pPr>
    </w:p>
    <w:p w14:paraId="78CB128B"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341EEAA3" w14:textId="77777777" w:rsidR="004117C8" w:rsidRPr="00DF1AD2" w:rsidRDefault="004117C8" w:rsidP="004117C8">
      <w:pPr>
        <w:tabs>
          <w:tab w:val="left" w:pos="3119"/>
          <w:tab w:val="left" w:pos="6237"/>
          <w:tab w:val="left" w:pos="8789"/>
        </w:tabs>
        <w:jc w:val="both"/>
        <w:rPr>
          <w:rFonts w:ascii="Arial" w:hAnsi="Arial" w:cs="Arial"/>
          <w:b/>
          <w:sz w:val="22"/>
          <w:szCs w:val="22"/>
          <w:lang w:val="en-GB"/>
        </w:rPr>
      </w:pPr>
    </w:p>
    <w:p w14:paraId="7B2E4EAD" w14:textId="77777777" w:rsidR="00556D74" w:rsidRDefault="00556D74" w:rsidP="00556D74">
      <w:pPr>
        <w:tabs>
          <w:tab w:val="left" w:pos="5012"/>
        </w:tabs>
        <w:ind w:right="480" w:firstLine="5012"/>
        <w:rPr>
          <w:rFonts w:ascii="Arial" w:hAnsi="Arial" w:cs="Arial"/>
        </w:rPr>
      </w:pPr>
      <w:r>
        <w:rPr>
          <w:rFonts w:ascii="Arial" w:hAnsi="Arial" w:cs="Arial"/>
        </w:rPr>
        <w:t>Yours Sincerely,</w:t>
      </w:r>
    </w:p>
    <w:p w14:paraId="3A8D3B55" w14:textId="7E3D246B" w:rsidR="00556D74" w:rsidRPr="00F71483" w:rsidRDefault="00556D74" w:rsidP="00556D74">
      <w:pPr>
        <w:tabs>
          <w:tab w:val="left" w:pos="5954"/>
        </w:tabs>
        <w:rPr>
          <w:rFonts w:ascii="Arial" w:hAnsi="Arial" w:cs="Arial"/>
        </w:rPr>
      </w:pPr>
    </w:p>
    <w:p w14:paraId="572A08B7" w14:textId="77777777" w:rsidR="00556D74" w:rsidRDefault="00556D74" w:rsidP="00556D74">
      <w:pPr>
        <w:tabs>
          <w:tab w:val="left" w:pos="5954"/>
        </w:tabs>
        <w:rPr>
          <w:rFonts w:ascii="Arial" w:hAnsi="Arial" w:cs="Arial"/>
        </w:rPr>
      </w:pPr>
    </w:p>
    <w:p w14:paraId="029D3059" w14:textId="77777777" w:rsidR="00556D74" w:rsidRDefault="00556D74" w:rsidP="00556D74">
      <w:pPr>
        <w:tabs>
          <w:tab w:val="left" w:pos="5954"/>
        </w:tabs>
        <w:rPr>
          <w:rFonts w:ascii="Arial" w:hAnsi="Arial" w:cs="Arial"/>
        </w:rPr>
      </w:pPr>
    </w:p>
    <w:p w14:paraId="63546DF8" w14:textId="77777777" w:rsidR="00556D74" w:rsidRDefault="00556D74" w:rsidP="00556D74">
      <w:pPr>
        <w:tabs>
          <w:tab w:val="left" w:pos="5954"/>
        </w:tabs>
        <w:rPr>
          <w:rFonts w:ascii="Arial" w:hAnsi="Arial" w:cs="Arial"/>
        </w:rPr>
      </w:pPr>
    </w:p>
    <w:p w14:paraId="390BA04F" w14:textId="77777777" w:rsidR="00556D74" w:rsidRDefault="00556D74" w:rsidP="00556D74">
      <w:pPr>
        <w:tabs>
          <w:tab w:val="left" w:pos="4970"/>
        </w:tabs>
        <w:rPr>
          <w:rFonts w:ascii="Arial" w:hAnsi="Arial" w:cs="Arial"/>
        </w:rPr>
      </w:pPr>
      <w:r>
        <w:rPr>
          <w:rFonts w:ascii="Arial" w:hAnsi="Arial" w:cs="Arial"/>
        </w:rPr>
        <w:tab/>
        <w:t>Tomasch Kubiak</w:t>
      </w:r>
    </w:p>
    <w:p w14:paraId="0E11BFAF" w14:textId="77777777" w:rsidR="00556D74" w:rsidRDefault="00556D74" w:rsidP="00556D74">
      <w:pPr>
        <w:tabs>
          <w:tab w:val="left" w:pos="4970"/>
        </w:tabs>
        <w:rPr>
          <w:rFonts w:ascii="Arial" w:hAnsi="Arial" w:cs="Arial"/>
        </w:rPr>
      </w:pPr>
      <w:r>
        <w:rPr>
          <w:rFonts w:ascii="Arial" w:hAnsi="Arial" w:cs="Arial"/>
        </w:rPr>
        <w:tab/>
        <w:t>Policy Manager Banking Commission</w:t>
      </w:r>
    </w:p>
    <w:p w14:paraId="59F34CE7" w14:textId="77777777" w:rsidR="00556D74" w:rsidRDefault="00556D74" w:rsidP="00556D74">
      <w:pPr>
        <w:tabs>
          <w:tab w:val="left" w:pos="4970"/>
        </w:tabs>
        <w:rPr>
          <w:rFonts w:ascii="Arial" w:hAnsi="Arial" w:cs="Arial"/>
        </w:rPr>
      </w:pPr>
      <w:r>
        <w:rPr>
          <w:rFonts w:ascii="Arial" w:hAnsi="Arial" w:cs="Arial"/>
        </w:rPr>
        <w:tab/>
        <w:t>International Chamber of Commerce</w:t>
      </w:r>
    </w:p>
    <w:p w14:paraId="3A9AD9D4" w14:textId="7E1BAA6E" w:rsidR="00811716" w:rsidRDefault="00811716">
      <w:pPr>
        <w:overflowPunct/>
        <w:autoSpaceDE/>
        <w:autoSpaceDN/>
        <w:adjustRightInd/>
        <w:spacing w:line="240" w:lineRule="auto"/>
        <w:textAlignment w:val="auto"/>
        <w:rPr>
          <w:rFonts w:ascii="Arial" w:hAnsi="Arial" w:cs="Arial"/>
          <w:sz w:val="22"/>
          <w:szCs w:val="22"/>
          <w:lang w:val="en-GB"/>
        </w:rPr>
      </w:pPr>
      <w:r>
        <w:rPr>
          <w:rFonts w:ascii="Arial" w:hAnsi="Arial" w:cs="Arial"/>
          <w:sz w:val="22"/>
          <w:szCs w:val="22"/>
          <w:lang w:val="en-GB"/>
        </w:rPr>
        <w:br w:type="page"/>
      </w:r>
    </w:p>
    <w:p w14:paraId="41AB13DF" w14:textId="77777777" w:rsidR="00D66B66"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5B261D2A"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6039B537"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Mr. Leon Yip</w:t>
      </w:r>
      <w:r w:rsidRPr="006E429E">
        <w:rPr>
          <w:rFonts w:ascii="Arial" w:hAnsi="Arial" w:cs="Arial"/>
          <w:sz w:val="22"/>
          <w:szCs w:val="22"/>
          <w:lang w:val="en-GB"/>
        </w:rPr>
        <w:br/>
        <w:t xml:space="preserve">International Policy Coordinator </w:t>
      </w:r>
    </w:p>
    <w:p w14:paraId="20E9DA78"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ICC United Kingdom</w:t>
      </w:r>
      <w:r w:rsidRPr="006E429E">
        <w:rPr>
          <w:rFonts w:ascii="Arial" w:hAnsi="Arial" w:cs="Arial"/>
          <w:sz w:val="22"/>
          <w:szCs w:val="22"/>
          <w:lang w:val="en-GB"/>
        </w:rPr>
        <w:br/>
        <w:t>1</w:t>
      </w:r>
      <w:r w:rsidRPr="006E429E">
        <w:rPr>
          <w:rFonts w:ascii="Arial" w:hAnsi="Arial" w:cs="Arial"/>
          <w:sz w:val="22"/>
          <w:szCs w:val="22"/>
          <w:vertAlign w:val="superscript"/>
          <w:lang w:val="en-GB"/>
        </w:rPr>
        <w:t>st</w:t>
      </w:r>
      <w:r w:rsidRPr="006E429E">
        <w:rPr>
          <w:rFonts w:ascii="Arial" w:hAnsi="Arial" w:cs="Arial"/>
          <w:sz w:val="22"/>
          <w:szCs w:val="22"/>
          <w:lang w:val="en-GB"/>
        </w:rPr>
        <w:t xml:space="preserve"> Floor, 1-3 Staple Inn,</w:t>
      </w:r>
    </w:p>
    <w:p w14:paraId="466EFF1E" w14:textId="77777777" w:rsidR="00D66B66" w:rsidRPr="006E429E" w:rsidRDefault="00D66B66" w:rsidP="00D66B66">
      <w:pPr>
        <w:ind w:left="4536"/>
        <w:rPr>
          <w:rFonts w:ascii="Arial" w:hAnsi="Arial" w:cs="Arial"/>
          <w:sz w:val="22"/>
          <w:szCs w:val="22"/>
          <w:lang w:val="en-US"/>
        </w:rPr>
      </w:pPr>
      <w:r w:rsidRPr="006E429E">
        <w:rPr>
          <w:rFonts w:ascii="Arial" w:hAnsi="Arial" w:cs="Arial"/>
          <w:sz w:val="22"/>
          <w:szCs w:val="22"/>
          <w:lang w:val="en-US"/>
        </w:rPr>
        <w:t>London WC1V 7QH</w:t>
      </w:r>
    </w:p>
    <w:p w14:paraId="2B3DED5A" w14:textId="77777777" w:rsidR="00D66B66" w:rsidRPr="006E429E" w:rsidRDefault="00D66B66" w:rsidP="00D66B66">
      <w:pPr>
        <w:ind w:left="3232" w:firstLine="1304"/>
        <w:rPr>
          <w:rFonts w:ascii="Arial" w:hAnsi="Arial" w:cs="Arial"/>
          <w:sz w:val="22"/>
          <w:szCs w:val="22"/>
          <w:lang w:val="en-US"/>
        </w:rPr>
      </w:pPr>
      <w:r w:rsidRPr="006E429E">
        <w:rPr>
          <w:rFonts w:ascii="Arial" w:hAnsi="Arial" w:cs="Arial"/>
          <w:sz w:val="22"/>
          <w:szCs w:val="22"/>
          <w:lang w:val="en-US"/>
        </w:rPr>
        <w:t>United Kingdom</w:t>
      </w:r>
    </w:p>
    <w:p w14:paraId="01C76C2B"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5A8D5242" w14:textId="77777777" w:rsidR="00D66B66" w:rsidRPr="006E429E" w:rsidRDefault="00D66B66" w:rsidP="00D66B66">
      <w:pPr>
        <w:pStyle w:val="Heading1AA"/>
        <w:ind w:left="4536"/>
        <w:rPr>
          <w:rFonts w:ascii="Arial" w:hAnsi="Arial" w:cs="Arial"/>
          <w:color w:val="auto"/>
          <w:sz w:val="22"/>
          <w:szCs w:val="22"/>
          <w:lang w:val="en-GB"/>
        </w:rPr>
      </w:pPr>
      <w:r>
        <w:rPr>
          <w:rFonts w:ascii="Arial" w:hAnsi="Arial" w:cs="Arial"/>
          <w:color w:val="auto"/>
          <w:sz w:val="22"/>
          <w:szCs w:val="22"/>
          <w:lang w:val="en-GB"/>
        </w:rPr>
        <w:t xml:space="preserve">17 </w:t>
      </w:r>
      <w:r w:rsidRPr="006E429E">
        <w:rPr>
          <w:rFonts w:ascii="Arial" w:hAnsi="Arial" w:cs="Arial"/>
          <w:color w:val="auto"/>
          <w:sz w:val="22"/>
          <w:szCs w:val="22"/>
          <w:lang w:val="en-GB"/>
        </w:rPr>
        <w:t>February 2023</w:t>
      </w:r>
      <w:r w:rsidRPr="006E429E">
        <w:rPr>
          <w:rFonts w:ascii="Arial" w:hAnsi="Arial" w:cs="Arial"/>
          <w:color w:val="auto"/>
          <w:sz w:val="22"/>
          <w:szCs w:val="22"/>
          <w:lang w:val="en-GB"/>
        </w:rPr>
        <w:tab/>
      </w:r>
      <w:r w:rsidRPr="006E429E">
        <w:rPr>
          <w:rFonts w:ascii="Arial" w:hAnsi="Arial" w:cs="Arial"/>
          <w:color w:val="auto"/>
          <w:sz w:val="22"/>
          <w:szCs w:val="22"/>
          <w:lang w:val="en-GB"/>
        </w:rPr>
        <w:tab/>
      </w:r>
      <w:r w:rsidRPr="006E429E">
        <w:rPr>
          <w:rFonts w:ascii="Arial" w:hAnsi="Arial" w:cs="Arial"/>
          <w:color w:val="auto"/>
          <w:sz w:val="22"/>
          <w:szCs w:val="22"/>
          <w:lang w:val="en-GB"/>
        </w:rPr>
        <w:tab/>
      </w:r>
    </w:p>
    <w:p w14:paraId="7A99A75C" w14:textId="77777777" w:rsidR="00D66B66" w:rsidRPr="006E429E" w:rsidRDefault="00D66B66" w:rsidP="00D66B66">
      <w:pPr>
        <w:pStyle w:val="Heading1AA"/>
        <w:rPr>
          <w:rFonts w:ascii="Arial" w:hAnsi="Arial" w:cs="Arial"/>
          <w:color w:val="auto"/>
          <w:sz w:val="22"/>
          <w:szCs w:val="22"/>
          <w:lang w:val="en-GB"/>
        </w:rPr>
      </w:pPr>
    </w:p>
    <w:p w14:paraId="73B66F27" w14:textId="77777777" w:rsidR="00D66B66" w:rsidRPr="006E429E" w:rsidRDefault="00D66B66" w:rsidP="00D66B66">
      <w:pPr>
        <w:pStyle w:val="Heading1AA"/>
        <w:rPr>
          <w:rFonts w:ascii="Arial" w:hAnsi="Arial" w:cs="Arial"/>
          <w:b/>
          <w:bCs/>
          <w:color w:val="auto"/>
          <w:sz w:val="22"/>
          <w:szCs w:val="22"/>
          <w:lang w:val="en-GB"/>
        </w:rPr>
      </w:pPr>
      <w:r w:rsidRPr="006E429E">
        <w:rPr>
          <w:rFonts w:ascii="Arial" w:hAnsi="Arial" w:cs="Arial"/>
          <w:b/>
          <w:bCs/>
          <w:color w:val="auto"/>
          <w:sz w:val="22"/>
          <w:szCs w:val="22"/>
          <w:lang w:val="en-GB"/>
        </w:rPr>
        <w:t>Document 470/TA.930</w:t>
      </w:r>
    </w:p>
    <w:p w14:paraId="38D31963" w14:textId="77777777" w:rsidR="00D66B66" w:rsidRPr="006E429E" w:rsidRDefault="00D66B66" w:rsidP="00D66B66">
      <w:pPr>
        <w:pStyle w:val="Heading1AA"/>
        <w:rPr>
          <w:rFonts w:ascii="Arial" w:hAnsi="Arial" w:cs="Arial"/>
          <w:color w:val="auto"/>
          <w:sz w:val="22"/>
          <w:szCs w:val="22"/>
          <w:lang w:val="en-GB"/>
        </w:rPr>
      </w:pPr>
    </w:p>
    <w:p w14:paraId="1581CC4D" w14:textId="77777777" w:rsidR="00D66B66" w:rsidRPr="006E429E" w:rsidRDefault="00D66B66" w:rsidP="00D66B66">
      <w:pPr>
        <w:rPr>
          <w:rFonts w:ascii="Arial" w:hAnsi="Arial" w:cs="Arial"/>
          <w:sz w:val="22"/>
          <w:szCs w:val="22"/>
          <w:lang w:val="en-GB"/>
        </w:rPr>
      </w:pPr>
    </w:p>
    <w:p w14:paraId="2F875794" w14:textId="77777777" w:rsidR="00D66B66" w:rsidRPr="006E429E" w:rsidRDefault="00D66B66" w:rsidP="00D66B66">
      <w:pPr>
        <w:rPr>
          <w:rFonts w:ascii="Arial" w:hAnsi="Arial" w:cs="Arial"/>
          <w:sz w:val="22"/>
          <w:szCs w:val="22"/>
          <w:lang w:val="en-GB"/>
        </w:rPr>
      </w:pPr>
      <w:r w:rsidRPr="006E429E">
        <w:rPr>
          <w:rFonts w:ascii="Arial" w:hAnsi="Arial" w:cs="Arial"/>
          <w:sz w:val="22"/>
          <w:szCs w:val="22"/>
          <w:lang w:val="en-GB"/>
        </w:rPr>
        <w:t>Dear Mr. Yip,</w:t>
      </w:r>
    </w:p>
    <w:p w14:paraId="763785AE" w14:textId="77777777" w:rsidR="00D66B66" w:rsidRPr="006E429E" w:rsidRDefault="00D66B66" w:rsidP="00D66B66">
      <w:pPr>
        <w:rPr>
          <w:rFonts w:ascii="Arial" w:hAnsi="Arial" w:cs="Arial"/>
          <w:sz w:val="22"/>
          <w:szCs w:val="22"/>
          <w:lang w:val="en-GB"/>
        </w:rPr>
      </w:pPr>
    </w:p>
    <w:p w14:paraId="4B1057E6" w14:textId="77777777" w:rsidR="00D66B66" w:rsidRPr="006E429E" w:rsidRDefault="00D66B66" w:rsidP="00D66B66">
      <w:pPr>
        <w:spacing w:line="216" w:lineRule="auto"/>
        <w:ind w:firstLine="510"/>
        <w:rPr>
          <w:rFonts w:ascii="Arial" w:hAnsi="Arial" w:cs="Arial"/>
          <w:sz w:val="22"/>
          <w:szCs w:val="22"/>
          <w:lang w:val="en-GB" w:eastAsia="en-GB"/>
        </w:rPr>
      </w:pPr>
      <w:r w:rsidRPr="006E429E">
        <w:rPr>
          <w:rFonts w:ascii="Arial" w:hAnsi="Arial" w:cs="Arial"/>
          <w:sz w:val="22"/>
          <w:szCs w:val="22"/>
          <w:lang w:val="en-GB" w:eastAsia="en-GB"/>
        </w:rPr>
        <w:t>Thank you for your query regarding UCP 600. Please find below the opinion of the ICC Banking Commission Technical Advisers.</w:t>
      </w:r>
    </w:p>
    <w:p w14:paraId="4D08FDC7" w14:textId="77777777" w:rsidR="00D66B66" w:rsidRPr="006E429E" w:rsidRDefault="00D66B66" w:rsidP="00D66B66">
      <w:pPr>
        <w:spacing w:line="216" w:lineRule="auto"/>
        <w:jc w:val="both"/>
        <w:rPr>
          <w:rFonts w:ascii="Arial" w:hAnsi="Arial" w:cs="Arial"/>
          <w:sz w:val="22"/>
          <w:szCs w:val="22"/>
          <w:lang w:val="en-GB" w:eastAsia="en-GB"/>
        </w:rPr>
      </w:pPr>
    </w:p>
    <w:p w14:paraId="6CFC925B" w14:textId="77777777" w:rsidR="00D66B66" w:rsidRPr="006E429E" w:rsidRDefault="00D66B66" w:rsidP="00D66B66">
      <w:pPr>
        <w:tabs>
          <w:tab w:val="left" w:pos="3119"/>
          <w:tab w:val="left" w:pos="6237"/>
          <w:tab w:val="left" w:pos="8789"/>
        </w:tabs>
        <w:jc w:val="both"/>
        <w:rPr>
          <w:rFonts w:ascii="Arial" w:hAnsi="Arial" w:cs="Arial"/>
          <w:color w:val="000000" w:themeColor="text1"/>
          <w:sz w:val="22"/>
          <w:szCs w:val="22"/>
          <w:lang w:val="en-GB"/>
        </w:rPr>
      </w:pPr>
      <w:r w:rsidRPr="006E429E">
        <w:rPr>
          <w:rFonts w:ascii="Arial" w:hAnsi="Arial" w:cs="Arial"/>
          <w:b/>
          <w:sz w:val="22"/>
          <w:szCs w:val="22"/>
          <w:lang w:val="en-GB" w:eastAsia="en-GB"/>
        </w:rPr>
        <w:t>QUOTE</w:t>
      </w:r>
    </w:p>
    <w:p w14:paraId="3087AFCF"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29 August 2022 a documentary credit, denominated in USD and subject to UCP 600 was issued. It was available with any bank by negotiation and contained the following sanctions clause:</w:t>
      </w:r>
    </w:p>
    <w:p w14:paraId="607070B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549FFDA2"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QUOTE</w:t>
      </w:r>
    </w:p>
    <w:p w14:paraId="18D206B2"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BREACHES OF LOCAL AND INTERNATIONAL ANTI-MONEY LAUNDERING OR ECONOMIC SANCTIONS LAWS AND REGULATIONS ADMINISTERED BY, </w:t>
      </w:r>
    </w:p>
    <w:p w14:paraId="4C57A225"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INCLUDING BUT NOT LIMITED TO CHINA, UNITED NATIONS, UNITED STATES, ARE NOT ACCEPTABLE.OUR BANK MAY REJECT ANY TRANSACTION IN </w:t>
      </w:r>
    </w:p>
    <w:p w14:paraId="58F44A38"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VIOLATION OF ANY OF THESE LAWS AND REGULATIONS WITHOUT ANY </w:t>
      </w:r>
    </w:p>
    <w:p w14:paraId="2ED02BF3"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LIABILITY ON OUR PART.</w:t>
      </w:r>
    </w:p>
    <w:p w14:paraId="0332C872"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UNQUOTE</w:t>
      </w:r>
    </w:p>
    <w:p w14:paraId="4E40759C"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19ECC45C"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On 30 September 2022, the nominated bank received a presentation of documents under the credit (which included drafts drawn on the issuing bank) that they determined to be </w:t>
      </w:r>
    </w:p>
    <w:p w14:paraId="2B35AA0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complying and forwarded to the issuing bank.</w:t>
      </w:r>
    </w:p>
    <w:p w14:paraId="44C7C52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3EE23185"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17 October 2022, the nominated bank received a SWIFT message from the issuing bank confirming “</w:t>
      </w:r>
      <w:r w:rsidRPr="006E429E">
        <w:rPr>
          <w:rStyle w:val="xtext-default"/>
          <w:rFonts w:ascii="Arial" w:hAnsi="Arial" w:cs="Arial"/>
          <w:color w:val="000000"/>
          <w:shd w:val="clear" w:color="auto" w:fill="FFFFFF"/>
        </w:rPr>
        <w:t>THAT DOCUMENTS HAVE BEEN ACCEPTED…DUE</w:t>
      </w:r>
      <w:r w:rsidRPr="006E429E">
        <w:rPr>
          <w:rStyle w:val="xtext-default"/>
          <w:rFonts w:ascii="Arial" w:hAnsi="Arial" w:cs="Arial"/>
        </w:rPr>
        <w:t xml:space="preserve"> ON 2022-12-20</w:t>
      </w:r>
      <w:r w:rsidRPr="006E429E">
        <w:rPr>
          <w:rFonts w:ascii="Arial" w:hAnsi="Arial" w:cs="Arial"/>
        </w:rPr>
        <w:t>” in line with the terms of the credit.</w:t>
      </w:r>
    </w:p>
    <w:p w14:paraId="06928D71" w14:textId="77777777" w:rsidR="00D66B66" w:rsidRPr="006E429E" w:rsidRDefault="00D66B66" w:rsidP="00D66B66">
      <w:pPr>
        <w:pStyle w:val="xmsonormal"/>
        <w:spacing w:line="276" w:lineRule="auto"/>
        <w:jc w:val="both"/>
        <w:rPr>
          <w:rFonts w:ascii="Arial" w:hAnsi="Arial" w:cs="Arial"/>
        </w:rPr>
      </w:pPr>
      <w:r w:rsidRPr="006E429E">
        <w:rPr>
          <w:rStyle w:val="xtext-default"/>
          <w:rFonts w:ascii="Arial" w:hAnsi="Arial" w:cs="Arial"/>
          <w:color w:val="000000"/>
          <w:shd w:val="clear" w:color="auto" w:fill="FFFFFF"/>
        </w:rPr>
        <w:t> </w:t>
      </w:r>
    </w:p>
    <w:p w14:paraId="3F48DE86"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13 December 2022, the nominated bank received a SWIFT message from the issuing bank stating: “WE REGRET TO INFORM YOU THAT  WE CAN NOT EFFECT PAYMENT UNDER THE SUBJECT L/C  BECAUSE OF LOCAL AND INTERNATIONAL LAWS AND REGULATION AND ECONOMIC TRADE SANCTIONS.”</w:t>
      </w:r>
    </w:p>
    <w:p w14:paraId="698D968A"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77D5207E"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The nominated bank has subsequently established independently that the applicant </w:t>
      </w:r>
    </w:p>
    <w:p w14:paraId="464C8559"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appears to have been placed on the US OFAC list on 17 November 2022. Although this has not been explicitly stated by the issuing bank as the basis for not being able to effect the payment, it has been inferred as such. </w:t>
      </w:r>
    </w:p>
    <w:p w14:paraId="00A47FAD" w14:textId="77777777" w:rsidR="00D66B66" w:rsidRPr="006E429E" w:rsidRDefault="00D66B66" w:rsidP="00D66B66">
      <w:pPr>
        <w:pStyle w:val="xmsonormal"/>
        <w:spacing w:line="276" w:lineRule="auto"/>
        <w:jc w:val="both"/>
        <w:rPr>
          <w:rFonts w:ascii="Arial" w:hAnsi="Arial" w:cs="Arial"/>
        </w:rPr>
      </w:pPr>
    </w:p>
    <w:p w14:paraId="41C2C93E"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After further correspondence with the issuing bank’s branch and head office, additional information about the sanctions or prevailing laws has not been forthcoming.  </w:t>
      </w:r>
    </w:p>
    <w:p w14:paraId="68AF2E9B"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239BE8DF"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The issuing bank has, however, offered to settle the transaction in CNY or alternatively asked the nominated bank to speak with the beneficiary about arranging a direct payment, both of which the nominated bank has rejected, stating in response that the issuing bank’s obligations under the credit and the accepted draft are independent from any obligation between the issuing bank and applicant. Therefore, the nominated bank has provided both the branch in question, and the head office with a clear demand letter for payment. </w:t>
      </w:r>
    </w:p>
    <w:p w14:paraId="2F41707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  </w:t>
      </w:r>
    </w:p>
    <w:p w14:paraId="7C83E9E1"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Initially, messages from the issuing bank referred to the fact they were </w:t>
      </w:r>
      <w:r w:rsidRPr="006E429E">
        <w:rPr>
          <w:rFonts w:ascii="Arial" w:hAnsi="Arial" w:cs="Arial"/>
          <w:i/>
          <w:iCs/>
        </w:rPr>
        <w:t>still</w:t>
      </w:r>
      <w:r w:rsidRPr="006E429E">
        <w:rPr>
          <w:rFonts w:ascii="Arial" w:hAnsi="Arial" w:cs="Arial"/>
        </w:rPr>
        <w:t xml:space="preserve"> not able to make payment and that they “will continue to pay attention about this matter”, suggesting that they understood that reimbursement obligations remain in place under the LC.  However, their latest message states:</w:t>
      </w:r>
    </w:p>
    <w:p w14:paraId="6BB05179" w14:textId="77777777" w:rsidR="00D66B66" w:rsidRPr="006E429E" w:rsidRDefault="00D66B66" w:rsidP="00D66B66">
      <w:pPr>
        <w:pStyle w:val="xmsonormal"/>
        <w:spacing w:line="276" w:lineRule="auto"/>
        <w:jc w:val="both"/>
        <w:rPr>
          <w:rFonts w:ascii="Arial" w:hAnsi="Arial" w:cs="Arial"/>
        </w:rPr>
      </w:pPr>
    </w:p>
    <w:p w14:paraId="66328F28"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QUOTE</w:t>
      </w:r>
    </w:p>
    <w:p w14:paraId="3CAAE9A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According to the article 1 of the Uniform Customs and Practice for Documentary Credits, 2007 Revision, ICC Publication no. 600 (“UCP600”</w:t>
      </w:r>
      <w:r w:rsidRPr="006E429E">
        <w:rPr>
          <w:rFonts w:ascii="Arial" w:eastAsia="MS Gothic" w:hAnsi="Arial" w:cs="Arial"/>
        </w:rPr>
        <w:t>)</w:t>
      </w:r>
      <w:r w:rsidRPr="006E429E">
        <w:rPr>
          <w:rFonts w:ascii="Arial" w:hAnsi="Arial" w:cs="Arial"/>
        </w:rPr>
        <w:t xml:space="preserve">, UCP600 are rules that apply to any </w:t>
      </w:r>
    </w:p>
    <w:p w14:paraId="03D218F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documentary credit (“credit”</w:t>
      </w:r>
      <w:r w:rsidRPr="006E429E">
        <w:rPr>
          <w:rFonts w:ascii="Arial" w:eastAsia="MS Gothic" w:hAnsi="Arial" w:cs="Arial"/>
        </w:rPr>
        <w:t xml:space="preserve">) </w:t>
      </w:r>
      <w:r w:rsidRPr="006E429E">
        <w:rPr>
          <w:rFonts w:ascii="Arial" w:hAnsi="Arial" w:cs="Arial"/>
        </w:rPr>
        <w:t xml:space="preserve">when the text of the credit expressly indicates that it is subject to these rules. They are binding on all parties thereto unless expressly modified or excluded by the credit, which means all parties are bound by UCP600 as well as stipulations and conditions in the specific L/C; and L/C stipulations and conditions prevail instead of UCP600 in this case. The L/C in this case clearly states that breaches of local and international anti-money </w:t>
      </w:r>
    </w:p>
    <w:p w14:paraId="2E13794B"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laundering of economic sanctions laws and regulations administered by, including but not </w:t>
      </w:r>
    </w:p>
    <w:p w14:paraId="3C20FE6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limited to China, United Nations, United States, are not acceptable. Our bank may reject any transaction in violation of any of these laws and regulations without any liability on our part in 47A.</w:t>
      </w:r>
    </w:p>
    <w:p w14:paraId="58CB715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0FC79629"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[The nominated bank] and the beneficiary did not raise any questions when receiving the L/C and presented the documents under the L/C, which means all parties accepted the stipulations and conditions in the L/C and thus are bound by the L/C conditions. As the applicant is under sanction currently, [the issuing bank] may reject any transaction under the L/C without any </w:t>
      </w:r>
    </w:p>
    <w:p w14:paraId="76D852EC"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liability according to above stipulations and conditions of the L/C, which prevail in this case. Therefore, we can not effect the payment under the LC. </w:t>
      </w:r>
    </w:p>
    <w:p w14:paraId="63F2122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UNQUOTE</w:t>
      </w:r>
    </w:p>
    <w:p w14:paraId="58AE797E" w14:textId="77777777" w:rsidR="00D66B66" w:rsidRPr="006E429E" w:rsidRDefault="00D66B66" w:rsidP="00D66B66">
      <w:pPr>
        <w:pStyle w:val="xmsonormal"/>
        <w:spacing w:line="276" w:lineRule="auto"/>
        <w:jc w:val="both"/>
        <w:rPr>
          <w:rFonts w:ascii="Arial" w:hAnsi="Arial" w:cs="Arial"/>
        </w:rPr>
      </w:pPr>
    </w:p>
    <w:p w14:paraId="3877BA21" w14:textId="77777777" w:rsidR="00D66B66" w:rsidRPr="006E429E" w:rsidRDefault="00D66B66" w:rsidP="00D66B66">
      <w:pPr>
        <w:pStyle w:val="xmsonormal"/>
        <w:spacing w:line="276" w:lineRule="auto"/>
        <w:ind w:firstLine="360"/>
        <w:jc w:val="both"/>
        <w:rPr>
          <w:rFonts w:ascii="Arial" w:hAnsi="Arial" w:cs="Arial"/>
        </w:rPr>
      </w:pPr>
      <w:r w:rsidRPr="006E429E">
        <w:rPr>
          <w:rFonts w:ascii="Arial" w:hAnsi="Arial" w:cs="Arial"/>
        </w:rPr>
        <w:t>Given the above, the nominated bank would appreciate an ICC opinion on the following:</w:t>
      </w:r>
    </w:p>
    <w:p w14:paraId="642C5848" w14:textId="77777777" w:rsidR="00D66B66" w:rsidRPr="006E429E" w:rsidRDefault="00D66B66" w:rsidP="00D66B66">
      <w:pPr>
        <w:pStyle w:val="xmsonormal"/>
        <w:spacing w:line="276" w:lineRule="auto"/>
        <w:jc w:val="both"/>
        <w:rPr>
          <w:rFonts w:ascii="Arial" w:hAnsi="Arial" w:cs="Arial"/>
        </w:rPr>
      </w:pPr>
    </w:p>
    <w:p w14:paraId="1443A943"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Is the above sanctions clause considered a non-documentary condition under UCP 600 sub-article 14 (h)?  If that is the case, does the ICC consider that this clause can be disregarded and has no effect on the underlying obligations of the issuing bank and does not absolve the issuing bank of their obligation to honour the credit following a discovery of the applicant’s sanctions status after acceptance of documents by the issuing bank as they have posited above?</w:t>
      </w:r>
    </w:p>
    <w:p w14:paraId="02C1206C" w14:textId="77777777" w:rsidR="00D66B66" w:rsidRPr="006E429E" w:rsidRDefault="00D66B66" w:rsidP="00D66B66">
      <w:pPr>
        <w:pStyle w:val="xmsolistparagraph"/>
        <w:spacing w:after="0" w:line="276" w:lineRule="auto"/>
        <w:jc w:val="both"/>
        <w:rPr>
          <w:rFonts w:ascii="Arial" w:eastAsia="Times New Roman" w:hAnsi="Arial" w:cs="Arial"/>
        </w:rPr>
      </w:pPr>
    </w:p>
    <w:p w14:paraId="460581BC"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 xml:space="preserve">In accordance with UCP 600 article 4, does the ICC consider that the issuing bank’s </w:t>
      </w:r>
    </w:p>
    <w:p w14:paraId="5C4EF379" w14:textId="77777777" w:rsidR="00D66B66" w:rsidRPr="006E429E" w:rsidRDefault="00D66B66" w:rsidP="00D66B66">
      <w:pPr>
        <w:pStyle w:val="xmsolistparagraph"/>
        <w:spacing w:after="0" w:line="276" w:lineRule="auto"/>
        <w:ind w:left="426"/>
        <w:jc w:val="both"/>
        <w:rPr>
          <w:rFonts w:ascii="Arial" w:eastAsia="Times New Roman" w:hAnsi="Arial" w:cs="Arial"/>
        </w:rPr>
      </w:pPr>
      <w:r w:rsidRPr="006E429E">
        <w:rPr>
          <w:rFonts w:ascii="Arial" w:eastAsia="Times New Roman" w:hAnsi="Arial" w:cs="Arial"/>
        </w:rPr>
        <w:t>obligations under the documentary credit and accepted bill of exchange are independent from their underlying agreement with the applicant and the issuing bank is thus bound to honour their obligation under UCP 600 sub-article 7 (c)?</w:t>
      </w:r>
    </w:p>
    <w:p w14:paraId="5BDF4232" w14:textId="77777777" w:rsidR="00D66B66" w:rsidRPr="006E429E" w:rsidRDefault="00D66B66" w:rsidP="00D66B66">
      <w:pPr>
        <w:pStyle w:val="xmsolistparagraph"/>
        <w:spacing w:after="0" w:line="276" w:lineRule="auto"/>
        <w:ind w:left="0"/>
        <w:jc w:val="both"/>
        <w:rPr>
          <w:rFonts w:ascii="Arial" w:eastAsia="Times New Roman" w:hAnsi="Arial" w:cs="Arial"/>
        </w:rPr>
      </w:pPr>
    </w:p>
    <w:p w14:paraId="1EFB5ED1"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Does the ICC consider that:</w:t>
      </w:r>
    </w:p>
    <w:p w14:paraId="2C714BEC" w14:textId="77777777" w:rsidR="00D66B66" w:rsidRPr="006E429E" w:rsidRDefault="00D66B66" w:rsidP="00D66B66">
      <w:pPr>
        <w:pStyle w:val="xmsolistparagraph"/>
        <w:numPr>
          <w:ilvl w:val="0"/>
          <w:numId w:val="31"/>
        </w:numPr>
        <w:spacing w:after="0" w:line="276" w:lineRule="auto"/>
        <w:jc w:val="both"/>
        <w:rPr>
          <w:rFonts w:ascii="Arial" w:eastAsia="Times New Roman" w:hAnsi="Arial" w:cs="Arial"/>
        </w:rPr>
      </w:pPr>
      <w:r w:rsidRPr="006E429E">
        <w:rPr>
          <w:rFonts w:ascii="Arial" w:eastAsia="Times New Roman" w:hAnsi="Arial" w:cs="Arial"/>
        </w:rPr>
        <w:t>unless the issuing bank can provide evidence that there are economic sanctions on the applicant under which they are prohibited under mandatory local or international law that is applicable to them from making payment to the nominated bank, then they should honour immediately;</w:t>
      </w:r>
    </w:p>
    <w:p w14:paraId="117A67F7" w14:textId="77777777" w:rsidR="00D66B66" w:rsidRPr="006E429E" w:rsidRDefault="00D66B66" w:rsidP="00D66B66">
      <w:pPr>
        <w:pStyle w:val="Liststycke"/>
        <w:numPr>
          <w:ilvl w:val="0"/>
          <w:numId w:val="31"/>
        </w:numPr>
        <w:overflowPunct/>
        <w:autoSpaceDE/>
        <w:autoSpaceDN/>
        <w:adjustRightInd/>
        <w:spacing w:line="276" w:lineRule="auto"/>
        <w:jc w:val="both"/>
        <w:textAlignment w:val="auto"/>
        <w:rPr>
          <w:rFonts w:ascii="Arial" w:hAnsi="Arial" w:cs="Arial"/>
          <w:sz w:val="22"/>
          <w:szCs w:val="22"/>
          <w:lang w:val="en-US"/>
        </w:rPr>
      </w:pPr>
      <w:r w:rsidRPr="006E429E">
        <w:rPr>
          <w:rFonts w:ascii="Arial" w:hAnsi="Arial" w:cs="Arial"/>
          <w:sz w:val="22"/>
          <w:szCs w:val="22"/>
          <w:lang w:val="en-US"/>
        </w:rPr>
        <w:t>if it is proven that the issuing bank is unable to pay due to mandatory law/regulation applicable to them and/or in reliance on the sanctions clause, then their obligation to pay the nominated bank remain valid until such time they are able to make payment; and</w:t>
      </w:r>
    </w:p>
    <w:p w14:paraId="1FF3304C" w14:textId="77777777" w:rsidR="00D66B66" w:rsidRPr="006E429E" w:rsidRDefault="00D66B66" w:rsidP="00D66B66">
      <w:pPr>
        <w:pStyle w:val="xmsolistparagraph"/>
        <w:numPr>
          <w:ilvl w:val="0"/>
          <w:numId w:val="31"/>
        </w:numPr>
        <w:spacing w:after="0" w:line="276" w:lineRule="auto"/>
        <w:jc w:val="both"/>
        <w:rPr>
          <w:rFonts w:ascii="Arial" w:eastAsia="Times New Roman" w:hAnsi="Arial" w:cs="Arial"/>
        </w:rPr>
      </w:pPr>
      <w:r w:rsidRPr="006E429E">
        <w:rPr>
          <w:rFonts w:ascii="Arial" w:eastAsia="Times New Roman" w:hAnsi="Arial" w:cs="Arial"/>
        </w:rPr>
        <w:t xml:space="preserve">given the issuing bank has suggested settlement in CNY, this would stand to </w:t>
      </w:r>
    </w:p>
    <w:p w14:paraId="4F90849D" w14:textId="77777777" w:rsidR="00D66B66" w:rsidRPr="006E429E" w:rsidRDefault="00D66B66" w:rsidP="00D66B66">
      <w:pPr>
        <w:pStyle w:val="xmsolistparagraph"/>
        <w:spacing w:after="0" w:line="276" w:lineRule="auto"/>
        <w:ind w:left="1080"/>
        <w:jc w:val="both"/>
        <w:rPr>
          <w:rFonts w:ascii="Arial" w:eastAsia="Times New Roman" w:hAnsi="Arial" w:cs="Arial"/>
        </w:rPr>
      </w:pPr>
      <w:r w:rsidRPr="006E429E">
        <w:rPr>
          <w:rFonts w:ascii="Arial" w:eastAsia="Times New Roman" w:hAnsi="Arial" w:cs="Arial"/>
        </w:rPr>
        <w:t xml:space="preserve">contradict the position of the local laws preventing payment and this suggests that they recognise their obligation to settle this commitment independent of any </w:t>
      </w:r>
    </w:p>
    <w:p w14:paraId="763C4CEE" w14:textId="77777777" w:rsidR="00D66B66" w:rsidRPr="006E429E" w:rsidRDefault="00D66B66" w:rsidP="00D66B66">
      <w:pPr>
        <w:pStyle w:val="xmsolistparagraph"/>
        <w:spacing w:after="0" w:line="276" w:lineRule="auto"/>
        <w:ind w:left="1080"/>
        <w:jc w:val="both"/>
        <w:rPr>
          <w:rFonts w:ascii="Arial" w:eastAsia="Times New Roman" w:hAnsi="Arial" w:cs="Arial"/>
        </w:rPr>
      </w:pPr>
      <w:r w:rsidRPr="006E429E">
        <w:rPr>
          <w:rFonts w:ascii="Arial" w:eastAsia="Times New Roman" w:hAnsi="Arial" w:cs="Arial"/>
        </w:rPr>
        <w:t>sanctions or local laws applicable to the applicant?</w:t>
      </w:r>
    </w:p>
    <w:p w14:paraId="026034C2" w14:textId="77777777" w:rsidR="00D66B66" w:rsidRPr="006E429E" w:rsidRDefault="00D66B66" w:rsidP="00D66B66">
      <w:pPr>
        <w:widowControl w:val="0"/>
        <w:overflowPunct/>
        <w:spacing w:line="240" w:lineRule="auto"/>
        <w:textAlignment w:val="auto"/>
        <w:rPr>
          <w:rFonts w:ascii="Arial" w:hAnsi="Arial" w:cs="Arial"/>
          <w:sz w:val="22"/>
          <w:szCs w:val="22"/>
          <w:lang w:val="en-GB" w:eastAsia="en-GB"/>
        </w:rPr>
      </w:pPr>
    </w:p>
    <w:p w14:paraId="3FD4B857" w14:textId="77777777" w:rsidR="00D66B66" w:rsidRPr="006E429E" w:rsidRDefault="00D66B66" w:rsidP="00D66B66">
      <w:pPr>
        <w:widowControl w:val="0"/>
        <w:overflowPunct/>
        <w:spacing w:line="240" w:lineRule="auto"/>
        <w:textAlignment w:val="auto"/>
        <w:rPr>
          <w:rFonts w:ascii="Arial" w:hAnsi="Arial" w:cs="Arial"/>
          <w:b/>
          <w:sz w:val="22"/>
          <w:szCs w:val="22"/>
          <w:lang w:val="en-GB" w:eastAsia="en-GB"/>
        </w:rPr>
      </w:pPr>
      <w:r w:rsidRPr="006E429E">
        <w:rPr>
          <w:rFonts w:ascii="Arial" w:hAnsi="Arial" w:cs="Arial"/>
          <w:b/>
          <w:sz w:val="22"/>
          <w:szCs w:val="22"/>
          <w:lang w:val="en-GB" w:eastAsia="en-GB"/>
        </w:rPr>
        <w:t>UNQUOTE</w:t>
      </w:r>
    </w:p>
    <w:p w14:paraId="5EB0AE7C"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3B22A376"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r w:rsidRPr="006E429E">
        <w:rPr>
          <w:rFonts w:ascii="Arial" w:hAnsi="Arial" w:cs="Arial"/>
          <w:b/>
          <w:sz w:val="22"/>
          <w:szCs w:val="22"/>
          <w:lang w:val="en-GB"/>
        </w:rPr>
        <w:t>ANALYSIS</w:t>
      </w:r>
    </w:p>
    <w:p w14:paraId="3AE5CC98" w14:textId="77777777" w:rsidR="00D66B66" w:rsidRPr="006E429E" w:rsidRDefault="00D66B66" w:rsidP="00D66B66">
      <w:pPr>
        <w:tabs>
          <w:tab w:val="left" w:pos="3119"/>
          <w:tab w:val="left" w:pos="6237"/>
          <w:tab w:val="left" w:pos="8789"/>
        </w:tabs>
        <w:jc w:val="both"/>
        <w:rPr>
          <w:rFonts w:ascii="Arial" w:hAnsi="Arial" w:cs="Arial"/>
          <w:bCs/>
          <w:sz w:val="22"/>
          <w:szCs w:val="22"/>
          <w:lang w:val="en-GB"/>
        </w:rPr>
      </w:pPr>
    </w:p>
    <w:p w14:paraId="1CE6BE2F"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A credit subject to UCP 600, and denominated in USD, was issued available with any bank by negotiation and contained the sanctions clause as quoted in the query.</w:t>
      </w:r>
    </w:p>
    <w:p w14:paraId="5B1AD82E" w14:textId="77777777" w:rsidR="00D66B66" w:rsidRPr="006E429E" w:rsidRDefault="00D66B66" w:rsidP="00D66B66">
      <w:pPr>
        <w:rPr>
          <w:rFonts w:ascii="Arial" w:hAnsi="Arial" w:cs="Arial"/>
          <w:color w:val="000000" w:themeColor="text1"/>
          <w:sz w:val="22"/>
          <w:szCs w:val="22"/>
          <w:lang w:val="en-GB"/>
        </w:rPr>
      </w:pPr>
    </w:p>
    <w:p w14:paraId="2FE44503"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Documents were presented by the nominated bank. Subsequently, the issuing bank </w:t>
      </w:r>
    </w:p>
    <w:p w14:paraId="633857E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accepted the presentation and confirmed the due date.</w:t>
      </w:r>
    </w:p>
    <w:p w14:paraId="03924F7C" w14:textId="77777777" w:rsidR="00D66B66" w:rsidRPr="006E429E" w:rsidRDefault="00D66B66" w:rsidP="00D66B66">
      <w:pPr>
        <w:rPr>
          <w:rFonts w:ascii="Arial" w:hAnsi="Arial" w:cs="Arial"/>
          <w:color w:val="000000" w:themeColor="text1"/>
          <w:sz w:val="22"/>
          <w:szCs w:val="22"/>
          <w:lang w:val="en-GB"/>
        </w:rPr>
      </w:pPr>
    </w:p>
    <w:p w14:paraId="1EFFEB7E"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Prior to maturity, the nominated bank was informed by the issuing bank that they were unable to effect payment under the credit due to “local and international laws and economic trade sanctions.” </w:t>
      </w:r>
    </w:p>
    <w:p w14:paraId="5AF9F107" w14:textId="77777777" w:rsidR="00D66B66" w:rsidRPr="006E429E" w:rsidRDefault="00D66B66" w:rsidP="00D66B66">
      <w:pPr>
        <w:rPr>
          <w:rFonts w:ascii="Arial" w:hAnsi="Arial" w:cs="Arial"/>
          <w:color w:val="000000" w:themeColor="text1"/>
          <w:sz w:val="22"/>
          <w:szCs w:val="22"/>
          <w:lang w:val="en-GB"/>
        </w:rPr>
      </w:pPr>
    </w:p>
    <w:p w14:paraId="41A0727C"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Despite the apparent sanctions breach, the issuing bank offered to settle the transaction in CNY. As an alternative, they also suggested that the nominated bank could liaise with the </w:t>
      </w:r>
    </w:p>
    <w:p w14:paraId="4354C9D3" w14:textId="77777777" w:rsidR="00D66B66" w:rsidRPr="006E429E" w:rsidRDefault="00D66B66" w:rsidP="00D66B66">
      <w:pPr>
        <w:rPr>
          <w:rFonts w:ascii="Arial" w:hAnsi="Arial" w:cs="Arial"/>
          <w:color w:val="000000" w:themeColor="text1"/>
          <w:sz w:val="22"/>
          <w:szCs w:val="22"/>
          <w:lang w:val="en-US"/>
        </w:rPr>
      </w:pPr>
      <w:r w:rsidRPr="006E429E">
        <w:rPr>
          <w:rFonts w:ascii="Arial" w:hAnsi="Arial" w:cs="Arial"/>
          <w:color w:val="000000" w:themeColor="text1"/>
          <w:sz w:val="22"/>
          <w:szCs w:val="22"/>
          <w:lang w:val="en-GB"/>
        </w:rPr>
        <w:t>beneficiary for the purpose of arranging a direct payment. Both suggestions were rejected by the nominated bank and a further demand for payment was made. In response, the issuing bank stated that, as the applicant was under sanction, they could not effect payment.</w:t>
      </w:r>
    </w:p>
    <w:p w14:paraId="26CF8822" w14:textId="77777777" w:rsidR="00D66B66" w:rsidRPr="006E429E" w:rsidRDefault="00D66B66" w:rsidP="00D66B66">
      <w:pPr>
        <w:rPr>
          <w:rFonts w:ascii="Arial" w:hAnsi="Arial" w:cs="Arial"/>
          <w:color w:val="000000" w:themeColor="text1"/>
          <w:sz w:val="22"/>
          <w:szCs w:val="22"/>
          <w:lang w:val="en-GB"/>
        </w:rPr>
      </w:pPr>
    </w:p>
    <w:p w14:paraId="02A64A16"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The issue of sanctions clauses in documentary credits (and other instruments) has been </w:t>
      </w:r>
    </w:p>
    <w:p w14:paraId="4074D747"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addressed in several ICC resources, most specifically in the Guidance Paper on the Use of Sanctions Clauses in Trade Finance-related Instruments Subject to ICC Rules (2014) and the subsequent Addendum dated May 2020. Paragraph 1.4 of the Guidance Paper highlights that where sanctions laws and regulations are determined to be applicable to a credit, they are </w:t>
      </w:r>
    </w:p>
    <w:p w14:paraId="5D739BDB"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considered as being mandatory and, depending on the exact nature of the law/regulation, may override the ICC rules applicable to that credit and, more generally, the underlying contract terms as well. </w:t>
      </w:r>
    </w:p>
    <w:p w14:paraId="372F01F7" w14:textId="77777777" w:rsidR="00D66B66" w:rsidRPr="006E429E" w:rsidRDefault="00D66B66" w:rsidP="00D66B66">
      <w:pPr>
        <w:rPr>
          <w:rFonts w:ascii="Arial" w:hAnsi="Arial" w:cs="Arial"/>
          <w:color w:val="000000" w:themeColor="text1"/>
          <w:sz w:val="22"/>
          <w:szCs w:val="22"/>
          <w:lang w:val="en-GB"/>
        </w:rPr>
      </w:pPr>
    </w:p>
    <w:p w14:paraId="216B3FAB"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More recently, this issue has been addressed in ICC Opinion TA.920rev, wherein it is stated that the Banking Commission cannot comment on specific sanctions or regulations and their application in respect of the involved parties, and that any delay in, or refusal to pay due to a sanctions clause is outside of the UCP 600. It was further stated that, unless mandatory law or regulation prohibits the issuing bank from honouring, it must do so if a complying presentation is made. </w:t>
      </w:r>
    </w:p>
    <w:p w14:paraId="2A763BEB" w14:textId="77777777" w:rsidR="00D66B66" w:rsidRPr="006E429E" w:rsidRDefault="00D66B66" w:rsidP="00D66B66">
      <w:pPr>
        <w:rPr>
          <w:rFonts w:ascii="Arial" w:hAnsi="Arial" w:cs="Arial"/>
          <w:color w:val="000000" w:themeColor="text1"/>
          <w:sz w:val="22"/>
          <w:szCs w:val="22"/>
          <w:lang w:val="en-GB"/>
        </w:rPr>
      </w:pPr>
    </w:p>
    <w:p w14:paraId="14E57413"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Non-documentary conditions are addressed in UCP 600 sub-article 14 (h) wherein it is stated that if a credit contains a condition without stipulating the document to indicate </w:t>
      </w:r>
    </w:p>
    <w:p w14:paraId="41A2BE3D"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compliance with the condition, banks will deem such condition as not stated and will disregard it. However, the scope of this sub-article is in respect of determining if the presented </w:t>
      </w:r>
    </w:p>
    <w:p w14:paraId="1B6912FD"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documents constitute a complying presentation. This is, however, not the purpose of a </w:t>
      </w:r>
    </w:p>
    <w:p w14:paraId="290A2BC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sanctions clause, which is a clause linked to mandatory law/regulations which may override the credit.</w:t>
      </w:r>
    </w:p>
    <w:p w14:paraId="063F6B03" w14:textId="77777777" w:rsidR="00D66B66" w:rsidRPr="006E429E" w:rsidRDefault="00D66B66" w:rsidP="00D66B66">
      <w:pPr>
        <w:rPr>
          <w:rFonts w:ascii="Arial" w:hAnsi="Arial" w:cs="Arial"/>
          <w:color w:val="000000" w:themeColor="text1"/>
          <w:sz w:val="22"/>
          <w:szCs w:val="22"/>
          <w:lang w:val="en-GB"/>
        </w:rPr>
      </w:pPr>
    </w:p>
    <w:p w14:paraId="49F8F827"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It is stated in ICC Opinion TA.920rev that, “In accordance with UCP 600 sub-article 7 (b), an issuing bank is irrevocably bound to honour as of the time it issues a credit. Sub-article 7 (a) includes that provided the stipulated documents are presented to the issuing bank and that they constitute a complying presentation, then the issuing bank must honour. Any delay or </w:t>
      </w:r>
    </w:p>
    <w:p w14:paraId="6F54D47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refusal to pay, due to a sanctions clause, is outside the scope of the UCP 600. Likewise, unless mandatory law or regulation prohibits the issuing bank from honouring it must do so if a </w:t>
      </w:r>
    </w:p>
    <w:p w14:paraId="2468EE4B"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complying presentation is made.” </w:t>
      </w:r>
    </w:p>
    <w:p w14:paraId="688A8B49" w14:textId="77777777" w:rsidR="00D66B66" w:rsidRPr="006E429E" w:rsidRDefault="00D66B66" w:rsidP="00D66B66">
      <w:pPr>
        <w:rPr>
          <w:rFonts w:ascii="Arial" w:hAnsi="Arial" w:cs="Arial"/>
          <w:color w:val="000000" w:themeColor="text1"/>
          <w:sz w:val="22"/>
          <w:szCs w:val="22"/>
          <w:lang w:val="en-GB"/>
        </w:rPr>
      </w:pPr>
    </w:p>
    <w:p w14:paraId="260E59C5"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UCP 600 sub-article 4 (a) includes the following wording: “A credit by its nature is a </w:t>
      </w:r>
    </w:p>
    <w:p w14:paraId="0F96A3C6"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separate transaction from the sale or other contract on which it may be based.”</w:t>
      </w:r>
    </w:p>
    <w:p w14:paraId="2115A82A" w14:textId="77777777" w:rsidR="00D66B66" w:rsidRPr="006E429E" w:rsidRDefault="00D66B66" w:rsidP="00D66B66">
      <w:pPr>
        <w:rPr>
          <w:rFonts w:ascii="Arial" w:hAnsi="Arial" w:cs="Arial"/>
          <w:color w:val="000000" w:themeColor="text1"/>
          <w:sz w:val="22"/>
          <w:szCs w:val="22"/>
          <w:lang w:val="en-GB"/>
        </w:rPr>
      </w:pPr>
    </w:p>
    <w:p w14:paraId="56E126CD"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Once a complying presentation has been made, an issuing bank is obligated to honour. If they are prohibited to do so due to a sanctions breach, it would be standard banking practice and prudent to provide any evidence to the nominated bank, to the extent that this does not </w:t>
      </w:r>
    </w:p>
    <w:p w14:paraId="169A749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violate mandatory law.</w:t>
      </w:r>
    </w:p>
    <w:p w14:paraId="3E78ABB0"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p>
    <w:p w14:paraId="365F540F"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r w:rsidRPr="006E429E">
        <w:rPr>
          <w:rFonts w:ascii="Arial" w:hAnsi="Arial" w:cs="Arial"/>
          <w:color w:val="000000" w:themeColor="text1"/>
          <w:sz w:val="22"/>
          <w:szCs w:val="22"/>
          <w:lang w:val="en-GB"/>
        </w:rPr>
        <w:t>The obligation of the issuing bank to honour a complying presentation is independent of any sanctions breach that prohibits the issuing bank from honouring.</w:t>
      </w:r>
    </w:p>
    <w:p w14:paraId="0228841E"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p>
    <w:p w14:paraId="67611D02" w14:textId="77777777" w:rsidR="00D66B66" w:rsidRPr="006E429E" w:rsidRDefault="00D66B66" w:rsidP="00D66B66">
      <w:pPr>
        <w:tabs>
          <w:tab w:val="left" w:pos="3119"/>
          <w:tab w:val="left" w:pos="6237"/>
          <w:tab w:val="left" w:pos="8789"/>
        </w:tabs>
        <w:jc w:val="both"/>
        <w:rPr>
          <w:rFonts w:ascii="Arial" w:hAnsi="Arial" w:cs="Arial"/>
          <w:b/>
          <w:color w:val="000000" w:themeColor="text1"/>
          <w:sz w:val="22"/>
          <w:szCs w:val="22"/>
          <w:lang w:val="en-GB"/>
        </w:rPr>
      </w:pPr>
      <w:r w:rsidRPr="006E429E">
        <w:rPr>
          <w:rFonts w:ascii="Arial" w:hAnsi="Arial" w:cs="Arial"/>
          <w:b/>
          <w:color w:val="000000" w:themeColor="text1"/>
          <w:sz w:val="22"/>
          <w:szCs w:val="22"/>
          <w:lang w:val="en-GB"/>
        </w:rPr>
        <w:t>CONCLUSION</w:t>
      </w:r>
    </w:p>
    <w:p w14:paraId="13A2B2B8" w14:textId="77777777" w:rsidR="00D66B66" w:rsidRPr="006E429E" w:rsidRDefault="00D66B66" w:rsidP="00D66B66">
      <w:pPr>
        <w:tabs>
          <w:tab w:val="left" w:pos="3119"/>
          <w:tab w:val="left" w:pos="6237"/>
          <w:tab w:val="left" w:pos="8789"/>
        </w:tabs>
        <w:jc w:val="both"/>
        <w:rPr>
          <w:rFonts w:ascii="Arial" w:hAnsi="Arial" w:cs="Arial"/>
          <w:b/>
          <w:color w:val="000000" w:themeColor="text1"/>
          <w:sz w:val="22"/>
          <w:szCs w:val="22"/>
          <w:lang w:val="en-GB"/>
        </w:rPr>
      </w:pPr>
    </w:p>
    <w:p w14:paraId="63AEF0EB"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1. A sanctions clause cannot be considered as a non-documentary condition, and cannot be disregarded for that reason.</w:t>
      </w:r>
      <w:r w:rsidRPr="006E429E" w:rsidDel="00665AFA">
        <w:rPr>
          <w:rFonts w:ascii="Arial" w:hAnsi="Arial" w:cs="Arial"/>
          <w:color w:val="000000" w:themeColor="text1"/>
          <w:sz w:val="22"/>
          <w:szCs w:val="22"/>
          <w:lang w:val="en-GB"/>
        </w:rPr>
        <w:t xml:space="preserve"> </w:t>
      </w:r>
    </w:p>
    <w:p w14:paraId="495D4A6D" w14:textId="77777777" w:rsidR="00D66B66" w:rsidRPr="006E429E" w:rsidRDefault="00D66B66" w:rsidP="00D66B66">
      <w:pPr>
        <w:rPr>
          <w:rFonts w:ascii="Arial" w:hAnsi="Arial" w:cs="Arial"/>
          <w:color w:val="000000" w:themeColor="text1"/>
          <w:sz w:val="22"/>
          <w:szCs w:val="22"/>
          <w:lang w:val="en-GB"/>
        </w:rPr>
      </w:pPr>
    </w:p>
    <w:p w14:paraId="1AFD1662"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2. Whilst a credit is separate from the underlying contract, thereby meaning that an </w:t>
      </w:r>
    </w:p>
    <w:p w14:paraId="7A507ED2"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issuing bank must honour or negotiate a complying presentation, any delay in, or refusal to pay due to following a mandatory law/regulation (re-affirmed by a sanctions clause or not) is outside of the UCP 600.</w:t>
      </w:r>
    </w:p>
    <w:p w14:paraId="7D1E3A97" w14:textId="77777777" w:rsidR="00D66B66" w:rsidRPr="006E429E" w:rsidRDefault="00D66B66" w:rsidP="00D66B66">
      <w:pPr>
        <w:rPr>
          <w:rFonts w:ascii="Arial" w:hAnsi="Arial" w:cs="Arial"/>
          <w:color w:val="000000" w:themeColor="text1"/>
          <w:sz w:val="22"/>
          <w:szCs w:val="22"/>
          <w:lang w:val="en-GB"/>
        </w:rPr>
      </w:pPr>
    </w:p>
    <w:p w14:paraId="0BBAC040"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3a). Whether or not an issuing bank is obligated to honour in the event of no evidence </w:t>
      </w:r>
    </w:p>
    <w:p w14:paraId="166E0170"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being provided, is a matter outside the scope of the UCP 600.  However, it is expected that a bank will provide details of the applicable law(s)/regulation(s) to the extent that this does not violate mandatory law.  </w:t>
      </w:r>
    </w:p>
    <w:p w14:paraId="1539E348" w14:textId="77777777" w:rsidR="00D66B66" w:rsidRPr="006E429E" w:rsidRDefault="00D66B66" w:rsidP="00D66B66">
      <w:pPr>
        <w:rPr>
          <w:rFonts w:ascii="Arial" w:hAnsi="Arial" w:cs="Arial"/>
          <w:color w:val="000000" w:themeColor="text1"/>
          <w:sz w:val="22"/>
          <w:szCs w:val="22"/>
          <w:lang w:val="en-GB"/>
        </w:rPr>
      </w:pPr>
    </w:p>
    <w:p w14:paraId="68D10078"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3b). At what point in time the issuing bank would be allowed to honour based on a sanctions breach, is a matter outside the scope of the UCP 600 and will depend on the nature of the </w:t>
      </w:r>
    </w:p>
    <w:p w14:paraId="350BE817"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applicable law(s)/regulation(s).</w:t>
      </w:r>
    </w:p>
    <w:p w14:paraId="24D394CC" w14:textId="77777777" w:rsidR="00D66B66" w:rsidRPr="006E429E" w:rsidRDefault="00D66B66" w:rsidP="00D66B66">
      <w:pPr>
        <w:rPr>
          <w:rFonts w:ascii="Arial" w:hAnsi="Arial" w:cs="Arial"/>
          <w:color w:val="000000" w:themeColor="text1"/>
          <w:sz w:val="22"/>
          <w:szCs w:val="22"/>
          <w:lang w:val="en-GB"/>
        </w:rPr>
      </w:pPr>
    </w:p>
    <w:p w14:paraId="640012CD" w14:textId="77777777" w:rsidR="00D66B66" w:rsidRPr="006E429E" w:rsidRDefault="00D66B66" w:rsidP="00D66B66">
      <w:pPr>
        <w:rPr>
          <w:rFonts w:ascii="Arial" w:hAnsi="Arial" w:cs="Arial"/>
          <w:color w:val="000000" w:themeColor="text1"/>
          <w:sz w:val="22"/>
          <w:szCs w:val="22"/>
          <w:lang w:val="en-GB"/>
        </w:rPr>
      </w:pPr>
    </w:p>
    <w:p w14:paraId="71DE2141"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3c) This is a matter outside the scope of the UCP 600 and cannot be answered by the ICC Banking Commission as it depends on the nature of the applicable law(s)/regulation(s).</w:t>
      </w:r>
    </w:p>
    <w:p w14:paraId="71AEB232"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55F72478" w14:textId="77777777" w:rsidR="00D66B66" w:rsidRPr="006E429E" w:rsidRDefault="00D66B66" w:rsidP="00D66B66">
      <w:pPr>
        <w:pStyle w:val="BodyText1"/>
        <w:ind w:firstLine="510"/>
        <w:rPr>
          <w:rFonts w:ascii="Arial" w:hAnsi="Arial" w:cs="Arial"/>
          <w:b/>
          <w:color w:val="auto"/>
          <w:sz w:val="22"/>
          <w:szCs w:val="22"/>
          <w:lang w:val="en-GB"/>
        </w:rPr>
      </w:pPr>
      <w:r w:rsidRPr="006E429E">
        <w:rPr>
          <w:rFonts w:ascii="Arial" w:hAnsi="Arial" w:cs="Arial"/>
          <w:b/>
          <w:color w:val="auto"/>
          <w:sz w:val="22"/>
          <w:szCs w:val="22"/>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053EF6A0" w14:textId="77777777" w:rsidR="00D66B66" w:rsidRPr="006E429E" w:rsidRDefault="00D66B66" w:rsidP="00D66B66">
      <w:pPr>
        <w:ind w:firstLine="510"/>
        <w:rPr>
          <w:rFonts w:ascii="Arial" w:hAnsi="Arial" w:cs="Arial"/>
          <w:b/>
          <w:sz w:val="22"/>
          <w:szCs w:val="22"/>
          <w:lang w:val="en-GB"/>
        </w:rPr>
      </w:pPr>
    </w:p>
    <w:p w14:paraId="5B88023C"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The reply given is not to be construed as being other than solely for the benefit of guidance and there should be no legal imputation associated with the reply offered.</w:t>
      </w:r>
    </w:p>
    <w:p w14:paraId="0BCA94C9" w14:textId="77777777" w:rsidR="00D66B66" w:rsidRPr="006E429E" w:rsidRDefault="00D66B66" w:rsidP="00D66B66">
      <w:pPr>
        <w:ind w:firstLine="510"/>
        <w:rPr>
          <w:rFonts w:ascii="Arial" w:hAnsi="Arial" w:cs="Arial"/>
          <w:b/>
          <w:sz w:val="22"/>
          <w:szCs w:val="22"/>
          <w:lang w:val="en-GB"/>
        </w:rPr>
      </w:pPr>
    </w:p>
    <w:p w14:paraId="75BAA674"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If this query relates to a matter currently under consideration by the courts, the ICC Banking Commission will refrain from considering it for adoption as an opinion.</w:t>
      </w:r>
    </w:p>
    <w:p w14:paraId="14909C44" w14:textId="77777777" w:rsidR="00D66B66" w:rsidRPr="006E429E" w:rsidRDefault="00D66B66" w:rsidP="00D66B66">
      <w:pPr>
        <w:ind w:firstLine="510"/>
        <w:rPr>
          <w:rFonts w:ascii="Arial" w:hAnsi="Arial" w:cs="Arial"/>
          <w:b/>
          <w:sz w:val="22"/>
          <w:szCs w:val="22"/>
          <w:lang w:val="en-GB"/>
        </w:rPr>
      </w:pPr>
    </w:p>
    <w:p w14:paraId="0AC79461"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2593FF24"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39AFE0DE" w14:textId="77777777" w:rsidR="00D66B66" w:rsidRDefault="00D66B66" w:rsidP="00D66B66">
      <w:pPr>
        <w:tabs>
          <w:tab w:val="left" w:pos="5012"/>
        </w:tabs>
        <w:ind w:right="480" w:firstLine="5012"/>
        <w:rPr>
          <w:rFonts w:ascii="Arial" w:hAnsi="Arial" w:cs="Arial"/>
        </w:rPr>
      </w:pPr>
      <w:r>
        <w:rPr>
          <w:rFonts w:ascii="Arial" w:hAnsi="Arial" w:cs="Arial"/>
        </w:rPr>
        <w:t>Yours Sincerely,</w:t>
      </w:r>
    </w:p>
    <w:p w14:paraId="2B5287DB" w14:textId="0AAB282B" w:rsidR="00D66B66" w:rsidRDefault="00D66B66" w:rsidP="00D66B66">
      <w:pPr>
        <w:tabs>
          <w:tab w:val="left" w:pos="5954"/>
        </w:tabs>
        <w:rPr>
          <w:rFonts w:ascii="Arial" w:hAnsi="Arial" w:cs="Arial"/>
        </w:rPr>
      </w:pPr>
    </w:p>
    <w:p w14:paraId="1832A2EB" w14:textId="77777777" w:rsidR="00D66B66" w:rsidRDefault="00D66B66" w:rsidP="00D66B66">
      <w:pPr>
        <w:tabs>
          <w:tab w:val="left" w:pos="5954"/>
        </w:tabs>
        <w:rPr>
          <w:rFonts w:ascii="Arial" w:hAnsi="Arial" w:cs="Arial"/>
        </w:rPr>
      </w:pPr>
    </w:p>
    <w:p w14:paraId="69A0DA59" w14:textId="77777777" w:rsidR="00D66B66" w:rsidRDefault="00D66B66" w:rsidP="00D66B66">
      <w:pPr>
        <w:tabs>
          <w:tab w:val="left" w:pos="5954"/>
        </w:tabs>
        <w:rPr>
          <w:rFonts w:ascii="Arial" w:hAnsi="Arial" w:cs="Arial"/>
        </w:rPr>
      </w:pPr>
    </w:p>
    <w:p w14:paraId="5AE58563" w14:textId="77777777" w:rsidR="00D66B66" w:rsidRDefault="00D66B66" w:rsidP="00D66B66">
      <w:pPr>
        <w:tabs>
          <w:tab w:val="left" w:pos="5954"/>
        </w:tabs>
        <w:rPr>
          <w:rFonts w:ascii="Arial" w:hAnsi="Arial" w:cs="Arial"/>
        </w:rPr>
      </w:pPr>
    </w:p>
    <w:p w14:paraId="323B06E0" w14:textId="77777777" w:rsidR="00D66B66" w:rsidRDefault="00D66B66" w:rsidP="00D66B66">
      <w:pPr>
        <w:tabs>
          <w:tab w:val="left" w:pos="4970"/>
        </w:tabs>
        <w:rPr>
          <w:rFonts w:ascii="Arial" w:hAnsi="Arial" w:cs="Arial"/>
        </w:rPr>
      </w:pPr>
      <w:r>
        <w:rPr>
          <w:rFonts w:ascii="Arial" w:hAnsi="Arial" w:cs="Arial"/>
        </w:rPr>
        <w:tab/>
        <w:t>Tomasch Kubiak</w:t>
      </w:r>
    </w:p>
    <w:p w14:paraId="1D838609" w14:textId="77777777" w:rsidR="00D66B66" w:rsidRDefault="00D66B66" w:rsidP="00D66B66">
      <w:pPr>
        <w:tabs>
          <w:tab w:val="left" w:pos="4970"/>
        </w:tabs>
        <w:rPr>
          <w:rFonts w:ascii="Arial" w:hAnsi="Arial" w:cs="Arial"/>
        </w:rPr>
      </w:pPr>
      <w:r>
        <w:rPr>
          <w:rFonts w:ascii="Arial" w:hAnsi="Arial" w:cs="Arial"/>
        </w:rPr>
        <w:tab/>
        <w:t>Policy Manager Banking Commission</w:t>
      </w:r>
    </w:p>
    <w:p w14:paraId="59B9C5C2" w14:textId="77777777" w:rsidR="00D66B66" w:rsidRDefault="00D66B66" w:rsidP="00D66B66">
      <w:pPr>
        <w:tabs>
          <w:tab w:val="left" w:pos="4970"/>
        </w:tabs>
        <w:rPr>
          <w:rFonts w:ascii="Arial" w:hAnsi="Arial" w:cs="Arial"/>
        </w:rPr>
      </w:pPr>
      <w:r>
        <w:rPr>
          <w:rFonts w:ascii="Arial" w:hAnsi="Arial" w:cs="Arial"/>
        </w:rPr>
        <w:tab/>
        <w:t>International Chamber of Commerce</w:t>
      </w:r>
    </w:p>
    <w:p w14:paraId="46E4900C" w14:textId="77777777" w:rsidR="00D66B66" w:rsidRPr="006E429E" w:rsidRDefault="00D66B66" w:rsidP="00D66B66">
      <w:pPr>
        <w:rPr>
          <w:rFonts w:ascii="Arial" w:hAnsi="Arial" w:cs="Arial"/>
          <w:sz w:val="22"/>
          <w:szCs w:val="22"/>
          <w:lang w:val="en-GB"/>
        </w:rPr>
      </w:pPr>
    </w:p>
    <w:p w14:paraId="06663FD1" w14:textId="77777777" w:rsidR="001E767F" w:rsidRPr="00DF1AD2" w:rsidRDefault="001E767F">
      <w:pPr>
        <w:rPr>
          <w:rFonts w:ascii="Arial" w:hAnsi="Arial" w:cs="Arial"/>
          <w:sz w:val="22"/>
          <w:szCs w:val="22"/>
          <w:lang w:val="en-GB"/>
        </w:rPr>
      </w:pPr>
    </w:p>
    <w:sectPr w:rsidR="001E767F" w:rsidRPr="00DF1AD2" w:rsidSect="00A10CF3">
      <w:headerReference w:type="default" r:id="rId10"/>
      <w:footerReference w:type="default" r:id="rId11"/>
      <w:headerReference w:type="first" r:id="rId12"/>
      <w:footerReference w:type="first" r:id="rId13"/>
      <w:pgSz w:w="11907" w:h="16840" w:code="9"/>
      <w:pgMar w:top="737" w:right="1644" w:bottom="567" w:left="1134" w:header="73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DF03" w14:textId="77777777" w:rsidR="009A17AC" w:rsidRDefault="009A17AC">
      <w:r>
        <w:separator/>
      </w:r>
    </w:p>
  </w:endnote>
  <w:endnote w:type="continuationSeparator" w:id="0">
    <w:p w14:paraId="0723B19C" w14:textId="77777777" w:rsidR="009A17AC" w:rsidRDefault="009A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w:panose1 w:val="020B0604020202020204"/>
    <w:charset w:val="00"/>
    <w:family w:val="auto"/>
    <w:pitch w:val="variable"/>
    <w:sig w:usb0="E0002AFF" w:usb1="C0007841" w:usb2="00000009" w:usb3="00000000" w:csb0="000001FF" w:csb1="00000000"/>
  </w:font>
  <w:font w:name="한컴바탕">
    <w:altName w:val="Batang"/>
    <w:panose1 w:val="020B0604020202020204"/>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llix">
    <w:altName w:val="Calibri"/>
    <w:panose1 w:val="020B0604020202020204"/>
    <w:charset w:val="4D"/>
    <w:family w:val="auto"/>
    <w:notTrueType/>
    <w:pitch w:val="variable"/>
    <w:sig w:usb0="A10000EF" w:usb1="0000207A" w:usb2="00000000" w:usb3="00000000" w:csb0="00000093"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538" w:type="dxa"/>
      <w:tblLayout w:type="fixed"/>
      <w:tblCellMar>
        <w:left w:w="70" w:type="dxa"/>
        <w:right w:w="70" w:type="dxa"/>
      </w:tblCellMar>
      <w:tblLook w:val="0000" w:firstRow="0" w:lastRow="0" w:firstColumn="0" w:lastColumn="0" w:noHBand="0" w:noVBand="0"/>
    </w:tblPr>
    <w:tblGrid>
      <w:gridCol w:w="9269"/>
      <w:gridCol w:w="9269"/>
    </w:tblGrid>
    <w:tr w:rsidR="00E74365" w14:paraId="39A06F12" w14:textId="77777777">
      <w:tc>
        <w:tcPr>
          <w:tcW w:w="9269" w:type="dxa"/>
        </w:tcPr>
        <w:p w14:paraId="1DCC7E44" w14:textId="77777777" w:rsidR="00E74365" w:rsidRDefault="00E74365">
          <w:pPr>
            <w:pStyle w:val="zFooter"/>
            <w:rPr>
              <w:b/>
              <w:lang w:val="en-GB"/>
            </w:rPr>
          </w:pPr>
        </w:p>
      </w:tc>
      <w:tc>
        <w:tcPr>
          <w:tcW w:w="9269" w:type="dxa"/>
        </w:tcPr>
        <w:p w14:paraId="4914AF93" w14:textId="77777777" w:rsidR="00E74365" w:rsidRDefault="00E74365">
          <w:pPr>
            <w:pStyle w:val="zFooter"/>
            <w:rPr>
              <w:b/>
              <w:lang w:val="en-GB"/>
            </w:rPr>
          </w:pPr>
          <w:bookmarkStart w:id="1" w:name="CoName2" w:colFirst="0" w:colLast="0"/>
        </w:p>
      </w:tc>
    </w:tr>
    <w:tr w:rsidR="00E74365" w14:paraId="24A852D2" w14:textId="77777777">
      <w:tc>
        <w:tcPr>
          <w:tcW w:w="9269" w:type="dxa"/>
        </w:tcPr>
        <w:p w14:paraId="5AD1E91E" w14:textId="77777777" w:rsidR="00E74365" w:rsidRDefault="00E74365">
          <w:pPr>
            <w:pStyle w:val="zFooter"/>
            <w:rPr>
              <w:lang w:val="en-GB"/>
            </w:rPr>
          </w:pPr>
        </w:p>
      </w:tc>
      <w:tc>
        <w:tcPr>
          <w:tcW w:w="9269" w:type="dxa"/>
        </w:tcPr>
        <w:p w14:paraId="41E90D19" w14:textId="77777777" w:rsidR="00E74365" w:rsidRDefault="00E74365">
          <w:pPr>
            <w:pStyle w:val="zFooter"/>
            <w:rPr>
              <w:lang w:val="en-GB"/>
            </w:rPr>
          </w:pPr>
          <w:bookmarkStart w:id="2" w:name="zBusinessArea2" w:colFirst="0" w:colLast="0"/>
          <w:bookmarkEnd w:id="1"/>
        </w:p>
      </w:tc>
    </w:tr>
    <w:tr w:rsidR="00E74365" w14:paraId="4A8EF7A4" w14:textId="77777777">
      <w:tc>
        <w:tcPr>
          <w:tcW w:w="9269" w:type="dxa"/>
        </w:tcPr>
        <w:p w14:paraId="687E1ADA" w14:textId="77777777" w:rsidR="00E74365" w:rsidRDefault="00E74365">
          <w:pPr>
            <w:pStyle w:val="zFooter"/>
          </w:pPr>
        </w:p>
      </w:tc>
      <w:tc>
        <w:tcPr>
          <w:tcW w:w="9269" w:type="dxa"/>
        </w:tcPr>
        <w:p w14:paraId="48D911DC" w14:textId="77777777" w:rsidR="00E74365" w:rsidRDefault="00E74365">
          <w:pPr>
            <w:pStyle w:val="zFooter"/>
          </w:pPr>
          <w:bookmarkStart w:id="3" w:name="zAddressline2" w:colFirst="0" w:colLast="0"/>
          <w:bookmarkEnd w:id="2"/>
        </w:p>
      </w:tc>
    </w:tr>
    <w:tr w:rsidR="00E74365" w14:paraId="6767CA25" w14:textId="77777777">
      <w:tc>
        <w:tcPr>
          <w:tcW w:w="9269" w:type="dxa"/>
        </w:tcPr>
        <w:p w14:paraId="69BF3CCC" w14:textId="77777777" w:rsidR="00E74365" w:rsidRDefault="00E74365">
          <w:pPr>
            <w:pStyle w:val="zFooter"/>
          </w:pPr>
        </w:p>
      </w:tc>
      <w:tc>
        <w:tcPr>
          <w:tcW w:w="9269" w:type="dxa"/>
        </w:tcPr>
        <w:p w14:paraId="688C3F5D" w14:textId="77777777" w:rsidR="00E74365" w:rsidRDefault="00E74365">
          <w:pPr>
            <w:pStyle w:val="zFooter"/>
          </w:pPr>
          <w:bookmarkStart w:id="4" w:name="CoHomepage2" w:colFirst="0" w:colLast="0"/>
          <w:bookmarkEnd w:id="3"/>
        </w:p>
      </w:tc>
    </w:tr>
    <w:tr w:rsidR="00E74365" w14:paraId="35640A9E" w14:textId="77777777">
      <w:tc>
        <w:tcPr>
          <w:tcW w:w="9269" w:type="dxa"/>
        </w:tcPr>
        <w:p w14:paraId="13C2D4D8" w14:textId="77777777" w:rsidR="00E74365" w:rsidRDefault="00E74365">
          <w:pPr>
            <w:pStyle w:val="zFooter"/>
          </w:pPr>
        </w:p>
      </w:tc>
      <w:bookmarkEnd w:id="4"/>
      <w:tc>
        <w:tcPr>
          <w:tcW w:w="9269" w:type="dxa"/>
        </w:tcPr>
        <w:p w14:paraId="346C2F6C" w14:textId="77777777" w:rsidR="00E74365" w:rsidRDefault="00E74365">
          <w:pPr>
            <w:pStyle w:val="zFooter"/>
          </w:pPr>
        </w:p>
      </w:tc>
    </w:tr>
    <w:tr w:rsidR="00E74365" w14:paraId="1E44A0BB" w14:textId="77777777">
      <w:tc>
        <w:tcPr>
          <w:tcW w:w="9269" w:type="dxa"/>
        </w:tcPr>
        <w:p w14:paraId="59F814B5" w14:textId="77777777" w:rsidR="00E74365" w:rsidRDefault="00E74365">
          <w:pPr>
            <w:pStyle w:val="zReg"/>
          </w:pPr>
        </w:p>
      </w:tc>
      <w:tc>
        <w:tcPr>
          <w:tcW w:w="9269" w:type="dxa"/>
        </w:tcPr>
        <w:p w14:paraId="1D3F3E45" w14:textId="77777777" w:rsidR="00E74365" w:rsidRDefault="00E74365">
          <w:pPr>
            <w:pStyle w:val="zReg"/>
          </w:pPr>
          <w:bookmarkStart w:id="5" w:name="CoRegClause2" w:colFirst="0" w:colLast="0"/>
          <w:bookmarkStart w:id="6" w:name="CoLogo102" w:colFirst="1" w:colLast="1"/>
        </w:p>
      </w:tc>
    </w:tr>
    <w:bookmarkEnd w:id="5"/>
    <w:bookmarkEnd w:id="6"/>
  </w:tbl>
  <w:p w14:paraId="49D6DA3C" w14:textId="77777777" w:rsidR="00E74365" w:rsidRDefault="00E743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69"/>
    </w:tblGrid>
    <w:tr w:rsidR="00E74365" w14:paraId="1466D1FD" w14:textId="77777777">
      <w:tc>
        <w:tcPr>
          <w:tcW w:w="9269" w:type="dxa"/>
        </w:tcPr>
        <w:p w14:paraId="5052D29E" w14:textId="77777777" w:rsidR="00E74365" w:rsidRDefault="00E74365">
          <w:pPr>
            <w:pStyle w:val="zFooter"/>
            <w:rPr>
              <w:b/>
            </w:rPr>
          </w:pPr>
          <w:bookmarkStart w:id="7" w:name="CoName" w:colFirst="0" w:colLast="0"/>
        </w:p>
      </w:tc>
    </w:tr>
    <w:tr w:rsidR="00E74365" w14:paraId="5F4C01AC" w14:textId="77777777">
      <w:tc>
        <w:tcPr>
          <w:tcW w:w="9269" w:type="dxa"/>
        </w:tcPr>
        <w:p w14:paraId="4792A18A" w14:textId="77777777" w:rsidR="00E74365" w:rsidRDefault="00E74365">
          <w:pPr>
            <w:pStyle w:val="zFooter"/>
          </w:pPr>
          <w:bookmarkStart w:id="8" w:name="zBusinessArea" w:colFirst="0" w:colLast="0"/>
          <w:bookmarkEnd w:id="7"/>
        </w:p>
      </w:tc>
    </w:tr>
    <w:tr w:rsidR="00E74365" w14:paraId="66DD1630" w14:textId="77777777">
      <w:tc>
        <w:tcPr>
          <w:tcW w:w="9269" w:type="dxa"/>
        </w:tcPr>
        <w:p w14:paraId="01E91BD3" w14:textId="77777777" w:rsidR="00E74365" w:rsidRDefault="00E74365">
          <w:pPr>
            <w:pStyle w:val="zFooter"/>
          </w:pPr>
          <w:bookmarkStart w:id="9" w:name="zAddressline" w:colFirst="0" w:colLast="0"/>
          <w:bookmarkEnd w:id="8"/>
        </w:p>
      </w:tc>
    </w:tr>
    <w:tr w:rsidR="00E74365" w14:paraId="535F9FC0" w14:textId="77777777">
      <w:tc>
        <w:tcPr>
          <w:tcW w:w="9269" w:type="dxa"/>
        </w:tcPr>
        <w:p w14:paraId="4AA9138B" w14:textId="77777777" w:rsidR="00E74365" w:rsidRDefault="00E74365">
          <w:pPr>
            <w:pStyle w:val="zFooter"/>
          </w:pPr>
          <w:bookmarkStart w:id="10" w:name="CoHomepage" w:colFirst="0" w:colLast="0"/>
          <w:bookmarkEnd w:id="9"/>
        </w:p>
      </w:tc>
    </w:tr>
    <w:bookmarkEnd w:id="10"/>
    <w:tr w:rsidR="00E74365" w14:paraId="5686CA33" w14:textId="77777777">
      <w:tc>
        <w:tcPr>
          <w:tcW w:w="9269" w:type="dxa"/>
        </w:tcPr>
        <w:p w14:paraId="168063F1" w14:textId="77777777" w:rsidR="00E74365" w:rsidRDefault="00E74365">
          <w:pPr>
            <w:pStyle w:val="zFooter"/>
          </w:pPr>
        </w:p>
      </w:tc>
    </w:tr>
    <w:tr w:rsidR="00E74365" w14:paraId="2587C433" w14:textId="77777777">
      <w:tc>
        <w:tcPr>
          <w:tcW w:w="9269" w:type="dxa"/>
        </w:tcPr>
        <w:p w14:paraId="0C07E278" w14:textId="77777777" w:rsidR="00E74365" w:rsidRDefault="00E74365">
          <w:pPr>
            <w:pStyle w:val="zReg"/>
          </w:pPr>
          <w:bookmarkStart w:id="11" w:name="CoRegClause" w:colFirst="0" w:colLast="0"/>
          <w:bookmarkStart w:id="12" w:name="CoLogo101" w:colFirst="1" w:colLast="1"/>
        </w:p>
      </w:tc>
    </w:tr>
    <w:bookmarkEnd w:id="11"/>
    <w:bookmarkEnd w:id="12"/>
  </w:tbl>
  <w:p w14:paraId="647EB19D" w14:textId="77777777" w:rsidR="00E74365" w:rsidRDefault="00E743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4DA4" w14:textId="77777777" w:rsidR="009A17AC" w:rsidRDefault="009A17AC">
      <w:r>
        <w:separator/>
      </w:r>
    </w:p>
  </w:footnote>
  <w:footnote w:type="continuationSeparator" w:id="0">
    <w:p w14:paraId="59C7B5BC" w14:textId="77777777" w:rsidR="009A17AC" w:rsidRDefault="009A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BA3" w14:textId="77777777" w:rsidR="00E74365" w:rsidRDefault="00E74365">
    <w:pPr>
      <w:spacing w:line="40"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C03" w14:textId="651A1AD0" w:rsidR="00E74365" w:rsidRDefault="00421BC8" w:rsidP="00DF1AD2">
    <w:pPr>
      <w:pStyle w:val="Sidhuvud"/>
    </w:pPr>
    <w:r>
      <w:rPr>
        <w:noProof/>
      </w:rPr>
      <w:drawing>
        <wp:anchor distT="0" distB="0" distL="114300" distR="114300" simplePos="0" relativeHeight="251661312" behindDoc="0" locked="0" layoutInCell="1" allowOverlap="1" wp14:anchorId="23A09947" wp14:editId="53E47F0B">
          <wp:simplePos x="0" y="0"/>
          <wp:positionH relativeFrom="column">
            <wp:posOffset>4905375</wp:posOffset>
          </wp:positionH>
          <wp:positionV relativeFrom="paragraph">
            <wp:posOffset>-92075</wp:posOffset>
          </wp:positionV>
          <wp:extent cx="1274445" cy="792480"/>
          <wp:effectExtent l="0" t="0" r="190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92480"/>
                  </a:xfrm>
                  <a:prstGeom prst="rect">
                    <a:avLst/>
                  </a:prstGeom>
                  <a:noFill/>
                </pic:spPr>
              </pic:pic>
            </a:graphicData>
          </a:graphic>
        </wp:anchor>
      </w:drawing>
    </w:r>
  </w:p>
  <w:p w14:paraId="7CF1EDAD" w14:textId="1471997D" w:rsidR="00DF1AD2" w:rsidRDefault="00355AB1" w:rsidP="00DF1AD2">
    <w:pPr>
      <w:pStyle w:val="Sidhuvud"/>
    </w:pPr>
    <w:r>
      <w:rPr>
        <w:noProof/>
      </w:rPr>
      <mc:AlternateContent>
        <mc:Choice Requires="wps">
          <w:drawing>
            <wp:anchor distT="0" distB="0" distL="114300" distR="114300" simplePos="0" relativeHeight="251659264" behindDoc="0" locked="0" layoutInCell="1" allowOverlap="1" wp14:anchorId="64513040" wp14:editId="1A932E9D">
              <wp:simplePos x="0" y="0"/>
              <wp:positionH relativeFrom="column">
                <wp:posOffset>99060</wp:posOffset>
              </wp:positionH>
              <wp:positionV relativeFrom="paragraph">
                <wp:posOffset>-155575</wp:posOffset>
              </wp:positionV>
              <wp:extent cx="2835798" cy="752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35798" cy="752475"/>
                      </a:xfrm>
                      <a:prstGeom prst="rect">
                        <a:avLst/>
                      </a:prstGeom>
                      <a:noFill/>
                      <a:ln w="6350">
                        <a:noFill/>
                      </a:ln>
                    </wps:spPr>
                    <wps:txbx>
                      <w:txbxContent>
                        <w:p w14:paraId="25BC1649" w14:textId="77777777" w:rsidR="00355AB1" w:rsidRPr="00194509" w:rsidRDefault="00355AB1" w:rsidP="00355AB1">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3BAFAECF" w14:textId="77777777" w:rsidR="00355AB1" w:rsidRPr="00B42B36" w:rsidRDefault="00355AB1" w:rsidP="00355AB1">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513040" id="_x0000_t202" coordsize="21600,21600" o:spt="202" path="m,l,21600r21600,l21600,xe">
              <v:stroke joinstyle="miter"/>
              <v:path gradientshapeok="t" o:connecttype="rect"/>
            </v:shapetype>
            <v:shape id="Zone de texte 3" o:spid="_x0000_s1026" type="#_x0000_t202" style="position:absolute;margin-left:7.8pt;margin-top:-12.25pt;width:223.3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Jw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" filled="f" stroked="f" strokeweight=".5pt">
              <v:textbox>
                <w:txbxContent>
                  <w:p w14:paraId="25BC1649" w14:textId="77777777" w:rsidR="00355AB1" w:rsidRPr="00194509" w:rsidRDefault="00355AB1" w:rsidP="00355AB1">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3BAFAECF" w14:textId="77777777" w:rsidR="00355AB1" w:rsidRPr="00B42B36" w:rsidRDefault="00355AB1" w:rsidP="00355AB1">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v:textbox>
            </v:shape>
          </w:pict>
        </mc:Fallback>
      </mc:AlternateContent>
    </w:r>
  </w:p>
  <w:p w14:paraId="44FFD87E" w14:textId="7F925785" w:rsidR="00DF1AD2" w:rsidRDefault="00DF1AD2" w:rsidP="00DF1AD2">
    <w:pPr>
      <w:pStyle w:val="Sidhuvud"/>
    </w:pPr>
  </w:p>
  <w:p w14:paraId="6158D021" w14:textId="77777777" w:rsidR="00DF1AD2" w:rsidRPr="00DF1AD2" w:rsidRDefault="00DF1AD2" w:rsidP="00DF1A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78C051"/>
    <w:multiLevelType w:val="singleLevel"/>
    <w:tmpl w:val="C878C051"/>
    <w:lvl w:ilvl="0">
      <w:start w:val="1"/>
      <w:numFmt w:val="decimal"/>
      <w:suff w:val="space"/>
      <w:lvlText w:val="%1."/>
      <w:lvlJc w:val="left"/>
    </w:lvl>
  </w:abstractNum>
  <w:abstractNum w:abstractNumId="1" w15:restartNumberingAfterBreak="0">
    <w:nsid w:val="FFFFFF83"/>
    <w:multiLevelType w:val="singleLevel"/>
    <w:tmpl w:val="1BEA52B2"/>
    <w:lvl w:ilvl="0">
      <w:start w:val="1"/>
      <w:numFmt w:val="bullet"/>
      <w:pStyle w:val="Punktlista2"/>
      <w:lvlText w:val="·"/>
      <w:lvlJc w:val="left"/>
      <w:pPr>
        <w:tabs>
          <w:tab w:val="num" w:pos="927"/>
        </w:tabs>
        <w:ind w:left="927" w:hanging="360"/>
      </w:pPr>
      <w:rPr>
        <w:rFonts w:ascii="Symbol" w:hAnsi="Symbol" w:cs="Times New Roman" w:hint="default"/>
        <w:b w:val="0"/>
        <w:i w:val="0"/>
        <w:color w:val="auto"/>
        <w:sz w:val="22"/>
      </w:rPr>
    </w:lvl>
  </w:abstractNum>
  <w:abstractNum w:abstractNumId="2" w15:restartNumberingAfterBreak="0">
    <w:nsid w:val="FFFFFF88"/>
    <w:multiLevelType w:val="singleLevel"/>
    <w:tmpl w:val="528C1B78"/>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AFA61FB4"/>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6395ED4"/>
    <w:multiLevelType w:val="multilevel"/>
    <w:tmpl w:val="6F5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97367"/>
    <w:multiLevelType w:val="multilevel"/>
    <w:tmpl w:val="EC6A2D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B7F358A"/>
    <w:multiLevelType w:val="hybridMultilevel"/>
    <w:tmpl w:val="70F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E20BC"/>
    <w:multiLevelType w:val="hybridMultilevel"/>
    <w:tmpl w:val="8D0EC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3105C"/>
    <w:multiLevelType w:val="hybridMultilevel"/>
    <w:tmpl w:val="EAFEA51C"/>
    <w:lvl w:ilvl="0" w:tplc="7D443A1E">
      <w:start w:val="100"/>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41A079E"/>
    <w:multiLevelType w:val="hybridMultilevel"/>
    <w:tmpl w:val="4CF6E2FC"/>
    <w:lvl w:ilvl="0" w:tplc="A0A6A1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5B52A73"/>
    <w:multiLevelType w:val="hybridMultilevel"/>
    <w:tmpl w:val="73B42A90"/>
    <w:lvl w:ilvl="0" w:tplc="34C6FAF0">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1" w15:restartNumberingAfterBreak="0">
    <w:nsid w:val="3D484245"/>
    <w:multiLevelType w:val="hybridMultilevel"/>
    <w:tmpl w:val="1C4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92615"/>
    <w:multiLevelType w:val="hybridMultilevel"/>
    <w:tmpl w:val="A4722CE8"/>
    <w:lvl w:ilvl="0" w:tplc="AFF61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B2FEF"/>
    <w:multiLevelType w:val="hybridMultilevel"/>
    <w:tmpl w:val="268E6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B6C54"/>
    <w:multiLevelType w:val="hybridMultilevel"/>
    <w:tmpl w:val="8418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E13C0"/>
    <w:multiLevelType w:val="hybridMultilevel"/>
    <w:tmpl w:val="A358181E"/>
    <w:lvl w:ilvl="0" w:tplc="BA12BA26">
      <w:start w:val="1"/>
      <w:numFmt w:val="bullet"/>
      <w:lvlText w:val="•"/>
      <w:lvlJc w:val="left"/>
      <w:pPr>
        <w:tabs>
          <w:tab w:val="num" w:pos="720"/>
        </w:tabs>
        <w:ind w:left="720" w:hanging="360"/>
      </w:pPr>
      <w:rPr>
        <w:rFonts w:ascii="Arial" w:hAnsi="Arial" w:hint="default"/>
      </w:rPr>
    </w:lvl>
    <w:lvl w:ilvl="1" w:tplc="B2B41A42">
      <w:start w:val="1"/>
      <w:numFmt w:val="bullet"/>
      <w:lvlText w:val="•"/>
      <w:lvlJc w:val="left"/>
      <w:pPr>
        <w:tabs>
          <w:tab w:val="num" w:pos="1440"/>
        </w:tabs>
        <w:ind w:left="1440" w:hanging="360"/>
      </w:pPr>
      <w:rPr>
        <w:rFonts w:ascii="Arial" w:hAnsi="Arial" w:hint="default"/>
      </w:rPr>
    </w:lvl>
    <w:lvl w:ilvl="2" w:tplc="AC4A29CC" w:tentative="1">
      <w:start w:val="1"/>
      <w:numFmt w:val="bullet"/>
      <w:lvlText w:val="•"/>
      <w:lvlJc w:val="left"/>
      <w:pPr>
        <w:tabs>
          <w:tab w:val="num" w:pos="2160"/>
        </w:tabs>
        <w:ind w:left="2160" w:hanging="360"/>
      </w:pPr>
      <w:rPr>
        <w:rFonts w:ascii="Arial" w:hAnsi="Arial" w:hint="default"/>
      </w:rPr>
    </w:lvl>
    <w:lvl w:ilvl="3" w:tplc="05EA4E74" w:tentative="1">
      <w:start w:val="1"/>
      <w:numFmt w:val="bullet"/>
      <w:lvlText w:val="•"/>
      <w:lvlJc w:val="left"/>
      <w:pPr>
        <w:tabs>
          <w:tab w:val="num" w:pos="2880"/>
        </w:tabs>
        <w:ind w:left="2880" w:hanging="360"/>
      </w:pPr>
      <w:rPr>
        <w:rFonts w:ascii="Arial" w:hAnsi="Arial" w:hint="default"/>
      </w:rPr>
    </w:lvl>
    <w:lvl w:ilvl="4" w:tplc="497EE2D0" w:tentative="1">
      <w:start w:val="1"/>
      <w:numFmt w:val="bullet"/>
      <w:lvlText w:val="•"/>
      <w:lvlJc w:val="left"/>
      <w:pPr>
        <w:tabs>
          <w:tab w:val="num" w:pos="3600"/>
        </w:tabs>
        <w:ind w:left="3600" w:hanging="360"/>
      </w:pPr>
      <w:rPr>
        <w:rFonts w:ascii="Arial" w:hAnsi="Arial" w:hint="default"/>
      </w:rPr>
    </w:lvl>
    <w:lvl w:ilvl="5" w:tplc="C8B0B2A6" w:tentative="1">
      <w:start w:val="1"/>
      <w:numFmt w:val="bullet"/>
      <w:lvlText w:val="•"/>
      <w:lvlJc w:val="left"/>
      <w:pPr>
        <w:tabs>
          <w:tab w:val="num" w:pos="4320"/>
        </w:tabs>
        <w:ind w:left="4320" w:hanging="360"/>
      </w:pPr>
      <w:rPr>
        <w:rFonts w:ascii="Arial" w:hAnsi="Arial" w:hint="default"/>
      </w:rPr>
    </w:lvl>
    <w:lvl w:ilvl="6" w:tplc="FBFEED86" w:tentative="1">
      <w:start w:val="1"/>
      <w:numFmt w:val="bullet"/>
      <w:lvlText w:val="•"/>
      <w:lvlJc w:val="left"/>
      <w:pPr>
        <w:tabs>
          <w:tab w:val="num" w:pos="5040"/>
        </w:tabs>
        <w:ind w:left="5040" w:hanging="360"/>
      </w:pPr>
      <w:rPr>
        <w:rFonts w:ascii="Arial" w:hAnsi="Arial" w:hint="default"/>
      </w:rPr>
    </w:lvl>
    <w:lvl w:ilvl="7" w:tplc="F3220CDA" w:tentative="1">
      <w:start w:val="1"/>
      <w:numFmt w:val="bullet"/>
      <w:lvlText w:val="•"/>
      <w:lvlJc w:val="left"/>
      <w:pPr>
        <w:tabs>
          <w:tab w:val="num" w:pos="5760"/>
        </w:tabs>
        <w:ind w:left="5760" w:hanging="360"/>
      </w:pPr>
      <w:rPr>
        <w:rFonts w:ascii="Arial" w:hAnsi="Arial" w:hint="default"/>
      </w:rPr>
    </w:lvl>
    <w:lvl w:ilvl="8" w:tplc="5B2634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1F1654"/>
    <w:multiLevelType w:val="hybridMultilevel"/>
    <w:tmpl w:val="223A4EB8"/>
    <w:lvl w:ilvl="0" w:tplc="B1628BD6">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7" w15:restartNumberingAfterBreak="0">
    <w:nsid w:val="5CD63CEB"/>
    <w:multiLevelType w:val="hybridMultilevel"/>
    <w:tmpl w:val="64C8B934"/>
    <w:lvl w:ilvl="0" w:tplc="6D9C61AA">
      <w:start w:val="1"/>
      <w:numFmt w:val="bullet"/>
      <w:lvlText w:val="•"/>
      <w:lvlJc w:val="left"/>
      <w:pPr>
        <w:tabs>
          <w:tab w:val="num" w:pos="720"/>
        </w:tabs>
        <w:ind w:left="720" w:hanging="360"/>
      </w:pPr>
      <w:rPr>
        <w:rFonts w:ascii="Arial" w:hAnsi="Arial" w:hint="default"/>
      </w:rPr>
    </w:lvl>
    <w:lvl w:ilvl="1" w:tplc="1396E708" w:tentative="1">
      <w:start w:val="1"/>
      <w:numFmt w:val="bullet"/>
      <w:lvlText w:val="•"/>
      <w:lvlJc w:val="left"/>
      <w:pPr>
        <w:tabs>
          <w:tab w:val="num" w:pos="1440"/>
        </w:tabs>
        <w:ind w:left="1440" w:hanging="360"/>
      </w:pPr>
      <w:rPr>
        <w:rFonts w:ascii="Arial" w:hAnsi="Arial" w:hint="default"/>
      </w:rPr>
    </w:lvl>
    <w:lvl w:ilvl="2" w:tplc="AF746F28">
      <w:start w:val="1"/>
      <w:numFmt w:val="bullet"/>
      <w:lvlText w:val="•"/>
      <w:lvlJc w:val="left"/>
      <w:pPr>
        <w:tabs>
          <w:tab w:val="num" w:pos="2160"/>
        </w:tabs>
        <w:ind w:left="2160" w:hanging="360"/>
      </w:pPr>
      <w:rPr>
        <w:rFonts w:ascii="Arial" w:hAnsi="Arial" w:hint="default"/>
      </w:rPr>
    </w:lvl>
    <w:lvl w:ilvl="3" w:tplc="E286D726" w:tentative="1">
      <w:start w:val="1"/>
      <w:numFmt w:val="bullet"/>
      <w:lvlText w:val="•"/>
      <w:lvlJc w:val="left"/>
      <w:pPr>
        <w:tabs>
          <w:tab w:val="num" w:pos="2880"/>
        </w:tabs>
        <w:ind w:left="2880" w:hanging="360"/>
      </w:pPr>
      <w:rPr>
        <w:rFonts w:ascii="Arial" w:hAnsi="Arial" w:hint="default"/>
      </w:rPr>
    </w:lvl>
    <w:lvl w:ilvl="4" w:tplc="7108C5D0" w:tentative="1">
      <w:start w:val="1"/>
      <w:numFmt w:val="bullet"/>
      <w:lvlText w:val="•"/>
      <w:lvlJc w:val="left"/>
      <w:pPr>
        <w:tabs>
          <w:tab w:val="num" w:pos="3600"/>
        </w:tabs>
        <w:ind w:left="3600" w:hanging="360"/>
      </w:pPr>
      <w:rPr>
        <w:rFonts w:ascii="Arial" w:hAnsi="Arial" w:hint="default"/>
      </w:rPr>
    </w:lvl>
    <w:lvl w:ilvl="5" w:tplc="60F88094" w:tentative="1">
      <w:start w:val="1"/>
      <w:numFmt w:val="bullet"/>
      <w:lvlText w:val="•"/>
      <w:lvlJc w:val="left"/>
      <w:pPr>
        <w:tabs>
          <w:tab w:val="num" w:pos="4320"/>
        </w:tabs>
        <w:ind w:left="4320" w:hanging="360"/>
      </w:pPr>
      <w:rPr>
        <w:rFonts w:ascii="Arial" w:hAnsi="Arial" w:hint="default"/>
      </w:rPr>
    </w:lvl>
    <w:lvl w:ilvl="6" w:tplc="40D0F5A0" w:tentative="1">
      <w:start w:val="1"/>
      <w:numFmt w:val="bullet"/>
      <w:lvlText w:val="•"/>
      <w:lvlJc w:val="left"/>
      <w:pPr>
        <w:tabs>
          <w:tab w:val="num" w:pos="5040"/>
        </w:tabs>
        <w:ind w:left="5040" w:hanging="360"/>
      </w:pPr>
      <w:rPr>
        <w:rFonts w:ascii="Arial" w:hAnsi="Arial" w:hint="default"/>
      </w:rPr>
    </w:lvl>
    <w:lvl w:ilvl="7" w:tplc="B2505E9A" w:tentative="1">
      <w:start w:val="1"/>
      <w:numFmt w:val="bullet"/>
      <w:lvlText w:val="•"/>
      <w:lvlJc w:val="left"/>
      <w:pPr>
        <w:tabs>
          <w:tab w:val="num" w:pos="5760"/>
        </w:tabs>
        <w:ind w:left="5760" w:hanging="360"/>
      </w:pPr>
      <w:rPr>
        <w:rFonts w:ascii="Arial" w:hAnsi="Arial" w:hint="default"/>
      </w:rPr>
    </w:lvl>
    <w:lvl w:ilvl="8" w:tplc="B956CE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787E5B"/>
    <w:multiLevelType w:val="hybridMultilevel"/>
    <w:tmpl w:val="2F66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809F3"/>
    <w:multiLevelType w:val="hybridMultilevel"/>
    <w:tmpl w:val="A73E9CBE"/>
    <w:lvl w:ilvl="0" w:tplc="ABB26A6A">
      <w:start w:val="1"/>
      <w:numFmt w:val="bullet"/>
      <w:lvlText w:val="•"/>
      <w:lvlJc w:val="left"/>
      <w:pPr>
        <w:tabs>
          <w:tab w:val="num" w:pos="720"/>
        </w:tabs>
        <w:ind w:left="720" w:hanging="360"/>
      </w:pPr>
      <w:rPr>
        <w:rFonts w:ascii="Arial" w:hAnsi="Arial" w:hint="default"/>
      </w:rPr>
    </w:lvl>
    <w:lvl w:ilvl="1" w:tplc="E306F534">
      <w:start w:val="1"/>
      <w:numFmt w:val="bullet"/>
      <w:lvlText w:val="•"/>
      <w:lvlJc w:val="left"/>
      <w:pPr>
        <w:tabs>
          <w:tab w:val="num" w:pos="1440"/>
        </w:tabs>
        <w:ind w:left="1440" w:hanging="360"/>
      </w:pPr>
      <w:rPr>
        <w:rFonts w:ascii="Arial" w:hAnsi="Arial" w:hint="default"/>
      </w:rPr>
    </w:lvl>
    <w:lvl w:ilvl="2" w:tplc="8AE268B6" w:tentative="1">
      <w:start w:val="1"/>
      <w:numFmt w:val="bullet"/>
      <w:lvlText w:val="•"/>
      <w:lvlJc w:val="left"/>
      <w:pPr>
        <w:tabs>
          <w:tab w:val="num" w:pos="2160"/>
        </w:tabs>
        <w:ind w:left="2160" w:hanging="360"/>
      </w:pPr>
      <w:rPr>
        <w:rFonts w:ascii="Arial" w:hAnsi="Arial" w:hint="default"/>
      </w:rPr>
    </w:lvl>
    <w:lvl w:ilvl="3" w:tplc="846CC192" w:tentative="1">
      <w:start w:val="1"/>
      <w:numFmt w:val="bullet"/>
      <w:lvlText w:val="•"/>
      <w:lvlJc w:val="left"/>
      <w:pPr>
        <w:tabs>
          <w:tab w:val="num" w:pos="2880"/>
        </w:tabs>
        <w:ind w:left="2880" w:hanging="360"/>
      </w:pPr>
      <w:rPr>
        <w:rFonts w:ascii="Arial" w:hAnsi="Arial" w:hint="default"/>
      </w:rPr>
    </w:lvl>
    <w:lvl w:ilvl="4" w:tplc="A092A5EC" w:tentative="1">
      <w:start w:val="1"/>
      <w:numFmt w:val="bullet"/>
      <w:lvlText w:val="•"/>
      <w:lvlJc w:val="left"/>
      <w:pPr>
        <w:tabs>
          <w:tab w:val="num" w:pos="3600"/>
        </w:tabs>
        <w:ind w:left="3600" w:hanging="360"/>
      </w:pPr>
      <w:rPr>
        <w:rFonts w:ascii="Arial" w:hAnsi="Arial" w:hint="default"/>
      </w:rPr>
    </w:lvl>
    <w:lvl w:ilvl="5" w:tplc="DD92C044" w:tentative="1">
      <w:start w:val="1"/>
      <w:numFmt w:val="bullet"/>
      <w:lvlText w:val="•"/>
      <w:lvlJc w:val="left"/>
      <w:pPr>
        <w:tabs>
          <w:tab w:val="num" w:pos="4320"/>
        </w:tabs>
        <w:ind w:left="4320" w:hanging="360"/>
      </w:pPr>
      <w:rPr>
        <w:rFonts w:ascii="Arial" w:hAnsi="Arial" w:hint="default"/>
      </w:rPr>
    </w:lvl>
    <w:lvl w:ilvl="6" w:tplc="979E2C20" w:tentative="1">
      <w:start w:val="1"/>
      <w:numFmt w:val="bullet"/>
      <w:lvlText w:val="•"/>
      <w:lvlJc w:val="left"/>
      <w:pPr>
        <w:tabs>
          <w:tab w:val="num" w:pos="5040"/>
        </w:tabs>
        <w:ind w:left="5040" w:hanging="360"/>
      </w:pPr>
      <w:rPr>
        <w:rFonts w:ascii="Arial" w:hAnsi="Arial" w:hint="default"/>
      </w:rPr>
    </w:lvl>
    <w:lvl w:ilvl="7" w:tplc="12C8C044" w:tentative="1">
      <w:start w:val="1"/>
      <w:numFmt w:val="bullet"/>
      <w:lvlText w:val="•"/>
      <w:lvlJc w:val="left"/>
      <w:pPr>
        <w:tabs>
          <w:tab w:val="num" w:pos="5760"/>
        </w:tabs>
        <w:ind w:left="5760" w:hanging="360"/>
      </w:pPr>
      <w:rPr>
        <w:rFonts w:ascii="Arial" w:hAnsi="Arial" w:hint="default"/>
      </w:rPr>
    </w:lvl>
    <w:lvl w:ilvl="8" w:tplc="7DFEF0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B51BBF"/>
    <w:multiLevelType w:val="hybridMultilevel"/>
    <w:tmpl w:val="636A4248"/>
    <w:lvl w:ilvl="0" w:tplc="38907B10">
      <w:start w:val="1"/>
      <w:numFmt w:val="bullet"/>
      <w:lvlText w:val="•"/>
      <w:lvlJc w:val="left"/>
      <w:pPr>
        <w:tabs>
          <w:tab w:val="num" w:pos="720"/>
        </w:tabs>
        <w:ind w:left="720" w:hanging="360"/>
      </w:pPr>
      <w:rPr>
        <w:rFonts w:ascii="Arial" w:hAnsi="Arial" w:hint="default"/>
      </w:rPr>
    </w:lvl>
    <w:lvl w:ilvl="1" w:tplc="A582FED8">
      <w:start w:val="1"/>
      <w:numFmt w:val="bullet"/>
      <w:lvlText w:val="•"/>
      <w:lvlJc w:val="left"/>
      <w:pPr>
        <w:tabs>
          <w:tab w:val="num" w:pos="1440"/>
        </w:tabs>
        <w:ind w:left="1440" w:hanging="360"/>
      </w:pPr>
      <w:rPr>
        <w:rFonts w:ascii="Arial" w:hAnsi="Arial" w:hint="default"/>
      </w:rPr>
    </w:lvl>
    <w:lvl w:ilvl="2" w:tplc="286E7D2C" w:tentative="1">
      <w:start w:val="1"/>
      <w:numFmt w:val="bullet"/>
      <w:lvlText w:val="•"/>
      <w:lvlJc w:val="left"/>
      <w:pPr>
        <w:tabs>
          <w:tab w:val="num" w:pos="2160"/>
        </w:tabs>
        <w:ind w:left="2160" w:hanging="360"/>
      </w:pPr>
      <w:rPr>
        <w:rFonts w:ascii="Arial" w:hAnsi="Arial" w:hint="default"/>
      </w:rPr>
    </w:lvl>
    <w:lvl w:ilvl="3" w:tplc="6D76D192" w:tentative="1">
      <w:start w:val="1"/>
      <w:numFmt w:val="bullet"/>
      <w:lvlText w:val="•"/>
      <w:lvlJc w:val="left"/>
      <w:pPr>
        <w:tabs>
          <w:tab w:val="num" w:pos="2880"/>
        </w:tabs>
        <w:ind w:left="2880" w:hanging="360"/>
      </w:pPr>
      <w:rPr>
        <w:rFonts w:ascii="Arial" w:hAnsi="Arial" w:hint="default"/>
      </w:rPr>
    </w:lvl>
    <w:lvl w:ilvl="4" w:tplc="71D2099C" w:tentative="1">
      <w:start w:val="1"/>
      <w:numFmt w:val="bullet"/>
      <w:lvlText w:val="•"/>
      <w:lvlJc w:val="left"/>
      <w:pPr>
        <w:tabs>
          <w:tab w:val="num" w:pos="3600"/>
        </w:tabs>
        <w:ind w:left="3600" w:hanging="360"/>
      </w:pPr>
      <w:rPr>
        <w:rFonts w:ascii="Arial" w:hAnsi="Arial" w:hint="default"/>
      </w:rPr>
    </w:lvl>
    <w:lvl w:ilvl="5" w:tplc="26F4CEC6" w:tentative="1">
      <w:start w:val="1"/>
      <w:numFmt w:val="bullet"/>
      <w:lvlText w:val="•"/>
      <w:lvlJc w:val="left"/>
      <w:pPr>
        <w:tabs>
          <w:tab w:val="num" w:pos="4320"/>
        </w:tabs>
        <w:ind w:left="4320" w:hanging="360"/>
      </w:pPr>
      <w:rPr>
        <w:rFonts w:ascii="Arial" w:hAnsi="Arial" w:hint="default"/>
      </w:rPr>
    </w:lvl>
    <w:lvl w:ilvl="6" w:tplc="12849258" w:tentative="1">
      <w:start w:val="1"/>
      <w:numFmt w:val="bullet"/>
      <w:lvlText w:val="•"/>
      <w:lvlJc w:val="left"/>
      <w:pPr>
        <w:tabs>
          <w:tab w:val="num" w:pos="5040"/>
        </w:tabs>
        <w:ind w:left="5040" w:hanging="360"/>
      </w:pPr>
      <w:rPr>
        <w:rFonts w:ascii="Arial" w:hAnsi="Arial" w:hint="default"/>
      </w:rPr>
    </w:lvl>
    <w:lvl w:ilvl="7" w:tplc="ABCC3E28" w:tentative="1">
      <w:start w:val="1"/>
      <w:numFmt w:val="bullet"/>
      <w:lvlText w:val="•"/>
      <w:lvlJc w:val="left"/>
      <w:pPr>
        <w:tabs>
          <w:tab w:val="num" w:pos="5760"/>
        </w:tabs>
        <w:ind w:left="5760" w:hanging="360"/>
      </w:pPr>
      <w:rPr>
        <w:rFonts w:ascii="Arial" w:hAnsi="Arial" w:hint="default"/>
      </w:rPr>
    </w:lvl>
    <w:lvl w:ilvl="8" w:tplc="0B02CA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862893"/>
    <w:multiLevelType w:val="hybridMultilevel"/>
    <w:tmpl w:val="E3ACE814"/>
    <w:lvl w:ilvl="0" w:tplc="0A2480B4">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F524BC"/>
    <w:multiLevelType w:val="hybridMultilevel"/>
    <w:tmpl w:val="F198FA96"/>
    <w:lvl w:ilvl="0" w:tplc="F092ADAA">
      <w:start w:val="1"/>
      <w:numFmt w:val="bullet"/>
      <w:lvlText w:val="•"/>
      <w:lvlJc w:val="left"/>
      <w:pPr>
        <w:tabs>
          <w:tab w:val="num" w:pos="720"/>
        </w:tabs>
        <w:ind w:left="720" w:hanging="360"/>
      </w:pPr>
      <w:rPr>
        <w:rFonts w:ascii="Arial" w:hAnsi="Arial" w:hint="default"/>
      </w:rPr>
    </w:lvl>
    <w:lvl w:ilvl="1" w:tplc="C026EBA0">
      <w:start w:val="1"/>
      <w:numFmt w:val="bullet"/>
      <w:lvlText w:val="•"/>
      <w:lvlJc w:val="left"/>
      <w:pPr>
        <w:tabs>
          <w:tab w:val="num" w:pos="1440"/>
        </w:tabs>
        <w:ind w:left="1440" w:hanging="360"/>
      </w:pPr>
      <w:rPr>
        <w:rFonts w:ascii="Arial" w:hAnsi="Arial" w:hint="default"/>
      </w:rPr>
    </w:lvl>
    <w:lvl w:ilvl="2" w:tplc="000C0430" w:tentative="1">
      <w:start w:val="1"/>
      <w:numFmt w:val="bullet"/>
      <w:lvlText w:val="•"/>
      <w:lvlJc w:val="left"/>
      <w:pPr>
        <w:tabs>
          <w:tab w:val="num" w:pos="2160"/>
        </w:tabs>
        <w:ind w:left="2160" w:hanging="360"/>
      </w:pPr>
      <w:rPr>
        <w:rFonts w:ascii="Arial" w:hAnsi="Arial" w:hint="default"/>
      </w:rPr>
    </w:lvl>
    <w:lvl w:ilvl="3" w:tplc="000C4368" w:tentative="1">
      <w:start w:val="1"/>
      <w:numFmt w:val="bullet"/>
      <w:lvlText w:val="•"/>
      <w:lvlJc w:val="left"/>
      <w:pPr>
        <w:tabs>
          <w:tab w:val="num" w:pos="2880"/>
        </w:tabs>
        <w:ind w:left="2880" w:hanging="360"/>
      </w:pPr>
      <w:rPr>
        <w:rFonts w:ascii="Arial" w:hAnsi="Arial" w:hint="default"/>
      </w:rPr>
    </w:lvl>
    <w:lvl w:ilvl="4" w:tplc="5CBAE7CC" w:tentative="1">
      <w:start w:val="1"/>
      <w:numFmt w:val="bullet"/>
      <w:lvlText w:val="•"/>
      <w:lvlJc w:val="left"/>
      <w:pPr>
        <w:tabs>
          <w:tab w:val="num" w:pos="3600"/>
        </w:tabs>
        <w:ind w:left="3600" w:hanging="360"/>
      </w:pPr>
      <w:rPr>
        <w:rFonts w:ascii="Arial" w:hAnsi="Arial" w:hint="default"/>
      </w:rPr>
    </w:lvl>
    <w:lvl w:ilvl="5" w:tplc="052A653A" w:tentative="1">
      <w:start w:val="1"/>
      <w:numFmt w:val="bullet"/>
      <w:lvlText w:val="•"/>
      <w:lvlJc w:val="left"/>
      <w:pPr>
        <w:tabs>
          <w:tab w:val="num" w:pos="4320"/>
        </w:tabs>
        <w:ind w:left="4320" w:hanging="360"/>
      </w:pPr>
      <w:rPr>
        <w:rFonts w:ascii="Arial" w:hAnsi="Arial" w:hint="default"/>
      </w:rPr>
    </w:lvl>
    <w:lvl w:ilvl="6" w:tplc="E98429A2" w:tentative="1">
      <w:start w:val="1"/>
      <w:numFmt w:val="bullet"/>
      <w:lvlText w:val="•"/>
      <w:lvlJc w:val="left"/>
      <w:pPr>
        <w:tabs>
          <w:tab w:val="num" w:pos="5040"/>
        </w:tabs>
        <w:ind w:left="5040" w:hanging="360"/>
      </w:pPr>
      <w:rPr>
        <w:rFonts w:ascii="Arial" w:hAnsi="Arial" w:hint="default"/>
      </w:rPr>
    </w:lvl>
    <w:lvl w:ilvl="7" w:tplc="8750A9C4" w:tentative="1">
      <w:start w:val="1"/>
      <w:numFmt w:val="bullet"/>
      <w:lvlText w:val="•"/>
      <w:lvlJc w:val="left"/>
      <w:pPr>
        <w:tabs>
          <w:tab w:val="num" w:pos="5760"/>
        </w:tabs>
        <w:ind w:left="5760" w:hanging="360"/>
      </w:pPr>
      <w:rPr>
        <w:rFonts w:ascii="Arial" w:hAnsi="Arial" w:hint="default"/>
      </w:rPr>
    </w:lvl>
    <w:lvl w:ilvl="8" w:tplc="45B0EC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0272D2"/>
    <w:multiLevelType w:val="hybridMultilevel"/>
    <w:tmpl w:val="9BD6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B330BE"/>
    <w:multiLevelType w:val="hybridMultilevel"/>
    <w:tmpl w:val="E480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E6084"/>
    <w:multiLevelType w:val="hybridMultilevel"/>
    <w:tmpl w:val="AB8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FC5936"/>
    <w:multiLevelType w:val="hybridMultilevel"/>
    <w:tmpl w:val="8FC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A44F4"/>
    <w:multiLevelType w:val="hybridMultilevel"/>
    <w:tmpl w:val="9BAA46CC"/>
    <w:lvl w:ilvl="0" w:tplc="43F6B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F07BCF"/>
    <w:multiLevelType w:val="hybridMultilevel"/>
    <w:tmpl w:val="2166C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435540">
    <w:abstractNumId w:val="2"/>
  </w:num>
  <w:num w:numId="2" w16cid:durableId="1652711952">
    <w:abstractNumId w:val="3"/>
  </w:num>
  <w:num w:numId="3" w16cid:durableId="739983397">
    <w:abstractNumId w:val="1"/>
  </w:num>
  <w:num w:numId="4" w16cid:durableId="856849046">
    <w:abstractNumId w:val="18"/>
  </w:num>
  <w:num w:numId="5" w16cid:durableId="925923954">
    <w:abstractNumId w:val="13"/>
  </w:num>
  <w:num w:numId="6" w16cid:durableId="620383659">
    <w:abstractNumId w:val="8"/>
  </w:num>
  <w:num w:numId="7" w16cid:durableId="1392116357">
    <w:abstractNumId w:val="28"/>
  </w:num>
  <w:num w:numId="8" w16cid:durableId="101650247">
    <w:abstractNumId w:val="7"/>
  </w:num>
  <w:num w:numId="9" w16cid:durableId="299114541">
    <w:abstractNumId w:val="24"/>
  </w:num>
  <w:num w:numId="10" w16cid:durableId="1910728725">
    <w:abstractNumId w:val="25"/>
  </w:num>
  <w:num w:numId="11" w16cid:durableId="1895383038">
    <w:abstractNumId w:val="11"/>
  </w:num>
  <w:num w:numId="12" w16cid:durableId="926117872">
    <w:abstractNumId w:val="6"/>
  </w:num>
  <w:num w:numId="13" w16cid:durableId="481895649">
    <w:abstractNumId w:val="23"/>
  </w:num>
  <w:num w:numId="14" w16cid:durableId="1907912826">
    <w:abstractNumId w:val="26"/>
  </w:num>
  <w:num w:numId="15" w16cid:durableId="716466090">
    <w:abstractNumId w:val="14"/>
  </w:num>
  <w:num w:numId="16" w16cid:durableId="1558006986">
    <w:abstractNumId w:val="21"/>
  </w:num>
  <w:num w:numId="17" w16cid:durableId="488837201">
    <w:abstractNumId w:val="0"/>
  </w:num>
  <w:num w:numId="18" w16cid:durableId="950622707">
    <w:abstractNumId w:val="27"/>
  </w:num>
  <w:num w:numId="19" w16cid:durableId="974918764">
    <w:abstractNumId w:val="4"/>
  </w:num>
  <w:num w:numId="20" w16cid:durableId="1434206120">
    <w:abstractNumId w:val="12"/>
  </w:num>
  <w:num w:numId="21" w16cid:durableId="544175323">
    <w:abstractNumId w:val="16"/>
  </w:num>
  <w:num w:numId="22" w16cid:durableId="372386488">
    <w:abstractNumId w:val="17"/>
  </w:num>
  <w:num w:numId="23" w16cid:durableId="35551045">
    <w:abstractNumId w:val="3"/>
  </w:num>
  <w:num w:numId="24" w16cid:durableId="78865580">
    <w:abstractNumId w:val="15"/>
  </w:num>
  <w:num w:numId="25" w16cid:durableId="680668454">
    <w:abstractNumId w:val="19"/>
  </w:num>
  <w:num w:numId="26" w16cid:durableId="403189319">
    <w:abstractNumId w:val="20"/>
  </w:num>
  <w:num w:numId="27" w16cid:durableId="2066560420">
    <w:abstractNumId w:val="22"/>
  </w:num>
  <w:num w:numId="28" w16cid:durableId="1885560924">
    <w:abstractNumId w:val="10"/>
  </w:num>
  <w:num w:numId="29" w16cid:durableId="816650476">
    <w:abstractNumId w:val="3"/>
  </w:num>
  <w:num w:numId="30" w16cid:durableId="282199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296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a-DK"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da-DK"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35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9F"/>
    <w:rsid w:val="0000048B"/>
    <w:rsid w:val="000059A3"/>
    <w:rsid w:val="00010C0D"/>
    <w:rsid w:val="00012AE7"/>
    <w:rsid w:val="0001450A"/>
    <w:rsid w:val="0001575A"/>
    <w:rsid w:val="00036EE1"/>
    <w:rsid w:val="00046799"/>
    <w:rsid w:val="00053450"/>
    <w:rsid w:val="0007366B"/>
    <w:rsid w:val="000759D6"/>
    <w:rsid w:val="00075BBB"/>
    <w:rsid w:val="00076E37"/>
    <w:rsid w:val="00082C67"/>
    <w:rsid w:val="000A6E53"/>
    <w:rsid w:val="000C3627"/>
    <w:rsid w:val="000C364C"/>
    <w:rsid w:val="000D67A4"/>
    <w:rsid w:val="000E73DC"/>
    <w:rsid w:val="000F16CB"/>
    <w:rsid w:val="000F50B8"/>
    <w:rsid w:val="00105C6B"/>
    <w:rsid w:val="001338A4"/>
    <w:rsid w:val="0013410A"/>
    <w:rsid w:val="00135E90"/>
    <w:rsid w:val="0016534E"/>
    <w:rsid w:val="00167DC1"/>
    <w:rsid w:val="001778C7"/>
    <w:rsid w:val="001919B5"/>
    <w:rsid w:val="00192BE0"/>
    <w:rsid w:val="001945BC"/>
    <w:rsid w:val="001A19B2"/>
    <w:rsid w:val="001B2865"/>
    <w:rsid w:val="001C7DFF"/>
    <w:rsid w:val="001E4454"/>
    <w:rsid w:val="001E767F"/>
    <w:rsid w:val="001E788A"/>
    <w:rsid w:val="001F3151"/>
    <w:rsid w:val="001F598C"/>
    <w:rsid w:val="0020716B"/>
    <w:rsid w:val="00216492"/>
    <w:rsid w:val="00224025"/>
    <w:rsid w:val="00225CEF"/>
    <w:rsid w:val="00231895"/>
    <w:rsid w:val="00237FDD"/>
    <w:rsid w:val="00246323"/>
    <w:rsid w:val="00271806"/>
    <w:rsid w:val="00271BC7"/>
    <w:rsid w:val="002742AE"/>
    <w:rsid w:val="002A425E"/>
    <w:rsid w:val="002A59AD"/>
    <w:rsid w:val="002A5D75"/>
    <w:rsid w:val="002C07DA"/>
    <w:rsid w:val="002C191C"/>
    <w:rsid w:val="002C4D3F"/>
    <w:rsid w:val="002C5F3E"/>
    <w:rsid w:val="002C6F32"/>
    <w:rsid w:val="002E3A57"/>
    <w:rsid w:val="002F2523"/>
    <w:rsid w:val="002F30FF"/>
    <w:rsid w:val="002F373B"/>
    <w:rsid w:val="002F598D"/>
    <w:rsid w:val="002F5F1C"/>
    <w:rsid w:val="0030108B"/>
    <w:rsid w:val="00304D5D"/>
    <w:rsid w:val="00321571"/>
    <w:rsid w:val="00333A1E"/>
    <w:rsid w:val="00336B7B"/>
    <w:rsid w:val="00347957"/>
    <w:rsid w:val="00350776"/>
    <w:rsid w:val="00352595"/>
    <w:rsid w:val="00355A41"/>
    <w:rsid w:val="00355AB1"/>
    <w:rsid w:val="00361A77"/>
    <w:rsid w:val="00361FB9"/>
    <w:rsid w:val="003656F8"/>
    <w:rsid w:val="00371170"/>
    <w:rsid w:val="00375FD6"/>
    <w:rsid w:val="00376825"/>
    <w:rsid w:val="00394EA2"/>
    <w:rsid w:val="003A3B0A"/>
    <w:rsid w:val="003C22E8"/>
    <w:rsid w:val="003D026F"/>
    <w:rsid w:val="003D19B7"/>
    <w:rsid w:val="003D79FB"/>
    <w:rsid w:val="003E106B"/>
    <w:rsid w:val="003F1EEF"/>
    <w:rsid w:val="003F3819"/>
    <w:rsid w:val="003F4D30"/>
    <w:rsid w:val="00403A6A"/>
    <w:rsid w:val="004117C8"/>
    <w:rsid w:val="00412D37"/>
    <w:rsid w:val="00421BC8"/>
    <w:rsid w:val="004351A3"/>
    <w:rsid w:val="004427A5"/>
    <w:rsid w:val="00453F0C"/>
    <w:rsid w:val="00456B47"/>
    <w:rsid w:val="00460CB1"/>
    <w:rsid w:val="0046122E"/>
    <w:rsid w:val="00471DBC"/>
    <w:rsid w:val="004763A8"/>
    <w:rsid w:val="0048155D"/>
    <w:rsid w:val="0048263C"/>
    <w:rsid w:val="00486123"/>
    <w:rsid w:val="00491F02"/>
    <w:rsid w:val="004950C1"/>
    <w:rsid w:val="004952D9"/>
    <w:rsid w:val="004A336E"/>
    <w:rsid w:val="004A7420"/>
    <w:rsid w:val="004B17D6"/>
    <w:rsid w:val="004B5133"/>
    <w:rsid w:val="004B6EFB"/>
    <w:rsid w:val="004C0A9A"/>
    <w:rsid w:val="004D18F2"/>
    <w:rsid w:val="004E1C5E"/>
    <w:rsid w:val="004E5DC7"/>
    <w:rsid w:val="004E7E00"/>
    <w:rsid w:val="004F7A5B"/>
    <w:rsid w:val="0051553A"/>
    <w:rsid w:val="00515CE8"/>
    <w:rsid w:val="005335F9"/>
    <w:rsid w:val="005336CD"/>
    <w:rsid w:val="005357DB"/>
    <w:rsid w:val="00546D9B"/>
    <w:rsid w:val="005517DD"/>
    <w:rsid w:val="00553DB0"/>
    <w:rsid w:val="005555ED"/>
    <w:rsid w:val="0055640D"/>
    <w:rsid w:val="00556D74"/>
    <w:rsid w:val="005611AF"/>
    <w:rsid w:val="00585E45"/>
    <w:rsid w:val="005928D4"/>
    <w:rsid w:val="005940D0"/>
    <w:rsid w:val="005956A3"/>
    <w:rsid w:val="005A3A75"/>
    <w:rsid w:val="005A74E6"/>
    <w:rsid w:val="005B0EF4"/>
    <w:rsid w:val="005C0F2A"/>
    <w:rsid w:val="005D19DB"/>
    <w:rsid w:val="005D1BCD"/>
    <w:rsid w:val="005E0ED2"/>
    <w:rsid w:val="005E0FED"/>
    <w:rsid w:val="005F4CF1"/>
    <w:rsid w:val="005F5F50"/>
    <w:rsid w:val="00601FDE"/>
    <w:rsid w:val="006021F7"/>
    <w:rsid w:val="00602F9C"/>
    <w:rsid w:val="006033B3"/>
    <w:rsid w:val="00622483"/>
    <w:rsid w:val="00630CEF"/>
    <w:rsid w:val="006341AB"/>
    <w:rsid w:val="0064645E"/>
    <w:rsid w:val="00652E33"/>
    <w:rsid w:val="0065652A"/>
    <w:rsid w:val="0066064E"/>
    <w:rsid w:val="00672E82"/>
    <w:rsid w:val="00674B19"/>
    <w:rsid w:val="00677677"/>
    <w:rsid w:val="0068116E"/>
    <w:rsid w:val="00685A84"/>
    <w:rsid w:val="006955A9"/>
    <w:rsid w:val="00695957"/>
    <w:rsid w:val="0069751D"/>
    <w:rsid w:val="006B0057"/>
    <w:rsid w:val="006C150F"/>
    <w:rsid w:val="006D6DE4"/>
    <w:rsid w:val="006E1F11"/>
    <w:rsid w:val="006E3115"/>
    <w:rsid w:val="006F11F2"/>
    <w:rsid w:val="006F2863"/>
    <w:rsid w:val="006F481E"/>
    <w:rsid w:val="006F6F24"/>
    <w:rsid w:val="00701EBB"/>
    <w:rsid w:val="0071095C"/>
    <w:rsid w:val="00716BF8"/>
    <w:rsid w:val="00726786"/>
    <w:rsid w:val="00744668"/>
    <w:rsid w:val="007632CF"/>
    <w:rsid w:val="00766466"/>
    <w:rsid w:val="00795041"/>
    <w:rsid w:val="007B49DD"/>
    <w:rsid w:val="007C0D81"/>
    <w:rsid w:val="007C10E9"/>
    <w:rsid w:val="007E39AD"/>
    <w:rsid w:val="007E575B"/>
    <w:rsid w:val="007F483B"/>
    <w:rsid w:val="00811716"/>
    <w:rsid w:val="00811EE0"/>
    <w:rsid w:val="00833BA9"/>
    <w:rsid w:val="00850F3F"/>
    <w:rsid w:val="008620F5"/>
    <w:rsid w:val="0087374A"/>
    <w:rsid w:val="00882C0E"/>
    <w:rsid w:val="00892D5E"/>
    <w:rsid w:val="008B0FC3"/>
    <w:rsid w:val="008B2B7B"/>
    <w:rsid w:val="008B2CC4"/>
    <w:rsid w:val="008B7BA3"/>
    <w:rsid w:val="008C58F0"/>
    <w:rsid w:val="008D6CCA"/>
    <w:rsid w:val="008E3FE6"/>
    <w:rsid w:val="008F4384"/>
    <w:rsid w:val="009007FD"/>
    <w:rsid w:val="0090208F"/>
    <w:rsid w:val="00917A3E"/>
    <w:rsid w:val="00925CDF"/>
    <w:rsid w:val="00926E7C"/>
    <w:rsid w:val="00933312"/>
    <w:rsid w:val="0093586B"/>
    <w:rsid w:val="009430BF"/>
    <w:rsid w:val="009479A0"/>
    <w:rsid w:val="00947C9F"/>
    <w:rsid w:val="00950857"/>
    <w:rsid w:val="00956AFB"/>
    <w:rsid w:val="00964E20"/>
    <w:rsid w:val="009705FD"/>
    <w:rsid w:val="00970C81"/>
    <w:rsid w:val="00982A2E"/>
    <w:rsid w:val="009832F0"/>
    <w:rsid w:val="009948EA"/>
    <w:rsid w:val="00995C52"/>
    <w:rsid w:val="009A17AC"/>
    <w:rsid w:val="009A1917"/>
    <w:rsid w:val="009A7200"/>
    <w:rsid w:val="009E0808"/>
    <w:rsid w:val="009E1746"/>
    <w:rsid w:val="009E3FEF"/>
    <w:rsid w:val="009E7862"/>
    <w:rsid w:val="00A03E19"/>
    <w:rsid w:val="00A044F7"/>
    <w:rsid w:val="00A10CF3"/>
    <w:rsid w:val="00A16FC3"/>
    <w:rsid w:val="00A34DDC"/>
    <w:rsid w:val="00A52339"/>
    <w:rsid w:val="00A72D74"/>
    <w:rsid w:val="00A7425B"/>
    <w:rsid w:val="00A80256"/>
    <w:rsid w:val="00A93260"/>
    <w:rsid w:val="00A94D63"/>
    <w:rsid w:val="00AB6396"/>
    <w:rsid w:val="00AC00AF"/>
    <w:rsid w:val="00AC5ABE"/>
    <w:rsid w:val="00AD5351"/>
    <w:rsid w:val="00AD5D6C"/>
    <w:rsid w:val="00AD716E"/>
    <w:rsid w:val="00AD751D"/>
    <w:rsid w:val="00AE5AD4"/>
    <w:rsid w:val="00AF1BDA"/>
    <w:rsid w:val="00AF7F17"/>
    <w:rsid w:val="00B03710"/>
    <w:rsid w:val="00B07029"/>
    <w:rsid w:val="00B10B77"/>
    <w:rsid w:val="00B1257E"/>
    <w:rsid w:val="00B15EFE"/>
    <w:rsid w:val="00B2432D"/>
    <w:rsid w:val="00B30A3D"/>
    <w:rsid w:val="00B33E91"/>
    <w:rsid w:val="00B603B7"/>
    <w:rsid w:val="00B61CBD"/>
    <w:rsid w:val="00B6272C"/>
    <w:rsid w:val="00B711EE"/>
    <w:rsid w:val="00B854D5"/>
    <w:rsid w:val="00B92F36"/>
    <w:rsid w:val="00B97A3F"/>
    <w:rsid w:val="00BA30AA"/>
    <w:rsid w:val="00BA728F"/>
    <w:rsid w:val="00BB10F0"/>
    <w:rsid w:val="00BC259A"/>
    <w:rsid w:val="00BC58AB"/>
    <w:rsid w:val="00BC5B46"/>
    <w:rsid w:val="00BD33AC"/>
    <w:rsid w:val="00BD7756"/>
    <w:rsid w:val="00BE4AA2"/>
    <w:rsid w:val="00BF1B4B"/>
    <w:rsid w:val="00BF2DE9"/>
    <w:rsid w:val="00C06F44"/>
    <w:rsid w:val="00C1588A"/>
    <w:rsid w:val="00C173E9"/>
    <w:rsid w:val="00C23242"/>
    <w:rsid w:val="00C269CF"/>
    <w:rsid w:val="00C269E7"/>
    <w:rsid w:val="00C3719F"/>
    <w:rsid w:val="00C41136"/>
    <w:rsid w:val="00C411C0"/>
    <w:rsid w:val="00C41850"/>
    <w:rsid w:val="00C56B7D"/>
    <w:rsid w:val="00C62BFA"/>
    <w:rsid w:val="00C6415E"/>
    <w:rsid w:val="00C659B1"/>
    <w:rsid w:val="00C74FE3"/>
    <w:rsid w:val="00C800B0"/>
    <w:rsid w:val="00CA1D95"/>
    <w:rsid w:val="00CB1F46"/>
    <w:rsid w:val="00CB4B15"/>
    <w:rsid w:val="00CE03FA"/>
    <w:rsid w:val="00CE2C30"/>
    <w:rsid w:val="00CF3ADE"/>
    <w:rsid w:val="00CF6545"/>
    <w:rsid w:val="00D04095"/>
    <w:rsid w:val="00D13DA4"/>
    <w:rsid w:val="00D279D8"/>
    <w:rsid w:val="00D31147"/>
    <w:rsid w:val="00D55228"/>
    <w:rsid w:val="00D57305"/>
    <w:rsid w:val="00D62A37"/>
    <w:rsid w:val="00D65B67"/>
    <w:rsid w:val="00D66B66"/>
    <w:rsid w:val="00D71A81"/>
    <w:rsid w:val="00D7346D"/>
    <w:rsid w:val="00D76AB2"/>
    <w:rsid w:val="00D95928"/>
    <w:rsid w:val="00DA6B92"/>
    <w:rsid w:val="00DD25B9"/>
    <w:rsid w:val="00DD2F20"/>
    <w:rsid w:val="00DD3676"/>
    <w:rsid w:val="00DE7C3A"/>
    <w:rsid w:val="00DF0988"/>
    <w:rsid w:val="00DF1AD2"/>
    <w:rsid w:val="00E00737"/>
    <w:rsid w:val="00E02E40"/>
    <w:rsid w:val="00E060AC"/>
    <w:rsid w:val="00E108E5"/>
    <w:rsid w:val="00E13BF7"/>
    <w:rsid w:val="00E141A1"/>
    <w:rsid w:val="00E1657B"/>
    <w:rsid w:val="00E2091E"/>
    <w:rsid w:val="00E23839"/>
    <w:rsid w:val="00E25E96"/>
    <w:rsid w:val="00E345E6"/>
    <w:rsid w:val="00E3794D"/>
    <w:rsid w:val="00E43BD7"/>
    <w:rsid w:val="00E6733F"/>
    <w:rsid w:val="00E67C41"/>
    <w:rsid w:val="00E74365"/>
    <w:rsid w:val="00E77A0C"/>
    <w:rsid w:val="00E77C6A"/>
    <w:rsid w:val="00E809AA"/>
    <w:rsid w:val="00E84D74"/>
    <w:rsid w:val="00E86486"/>
    <w:rsid w:val="00EA46FA"/>
    <w:rsid w:val="00EA5F6B"/>
    <w:rsid w:val="00EA79E4"/>
    <w:rsid w:val="00EB1D0C"/>
    <w:rsid w:val="00EB2FDC"/>
    <w:rsid w:val="00EB680E"/>
    <w:rsid w:val="00EC0503"/>
    <w:rsid w:val="00EC0E6B"/>
    <w:rsid w:val="00EC5628"/>
    <w:rsid w:val="00EC6BAE"/>
    <w:rsid w:val="00ED3268"/>
    <w:rsid w:val="00ED4268"/>
    <w:rsid w:val="00ED4A7C"/>
    <w:rsid w:val="00ED4FFB"/>
    <w:rsid w:val="00ED60F3"/>
    <w:rsid w:val="00F01F95"/>
    <w:rsid w:val="00F07D11"/>
    <w:rsid w:val="00F13E6B"/>
    <w:rsid w:val="00F14A2C"/>
    <w:rsid w:val="00F274FB"/>
    <w:rsid w:val="00F27BAD"/>
    <w:rsid w:val="00F3201E"/>
    <w:rsid w:val="00F34A45"/>
    <w:rsid w:val="00F36C74"/>
    <w:rsid w:val="00F66D74"/>
    <w:rsid w:val="00F71483"/>
    <w:rsid w:val="00F730C3"/>
    <w:rsid w:val="00F73BCF"/>
    <w:rsid w:val="00F8416D"/>
    <w:rsid w:val="00F87E08"/>
    <w:rsid w:val="00F92461"/>
    <w:rsid w:val="00F95962"/>
    <w:rsid w:val="00FA1A0C"/>
    <w:rsid w:val="00FB1A16"/>
    <w:rsid w:val="00FB463D"/>
    <w:rsid w:val="00FC4AE8"/>
    <w:rsid w:val="00FC6130"/>
    <w:rsid w:val="00FE72F9"/>
    <w:rsid w:val="00FF00CC"/>
    <w:rsid w:val="00FF0E15"/>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359F"/>
  <w14:defaultImageDpi w14:val="300"/>
  <w15:docId w15:val="{840B52DC-669C-2E4B-8968-AA16650E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60" w:lineRule="exact"/>
      <w:textAlignment w:val="baseline"/>
    </w:pPr>
    <w:rPr>
      <w:sz w:val="24"/>
      <w:lang w:eastAsia="en-US"/>
    </w:rPr>
  </w:style>
  <w:style w:type="paragraph" w:styleId="Rubrik1">
    <w:name w:val="heading 1"/>
    <w:basedOn w:val="Normal"/>
    <w:next w:val="Brdtext"/>
    <w:qFormat/>
    <w:pPr>
      <w:keepNext/>
      <w:keepLines/>
      <w:outlineLvl w:val="0"/>
    </w:pPr>
    <w:rPr>
      <w:b/>
    </w:rPr>
  </w:style>
  <w:style w:type="paragraph" w:styleId="Rubrik2">
    <w:name w:val="heading 2"/>
    <w:basedOn w:val="Rubrik1"/>
    <w:next w:val="Brdtext"/>
    <w:qFormat/>
    <w:pPr>
      <w:outlineLvl w:val="1"/>
    </w:pPr>
    <w:rPr>
      <w:b w:val="0"/>
      <w:i/>
    </w:rPr>
  </w:style>
  <w:style w:type="paragraph" w:styleId="Rubrik3">
    <w:name w:val="heading 3"/>
    <w:basedOn w:val="Rubrik2"/>
    <w:next w:val="Normal"/>
    <w:qFormat/>
    <w:pPr>
      <w:outlineLvl w:val="2"/>
    </w:pPr>
  </w:style>
  <w:style w:type="paragraph" w:styleId="Rubrik4">
    <w:name w:val="heading 4"/>
    <w:basedOn w:val="Rubrik3"/>
    <w:next w:val="Normal"/>
    <w:qFormat/>
    <w:pPr>
      <w:outlineLvl w:val="3"/>
    </w:pPr>
  </w:style>
  <w:style w:type="paragraph" w:styleId="Rubrik5">
    <w:name w:val="heading 5"/>
    <w:basedOn w:val="Rubrik4"/>
    <w:next w:val="Normal"/>
    <w:qFormat/>
    <w:pPr>
      <w:outlineLvl w:val="4"/>
    </w:pPr>
  </w:style>
  <w:style w:type="paragraph" w:styleId="Rubrik6">
    <w:name w:val="heading 6"/>
    <w:basedOn w:val="Rubrik5"/>
    <w:next w:val="Normal"/>
    <w:qFormat/>
    <w:pPr>
      <w:outlineLvl w:val="5"/>
    </w:pPr>
  </w:style>
  <w:style w:type="paragraph" w:styleId="Rubrik7">
    <w:name w:val="heading 7"/>
    <w:basedOn w:val="Rubrik6"/>
    <w:next w:val="Normal"/>
    <w:qFormat/>
    <w:pPr>
      <w:outlineLvl w:val="6"/>
    </w:pPr>
  </w:style>
  <w:style w:type="paragraph" w:styleId="Rubrik8">
    <w:name w:val="heading 8"/>
    <w:basedOn w:val="Rubrik7"/>
    <w:next w:val="Normal"/>
    <w:qFormat/>
    <w:pPr>
      <w:outlineLvl w:val="7"/>
    </w:pPr>
  </w:style>
  <w:style w:type="paragraph" w:styleId="Rubrik9">
    <w:name w:val="heading 9"/>
    <w:basedOn w:val="Rubrik8"/>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autoRedefine/>
    <w:rsid w:val="00AD5351"/>
    <w:pPr>
      <w:numPr>
        <w:numId w:val="2"/>
      </w:numPr>
      <w:tabs>
        <w:tab w:val="left" w:pos="284"/>
      </w:tabs>
      <w:ind w:left="340" w:hanging="340"/>
    </w:pPr>
  </w:style>
  <w:style w:type="paragraph" w:styleId="Numreradlista">
    <w:name w:val="List Number"/>
    <w:basedOn w:val="Normal"/>
    <w:pPr>
      <w:numPr>
        <w:numId w:val="1"/>
      </w:numPr>
    </w:pPr>
  </w:style>
  <w:style w:type="paragraph" w:styleId="Brdtext">
    <w:name w:val="Body Text"/>
    <w:basedOn w:val="Normal"/>
    <w:pPr>
      <w:spacing w:after="260"/>
    </w:pPr>
  </w:style>
  <w:style w:type="paragraph" w:styleId="Sidfot">
    <w:name w:val="footer"/>
    <w:basedOn w:val="Normal"/>
    <w:pPr>
      <w:tabs>
        <w:tab w:val="center" w:pos="4819"/>
        <w:tab w:val="right" w:pos="9638"/>
      </w:tabs>
    </w:pPr>
    <w:rPr>
      <w:sz w:val="16"/>
    </w:rPr>
  </w:style>
  <w:style w:type="paragraph" w:styleId="Sidhuvud">
    <w:name w:val="header"/>
    <w:basedOn w:val="Normal"/>
    <w:pPr>
      <w:tabs>
        <w:tab w:val="left" w:pos="5216"/>
        <w:tab w:val="left" w:pos="7825"/>
        <w:tab w:val="left" w:pos="9129"/>
      </w:tabs>
    </w:pPr>
  </w:style>
  <w:style w:type="paragraph" w:customStyle="1" w:styleId="zDate">
    <w:name w:val="zDate"/>
    <w:basedOn w:val="zInforight"/>
    <w:pPr>
      <w:spacing w:line="260" w:lineRule="exact"/>
    </w:pPr>
  </w:style>
  <w:style w:type="paragraph" w:styleId="Innehll1">
    <w:name w:val="toc 1"/>
    <w:basedOn w:val="Normal"/>
    <w:next w:val="Normal"/>
    <w:autoRedefine/>
    <w:semiHidden/>
    <w:pPr>
      <w:tabs>
        <w:tab w:val="right" w:leader="dot" w:pos="9866"/>
      </w:tabs>
      <w:spacing w:before="240"/>
      <w:ind w:left="454" w:right="567" w:hanging="454"/>
    </w:pPr>
    <w:rPr>
      <w:caps/>
    </w:rPr>
  </w:style>
  <w:style w:type="paragraph" w:styleId="Innehll2">
    <w:name w:val="toc 2"/>
    <w:basedOn w:val="Normal"/>
    <w:next w:val="Normal"/>
    <w:autoRedefine/>
    <w:semiHidden/>
    <w:pPr>
      <w:tabs>
        <w:tab w:val="right" w:leader="dot" w:pos="9866"/>
      </w:tabs>
      <w:spacing w:before="60"/>
      <w:ind w:left="1021" w:right="567" w:hanging="567"/>
    </w:pPr>
  </w:style>
  <w:style w:type="paragraph" w:styleId="Innehll3">
    <w:name w:val="toc 3"/>
    <w:basedOn w:val="Innehll2"/>
    <w:next w:val="Normal"/>
    <w:autoRedefine/>
    <w:semiHidden/>
    <w:pPr>
      <w:spacing w:before="0"/>
      <w:ind w:left="1588"/>
    </w:pPr>
  </w:style>
  <w:style w:type="paragraph" w:styleId="Innehll4">
    <w:name w:val="toc 4"/>
    <w:basedOn w:val="Innehll3"/>
    <w:next w:val="Normal"/>
    <w:autoRedefine/>
    <w:semiHidden/>
    <w:pPr>
      <w:ind w:left="2325" w:hanging="737"/>
    </w:pPr>
  </w:style>
  <w:style w:type="paragraph" w:styleId="Innehll5">
    <w:name w:val="toc 5"/>
    <w:basedOn w:val="Innehll4"/>
    <w:next w:val="Normal"/>
    <w:autoRedefine/>
    <w:semiHidden/>
  </w:style>
  <w:style w:type="paragraph" w:styleId="Innehll6">
    <w:name w:val="toc 6"/>
    <w:basedOn w:val="Innehll5"/>
    <w:next w:val="Normal"/>
    <w:autoRedefine/>
    <w:semiHidden/>
  </w:style>
  <w:style w:type="paragraph" w:styleId="Innehll7">
    <w:name w:val="toc 7"/>
    <w:basedOn w:val="Innehll6"/>
    <w:next w:val="Normal"/>
    <w:autoRedefine/>
    <w:semiHidden/>
  </w:style>
  <w:style w:type="paragraph" w:styleId="Innehll8">
    <w:name w:val="toc 8"/>
    <w:basedOn w:val="Innehll7"/>
    <w:next w:val="Normal"/>
    <w:autoRedefine/>
    <w:semiHidden/>
  </w:style>
  <w:style w:type="paragraph" w:styleId="Innehll9">
    <w:name w:val="toc 9"/>
    <w:basedOn w:val="Innehll8"/>
    <w:next w:val="Normal"/>
    <w:autoRedefine/>
    <w:semiHidden/>
  </w:style>
  <w:style w:type="paragraph" w:styleId="Ballongtext">
    <w:name w:val="Balloon Text"/>
    <w:basedOn w:val="Normal"/>
    <w:semiHidden/>
    <w:rPr>
      <w:rFonts w:ascii="Tahoma" w:hAnsi="Tahoma" w:cs="Tahoma"/>
      <w:sz w:val="16"/>
      <w:szCs w:val="16"/>
    </w:rPr>
  </w:style>
  <w:style w:type="character" w:styleId="Sidnummer">
    <w:name w:val="page number"/>
    <w:rPr>
      <w:sz w:val="24"/>
    </w:rPr>
  </w:style>
  <w:style w:type="paragraph" w:customStyle="1" w:styleId="zTitle">
    <w:name w:val="zTitle"/>
    <w:basedOn w:val="Normal"/>
    <w:pPr>
      <w:spacing w:line="240" w:lineRule="exact"/>
    </w:pPr>
    <w:rPr>
      <w:rFonts w:ascii="Arial" w:hAnsi="Arial"/>
      <w:sz w:val="14"/>
    </w:rPr>
  </w:style>
  <w:style w:type="paragraph" w:customStyle="1" w:styleId="zDocTitle">
    <w:name w:val="zDocTitle"/>
    <w:basedOn w:val="Normal"/>
    <w:pPr>
      <w:spacing w:line="240" w:lineRule="exact"/>
      <w:jc w:val="right"/>
    </w:pPr>
    <w:rPr>
      <w:rFonts w:ascii="Arial" w:hAnsi="Arial"/>
      <w:b/>
      <w:sz w:val="20"/>
    </w:rPr>
  </w:style>
  <w:style w:type="paragraph" w:customStyle="1" w:styleId="zAddressee">
    <w:name w:val="zAddressee"/>
    <w:basedOn w:val="Normal"/>
  </w:style>
  <w:style w:type="paragraph" w:customStyle="1" w:styleId="zInforight">
    <w:name w:val="zInfo right"/>
    <w:basedOn w:val="Normal"/>
    <w:pPr>
      <w:spacing w:line="240" w:lineRule="exact"/>
      <w:jc w:val="right"/>
    </w:pPr>
    <w:rPr>
      <w:rFonts w:ascii="Arial" w:hAnsi="Arial"/>
      <w:b/>
      <w:sz w:val="16"/>
    </w:rPr>
  </w:style>
  <w:style w:type="paragraph" w:customStyle="1" w:styleId="zUser">
    <w:name w:val="zUser"/>
    <w:basedOn w:val="Normal"/>
    <w:pPr>
      <w:spacing w:line="240" w:lineRule="exact"/>
      <w:jc w:val="right"/>
    </w:pPr>
    <w:rPr>
      <w:rFonts w:ascii="Arial" w:hAnsi="Arial"/>
      <w:sz w:val="16"/>
    </w:rPr>
  </w:style>
  <w:style w:type="paragraph" w:customStyle="1" w:styleId="zStatus">
    <w:name w:val="zStatus"/>
    <w:basedOn w:val="Normal"/>
    <w:pPr>
      <w:spacing w:line="240" w:lineRule="exact"/>
      <w:jc w:val="right"/>
    </w:pPr>
    <w:rPr>
      <w:rFonts w:ascii="Arial" w:hAnsi="Arial"/>
      <w:b/>
      <w:sz w:val="18"/>
    </w:rPr>
  </w:style>
  <w:style w:type="paragraph" w:customStyle="1" w:styleId="MainHeading">
    <w:name w:val="Main Heading"/>
    <w:basedOn w:val="Normal"/>
    <w:next w:val="Brdtext"/>
    <w:pPr>
      <w:spacing w:before="520" w:after="260"/>
    </w:pPr>
    <w:rPr>
      <w:b/>
    </w:rPr>
  </w:style>
  <w:style w:type="paragraph" w:customStyle="1" w:styleId="Ballontekst">
    <w:name w:val="Ballontekst"/>
    <w:basedOn w:val="Normal"/>
    <w:semiHidden/>
    <w:rPr>
      <w:rFonts w:ascii="Tahoma" w:hAnsi="Tahoma" w:cs="Tahoma"/>
      <w:sz w:val="16"/>
      <w:szCs w:val="16"/>
    </w:rPr>
  </w:style>
  <w:style w:type="character" w:styleId="Stark">
    <w:name w:val="Strong"/>
    <w:qFormat/>
    <w:rPr>
      <w:b/>
      <w:bCs/>
    </w:rPr>
  </w:style>
  <w:style w:type="character" w:styleId="Kommentarsreferens">
    <w:name w:val="annotation reference"/>
    <w:rsid w:val="00E141A1"/>
    <w:rPr>
      <w:sz w:val="16"/>
      <w:szCs w:val="16"/>
    </w:rPr>
  </w:style>
  <w:style w:type="paragraph" w:customStyle="1" w:styleId="zFooter">
    <w:name w:val="zFooter"/>
    <w:basedOn w:val="Normal"/>
    <w:pPr>
      <w:spacing w:line="180" w:lineRule="exact"/>
    </w:pPr>
    <w:rPr>
      <w:rFonts w:ascii="Arial" w:hAnsi="Arial"/>
      <w:sz w:val="16"/>
    </w:rPr>
  </w:style>
  <w:style w:type="paragraph" w:customStyle="1" w:styleId="zReg">
    <w:name w:val="zReg"/>
    <w:basedOn w:val="Normal"/>
    <w:pPr>
      <w:spacing w:line="240" w:lineRule="auto"/>
    </w:pPr>
    <w:rPr>
      <w:rFonts w:ascii="Arial" w:hAnsi="Arial"/>
      <w:sz w:val="12"/>
    </w:rPr>
  </w:style>
  <w:style w:type="paragraph" w:styleId="Punktlista2">
    <w:name w:val="List Bullet 2"/>
    <w:basedOn w:val="Normal"/>
    <w:autoRedefine/>
    <w:pPr>
      <w:numPr>
        <w:numId w:val="3"/>
      </w:numPr>
      <w:tabs>
        <w:tab w:val="left" w:pos="567"/>
        <w:tab w:val="left" w:pos="851"/>
      </w:tabs>
    </w:pPr>
  </w:style>
  <w:style w:type="paragraph" w:customStyle="1" w:styleId="zTableBody">
    <w:name w:val="zTableBody"/>
    <w:basedOn w:val="Normal"/>
  </w:style>
  <w:style w:type="paragraph" w:styleId="Kommentarer">
    <w:name w:val="annotation text"/>
    <w:basedOn w:val="Normal"/>
    <w:link w:val="KommentarerChar"/>
    <w:rsid w:val="00E141A1"/>
    <w:rPr>
      <w:sz w:val="20"/>
    </w:rPr>
  </w:style>
  <w:style w:type="character" w:customStyle="1" w:styleId="KommentarerChar">
    <w:name w:val="Kommentarer Char"/>
    <w:link w:val="Kommentarer"/>
    <w:rsid w:val="00E141A1"/>
    <w:rPr>
      <w:lang w:val="da-DK"/>
    </w:rPr>
  </w:style>
  <w:style w:type="paragraph" w:styleId="Kommentarsmne">
    <w:name w:val="annotation subject"/>
    <w:basedOn w:val="Kommentarer"/>
    <w:next w:val="Kommentarer"/>
    <w:link w:val="KommentarsmneChar"/>
    <w:rsid w:val="00E141A1"/>
    <w:rPr>
      <w:b/>
      <w:bCs/>
    </w:rPr>
  </w:style>
  <w:style w:type="character" w:customStyle="1" w:styleId="KommentarsmneChar">
    <w:name w:val="Kommentarsämne Char"/>
    <w:link w:val="Kommentarsmne"/>
    <w:rsid w:val="00E141A1"/>
    <w:rPr>
      <w:b/>
      <w:bCs/>
      <w:lang w:val="da-DK"/>
    </w:rPr>
  </w:style>
  <w:style w:type="paragraph" w:styleId="Liststycke">
    <w:name w:val="List Paragraph"/>
    <w:aliases w:val="List Paragraph1,Proposal Bullet List,TOC style,Table,List Paragraph2,MAIN CONTENT,List Paragraph12,Dot pt,Colorful List - Accent 11,No Spacing1,List Paragraph Char Char Char,Indicator Text,Numbered Para 1,F5 List Paragraph"/>
    <w:basedOn w:val="Normal"/>
    <w:link w:val="ListstyckeChar"/>
    <w:uiPriority w:val="34"/>
    <w:qFormat/>
    <w:rsid w:val="0069751D"/>
    <w:pPr>
      <w:ind w:left="720"/>
      <w:contextualSpacing/>
    </w:pPr>
  </w:style>
  <w:style w:type="table" w:styleId="Tabellrutnt">
    <w:name w:val="Table Grid"/>
    <w:basedOn w:val="Normaltabell"/>
    <w:qFormat/>
    <w:rsid w:val="00E0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A">
    <w:name w:val="Heading 1 A A"/>
    <w:next w:val="Normal"/>
    <w:rsid w:val="004117C8"/>
    <w:pPr>
      <w:keepNext/>
      <w:outlineLvl w:val="0"/>
    </w:pPr>
    <w:rPr>
      <w:rFonts w:eastAsia="ヒラギノ角ゴ Pro W3"/>
      <w:color w:val="000000"/>
      <w:sz w:val="24"/>
      <w:lang w:val="en-US" w:eastAsia="en-US"/>
    </w:rPr>
  </w:style>
  <w:style w:type="paragraph" w:customStyle="1" w:styleId="BodyText1">
    <w:name w:val="Body Text1"/>
    <w:rsid w:val="004117C8"/>
    <w:rPr>
      <w:rFonts w:ascii="Times New Roman Bold" w:eastAsia="ヒラギノ角ゴ Pro W3" w:hAnsi="Times New Roman Bold"/>
      <w:color w:val="000000"/>
      <w:sz w:val="24"/>
      <w:lang w:val="en-US" w:eastAsia="en-US"/>
    </w:rPr>
  </w:style>
  <w:style w:type="paragraph" w:customStyle="1" w:styleId="xl66">
    <w:name w:val="xl66"/>
    <w:basedOn w:val="Normal"/>
    <w:rsid w:val="002A5D75"/>
    <w:pPr>
      <w:widowControl w:val="0"/>
      <w:wordWrap w:val="0"/>
      <w:overflowPunct/>
      <w:adjustRightInd/>
      <w:spacing w:line="384" w:lineRule="auto"/>
      <w:jc w:val="center"/>
    </w:pPr>
    <w:rPr>
      <w:rFonts w:ascii="한컴바탕" w:eastAsia="Gulim" w:hAnsi="Gulim" w:cs="Gulim"/>
      <w:color w:val="000000"/>
      <w:sz w:val="22"/>
      <w:szCs w:val="22"/>
      <w:lang w:val="en-US" w:eastAsia="ko-KR"/>
    </w:rPr>
  </w:style>
  <w:style w:type="paragraph" w:customStyle="1" w:styleId="xl68">
    <w:name w:val="xl68"/>
    <w:basedOn w:val="Normal"/>
    <w:rsid w:val="002A5D75"/>
    <w:pPr>
      <w:widowControl w:val="0"/>
      <w:wordWrap w:val="0"/>
      <w:overflowPunct/>
      <w:adjustRightInd/>
      <w:spacing w:line="384" w:lineRule="auto"/>
      <w:jc w:val="center"/>
    </w:pPr>
    <w:rPr>
      <w:rFonts w:ascii="한컴바탕" w:eastAsia="Gulim" w:hAnsi="Gulim" w:cs="Gulim"/>
      <w:color w:val="000000"/>
      <w:sz w:val="22"/>
      <w:szCs w:val="22"/>
      <w:lang w:val="en-US" w:eastAsia="ko-KR"/>
    </w:rPr>
  </w:style>
  <w:style w:type="paragraph" w:customStyle="1" w:styleId="xl65">
    <w:name w:val="xl65"/>
    <w:basedOn w:val="Normal"/>
    <w:rsid w:val="002A5D75"/>
    <w:pPr>
      <w:widowControl w:val="0"/>
      <w:wordWrap w:val="0"/>
      <w:overflowPunct/>
      <w:adjustRightInd/>
      <w:snapToGrid w:val="0"/>
      <w:spacing w:line="384" w:lineRule="auto"/>
      <w:jc w:val="center"/>
    </w:pPr>
    <w:rPr>
      <w:rFonts w:ascii="한컴바탕" w:eastAsia="Gulim" w:hAnsi="Gulim" w:cs="Gulim"/>
      <w:color w:val="000000"/>
      <w:szCs w:val="24"/>
      <w:lang w:val="en-US" w:eastAsia="ko-KR"/>
    </w:rPr>
  </w:style>
  <w:style w:type="character" w:styleId="Hyperlnk">
    <w:name w:val="Hyperlink"/>
    <w:basedOn w:val="Standardstycketeckensnitt"/>
    <w:uiPriority w:val="99"/>
    <w:unhideWhenUsed/>
    <w:rsid w:val="004B5133"/>
    <w:rPr>
      <w:color w:val="0000FF" w:themeColor="hyperlink"/>
      <w:u w:val="single"/>
    </w:rPr>
  </w:style>
  <w:style w:type="character" w:customStyle="1" w:styleId="e-mailformatvorlage25">
    <w:name w:val="e-mailformatvorlage25"/>
    <w:basedOn w:val="Standardstycketeckensnitt"/>
    <w:link w:val="wordsection1"/>
    <w:locked/>
    <w:rsid w:val="00C173E9"/>
    <w:rPr>
      <w:rFonts w:ascii="SimSun" w:eastAsia="SimSun" w:hAnsi="SimSun"/>
      <w:lang w:eastAsia="zh-CN"/>
    </w:rPr>
  </w:style>
  <w:style w:type="paragraph" w:customStyle="1" w:styleId="wordsection1">
    <w:name w:val="wordsection1"/>
    <w:basedOn w:val="Normal"/>
    <w:link w:val="e-mailformatvorlage25"/>
    <w:rsid w:val="00C173E9"/>
    <w:pPr>
      <w:overflowPunct/>
      <w:autoSpaceDE/>
      <w:autoSpaceDN/>
      <w:adjustRightInd/>
      <w:spacing w:line="240" w:lineRule="auto"/>
      <w:textAlignment w:val="auto"/>
    </w:pPr>
    <w:rPr>
      <w:rFonts w:ascii="SimSun" w:eastAsia="SimSun" w:hAnsi="SimSun"/>
      <w:sz w:val="20"/>
      <w:lang w:eastAsia="zh-CN"/>
    </w:rPr>
  </w:style>
  <w:style w:type="paragraph" w:styleId="Revision">
    <w:name w:val="Revision"/>
    <w:hidden/>
    <w:uiPriority w:val="99"/>
    <w:semiHidden/>
    <w:rsid w:val="00C173E9"/>
    <w:rPr>
      <w:sz w:val="24"/>
      <w:lang w:eastAsia="en-US"/>
    </w:rPr>
  </w:style>
  <w:style w:type="paragraph" w:customStyle="1" w:styleId="gmail-msolistparagraph">
    <w:name w:val="gmail-msolistparagraph"/>
    <w:basedOn w:val="Normal"/>
    <w:rsid w:val="008B7BA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Normalwebb">
    <w:name w:val="Normal (Web)"/>
    <w:basedOn w:val="Normal"/>
    <w:semiHidden/>
    <w:unhideWhenUsed/>
    <w:rsid w:val="008B0FC3"/>
    <w:rPr>
      <w:szCs w:val="24"/>
    </w:rPr>
  </w:style>
  <w:style w:type="paragraph" w:customStyle="1" w:styleId="Paragraphestandard">
    <w:name w:val="[Paragraphe standard]"/>
    <w:basedOn w:val="Normal"/>
    <w:uiPriority w:val="99"/>
    <w:rsid w:val="00355AB1"/>
    <w:pPr>
      <w:overflowPunct/>
      <w:spacing w:line="288" w:lineRule="auto"/>
      <w:textAlignment w:val="center"/>
    </w:pPr>
    <w:rPr>
      <w:rFonts w:ascii="MinionPro-Regular" w:hAnsi="MinionPro-Regular" w:cs="MinionPro-Regular"/>
      <w:color w:val="000000"/>
      <w:szCs w:val="24"/>
      <w:lang w:val="en-GB"/>
    </w:rPr>
  </w:style>
  <w:style w:type="character" w:customStyle="1" w:styleId="ListstyckeChar">
    <w:name w:val="Liststycke Char"/>
    <w:aliases w:val="List Paragraph1 Char,Proposal Bullet List Char,TOC style Char,Table Char,List Paragraph2 Char,MAIN CONTENT Char,List Paragraph12 Char,Dot pt Char,Colorful List - Accent 11 Char,No Spacing1 Char,List Paragraph Char Char Char Char"/>
    <w:basedOn w:val="Standardstycketeckensnitt"/>
    <w:link w:val="Liststycke"/>
    <w:uiPriority w:val="34"/>
    <w:rsid w:val="00D66B66"/>
    <w:rPr>
      <w:sz w:val="24"/>
      <w:lang w:eastAsia="en-US"/>
    </w:rPr>
  </w:style>
  <w:style w:type="paragraph" w:customStyle="1" w:styleId="xmsonormal">
    <w:name w:val="x_msonormal"/>
    <w:basedOn w:val="Normal"/>
    <w:rsid w:val="00D66B66"/>
    <w:pPr>
      <w:overflowPunct/>
      <w:autoSpaceDE/>
      <w:autoSpaceDN/>
      <w:adjustRightInd/>
      <w:spacing w:line="240" w:lineRule="auto"/>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D66B66"/>
    <w:pPr>
      <w:overflowPunct/>
      <w:autoSpaceDE/>
      <w:autoSpaceDN/>
      <w:adjustRightInd/>
      <w:spacing w:after="160" w:line="252" w:lineRule="auto"/>
      <w:ind w:left="720"/>
      <w:textAlignment w:val="auto"/>
    </w:pPr>
    <w:rPr>
      <w:rFonts w:ascii="Calibri" w:eastAsiaTheme="minorHAnsi" w:hAnsi="Calibri" w:cs="Calibri"/>
      <w:sz w:val="22"/>
      <w:szCs w:val="22"/>
      <w:lang w:val="en-GB" w:eastAsia="en-GB"/>
    </w:rPr>
  </w:style>
  <w:style w:type="character" w:customStyle="1" w:styleId="xtext-default">
    <w:name w:val="x_text-default"/>
    <w:basedOn w:val="Standardstycketeckensnitt"/>
    <w:rsid w:val="00D6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601">
      <w:bodyDiv w:val="1"/>
      <w:marLeft w:val="0"/>
      <w:marRight w:val="0"/>
      <w:marTop w:val="0"/>
      <w:marBottom w:val="0"/>
      <w:divBdr>
        <w:top w:val="none" w:sz="0" w:space="0" w:color="auto"/>
        <w:left w:val="none" w:sz="0" w:space="0" w:color="auto"/>
        <w:bottom w:val="none" w:sz="0" w:space="0" w:color="auto"/>
        <w:right w:val="none" w:sz="0" w:space="0" w:color="auto"/>
      </w:divBdr>
    </w:div>
    <w:div w:id="271330633">
      <w:bodyDiv w:val="1"/>
      <w:marLeft w:val="0"/>
      <w:marRight w:val="0"/>
      <w:marTop w:val="0"/>
      <w:marBottom w:val="0"/>
      <w:divBdr>
        <w:top w:val="none" w:sz="0" w:space="0" w:color="auto"/>
        <w:left w:val="none" w:sz="0" w:space="0" w:color="auto"/>
        <w:bottom w:val="none" w:sz="0" w:space="0" w:color="auto"/>
        <w:right w:val="none" w:sz="0" w:space="0" w:color="auto"/>
      </w:divBdr>
      <w:divsChild>
        <w:div w:id="1055465457">
          <w:marLeft w:val="1267"/>
          <w:marRight w:val="0"/>
          <w:marTop w:val="0"/>
          <w:marBottom w:val="0"/>
          <w:divBdr>
            <w:top w:val="none" w:sz="0" w:space="0" w:color="auto"/>
            <w:left w:val="none" w:sz="0" w:space="0" w:color="auto"/>
            <w:bottom w:val="none" w:sz="0" w:space="0" w:color="auto"/>
            <w:right w:val="none" w:sz="0" w:space="0" w:color="auto"/>
          </w:divBdr>
        </w:div>
        <w:div w:id="2101560164">
          <w:marLeft w:val="1267"/>
          <w:marRight w:val="0"/>
          <w:marTop w:val="0"/>
          <w:marBottom w:val="0"/>
          <w:divBdr>
            <w:top w:val="none" w:sz="0" w:space="0" w:color="auto"/>
            <w:left w:val="none" w:sz="0" w:space="0" w:color="auto"/>
            <w:bottom w:val="none" w:sz="0" w:space="0" w:color="auto"/>
            <w:right w:val="none" w:sz="0" w:space="0" w:color="auto"/>
          </w:divBdr>
        </w:div>
        <w:div w:id="2084527618">
          <w:marLeft w:val="1267"/>
          <w:marRight w:val="0"/>
          <w:marTop w:val="0"/>
          <w:marBottom w:val="0"/>
          <w:divBdr>
            <w:top w:val="none" w:sz="0" w:space="0" w:color="auto"/>
            <w:left w:val="none" w:sz="0" w:space="0" w:color="auto"/>
            <w:bottom w:val="none" w:sz="0" w:space="0" w:color="auto"/>
            <w:right w:val="none" w:sz="0" w:space="0" w:color="auto"/>
          </w:divBdr>
        </w:div>
      </w:divsChild>
    </w:div>
    <w:div w:id="452291981">
      <w:bodyDiv w:val="1"/>
      <w:marLeft w:val="0"/>
      <w:marRight w:val="0"/>
      <w:marTop w:val="0"/>
      <w:marBottom w:val="0"/>
      <w:divBdr>
        <w:top w:val="none" w:sz="0" w:space="0" w:color="auto"/>
        <w:left w:val="none" w:sz="0" w:space="0" w:color="auto"/>
        <w:bottom w:val="none" w:sz="0" w:space="0" w:color="auto"/>
        <w:right w:val="none" w:sz="0" w:space="0" w:color="auto"/>
      </w:divBdr>
      <w:divsChild>
        <w:div w:id="1972124246">
          <w:marLeft w:val="0"/>
          <w:marRight w:val="0"/>
          <w:marTop w:val="0"/>
          <w:marBottom w:val="0"/>
          <w:divBdr>
            <w:top w:val="none" w:sz="0" w:space="0" w:color="auto"/>
            <w:left w:val="none" w:sz="0" w:space="0" w:color="auto"/>
            <w:bottom w:val="none" w:sz="0" w:space="0" w:color="auto"/>
            <w:right w:val="none" w:sz="0" w:space="0" w:color="auto"/>
          </w:divBdr>
          <w:divsChild>
            <w:div w:id="896009776">
              <w:marLeft w:val="0"/>
              <w:marRight w:val="0"/>
              <w:marTop w:val="0"/>
              <w:marBottom w:val="0"/>
              <w:divBdr>
                <w:top w:val="none" w:sz="0" w:space="0" w:color="auto"/>
                <w:left w:val="none" w:sz="0" w:space="0" w:color="auto"/>
                <w:bottom w:val="none" w:sz="0" w:space="0" w:color="auto"/>
                <w:right w:val="none" w:sz="0" w:space="0" w:color="auto"/>
              </w:divBdr>
              <w:divsChild>
                <w:div w:id="69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2821">
      <w:bodyDiv w:val="1"/>
      <w:marLeft w:val="0"/>
      <w:marRight w:val="0"/>
      <w:marTop w:val="0"/>
      <w:marBottom w:val="0"/>
      <w:divBdr>
        <w:top w:val="none" w:sz="0" w:space="0" w:color="auto"/>
        <w:left w:val="none" w:sz="0" w:space="0" w:color="auto"/>
        <w:bottom w:val="none" w:sz="0" w:space="0" w:color="auto"/>
        <w:right w:val="none" w:sz="0" w:space="0" w:color="auto"/>
      </w:divBdr>
    </w:div>
    <w:div w:id="972713986">
      <w:bodyDiv w:val="1"/>
      <w:marLeft w:val="0"/>
      <w:marRight w:val="0"/>
      <w:marTop w:val="0"/>
      <w:marBottom w:val="0"/>
      <w:divBdr>
        <w:top w:val="none" w:sz="0" w:space="0" w:color="auto"/>
        <w:left w:val="none" w:sz="0" w:space="0" w:color="auto"/>
        <w:bottom w:val="none" w:sz="0" w:space="0" w:color="auto"/>
        <w:right w:val="none" w:sz="0" w:space="0" w:color="auto"/>
      </w:divBdr>
    </w:div>
    <w:div w:id="1048411912">
      <w:bodyDiv w:val="1"/>
      <w:marLeft w:val="0"/>
      <w:marRight w:val="0"/>
      <w:marTop w:val="0"/>
      <w:marBottom w:val="0"/>
      <w:divBdr>
        <w:top w:val="none" w:sz="0" w:space="0" w:color="auto"/>
        <w:left w:val="none" w:sz="0" w:space="0" w:color="auto"/>
        <w:bottom w:val="none" w:sz="0" w:space="0" w:color="auto"/>
        <w:right w:val="none" w:sz="0" w:space="0" w:color="auto"/>
      </w:divBdr>
      <w:divsChild>
        <w:div w:id="230966106">
          <w:marLeft w:val="1267"/>
          <w:marRight w:val="0"/>
          <w:marTop w:val="0"/>
          <w:marBottom w:val="0"/>
          <w:divBdr>
            <w:top w:val="none" w:sz="0" w:space="0" w:color="auto"/>
            <w:left w:val="none" w:sz="0" w:space="0" w:color="auto"/>
            <w:bottom w:val="none" w:sz="0" w:space="0" w:color="auto"/>
            <w:right w:val="none" w:sz="0" w:space="0" w:color="auto"/>
          </w:divBdr>
        </w:div>
        <w:div w:id="1864247155">
          <w:marLeft w:val="1267"/>
          <w:marRight w:val="0"/>
          <w:marTop w:val="0"/>
          <w:marBottom w:val="0"/>
          <w:divBdr>
            <w:top w:val="none" w:sz="0" w:space="0" w:color="auto"/>
            <w:left w:val="none" w:sz="0" w:space="0" w:color="auto"/>
            <w:bottom w:val="none" w:sz="0" w:space="0" w:color="auto"/>
            <w:right w:val="none" w:sz="0" w:space="0" w:color="auto"/>
          </w:divBdr>
        </w:div>
        <w:div w:id="1780904949">
          <w:marLeft w:val="1267"/>
          <w:marRight w:val="0"/>
          <w:marTop w:val="0"/>
          <w:marBottom w:val="0"/>
          <w:divBdr>
            <w:top w:val="none" w:sz="0" w:space="0" w:color="auto"/>
            <w:left w:val="none" w:sz="0" w:space="0" w:color="auto"/>
            <w:bottom w:val="none" w:sz="0" w:space="0" w:color="auto"/>
            <w:right w:val="none" w:sz="0" w:space="0" w:color="auto"/>
          </w:divBdr>
        </w:div>
        <w:div w:id="718746446">
          <w:marLeft w:val="1267"/>
          <w:marRight w:val="0"/>
          <w:marTop w:val="0"/>
          <w:marBottom w:val="0"/>
          <w:divBdr>
            <w:top w:val="none" w:sz="0" w:space="0" w:color="auto"/>
            <w:left w:val="none" w:sz="0" w:space="0" w:color="auto"/>
            <w:bottom w:val="none" w:sz="0" w:space="0" w:color="auto"/>
            <w:right w:val="none" w:sz="0" w:space="0" w:color="auto"/>
          </w:divBdr>
        </w:div>
      </w:divsChild>
    </w:div>
    <w:div w:id="1160578297">
      <w:bodyDiv w:val="1"/>
      <w:marLeft w:val="0"/>
      <w:marRight w:val="0"/>
      <w:marTop w:val="0"/>
      <w:marBottom w:val="0"/>
      <w:divBdr>
        <w:top w:val="none" w:sz="0" w:space="0" w:color="auto"/>
        <w:left w:val="none" w:sz="0" w:space="0" w:color="auto"/>
        <w:bottom w:val="none" w:sz="0" w:space="0" w:color="auto"/>
        <w:right w:val="none" w:sz="0" w:space="0" w:color="auto"/>
      </w:divBdr>
      <w:divsChild>
        <w:div w:id="130103210">
          <w:marLeft w:val="1267"/>
          <w:marRight w:val="0"/>
          <w:marTop w:val="0"/>
          <w:marBottom w:val="0"/>
          <w:divBdr>
            <w:top w:val="none" w:sz="0" w:space="0" w:color="auto"/>
            <w:left w:val="none" w:sz="0" w:space="0" w:color="auto"/>
            <w:bottom w:val="none" w:sz="0" w:space="0" w:color="auto"/>
            <w:right w:val="none" w:sz="0" w:space="0" w:color="auto"/>
          </w:divBdr>
        </w:div>
        <w:div w:id="1137334064">
          <w:marLeft w:val="1267"/>
          <w:marRight w:val="0"/>
          <w:marTop w:val="0"/>
          <w:marBottom w:val="0"/>
          <w:divBdr>
            <w:top w:val="none" w:sz="0" w:space="0" w:color="auto"/>
            <w:left w:val="none" w:sz="0" w:space="0" w:color="auto"/>
            <w:bottom w:val="none" w:sz="0" w:space="0" w:color="auto"/>
            <w:right w:val="none" w:sz="0" w:space="0" w:color="auto"/>
          </w:divBdr>
        </w:div>
        <w:div w:id="2094546862">
          <w:marLeft w:val="1267"/>
          <w:marRight w:val="0"/>
          <w:marTop w:val="0"/>
          <w:marBottom w:val="0"/>
          <w:divBdr>
            <w:top w:val="none" w:sz="0" w:space="0" w:color="auto"/>
            <w:left w:val="none" w:sz="0" w:space="0" w:color="auto"/>
            <w:bottom w:val="none" w:sz="0" w:space="0" w:color="auto"/>
            <w:right w:val="none" w:sz="0" w:space="0" w:color="auto"/>
          </w:divBdr>
        </w:div>
        <w:div w:id="1278949131">
          <w:marLeft w:val="1267"/>
          <w:marRight w:val="0"/>
          <w:marTop w:val="0"/>
          <w:marBottom w:val="0"/>
          <w:divBdr>
            <w:top w:val="none" w:sz="0" w:space="0" w:color="auto"/>
            <w:left w:val="none" w:sz="0" w:space="0" w:color="auto"/>
            <w:bottom w:val="none" w:sz="0" w:space="0" w:color="auto"/>
            <w:right w:val="none" w:sz="0" w:space="0" w:color="auto"/>
          </w:divBdr>
        </w:div>
      </w:divsChild>
    </w:div>
    <w:div w:id="1685935916">
      <w:bodyDiv w:val="1"/>
      <w:marLeft w:val="0"/>
      <w:marRight w:val="0"/>
      <w:marTop w:val="0"/>
      <w:marBottom w:val="0"/>
      <w:divBdr>
        <w:top w:val="none" w:sz="0" w:space="0" w:color="auto"/>
        <w:left w:val="none" w:sz="0" w:space="0" w:color="auto"/>
        <w:bottom w:val="none" w:sz="0" w:space="0" w:color="auto"/>
        <w:right w:val="none" w:sz="0" w:space="0" w:color="auto"/>
      </w:divBdr>
      <w:divsChild>
        <w:div w:id="104202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559476">
              <w:marLeft w:val="0"/>
              <w:marRight w:val="0"/>
              <w:marTop w:val="0"/>
              <w:marBottom w:val="0"/>
              <w:divBdr>
                <w:top w:val="none" w:sz="0" w:space="0" w:color="auto"/>
                <w:left w:val="none" w:sz="0" w:space="0" w:color="auto"/>
                <w:bottom w:val="none" w:sz="0" w:space="0" w:color="auto"/>
                <w:right w:val="none" w:sz="0" w:space="0" w:color="auto"/>
              </w:divBdr>
              <w:divsChild>
                <w:div w:id="683556435">
                  <w:marLeft w:val="0"/>
                  <w:marRight w:val="0"/>
                  <w:marTop w:val="0"/>
                  <w:marBottom w:val="0"/>
                  <w:divBdr>
                    <w:top w:val="none" w:sz="0" w:space="0" w:color="auto"/>
                    <w:left w:val="none" w:sz="0" w:space="0" w:color="auto"/>
                    <w:bottom w:val="none" w:sz="0" w:space="0" w:color="auto"/>
                    <w:right w:val="none" w:sz="0" w:space="0" w:color="auto"/>
                  </w:divBdr>
                  <w:divsChild>
                    <w:div w:id="567764786">
                      <w:marLeft w:val="0"/>
                      <w:marRight w:val="0"/>
                      <w:marTop w:val="0"/>
                      <w:marBottom w:val="0"/>
                      <w:divBdr>
                        <w:top w:val="none" w:sz="0" w:space="0" w:color="auto"/>
                        <w:left w:val="none" w:sz="0" w:space="0" w:color="auto"/>
                        <w:bottom w:val="none" w:sz="0" w:space="0" w:color="auto"/>
                        <w:right w:val="none" w:sz="0" w:space="0" w:color="auto"/>
                      </w:divBdr>
                      <w:divsChild>
                        <w:div w:id="825710749">
                          <w:marLeft w:val="0"/>
                          <w:marRight w:val="0"/>
                          <w:marTop w:val="0"/>
                          <w:marBottom w:val="0"/>
                          <w:divBdr>
                            <w:top w:val="none" w:sz="0" w:space="0" w:color="auto"/>
                            <w:left w:val="none" w:sz="0" w:space="0" w:color="auto"/>
                            <w:bottom w:val="none" w:sz="0" w:space="0" w:color="auto"/>
                            <w:right w:val="none" w:sz="0" w:space="0" w:color="auto"/>
                          </w:divBdr>
                        </w:div>
                      </w:divsChild>
                    </w:div>
                    <w:div w:id="1670214011">
                      <w:marLeft w:val="0"/>
                      <w:marRight w:val="0"/>
                      <w:marTop w:val="0"/>
                      <w:marBottom w:val="0"/>
                      <w:divBdr>
                        <w:top w:val="none" w:sz="0" w:space="0" w:color="auto"/>
                        <w:left w:val="none" w:sz="0" w:space="0" w:color="auto"/>
                        <w:bottom w:val="none" w:sz="0" w:space="0" w:color="auto"/>
                        <w:right w:val="none" w:sz="0" w:space="0" w:color="auto"/>
                      </w:divBdr>
                      <w:divsChild>
                        <w:div w:id="296305961">
                          <w:marLeft w:val="0"/>
                          <w:marRight w:val="0"/>
                          <w:marTop w:val="0"/>
                          <w:marBottom w:val="0"/>
                          <w:divBdr>
                            <w:top w:val="none" w:sz="0" w:space="0" w:color="auto"/>
                            <w:left w:val="none" w:sz="0" w:space="0" w:color="auto"/>
                            <w:bottom w:val="none" w:sz="0" w:space="0" w:color="auto"/>
                            <w:right w:val="none" w:sz="0" w:space="0" w:color="auto"/>
                          </w:divBdr>
                        </w:div>
                      </w:divsChild>
                    </w:div>
                    <w:div w:id="94249447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sChild>
                    </w:div>
                    <w:div w:id="963466855">
                      <w:marLeft w:val="0"/>
                      <w:marRight w:val="0"/>
                      <w:marTop w:val="0"/>
                      <w:marBottom w:val="0"/>
                      <w:divBdr>
                        <w:top w:val="none" w:sz="0" w:space="0" w:color="auto"/>
                        <w:left w:val="none" w:sz="0" w:space="0" w:color="auto"/>
                        <w:bottom w:val="none" w:sz="0" w:space="0" w:color="auto"/>
                        <w:right w:val="none" w:sz="0" w:space="0" w:color="auto"/>
                      </w:divBdr>
                      <w:divsChild>
                        <w:div w:id="873268109">
                          <w:marLeft w:val="0"/>
                          <w:marRight w:val="0"/>
                          <w:marTop w:val="0"/>
                          <w:marBottom w:val="0"/>
                          <w:divBdr>
                            <w:top w:val="none" w:sz="0" w:space="0" w:color="auto"/>
                            <w:left w:val="none" w:sz="0" w:space="0" w:color="auto"/>
                            <w:bottom w:val="none" w:sz="0" w:space="0" w:color="auto"/>
                            <w:right w:val="none" w:sz="0" w:space="0" w:color="auto"/>
                          </w:divBdr>
                        </w:div>
                      </w:divsChild>
                    </w:div>
                    <w:div w:id="1323193434">
                      <w:marLeft w:val="0"/>
                      <w:marRight w:val="0"/>
                      <w:marTop w:val="0"/>
                      <w:marBottom w:val="0"/>
                      <w:divBdr>
                        <w:top w:val="none" w:sz="0" w:space="0" w:color="auto"/>
                        <w:left w:val="none" w:sz="0" w:space="0" w:color="auto"/>
                        <w:bottom w:val="none" w:sz="0" w:space="0" w:color="auto"/>
                        <w:right w:val="none" w:sz="0" w:space="0" w:color="auto"/>
                      </w:divBdr>
                      <w:divsChild>
                        <w:div w:id="1508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47377">
      <w:bodyDiv w:val="1"/>
      <w:marLeft w:val="0"/>
      <w:marRight w:val="0"/>
      <w:marTop w:val="0"/>
      <w:marBottom w:val="0"/>
      <w:divBdr>
        <w:top w:val="none" w:sz="0" w:space="0" w:color="auto"/>
        <w:left w:val="none" w:sz="0" w:space="0" w:color="auto"/>
        <w:bottom w:val="none" w:sz="0" w:space="0" w:color="auto"/>
        <w:right w:val="none" w:sz="0" w:space="0" w:color="auto"/>
      </w:divBdr>
      <w:divsChild>
        <w:div w:id="598103499">
          <w:marLeft w:val="1267"/>
          <w:marRight w:val="0"/>
          <w:marTop w:val="0"/>
          <w:marBottom w:val="0"/>
          <w:divBdr>
            <w:top w:val="none" w:sz="0" w:space="0" w:color="auto"/>
            <w:left w:val="none" w:sz="0" w:space="0" w:color="auto"/>
            <w:bottom w:val="none" w:sz="0" w:space="0" w:color="auto"/>
            <w:right w:val="none" w:sz="0" w:space="0" w:color="auto"/>
          </w:divBdr>
        </w:div>
        <w:div w:id="1629580201">
          <w:marLeft w:val="1267"/>
          <w:marRight w:val="0"/>
          <w:marTop w:val="0"/>
          <w:marBottom w:val="0"/>
          <w:divBdr>
            <w:top w:val="none" w:sz="0" w:space="0" w:color="auto"/>
            <w:left w:val="none" w:sz="0" w:space="0" w:color="auto"/>
            <w:bottom w:val="none" w:sz="0" w:space="0" w:color="auto"/>
            <w:right w:val="none" w:sz="0" w:space="0" w:color="auto"/>
          </w:divBdr>
        </w:div>
        <w:div w:id="1393385558">
          <w:marLeft w:val="1267"/>
          <w:marRight w:val="0"/>
          <w:marTop w:val="0"/>
          <w:marBottom w:val="0"/>
          <w:divBdr>
            <w:top w:val="none" w:sz="0" w:space="0" w:color="auto"/>
            <w:left w:val="none" w:sz="0" w:space="0" w:color="auto"/>
            <w:bottom w:val="none" w:sz="0" w:space="0" w:color="auto"/>
            <w:right w:val="none" w:sz="0" w:space="0" w:color="auto"/>
          </w:divBdr>
        </w:div>
        <w:div w:id="1324620315">
          <w:marLeft w:val="1267"/>
          <w:marRight w:val="0"/>
          <w:marTop w:val="0"/>
          <w:marBottom w:val="0"/>
          <w:divBdr>
            <w:top w:val="none" w:sz="0" w:space="0" w:color="auto"/>
            <w:left w:val="none" w:sz="0" w:space="0" w:color="auto"/>
            <w:bottom w:val="none" w:sz="0" w:space="0" w:color="auto"/>
            <w:right w:val="none" w:sz="0" w:space="0" w:color="auto"/>
          </w:divBdr>
        </w:div>
        <w:div w:id="13776962">
          <w:marLeft w:val="1267"/>
          <w:marRight w:val="0"/>
          <w:marTop w:val="0"/>
          <w:marBottom w:val="0"/>
          <w:divBdr>
            <w:top w:val="none" w:sz="0" w:space="0" w:color="auto"/>
            <w:left w:val="none" w:sz="0" w:space="0" w:color="auto"/>
            <w:bottom w:val="none" w:sz="0" w:space="0" w:color="auto"/>
            <w:right w:val="none" w:sz="0" w:space="0" w:color="auto"/>
          </w:divBdr>
        </w:div>
      </w:divsChild>
    </w:div>
    <w:div w:id="1796367202">
      <w:bodyDiv w:val="1"/>
      <w:marLeft w:val="0"/>
      <w:marRight w:val="0"/>
      <w:marTop w:val="0"/>
      <w:marBottom w:val="0"/>
      <w:divBdr>
        <w:top w:val="none" w:sz="0" w:space="0" w:color="auto"/>
        <w:left w:val="none" w:sz="0" w:space="0" w:color="auto"/>
        <w:bottom w:val="none" w:sz="0" w:space="0" w:color="auto"/>
        <w:right w:val="none" w:sz="0" w:space="0" w:color="auto"/>
      </w:divBdr>
      <w:divsChild>
        <w:div w:id="389767502">
          <w:marLeft w:val="1987"/>
          <w:marRight w:val="0"/>
          <w:marTop w:val="0"/>
          <w:marBottom w:val="0"/>
          <w:divBdr>
            <w:top w:val="none" w:sz="0" w:space="0" w:color="auto"/>
            <w:left w:val="none" w:sz="0" w:space="0" w:color="auto"/>
            <w:bottom w:val="none" w:sz="0" w:space="0" w:color="auto"/>
            <w:right w:val="none" w:sz="0" w:space="0" w:color="auto"/>
          </w:divBdr>
        </w:div>
        <w:div w:id="1035929580">
          <w:marLeft w:val="198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TEMPLATES\Bank\Letter_dk.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B16FF-64B7-4E88-A339-4B5D3557E051}">
  <ds:schemaRefs>
    <ds:schemaRef ds:uri="http://schemas.microsoft.com/sharepoint/v3/contenttype/forms"/>
  </ds:schemaRefs>
</ds:datastoreItem>
</file>

<file path=customXml/itemProps2.xml><?xml version="1.0" encoding="utf-8"?>
<ds:datastoreItem xmlns:ds="http://schemas.openxmlformats.org/officeDocument/2006/customXml" ds:itemID="{28CFAE22-8B95-49D7-A5E3-9A500706D593}">
  <ds:schemaRefs>
    <ds:schemaRef ds:uri="http://schemas.openxmlformats.org/officeDocument/2006/bibliography"/>
  </ds:schemaRefs>
</ds:datastoreItem>
</file>

<file path=customXml/itemProps3.xml><?xml version="1.0" encoding="utf-8"?>
<ds:datastoreItem xmlns:ds="http://schemas.openxmlformats.org/officeDocument/2006/customXml" ds:itemID="{CA8EFFA8-5246-49DF-8EB8-6C50360C838C}"/>
</file>

<file path=customXml/itemProps4.xml><?xml version="1.0" encoding="utf-8"?>
<ds:datastoreItem xmlns:ds="http://schemas.openxmlformats.org/officeDocument/2006/customXml" ds:itemID="{798ACA77-3C27-4B17-87C5-48A0687AC87C}"/>
</file>

<file path=docProps/app.xml><?xml version="1.0" encoding="utf-8"?>
<Properties xmlns="http://schemas.openxmlformats.org/officeDocument/2006/extended-properties" xmlns:vt="http://schemas.openxmlformats.org/officeDocument/2006/docPropsVTypes">
  <Template>C:\APPS\TEMPLATES\Bank\Letter_dk.dot</Template>
  <TotalTime>0</TotalTime>
  <Pages>10</Pages>
  <Words>3671</Words>
  <Characters>18981</Characters>
  <Application>Microsoft Office Word</Application>
  <DocSecurity>4</DocSecurity>
  <Lines>158</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Nordea</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Administrator</dc:creator>
  <cp:lastModifiedBy>Alfred Ram</cp:lastModifiedBy>
  <cp:revision>2</cp:revision>
  <cp:lastPrinted>2015-10-22T09:34:00Z</cp:lastPrinted>
  <dcterms:created xsi:type="dcterms:W3CDTF">2023-03-02T15:52:00Z</dcterms:created>
  <dcterms:modified xsi:type="dcterms:W3CDTF">2023-03-02T15:52:00Z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Dansk</vt:lpwstr>
  </property>
  <property fmtid="{D5CDD505-2E9C-101B-9397-08002B2CF9AE}" pid="3" name="Letter">
    <vt:bool>true</vt:bool>
  </property>
  <property fmtid="{D5CDD505-2E9C-101B-9397-08002B2CF9AE}" pid="4" name="CursorPosition">
    <vt:lpwstr>Main Heading</vt:lpwstr>
  </property>
  <property fmtid="{D5CDD505-2E9C-101B-9397-08002B2CF9AE}" pid="5" name="ContentTypeId">
    <vt:lpwstr>0x010100A3CD8AE9B02F834195A39A8818C62C25</vt:lpwstr>
  </property>
</Properties>
</file>