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B36B" w14:textId="77777777" w:rsidR="009A194E" w:rsidRDefault="009A194E" w:rsidP="009A194E">
      <w:pPr>
        <w:rPr>
          <w:rStyle w:val="normaltextrun"/>
        </w:rPr>
      </w:pPr>
    </w:p>
    <w:p w14:paraId="2FF3098E" w14:textId="77777777" w:rsidR="009A194E" w:rsidRDefault="009A194E" w:rsidP="009A194E">
      <w:pPr>
        <w:tabs>
          <w:tab w:val="left" w:pos="7703"/>
        </w:tabs>
        <w:spacing w:line="264" w:lineRule="auto"/>
        <w:rPr>
          <w:rStyle w:val="normaltextrun"/>
        </w:rPr>
      </w:pPr>
      <w:r>
        <w:rPr>
          <w:rStyle w:val="normaltextrun"/>
        </w:rPr>
        <w:tab/>
      </w:r>
    </w:p>
    <w:p w14:paraId="19C265D4" w14:textId="77777777" w:rsidR="009A194E" w:rsidRDefault="009A194E" w:rsidP="009A194E">
      <w:pPr>
        <w:spacing w:line="264" w:lineRule="auto"/>
        <w:rPr>
          <w:rStyle w:val="normaltextrun"/>
        </w:rPr>
      </w:pPr>
    </w:p>
    <w:p w14:paraId="51C9364E" w14:textId="77777777" w:rsidR="009A194E" w:rsidRDefault="009A194E" w:rsidP="009A194E">
      <w:pPr>
        <w:spacing w:line="264" w:lineRule="auto"/>
        <w:rPr>
          <w:rStyle w:val="normaltextrun"/>
        </w:rPr>
      </w:pPr>
    </w:p>
    <w:p w14:paraId="0170BCAB" w14:textId="32337C49" w:rsidR="009A194E" w:rsidRPr="00C91010" w:rsidRDefault="009A194E" w:rsidP="009A194E">
      <w:pPr>
        <w:pStyle w:val="Title"/>
        <w:spacing w:before="0" w:line="240" w:lineRule="auto"/>
        <w:jc w:val="center"/>
        <w:rPr>
          <w:rFonts w:asciiTheme="minorHAnsi" w:hAnsiTheme="minorHAnsi" w:cstheme="minorHAnsi"/>
          <w:color w:val="4472C4" w:themeColor="accent1"/>
          <w:sz w:val="28"/>
          <w:szCs w:val="28"/>
          <w:lang w:val="en-GB"/>
        </w:rPr>
      </w:pPr>
      <w:r w:rsidRPr="00C768F9">
        <w:rPr>
          <w:rFonts w:asciiTheme="minorHAnsi" w:hAnsiTheme="minorHAnsi"/>
          <w:color w:val="0070C0"/>
          <w:sz w:val="28"/>
          <w:szCs w:val="28"/>
        </w:rPr>
        <w:t xml:space="preserve">ICC comments in response to </w:t>
      </w:r>
      <w:r>
        <w:rPr>
          <w:rFonts w:asciiTheme="minorHAnsi" w:hAnsiTheme="minorHAnsi"/>
          <w:color w:val="0070C0"/>
          <w:sz w:val="28"/>
          <w:szCs w:val="28"/>
        </w:rPr>
        <w:t xml:space="preserve">IASB </w:t>
      </w:r>
      <w:r w:rsidRPr="009A194E">
        <w:rPr>
          <w:rFonts w:asciiTheme="minorHAnsi" w:hAnsiTheme="minorHAnsi"/>
          <w:color w:val="0070C0"/>
          <w:sz w:val="28"/>
          <w:szCs w:val="28"/>
        </w:rPr>
        <w:t>Proposed amendments to IAS 12</w:t>
      </w:r>
    </w:p>
    <w:p w14:paraId="5D0297A7" w14:textId="77777777" w:rsidR="009A194E" w:rsidRPr="00C91010" w:rsidRDefault="009A194E" w:rsidP="009A194E">
      <w:pPr>
        <w:rPr>
          <w:lang w:val="en-GB"/>
        </w:rPr>
      </w:pPr>
    </w:p>
    <w:p w14:paraId="4780CFF7" w14:textId="77777777" w:rsidR="009A194E" w:rsidRPr="00F779F0" w:rsidRDefault="009A194E" w:rsidP="009A194E">
      <w:pPr>
        <w:spacing w:after="0"/>
        <w:rPr>
          <w:color w:val="auto"/>
          <w:sz w:val="22"/>
          <w:szCs w:val="22"/>
        </w:rPr>
      </w:pPr>
    </w:p>
    <w:p w14:paraId="33B7040F" w14:textId="4115F287" w:rsidR="009A194E" w:rsidRPr="009055D7" w:rsidRDefault="009A194E" w:rsidP="009A194E">
      <w:pPr>
        <w:spacing w:after="0"/>
        <w:contextualSpacing/>
        <w:jc w:val="both"/>
        <w:rPr>
          <w:rFonts w:cs="Arial"/>
          <w:color w:val="auto"/>
          <w:szCs w:val="20"/>
        </w:rPr>
      </w:pPr>
      <w:r w:rsidRPr="009055D7">
        <w:rPr>
          <w:rFonts w:cs="Arial"/>
          <w:color w:val="auto"/>
          <w:szCs w:val="20"/>
        </w:rPr>
        <w:t xml:space="preserve">The International Chamber of Commerce (ICC), as the world business organization speaking with authority on behalf of enterprises from all sectors in every part of the world, appreciates the opportunity to provide input on the </w:t>
      </w:r>
      <w:hyperlink r:id="rId10" w:anchor="consultation" w:history="1">
        <w:r w:rsidRPr="009055D7">
          <w:rPr>
            <w:rStyle w:val="Hyperlink"/>
            <w:rFonts w:cs="Arial"/>
            <w:szCs w:val="20"/>
          </w:rPr>
          <w:t>IASB proposed amendments to IAS 12</w:t>
        </w:r>
      </w:hyperlink>
      <w:r w:rsidRPr="009055D7">
        <w:rPr>
          <w:rFonts w:cs="Arial"/>
          <w:color w:val="auto"/>
          <w:szCs w:val="20"/>
        </w:rPr>
        <w:t xml:space="preserve">. ICC advocates for a consistent global tax system, founded on the premise that stability, </w:t>
      </w:r>
      <w:proofErr w:type="gramStart"/>
      <w:r w:rsidRPr="009055D7">
        <w:rPr>
          <w:rFonts w:cs="Arial"/>
          <w:color w:val="auto"/>
          <w:szCs w:val="20"/>
        </w:rPr>
        <w:t>certainty</w:t>
      </w:r>
      <w:proofErr w:type="gramEnd"/>
      <w:r w:rsidRPr="009055D7">
        <w:rPr>
          <w:rFonts w:cs="Arial"/>
          <w:color w:val="auto"/>
          <w:szCs w:val="20"/>
        </w:rPr>
        <w:t xml:space="preserve"> and consistency in global tax principles are essential for business and will foster cross-border trade and investment. ICC is also an established arbitral institution through its International Court of Arbitration and provides other dispute resolution mechanisms through its International Centre for Alternative Dispute Resolution. </w:t>
      </w:r>
    </w:p>
    <w:p w14:paraId="51205EEC" w14:textId="6BAE504D" w:rsidR="009A194E" w:rsidRPr="009055D7" w:rsidRDefault="009A194E" w:rsidP="009A194E">
      <w:pPr>
        <w:pStyle w:val="NormalWeb"/>
        <w:shd w:val="clear" w:color="auto" w:fill="FFFFFF"/>
        <w:jc w:val="both"/>
        <w:rPr>
          <w:rFonts w:ascii="Gellix" w:hAnsi="Gellix"/>
          <w:sz w:val="20"/>
          <w:szCs w:val="20"/>
        </w:rPr>
      </w:pPr>
      <w:r w:rsidRPr="009055D7">
        <w:rPr>
          <w:rFonts w:ascii="Gellix" w:hAnsi="Gellix" w:cs="Arial"/>
          <w:sz w:val="20"/>
          <w:szCs w:val="20"/>
        </w:rPr>
        <w:t xml:space="preserve">ICC appreciates the work undertaken by IASB in </w:t>
      </w:r>
      <w:r w:rsidRPr="009055D7">
        <w:rPr>
          <w:rFonts w:ascii="Gellix" w:hAnsi="Gellix"/>
          <w:sz w:val="20"/>
          <w:szCs w:val="20"/>
        </w:rPr>
        <w:t>responding to stakeholders’ concerns about the potential implications of Pillar Two rules for the accounting for income tax in</w:t>
      </w:r>
      <w:r w:rsidR="00654BFD">
        <w:rPr>
          <w:rFonts w:ascii="Gellix" w:hAnsi="Gellix"/>
          <w:sz w:val="20"/>
          <w:szCs w:val="20"/>
        </w:rPr>
        <w:t xml:space="preserve"> the</w:t>
      </w:r>
      <w:r w:rsidRPr="009055D7">
        <w:rPr>
          <w:rFonts w:ascii="Gellix" w:hAnsi="Gellix"/>
          <w:sz w:val="20"/>
          <w:szCs w:val="20"/>
        </w:rPr>
        <w:t xml:space="preserve"> financial statement. </w:t>
      </w:r>
    </w:p>
    <w:p w14:paraId="3D53BDEB" w14:textId="77777777" w:rsidR="006A7136" w:rsidRDefault="00F779F0" w:rsidP="00F779F0">
      <w:pPr>
        <w:jc w:val="both"/>
        <w:rPr>
          <w:rFonts w:eastAsia="Times New Roman"/>
          <w:color w:val="auto"/>
          <w:szCs w:val="20"/>
        </w:rPr>
      </w:pPr>
      <w:r w:rsidRPr="009055D7">
        <w:rPr>
          <w:rFonts w:eastAsia="Times New Roman"/>
          <w:color w:val="auto"/>
          <w:szCs w:val="20"/>
        </w:rPr>
        <w:t xml:space="preserve">Indeed, the complexity of Pillar Two requires close examination of </w:t>
      </w:r>
      <w:r w:rsidRPr="009055D7">
        <w:rPr>
          <w:color w:val="auto"/>
          <w:szCs w:val="20"/>
        </w:rPr>
        <w:t xml:space="preserve">whether, and how, deferred tax should be recognized and measured under this new framework. </w:t>
      </w:r>
      <w:r w:rsidRPr="009055D7">
        <w:rPr>
          <w:rFonts w:eastAsia="Times New Roman"/>
          <w:color w:val="auto"/>
          <w:szCs w:val="20"/>
        </w:rPr>
        <w:t xml:space="preserve">Thus, </w:t>
      </w:r>
      <w:r w:rsidR="005834EA" w:rsidRPr="009055D7">
        <w:rPr>
          <w:color w:val="auto"/>
          <w:szCs w:val="20"/>
        </w:rPr>
        <w:t>ICC welcomes the proposed amendments</w:t>
      </w:r>
      <w:r w:rsidR="005834EA">
        <w:rPr>
          <w:szCs w:val="20"/>
        </w:rPr>
        <w:t xml:space="preserve"> which</w:t>
      </w:r>
      <w:r w:rsidR="005834EA" w:rsidRPr="009055D7">
        <w:rPr>
          <w:color w:val="auto"/>
          <w:szCs w:val="20"/>
        </w:rPr>
        <w:t xml:space="preserve"> aim to provide temporary relief from accounting for deferred taxes arising from the imminent implementation of the OECD </w:t>
      </w:r>
      <w:r w:rsidR="005834EA">
        <w:rPr>
          <w:szCs w:val="20"/>
        </w:rPr>
        <w:t xml:space="preserve">Pillar Two model rules </w:t>
      </w:r>
      <w:r w:rsidR="005834EA" w:rsidRPr="009055D7">
        <w:rPr>
          <w:color w:val="auto"/>
          <w:szCs w:val="20"/>
        </w:rPr>
        <w:t>and</w:t>
      </w:r>
      <w:r w:rsidR="00D82C84">
        <w:rPr>
          <w:color w:val="auto"/>
          <w:szCs w:val="20"/>
        </w:rPr>
        <w:t xml:space="preserve"> </w:t>
      </w:r>
      <w:r w:rsidR="003C2AC7" w:rsidRPr="009055D7">
        <w:rPr>
          <w:rFonts w:eastAsia="Times New Roman"/>
          <w:color w:val="auto"/>
          <w:szCs w:val="20"/>
        </w:rPr>
        <w:t xml:space="preserve">ICC </w:t>
      </w:r>
      <w:r w:rsidR="003C2AC7">
        <w:rPr>
          <w:rFonts w:eastAsia="Times New Roman"/>
          <w:color w:val="auto"/>
          <w:szCs w:val="20"/>
        </w:rPr>
        <w:t>fully</w:t>
      </w:r>
      <w:r w:rsidR="003C2AC7" w:rsidRPr="009055D7">
        <w:rPr>
          <w:rFonts w:eastAsia="Times New Roman"/>
          <w:color w:val="auto"/>
          <w:szCs w:val="20"/>
        </w:rPr>
        <w:t xml:space="preserve"> support</w:t>
      </w:r>
      <w:r w:rsidR="00EF4183">
        <w:rPr>
          <w:rFonts w:eastAsia="Times New Roman"/>
          <w:color w:val="auto"/>
          <w:szCs w:val="20"/>
        </w:rPr>
        <w:t>s</w:t>
      </w:r>
      <w:r w:rsidR="003C2AC7" w:rsidRPr="009055D7">
        <w:rPr>
          <w:rFonts w:eastAsia="Times New Roman"/>
          <w:color w:val="auto"/>
          <w:szCs w:val="20"/>
        </w:rPr>
        <w:t xml:space="preserve"> the temporary exception from deferred tax accounting</w:t>
      </w:r>
      <w:r w:rsidR="006A7136">
        <w:rPr>
          <w:rFonts w:eastAsia="Times New Roman"/>
          <w:color w:val="auto"/>
          <w:szCs w:val="20"/>
        </w:rPr>
        <w:t xml:space="preserve">. </w:t>
      </w:r>
    </w:p>
    <w:p w14:paraId="4887DECB" w14:textId="51AD76DF" w:rsidR="009A194E" w:rsidRPr="009055D7" w:rsidRDefault="006A7136" w:rsidP="006A7136">
      <w:pPr>
        <w:jc w:val="both"/>
        <w:rPr>
          <w:rFonts w:cs="Arial"/>
          <w:b/>
          <w:color w:val="0070C0"/>
          <w:szCs w:val="20"/>
          <w:u w:val="single"/>
        </w:rPr>
      </w:pPr>
      <w:r>
        <w:rPr>
          <w:rFonts w:eastAsia="Times New Roman"/>
          <w:color w:val="auto"/>
          <w:szCs w:val="20"/>
        </w:rPr>
        <w:t>However,</w:t>
      </w:r>
      <w:r w:rsidR="00D82C84">
        <w:rPr>
          <w:rFonts w:eastAsia="Times New Roman"/>
          <w:color w:val="auto"/>
          <w:szCs w:val="20"/>
        </w:rPr>
        <w:t xml:space="preserve"> there are important </w:t>
      </w:r>
      <w:r w:rsidR="00F779F0" w:rsidRPr="009055D7">
        <w:rPr>
          <w:rFonts w:eastAsia="Times New Roman"/>
          <w:color w:val="auto"/>
          <w:szCs w:val="20"/>
        </w:rPr>
        <w:t>concerns in relation to the disclosure rules and requirements</w:t>
      </w:r>
      <w:r w:rsidR="00D82C84">
        <w:rPr>
          <w:rFonts w:eastAsia="Times New Roman"/>
          <w:color w:val="auto"/>
          <w:szCs w:val="20"/>
        </w:rPr>
        <w:t xml:space="preserve"> that we believe should be </w:t>
      </w:r>
      <w:r w:rsidR="00926397">
        <w:rPr>
          <w:rFonts w:eastAsia="Times New Roman"/>
          <w:color w:val="auto"/>
          <w:szCs w:val="20"/>
        </w:rPr>
        <w:t>addressed.</w:t>
      </w:r>
      <w:r>
        <w:rPr>
          <w:rFonts w:eastAsia="Times New Roman"/>
          <w:color w:val="auto"/>
          <w:szCs w:val="20"/>
        </w:rPr>
        <w:t xml:space="preserve"> Consequently, we are grateful for the opportunity to submit the following comments.</w:t>
      </w:r>
    </w:p>
    <w:p w14:paraId="1F7AECB6" w14:textId="77777777" w:rsidR="009A194E" w:rsidRPr="009055D7" w:rsidRDefault="009A194E" w:rsidP="009A194E">
      <w:pPr>
        <w:spacing w:after="0"/>
        <w:contextualSpacing/>
        <w:rPr>
          <w:rFonts w:cs="Arial"/>
          <w:szCs w:val="20"/>
        </w:rPr>
      </w:pPr>
    </w:p>
    <w:p w14:paraId="718E839E" w14:textId="77777777" w:rsidR="00654E2C" w:rsidRPr="009055D7" w:rsidRDefault="00654E2C" w:rsidP="00654E2C">
      <w:pPr>
        <w:spacing w:after="0"/>
        <w:contextualSpacing/>
        <w:rPr>
          <w:rFonts w:cs="Arial"/>
          <w:b/>
          <w:bCs/>
          <w:color w:val="0070C0"/>
          <w:szCs w:val="20"/>
        </w:rPr>
      </w:pPr>
      <w:r w:rsidRPr="009055D7">
        <w:rPr>
          <w:rFonts w:cs="Arial"/>
          <w:b/>
          <w:bCs/>
          <w:color w:val="0070C0"/>
          <w:szCs w:val="20"/>
        </w:rPr>
        <w:t xml:space="preserve">General </w:t>
      </w:r>
      <w:r w:rsidR="009A194E" w:rsidRPr="009055D7">
        <w:rPr>
          <w:rFonts w:cs="Arial"/>
          <w:b/>
          <w:bCs/>
          <w:color w:val="0070C0"/>
          <w:szCs w:val="20"/>
        </w:rPr>
        <w:t xml:space="preserve">Comments on </w:t>
      </w:r>
      <w:r w:rsidRPr="009055D7">
        <w:rPr>
          <w:rFonts w:cs="Arial"/>
          <w:b/>
          <w:bCs/>
          <w:color w:val="0070C0"/>
          <w:szCs w:val="20"/>
        </w:rPr>
        <w:t xml:space="preserve">IASB proposed amendments to IAS 12 </w:t>
      </w:r>
    </w:p>
    <w:p w14:paraId="0405ED9D" w14:textId="77777777" w:rsidR="00654E2C" w:rsidRPr="009055D7" w:rsidRDefault="00654E2C" w:rsidP="00654E2C">
      <w:pPr>
        <w:spacing w:after="0"/>
        <w:contextualSpacing/>
        <w:rPr>
          <w:rFonts w:cs="Arial"/>
          <w:b/>
          <w:bCs/>
          <w:color w:val="0070C0"/>
          <w:szCs w:val="20"/>
        </w:rPr>
      </w:pPr>
    </w:p>
    <w:p w14:paraId="6DF90DD7" w14:textId="06B62E18" w:rsidR="00881B10" w:rsidRPr="006A7136" w:rsidRDefault="00644CAE" w:rsidP="00471817">
      <w:pPr>
        <w:jc w:val="both"/>
        <w:rPr>
          <w:b/>
          <w:bCs/>
          <w:color w:val="auto"/>
          <w:szCs w:val="20"/>
        </w:rPr>
      </w:pPr>
      <w:r w:rsidRPr="009055D7">
        <w:rPr>
          <w:color w:val="auto"/>
          <w:szCs w:val="20"/>
        </w:rPr>
        <w:t>ICC members would like to raise a general concern on the scope of the exemption</w:t>
      </w:r>
      <w:r w:rsidR="00BE3AA9" w:rsidRPr="009055D7">
        <w:rPr>
          <w:color w:val="auto"/>
          <w:szCs w:val="20"/>
        </w:rPr>
        <w:t>. From the wording of the proposal</w:t>
      </w:r>
      <w:r w:rsidR="006A7136">
        <w:rPr>
          <w:color w:val="auto"/>
          <w:szCs w:val="20"/>
        </w:rPr>
        <w:t>,</w:t>
      </w:r>
      <w:r w:rsidR="00BE3AA9" w:rsidRPr="009055D7">
        <w:rPr>
          <w:color w:val="auto"/>
          <w:szCs w:val="20"/>
        </w:rPr>
        <w:t xml:space="preserve"> </w:t>
      </w:r>
      <w:r w:rsidR="00BE3AA9" w:rsidRPr="006A7136">
        <w:rPr>
          <w:b/>
          <w:bCs/>
          <w:color w:val="auto"/>
          <w:szCs w:val="20"/>
        </w:rPr>
        <w:t>it is unclear</w:t>
      </w:r>
      <w:r w:rsidR="00F914EC" w:rsidRPr="006A7136">
        <w:rPr>
          <w:b/>
          <w:bCs/>
          <w:color w:val="auto"/>
          <w:szCs w:val="20"/>
        </w:rPr>
        <w:t xml:space="preserve"> whether </w:t>
      </w:r>
      <w:r w:rsidR="00881B10" w:rsidRPr="006A7136">
        <w:rPr>
          <w:b/>
          <w:bCs/>
          <w:color w:val="auto"/>
          <w:szCs w:val="20"/>
        </w:rPr>
        <w:t xml:space="preserve">all top up taxes arising from Pillar </w:t>
      </w:r>
      <w:r w:rsidR="00BE3AA9" w:rsidRPr="006A7136">
        <w:rPr>
          <w:b/>
          <w:bCs/>
          <w:color w:val="auto"/>
          <w:szCs w:val="20"/>
        </w:rPr>
        <w:t>Two</w:t>
      </w:r>
      <w:r w:rsidR="00F914EC" w:rsidRPr="006A7136">
        <w:rPr>
          <w:b/>
          <w:bCs/>
          <w:color w:val="auto"/>
          <w:szCs w:val="20"/>
        </w:rPr>
        <w:t xml:space="preserve"> will be falling under the scope of the exemption. </w:t>
      </w:r>
    </w:p>
    <w:p w14:paraId="66FA83DF" w14:textId="5D5C2E62" w:rsidR="00A96650" w:rsidRPr="009055D7" w:rsidRDefault="00A96650" w:rsidP="00471817">
      <w:pPr>
        <w:jc w:val="both"/>
        <w:rPr>
          <w:rFonts w:ascii="Calibri" w:eastAsiaTheme="minorEastAsia" w:hAnsi="Calibri"/>
          <w:color w:val="auto"/>
          <w:szCs w:val="20"/>
          <w:lang w:val="en-GB" w:eastAsia="zh-CN"/>
        </w:rPr>
      </w:pPr>
      <w:r w:rsidRPr="009055D7">
        <w:rPr>
          <w:color w:val="auto"/>
          <w:szCs w:val="20"/>
        </w:rPr>
        <w:t xml:space="preserve">More specifically, </w:t>
      </w:r>
      <w:r w:rsidR="003C05F5" w:rsidRPr="009055D7">
        <w:rPr>
          <w:color w:val="auto"/>
          <w:szCs w:val="20"/>
        </w:rPr>
        <w:t xml:space="preserve">from the wording of </w:t>
      </w:r>
      <w:r w:rsidRPr="009055D7">
        <w:rPr>
          <w:color w:val="auto"/>
          <w:szCs w:val="20"/>
        </w:rPr>
        <w:t xml:space="preserve">paragraph 4 A, </w:t>
      </w:r>
      <w:r w:rsidR="003C05F5" w:rsidRPr="009055D7">
        <w:rPr>
          <w:color w:val="auto"/>
          <w:szCs w:val="20"/>
        </w:rPr>
        <w:t xml:space="preserve">it is not clear whether all top-up taxes arising from </w:t>
      </w:r>
      <w:r w:rsidR="00146029" w:rsidRPr="009055D7">
        <w:rPr>
          <w:color w:val="auto"/>
          <w:szCs w:val="20"/>
        </w:rPr>
        <w:t>Pillar Two rules will be within the scope of IAS 12 at other than at a G</w:t>
      </w:r>
      <w:r w:rsidR="008D1A29" w:rsidRPr="009055D7">
        <w:rPr>
          <w:color w:val="auto"/>
          <w:szCs w:val="20"/>
        </w:rPr>
        <w:t xml:space="preserve">roup consolidated financial statements level. </w:t>
      </w:r>
      <w:r w:rsidRPr="009055D7">
        <w:rPr>
          <w:color w:val="auto"/>
          <w:szCs w:val="20"/>
        </w:rPr>
        <w:t xml:space="preserve"> </w:t>
      </w:r>
    </w:p>
    <w:p w14:paraId="44F92DB9" w14:textId="01018D64" w:rsidR="00881B10" w:rsidRPr="009055D7" w:rsidRDefault="00471817" w:rsidP="00471817">
      <w:pPr>
        <w:jc w:val="both"/>
        <w:rPr>
          <w:color w:val="auto"/>
          <w:szCs w:val="20"/>
        </w:rPr>
      </w:pPr>
      <w:r w:rsidRPr="009055D7">
        <w:rPr>
          <w:color w:val="auto"/>
          <w:szCs w:val="20"/>
        </w:rPr>
        <w:t>Moreover, t</w:t>
      </w:r>
      <w:r w:rsidR="00881B10" w:rsidRPr="009055D7">
        <w:rPr>
          <w:color w:val="auto"/>
          <w:szCs w:val="20"/>
        </w:rPr>
        <w:t xml:space="preserve">op-up taxes under the IIR and UTPR rules that are paid by an intermediary entity on behalf of the group parent entity or other group entity may not be in scope of IAS 12 in the payer’s separate financial statements. If, in preparing separate or subsidiaries’ financial statements, preparers judge that top up taxes are outside the scope of IAS 12, amendments would not apply, and could not be used by preparers. </w:t>
      </w:r>
    </w:p>
    <w:p w14:paraId="4ABBC64F" w14:textId="395FA4EE" w:rsidR="0080333A" w:rsidRPr="009055D7" w:rsidRDefault="0080333A" w:rsidP="00471817">
      <w:pPr>
        <w:jc w:val="both"/>
        <w:rPr>
          <w:color w:val="auto"/>
          <w:szCs w:val="20"/>
        </w:rPr>
      </w:pPr>
      <w:r w:rsidRPr="009055D7">
        <w:rPr>
          <w:color w:val="auto"/>
          <w:szCs w:val="20"/>
        </w:rPr>
        <w:lastRenderedPageBreak/>
        <w:t xml:space="preserve">According to ICC members, </w:t>
      </w:r>
      <w:r w:rsidR="0049015C" w:rsidRPr="002C4D4C">
        <w:rPr>
          <w:b/>
          <w:bCs/>
          <w:color w:val="auto"/>
          <w:szCs w:val="20"/>
        </w:rPr>
        <w:t>information about Pillar Two top-up taxes would be more useful to readers if they are all treated in the same way</w:t>
      </w:r>
      <w:r w:rsidR="00AD0838" w:rsidRPr="009055D7">
        <w:rPr>
          <w:color w:val="auto"/>
          <w:szCs w:val="20"/>
        </w:rPr>
        <w:t xml:space="preserve"> – this includes recognition, measurement, </w:t>
      </w:r>
      <w:proofErr w:type="gramStart"/>
      <w:r w:rsidR="00AD0838" w:rsidRPr="009055D7">
        <w:rPr>
          <w:color w:val="auto"/>
          <w:szCs w:val="20"/>
        </w:rPr>
        <w:t>presentation</w:t>
      </w:r>
      <w:proofErr w:type="gramEnd"/>
      <w:r w:rsidR="00AD0838" w:rsidRPr="009055D7">
        <w:rPr>
          <w:color w:val="auto"/>
          <w:szCs w:val="20"/>
        </w:rPr>
        <w:t xml:space="preserve"> and disclosures. </w:t>
      </w:r>
    </w:p>
    <w:p w14:paraId="54392D45" w14:textId="0B279A34" w:rsidR="00881B10" w:rsidRPr="009055D7" w:rsidRDefault="009E57F2" w:rsidP="00C56F20">
      <w:pPr>
        <w:spacing w:after="0"/>
        <w:jc w:val="both"/>
        <w:rPr>
          <w:color w:val="auto"/>
          <w:szCs w:val="20"/>
        </w:rPr>
      </w:pPr>
      <w:r w:rsidRPr="009055D7">
        <w:rPr>
          <w:color w:val="auto"/>
          <w:szCs w:val="20"/>
        </w:rPr>
        <w:t xml:space="preserve">Conversely, </w:t>
      </w:r>
      <w:r w:rsidR="00881B10" w:rsidRPr="009055D7">
        <w:rPr>
          <w:color w:val="auto"/>
          <w:szCs w:val="20"/>
        </w:rPr>
        <w:t xml:space="preserve">if some top-up taxes are instead classified as non-income taxes, they would be accounted for, </w:t>
      </w:r>
      <w:proofErr w:type="gramStart"/>
      <w:r w:rsidR="00881B10" w:rsidRPr="009055D7">
        <w:rPr>
          <w:color w:val="auto"/>
          <w:szCs w:val="20"/>
        </w:rPr>
        <w:t>presented</w:t>
      </w:r>
      <w:proofErr w:type="gramEnd"/>
      <w:r w:rsidR="00881B10" w:rsidRPr="009055D7">
        <w:rPr>
          <w:color w:val="auto"/>
          <w:szCs w:val="20"/>
        </w:rPr>
        <w:t xml:space="preserve"> and disclosed in accordance with IAS 37 </w:t>
      </w:r>
      <w:r w:rsidR="00881B10" w:rsidRPr="009055D7">
        <w:rPr>
          <w:i/>
          <w:iCs/>
          <w:color w:val="auto"/>
          <w:szCs w:val="20"/>
        </w:rPr>
        <w:t>Provisions, Contingent Liabilities and Contingent Assets</w:t>
      </w:r>
      <w:r w:rsidR="00881B10" w:rsidRPr="009055D7">
        <w:rPr>
          <w:color w:val="auto"/>
          <w:szCs w:val="20"/>
        </w:rPr>
        <w:t xml:space="preserve"> rather than in accordance with IAS 12. </w:t>
      </w:r>
      <w:r w:rsidR="00C56F20" w:rsidRPr="009055D7">
        <w:rPr>
          <w:color w:val="auto"/>
          <w:szCs w:val="20"/>
        </w:rPr>
        <w:t>Consequently, t</w:t>
      </w:r>
      <w:r w:rsidR="00881B10" w:rsidRPr="009055D7">
        <w:rPr>
          <w:color w:val="auto"/>
          <w:szCs w:val="20"/>
        </w:rPr>
        <w:t xml:space="preserve">he measurement and the presentation </w:t>
      </w:r>
      <w:r w:rsidR="00C56F20" w:rsidRPr="009055D7">
        <w:rPr>
          <w:color w:val="auto"/>
          <w:szCs w:val="20"/>
        </w:rPr>
        <w:t xml:space="preserve">will be </w:t>
      </w:r>
      <w:r w:rsidR="00881B10" w:rsidRPr="009055D7">
        <w:rPr>
          <w:color w:val="auto"/>
          <w:szCs w:val="20"/>
        </w:rPr>
        <w:t xml:space="preserve">very different – for </w:t>
      </w:r>
      <w:r w:rsidR="00C56F20" w:rsidRPr="009055D7">
        <w:rPr>
          <w:color w:val="auto"/>
          <w:szCs w:val="20"/>
        </w:rPr>
        <w:t xml:space="preserve">instance, </w:t>
      </w:r>
      <w:r w:rsidR="00881B10" w:rsidRPr="009055D7">
        <w:rPr>
          <w:color w:val="auto"/>
          <w:szCs w:val="20"/>
        </w:rPr>
        <w:t>they would be included in operating expenses not the tax line.</w:t>
      </w:r>
    </w:p>
    <w:p w14:paraId="5103BADE" w14:textId="77777777" w:rsidR="005C07EF" w:rsidRPr="009055D7" w:rsidRDefault="005C07EF" w:rsidP="00C56F20">
      <w:pPr>
        <w:spacing w:after="0"/>
        <w:jc w:val="both"/>
        <w:rPr>
          <w:color w:val="auto"/>
          <w:szCs w:val="20"/>
        </w:rPr>
      </w:pPr>
    </w:p>
    <w:p w14:paraId="51A20F5F" w14:textId="553A4018" w:rsidR="00881B10" w:rsidRPr="009055D7" w:rsidRDefault="005C07EF" w:rsidP="00D06623">
      <w:pPr>
        <w:spacing w:after="0"/>
        <w:jc w:val="both"/>
        <w:rPr>
          <w:color w:val="auto"/>
          <w:szCs w:val="20"/>
        </w:rPr>
      </w:pPr>
      <w:r w:rsidRPr="009055D7">
        <w:rPr>
          <w:color w:val="auto"/>
          <w:szCs w:val="20"/>
        </w:rPr>
        <w:t xml:space="preserve">For the all the </w:t>
      </w:r>
      <w:r w:rsidR="00D22981">
        <w:rPr>
          <w:color w:val="auto"/>
          <w:szCs w:val="20"/>
        </w:rPr>
        <w:t xml:space="preserve">above </w:t>
      </w:r>
      <w:r w:rsidRPr="009055D7">
        <w:rPr>
          <w:color w:val="auto"/>
          <w:szCs w:val="20"/>
        </w:rPr>
        <w:t xml:space="preserve">reasons, </w:t>
      </w:r>
      <w:r w:rsidR="002671AA" w:rsidRPr="002C4D4C">
        <w:rPr>
          <w:b/>
          <w:bCs/>
          <w:color w:val="auto"/>
          <w:szCs w:val="20"/>
        </w:rPr>
        <w:t>ICC members would like to respect</w:t>
      </w:r>
      <w:r w:rsidR="00D06623" w:rsidRPr="002C4D4C">
        <w:rPr>
          <w:b/>
          <w:bCs/>
          <w:color w:val="auto"/>
          <w:szCs w:val="20"/>
        </w:rPr>
        <w:t xml:space="preserve">fully invite </w:t>
      </w:r>
      <w:r w:rsidR="00881B10" w:rsidRPr="002C4D4C">
        <w:rPr>
          <w:b/>
          <w:bCs/>
          <w:color w:val="auto"/>
          <w:szCs w:val="20"/>
        </w:rPr>
        <w:t xml:space="preserve">the IASB </w:t>
      </w:r>
      <w:r w:rsidR="00D06623" w:rsidRPr="002C4D4C">
        <w:rPr>
          <w:b/>
          <w:bCs/>
          <w:color w:val="auto"/>
          <w:szCs w:val="20"/>
        </w:rPr>
        <w:t>to</w:t>
      </w:r>
      <w:r w:rsidR="00881B10" w:rsidRPr="002C4D4C">
        <w:rPr>
          <w:b/>
          <w:bCs/>
          <w:color w:val="auto"/>
          <w:szCs w:val="20"/>
        </w:rPr>
        <w:t xml:space="preserve"> revise its amendment </w:t>
      </w:r>
      <w:proofErr w:type="gramStart"/>
      <w:r w:rsidR="00D06623" w:rsidRPr="002C4D4C">
        <w:rPr>
          <w:b/>
          <w:bCs/>
          <w:color w:val="auto"/>
          <w:szCs w:val="20"/>
        </w:rPr>
        <w:t>in order to</w:t>
      </w:r>
      <w:proofErr w:type="gramEnd"/>
      <w:r w:rsidR="00D06623" w:rsidRPr="002C4D4C">
        <w:rPr>
          <w:b/>
          <w:bCs/>
          <w:color w:val="auto"/>
          <w:szCs w:val="20"/>
        </w:rPr>
        <w:t xml:space="preserve"> clarify </w:t>
      </w:r>
      <w:r w:rsidR="00881B10" w:rsidRPr="002C4D4C">
        <w:rPr>
          <w:b/>
          <w:bCs/>
          <w:color w:val="auto"/>
          <w:szCs w:val="20"/>
        </w:rPr>
        <w:t>that all top-up taxes arising from Pillar 2 are to be accounted for within IAS 12, and consequently subject to the exception from deferred tax accounting</w:t>
      </w:r>
      <w:r w:rsidR="00881B10" w:rsidRPr="009055D7">
        <w:rPr>
          <w:color w:val="auto"/>
          <w:szCs w:val="20"/>
        </w:rPr>
        <w:t xml:space="preserve">. This would mean that all top-up taxes would be </w:t>
      </w:r>
      <w:proofErr w:type="spellStart"/>
      <w:r w:rsidR="00881B10" w:rsidRPr="009055D7">
        <w:rPr>
          <w:color w:val="auto"/>
          <w:szCs w:val="20"/>
        </w:rPr>
        <w:t>recognised</w:t>
      </w:r>
      <w:proofErr w:type="spellEnd"/>
      <w:r w:rsidR="00881B10" w:rsidRPr="009055D7">
        <w:rPr>
          <w:color w:val="auto"/>
          <w:szCs w:val="20"/>
        </w:rPr>
        <w:t xml:space="preserve">, </w:t>
      </w:r>
      <w:proofErr w:type="gramStart"/>
      <w:r w:rsidR="00881B10" w:rsidRPr="009055D7">
        <w:rPr>
          <w:color w:val="auto"/>
          <w:szCs w:val="20"/>
        </w:rPr>
        <w:t>measured</w:t>
      </w:r>
      <w:proofErr w:type="gramEnd"/>
      <w:r w:rsidR="00881B10" w:rsidRPr="009055D7">
        <w:rPr>
          <w:color w:val="auto"/>
          <w:szCs w:val="20"/>
        </w:rPr>
        <w:t xml:space="preserve"> and presented the same way, and subject to the proposed disclosures in paragraphs 88A-88C of the ED.</w:t>
      </w:r>
    </w:p>
    <w:p w14:paraId="33F8F0C2" w14:textId="77777777" w:rsidR="00881B10" w:rsidRPr="009055D7" w:rsidRDefault="00881B10" w:rsidP="00654E2C">
      <w:pPr>
        <w:spacing w:after="0"/>
        <w:contextualSpacing/>
        <w:rPr>
          <w:rFonts w:eastAsia="Times New Roman"/>
          <w:szCs w:val="20"/>
        </w:rPr>
      </w:pPr>
    </w:p>
    <w:p w14:paraId="5A5F0855" w14:textId="77777777" w:rsidR="00881B10" w:rsidRPr="009055D7" w:rsidRDefault="00881B10" w:rsidP="00654E2C">
      <w:pPr>
        <w:spacing w:after="0"/>
        <w:contextualSpacing/>
        <w:rPr>
          <w:rFonts w:eastAsia="Times New Roman"/>
          <w:szCs w:val="20"/>
        </w:rPr>
      </w:pPr>
    </w:p>
    <w:p w14:paraId="73A3D065" w14:textId="4E4D1DED" w:rsidR="00F779F0" w:rsidRPr="009055D7" w:rsidRDefault="00654E2C" w:rsidP="00654E2C">
      <w:pPr>
        <w:spacing w:after="0"/>
        <w:contextualSpacing/>
        <w:rPr>
          <w:rFonts w:eastAsia="Times New Roman"/>
          <w:szCs w:val="20"/>
        </w:rPr>
      </w:pPr>
      <w:r w:rsidRPr="009055D7">
        <w:rPr>
          <w:rFonts w:eastAsia="Times New Roman"/>
          <w:szCs w:val="20"/>
        </w:rPr>
        <w:t>W</w:t>
      </w:r>
      <w:r w:rsidR="00F779F0" w:rsidRPr="009055D7">
        <w:rPr>
          <w:rFonts w:eastAsia="Times New Roman"/>
          <w:szCs w:val="20"/>
        </w:rPr>
        <w:t xml:space="preserve">ith respect to </w:t>
      </w:r>
      <w:r w:rsidR="00F779F0" w:rsidRPr="002C4D4C">
        <w:rPr>
          <w:rFonts w:eastAsia="Times New Roman"/>
          <w:b/>
          <w:bCs/>
          <w:szCs w:val="20"/>
        </w:rPr>
        <w:t xml:space="preserve">disclosure requirements under 88C </w:t>
      </w:r>
      <w:r w:rsidR="00F779F0" w:rsidRPr="009055D7">
        <w:rPr>
          <w:rFonts w:eastAsia="Times New Roman"/>
          <w:szCs w:val="20"/>
        </w:rPr>
        <w:t xml:space="preserve">for periods when the legislation is enacted but not yet in effect, </w:t>
      </w:r>
      <w:r w:rsidR="002357D6">
        <w:rPr>
          <w:rFonts w:eastAsia="Times New Roman"/>
          <w:szCs w:val="20"/>
        </w:rPr>
        <w:t xml:space="preserve">ICC members have </w:t>
      </w:r>
      <w:r w:rsidR="002357D6" w:rsidRPr="002C4D4C">
        <w:rPr>
          <w:rFonts w:eastAsia="Times New Roman"/>
          <w:b/>
          <w:bCs/>
          <w:szCs w:val="20"/>
        </w:rPr>
        <w:t>major concerns</w:t>
      </w:r>
      <w:r w:rsidR="002357D6">
        <w:rPr>
          <w:rFonts w:eastAsia="Times New Roman"/>
          <w:szCs w:val="20"/>
        </w:rPr>
        <w:t xml:space="preserve"> regarding the proposal and </w:t>
      </w:r>
      <w:r w:rsidR="00F779F0" w:rsidRPr="009055D7">
        <w:rPr>
          <w:rFonts w:eastAsia="Times New Roman"/>
          <w:szCs w:val="20"/>
        </w:rPr>
        <w:t>would like to provide the following observations and possible alternative proposals.</w:t>
      </w:r>
    </w:p>
    <w:p w14:paraId="654175DA" w14:textId="77388599" w:rsidR="00F12FBE" w:rsidRDefault="00F12FBE" w:rsidP="00654E2C">
      <w:pPr>
        <w:pStyle w:val="ListParagraph"/>
        <w:numPr>
          <w:ilvl w:val="0"/>
          <w:numId w:val="5"/>
        </w:numPr>
        <w:spacing w:before="240" w:line="276" w:lineRule="auto"/>
        <w:jc w:val="both"/>
        <w:rPr>
          <w:rFonts w:eastAsia="Times New Roman"/>
          <w:szCs w:val="20"/>
        </w:rPr>
      </w:pPr>
      <w:r>
        <w:rPr>
          <w:rFonts w:eastAsia="Times New Roman"/>
          <w:szCs w:val="20"/>
        </w:rPr>
        <w:t xml:space="preserve">Firstly, the information regarding whether Pillar Two legislation is being (substantively) enacted or not is public information </w:t>
      </w:r>
      <w:r w:rsidR="00DA0F63">
        <w:rPr>
          <w:rFonts w:eastAsia="Times New Roman"/>
          <w:szCs w:val="20"/>
        </w:rPr>
        <w:t xml:space="preserve">which should therefore be easily accessible to financial statements users. Introducing such an information duty on the concerned entities appears to be an </w:t>
      </w:r>
      <w:r w:rsidR="0016683D">
        <w:rPr>
          <w:rFonts w:eastAsia="Times New Roman"/>
          <w:szCs w:val="20"/>
        </w:rPr>
        <w:t xml:space="preserve">unjustified additional burden on multinational groups operating in several jurisdictions </w:t>
      </w:r>
      <w:r w:rsidR="00C06C67">
        <w:rPr>
          <w:rFonts w:eastAsia="Times New Roman"/>
          <w:szCs w:val="20"/>
        </w:rPr>
        <w:t xml:space="preserve">that will have to keep this information up to date with the </w:t>
      </w:r>
      <w:r w:rsidR="00B93FC4">
        <w:rPr>
          <w:rFonts w:eastAsia="Times New Roman"/>
          <w:szCs w:val="20"/>
        </w:rPr>
        <w:t>consequent</w:t>
      </w:r>
      <w:r w:rsidR="00C06C67">
        <w:rPr>
          <w:rFonts w:eastAsia="Times New Roman"/>
          <w:szCs w:val="20"/>
        </w:rPr>
        <w:t xml:space="preserve"> risk of </w:t>
      </w:r>
      <w:r w:rsidR="004A0EC2">
        <w:rPr>
          <w:rFonts w:eastAsia="Times New Roman"/>
          <w:szCs w:val="20"/>
        </w:rPr>
        <w:t>the information being outdated by the time</w:t>
      </w:r>
      <w:r w:rsidR="00E06D72">
        <w:rPr>
          <w:rFonts w:eastAsia="Times New Roman"/>
          <w:szCs w:val="20"/>
        </w:rPr>
        <w:t xml:space="preserve"> it</w:t>
      </w:r>
      <w:r w:rsidR="004A0EC2">
        <w:rPr>
          <w:rFonts w:eastAsia="Times New Roman"/>
          <w:szCs w:val="20"/>
        </w:rPr>
        <w:t xml:space="preserve"> is published. </w:t>
      </w:r>
    </w:p>
    <w:p w14:paraId="0815CB07" w14:textId="77777777" w:rsidR="0097348A" w:rsidRDefault="0097348A" w:rsidP="0097348A">
      <w:pPr>
        <w:pStyle w:val="ListParagraph"/>
        <w:spacing w:before="240" w:line="276" w:lineRule="auto"/>
        <w:jc w:val="both"/>
        <w:rPr>
          <w:rFonts w:eastAsia="Times New Roman"/>
          <w:szCs w:val="20"/>
        </w:rPr>
      </w:pPr>
    </w:p>
    <w:p w14:paraId="0BCA6227" w14:textId="57FB4BEB" w:rsidR="00F779F0" w:rsidRPr="009055D7" w:rsidRDefault="00F779F0" w:rsidP="00654E2C">
      <w:pPr>
        <w:pStyle w:val="ListParagraph"/>
        <w:numPr>
          <w:ilvl w:val="0"/>
          <w:numId w:val="5"/>
        </w:numPr>
        <w:spacing w:before="240" w:line="276" w:lineRule="auto"/>
        <w:jc w:val="both"/>
        <w:rPr>
          <w:rFonts w:eastAsia="Times New Roman"/>
          <w:szCs w:val="20"/>
        </w:rPr>
      </w:pPr>
      <w:r w:rsidRPr="009055D7">
        <w:rPr>
          <w:rFonts w:eastAsia="Times New Roman"/>
          <w:szCs w:val="20"/>
        </w:rPr>
        <w:t xml:space="preserve">While we are aligned with IASB on the need for information in financial statements that can support users to assess an entity’s exposure to paying a top-up tax, ICC members are of the opinion that </w:t>
      </w:r>
      <w:r w:rsidRPr="007745F5">
        <w:rPr>
          <w:rFonts w:eastAsia="Times New Roman"/>
          <w:b/>
          <w:bCs/>
          <w:szCs w:val="20"/>
        </w:rPr>
        <w:t>Pillar Two should not be treated differently and more specifically than any other legislation that impact</w:t>
      </w:r>
      <w:r w:rsidR="00045AFC" w:rsidRPr="007745F5">
        <w:rPr>
          <w:rFonts w:eastAsia="Times New Roman"/>
          <w:b/>
          <w:bCs/>
          <w:szCs w:val="20"/>
        </w:rPr>
        <w:t>s</w:t>
      </w:r>
      <w:r w:rsidRPr="007745F5">
        <w:rPr>
          <w:rFonts w:eastAsia="Times New Roman"/>
          <w:b/>
          <w:bCs/>
          <w:szCs w:val="20"/>
        </w:rPr>
        <w:t xml:space="preserve"> on companies</w:t>
      </w:r>
      <w:r w:rsidRPr="009055D7">
        <w:rPr>
          <w:rFonts w:eastAsia="Times New Roman"/>
          <w:szCs w:val="20"/>
        </w:rPr>
        <w:t>, as the impact of this new framework must be communicated in a similar fashion to any other significant event that impact</w:t>
      </w:r>
      <w:r w:rsidR="00873C75">
        <w:rPr>
          <w:rFonts w:eastAsia="Times New Roman"/>
          <w:szCs w:val="20"/>
        </w:rPr>
        <w:t>s</w:t>
      </w:r>
      <w:r w:rsidRPr="009055D7">
        <w:rPr>
          <w:rFonts w:eastAsia="Times New Roman"/>
          <w:szCs w:val="20"/>
        </w:rPr>
        <w:t xml:space="preserve"> on a company’s accounts.</w:t>
      </w:r>
    </w:p>
    <w:p w14:paraId="6B2C3837" w14:textId="77777777" w:rsidR="00654E2C" w:rsidRPr="009055D7" w:rsidRDefault="00654E2C" w:rsidP="00654E2C">
      <w:pPr>
        <w:pStyle w:val="ListParagraph"/>
        <w:rPr>
          <w:rFonts w:eastAsia="Times New Roman"/>
          <w:szCs w:val="20"/>
        </w:rPr>
      </w:pPr>
    </w:p>
    <w:p w14:paraId="3D6E1344" w14:textId="4237EC2F" w:rsidR="009F2AC7" w:rsidRDefault="009F2AC7" w:rsidP="00654E2C">
      <w:pPr>
        <w:pStyle w:val="ListParagraph"/>
        <w:numPr>
          <w:ilvl w:val="0"/>
          <w:numId w:val="5"/>
        </w:numPr>
        <w:spacing w:before="240" w:line="276" w:lineRule="auto"/>
        <w:jc w:val="both"/>
        <w:rPr>
          <w:rFonts w:eastAsia="Times New Roman"/>
          <w:szCs w:val="20"/>
        </w:rPr>
      </w:pPr>
      <w:r w:rsidRPr="00F52ADA">
        <w:rPr>
          <w:rFonts w:eastAsia="Times New Roman"/>
          <w:b/>
          <w:bCs/>
          <w:szCs w:val="20"/>
        </w:rPr>
        <w:t xml:space="preserve">The listing of the jurisdictions in which the entity’s average effective rate (ETR) for the current period is below 15% </w:t>
      </w:r>
      <w:r w:rsidR="00CF3E44" w:rsidRPr="00F52ADA">
        <w:rPr>
          <w:rFonts w:eastAsia="Times New Roman"/>
          <w:b/>
          <w:bCs/>
          <w:szCs w:val="20"/>
        </w:rPr>
        <w:t xml:space="preserve">fails to accomplish </w:t>
      </w:r>
      <w:r w:rsidR="00566C6E" w:rsidRPr="00F52ADA">
        <w:rPr>
          <w:rFonts w:eastAsia="Times New Roman"/>
          <w:b/>
          <w:bCs/>
          <w:szCs w:val="20"/>
        </w:rPr>
        <w:t xml:space="preserve">its goal since the ETR is based on the IFRS financial statements (reference to paragraph 86 of IAS 12) </w:t>
      </w:r>
      <w:r w:rsidR="00C23A5E" w:rsidRPr="00F52ADA">
        <w:rPr>
          <w:rFonts w:eastAsia="Times New Roman"/>
          <w:b/>
          <w:bCs/>
          <w:szCs w:val="20"/>
        </w:rPr>
        <w:t xml:space="preserve">whereas any Pillar Two income tax is based on the ETR computed </w:t>
      </w:r>
      <w:proofErr w:type="gramStart"/>
      <w:r w:rsidR="00C23A5E" w:rsidRPr="00F52ADA">
        <w:rPr>
          <w:rFonts w:eastAsia="Times New Roman"/>
          <w:b/>
          <w:bCs/>
          <w:szCs w:val="20"/>
        </w:rPr>
        <w:t>on the basis of</w:t>
      </w:r>
      <w:proofErr w:type="gramEnd"/>
      <w:r w:rsidR="00C23A5E" w:rsidRPr="00F52ADA">
        <w:rPr>
          <w:rFonts w:eastAsia="Times New Roman"/>
          <w:b/>
          <w:bCs/>
          <w:szCs w:val="20"/>
        </w:rPr>
        <w:t xml:space="preserve"> the </w:t>
      </w:r>
      <w:proofErr w:type="spellStart"/>
      <w:r w:rsidR="00C23A5E" w:rsidRPr="00F52ADA">
        <w:rPr>
          <w:rFonts w:eastAsia="Times New Roman"/>
          <w:b/>
          <w:bCs/>
          <w:szCs w:val="20"/>
        </w:rPr>
        <w:t>GloBE</w:t>
      </w:r>
      <w:proofErr w:type="spellEnd"/>
      <w:r w:rsidR="00C23A5E" w:rsidRPr="00F52ADA">
        <w:rPr>
          <w:rFonts w:eastAsia="Times New Roman"/>
          <w:b/>
          <w:bCs/>
          <w:szCs w:val="20"/>
        </w:rPr>
        <w:t xml:space="preserve"> Income divided by the amount of Covered Taxes.</w:t>
      </w:r>
      <w:r w:rsidR="00C23A5E">
        <w:rPr>
          <w:rFonts w:eastAsia="Times New Roman"/>
          <w:szCs w:val="20"/>
        </w:rPr>
        <w:t xml:space="preserve"> Therefore</w:t>
      </w:r>
      <w:r w:rsidR="001774B7">
        <w:rPr>
          <w:rFonts w:eastAsia="Times New Roman"/>
          <w:szCs w:val="20"/>
        </w:rPr>
        <w:t xml:space="preserve">, while jurisdictions with an accounting ETR below 15% may not impose any top-up-tax because the </w:t>
      </w:r>
      <w:proofErr w:type="spellStart"/>
      <w:r w:rsidR="001774B7">
        <w:rPr>
          <w:rFonts w:eastAsia="Times New Roman"/>
          <w:szCs w:val="20"/>
        </w:rPr>
        <w:t>GloBE</w:t>
      </w:r>
      <w:proofErr w:type="spellEnd"/>
      <w:r w:rsidR="001774B7">
        <w:rPr>
          <w:rFonts w:eastAsia="Times New Roman"/>
          <w:szCs w:val="20"/>
        </w:rPr>
        <w:t xml:space="preserve"> ETR in these jurisdictions is above 15%</w:t>
      </w:r>
      <w:r w:rsidR="00685194">
        <w:rPr>
          <w:rFonts w:eastAsia="Times New Roman"/>
          <w:szCs w:val="20"/>
        </w:rPr>
        <w:t xml:space="preserve">, at the same time, entities in a jurisdiction with an accounting ETR above 15% may nevertheless be subject to a top-up tax </w:t>
      </w:r>
      <w:r w:rsidR="004C3CB8">
        <w:rPr>
          <w:rFonts w:eastAsia="Times New Roman"/>
          <w:szCs w:val="20"/>
        </w:rPr>
        <w:t xml:space="preserve">(due to the </w:t>
      </w:r>
      <w:proofErr w:type="spellStart"/>
      <w:r w:rsidR="004C3CB8">
        <w:rPr>
          <w:rFonts w:eastAsia="Times New Roman"/>
          <w:szCs w:val="20"/>
        </w:rPr>
        <w:t>GloBE</w:t>
      </w:r>
      <w:proofErr w:type="spellEnd"/>
      <w:r w:rsidR="004C3CB8">
        <w:rPr>
          <w:rFonts w:eastAsia="Times New Roman"/>
          <w:szCs w:val="20"/>
        </w:rPr>
        <w:t xml:space="preserve"> ETR below 15%) without being subject to disclosure under this proposal. </w:t>
      </w:r>
      <w:r w:rsidR="001774B7">
        <w:rPr>
          <w:rFonts w:eastAsia="Times New Roman"/>
          <w:szCs w:val="20"/>
        </w:rPr>
        <w:t xml:space="preserve"> </w:t>
      </w:r>
    </w:p>
    <w:p w14:paraId="42E5E627" w14:textId="77777777" w:rsidR="009F2AC7" w:rsidRPr="009F2AC7" w:rsidRDefault="009F2AC7" w:rsidP="009F2AC7">
      <w:pPr>
        <w:pStyle w:val="ListParagraph"/>
        <w:rPr>
          <w:rFonts w:eastAsia="Times New Roman"/>
          <w:szCs w:val="20"/>
        </w:rPr>
      </w:pPr>
    </w:p>
    <w:p w14:paraId="7A8E8A94" w14:textId="7BA43734" w:rsidR="00F779F0" w:rsidRPr="009055D7" w:rsidRDefault="00F779F0" w:rsidP="00654E2C">
      <w:pPr>
        <w:pStyle w:val="ListParagraph"/>
        <w:numPr>
          <w:ilvl w:val="0"/>
          <w:numId w:val="5"/>
        </w:numPr>
        <w:spacing w:before="240" w:line="276" w:lineRule="auto"/>
        <w:jc w:val="both"/>
        <w:rPr>
          <w:rFonts w:eastAsia="Times New Roman"/>
          <w:szCs w:val="20"/>
        </w:rPr>
      </w:pPr>
      <w:r w:rsidRPr="00F52ADA">
        <w:rPr>
          <w:rFonts w:eastAsia="Times New Roman"/>
          <w:b/>
          <w:bCs/>
          <w:szCs w:val="20"/>
        </w:rPr>
        <w:t>The required level of disclosure appears to be too burdensome as well.</w:t>
      </w:r>
      <w:r w:rsidRPr="009055D7">
        <w:rPr>
          <w:rFonts w:eastAsia="Times New Roman"/>
          <w:szCs w:val="20"/>
        </w:rPr>
        <w:t xml:space="preserve"> A country-by-country reporting by jurisdictions with effective tax rates lower than 15% will require a long table in the Notes. Moreover, in many cases the </w:t>
      </w:r>
      <w:r w:rsidRPr="00F52ADA">
        <w:rPr>
          <w:rFonts w:eastAsia="Times New Roman"/>
          <w:b/>
          <w:bCs/>
          <w:szCs w:val="20"/>
        </w:rPr>
        <w:t>disclosure requirements can be misleading</w:t>
      </w:r>
      <w:r w:rsidRPr="009055D7">
        <w:rPr>
          <w:rFonts w:eastAsia="Times New Roman"/>
          <w:szCs w:val="20"/>
        </w:rPr>
        <w:t xml:space="preserve"> since </w:t>
      </w:r>
      <w:r w:rsidR="00CE6E40">
        <w:rPr>
          <w:rFonts w:eastAsia="Times New Roman"/>
          <w:szCs w:val="20"/>
        </w:rPr>
        <w:t xml:space="preserve">they are </w:t>
      </w:r>
      <w:r w:rsidRPr="009055D7">
        <w:rPr>
          <w:rFonts w:eastAsia="Times New Roman"/>
          <w:szCs w:val="20"/>
        </w:rPr>
        <w:t xml:space="preserve">not able to provide meaningful information to the readers of the account. For instance, this </w:t>
      </w:r>
      <w:r w:rsidRPr="001E2EBE">
        <w:rPr>
          <w:rFonts w:eastAsia="Times New Roman"/>
          <w:szCs w:val="20"/>
        </w:rPr>
        <w:t xml:space="preserve">would be the case of countries where accounting ETR is below 15% </w:t>
      </w:r>
      <w:r w:rsidR="001E2EBE" w:rsidRPr="001E2EBE">
        <w:rPr>
          <w:rFonts w:eastAsia="Times New Roman"/>
          <w:szCs w:val="20"/>
        </w:rPr>
        <w:t>but</w:t>
      </w:r>
      <w:r w:rsidRPr="001E2EBE">
        <w:rPr>
          <w:rFonts w:eastAsia="Times New Roman"/>
          <w:szCs w:val="20"/>
        </w:rPr>
        <w:t xml:space="preserve"> where no top-up ta</w:t>
      </w:r>
      <w:r w:rsidR="001E2EBE" w:rsidRPr="001E2EBE">
        <w:rPr>
          <w:rFonts w:eastAsia="Times New Roman"/>
          <w:szCs w:val="20"/>
        </w:rPr>
        <w:t>x is due</w:t>
      </w:r>
      <w:r w:rsidRPr="001E2EBE">
        <w:rPr>
          <w:rFonts w:eastAsia="Times New Roman"/>
          <w:szCs w:val="20"/>
        </w:rPr>
        <w:t>.</w:t>
      </w:r>
      <w:r w:rsidRPr="009055D7">
        <w:rPr>
          <w:rFonts w:eastAsia="Times New Roman"/>
          <w:szCs w:val="20"/>
        </w:rPr>
        <w:t xml:space="preserve"> </w:t>
      </w:r>
    </w:p>
    <w:p w14:paraId="549C9891" w14:textId="77777777" w:rsidR="00654E2C" w:rsidRPr="009055D7" w:rsidRDefault="00654E2C" w:rsidP="00654E2C">
      <w:pPr>
        <w:pStyle w:val="ListParagraph"/>
        <w:rPr>
          <w:rFonts w:eastAsia="Times New Roman"/>
          <w:szCs w:val="20"/>
        </w:rPr>
      </w:pPr>
    </w:p>
    <w:p w14:paraId="08AF89D8" w14:textId="363B2D42" w:rsidR="00F779F0" w:rsidRPr="009055D7" w:rsidRDefault="00F779F0" w:rsidP="00654E2C">
      <w:pPr>
        <w:pStyle w:val="ListParagraph"/>
        <w:numPr>
          <w:ilvl w:val="0"/>
          <w:numId w:val="5"/>
        </w:numPr>
        <w:spacing w:before="240" w:line="276" w:lineRule="auto"/>
        <w:jc w:val="both"/>
        <w:rPr>
          <w:rFonts w:eastAsia="Times New Roman"/>
          <w:szCs w:val="20"/>
        </w:rPr>
      </w:pPr>
      <w:r w:rsidRPr="009055D7">
        <w:rPr>
          <w:rFonts w:eastAsia="Times New Roman"/>
          <w:szCs w:val="20"/>
        </w:rPr>
        <w:t xml:space="preserve">Such a level of detail might also prompt </w:t>
      </w:r>
      <w:r w:rsidRPr="00C02362">
        <w:rPr>
          <w:rFonts w:eastAsia="Times New Roman"/>
          <w:b/>
          <w:bCs/>
          <w:szCs w:val="20"/>
        </w:rPr>
        <w:t>flawed assumption</w:t>
      </w:r>
      <w:r w:rsidR="00957C3E" w:rsidRPr="00C02362">
        <w:rPr>
          <w:rFonts w:eastAsia="Times New Roman"/>
          <w:b/>
          <w:bCs/>
          <w:szCs w:val="20"/>
        </w:rPr>
        <w:t>s</w:t>
      </w:r>
      <w:r w:rsidRPr="00C02362">
        <w:rPr>
          <w:rFonts w:eastAsia="Times New Roman"/>
          <w:b/>
          <w:bCs/>
          <w:szCs w:val="20"/>
        </w:rPr>
        <w:t xml:space="preserve"> on the low tax rates</w:t>
      </w:r>
      <w:r w:rsidRPr="009055D7">
        <w:rPr>
          <w:rFonts w:eastAsia="Times New Roman"/>
          <w:szCs w:val="20"/>
        </w:rPr>
        <w:t xml:space="preserve"> which might be due to tax incentives for heavy investments in R&amp;D or production or be the result of deferred tax accounting implications from rate changes. </w:t>
      </w:r>
    </w:p>
    <w:p w14:paraId="635A6872" w14:textId="77777777" w:rsidR="00654E2C" w:rsidRPr="009055D7" w:rsidRDefault="00654E2C" w:rsidP="00654E2C">
      <w:pPr>
        <w:pStyle w:val="ListParagraph"/>
        <w:rPr>
          <w:rFonts w:eastAsia="Times New Roman"/>
          <w:szCs w:val="20"/>
        </w:rPr>
      </w:pPr>
    </w:p>
    <w:p w14:paraId="26D14535" w14:textId="3A53007E" w:rsidR="00F779F0" w:rsidRPr="009055D7" w:rsidRDefault="00F779F0" w:rsidP="00654E2C">
      <w:pPr>
        <w:pStyle w:val="ListParagraph"/>
        <w:numPr>
          <w:ilvl w:val="0"/>
          <w:numId w:val="5"/>
        </w:numPr>
        <w:spacing w:before="240" w:line="276" w:lineRule="auto"/>
        <w:jc w:val="both"/>
        <w:rPr>
          <w:rFonts w:eastAsia="Times New Roman"/>
          <w:szCs w:val="20"/>
        </w:rPr>
      </w:pPr>
      <w:r w:rsidRPr="009055D7">
        <w:rPr>
          <w:rFonts w:eastAsia="Times New Roman"/>
          <w:szCs w:val="20"/>
        </w:rPr>
        <w:t xml:space="preserve">According to our members’ view, </w:t>
      </w:r>
      <w:r w:rsidRPr="00C237AB">
        <w:rPr>
          <w:rFonts w:eastAsia="Times New Roman"/>
          <w:b/>
          <w:bCs/>
          <w:szCs w:val="20"/>
        </w:rPr>
        <w:t>the general purpose of the financial statements should not be the replacement of tax reporting</w:t>
      </w:r>
      <w:r w:rsidRPr="009055D7">
        <w:rPr>
          <w:rFonts w:eastAsia="Times New Roman"/>
          <w:szCs w:val="20"/>
        </w:rPr>
        <w:t xml:space="preserve">. While we agree that some information about fiscal reporting can be helpful, ICC members would like to underscore that </w:t>
      </w:r>
      <w:r w:rsidRPr="00C237AB">
        <w:rPr>
          <w:rFonts w:eastAsia="Times New Roman"/>
          <w:b/>
          <w:bCs/>
          <w:szCs w:val="20"/>
        </w:rPr>
        <w:t>there is already a dedicated reporting requirement through Country-by-country Reporting</w:t>
      </w:r>
      <w:r w:rsidR="002466CE" w:rsidRPr="00C237AB">
        <w:rPr>
          <w:rFonts w:eastAsia="Times New Roman"/>
          <w:b/>
          <w:bCs/>
          <w:szCs w:val="20"/>
        </w:rPr>
        <w:t xml:space="preserve"> (</w:t>
      </w:r>
      <w:proofErr w:type="spellStart"/>
      <w:r w:rsidR="002466CE" w:rsidRPr="00C237AB">
        <w:rPr>
          <w:rFonts w:eastAsia="Times New Roman"/>
          <w:b/>
          <w:bCs/>
          <w:szCs w:val="20"/>
        </w:rPr>
        <w:t>CbCR</w:t>
      </w:r>
      <w:proofErr w:type="spellEnd"/>
      <w:r w:rsidR="002466CE" w:rsidRPr="00C237AB">
        <w:rPr>
          <w:rFonts w:eastAsia="Times New Roman"/>
          <w:b/>
          <w:bCs/>
          <w:szCs w:val="20"/>
        </w:rPr>
        <w:t>)</w:t>
      </w:r>
      <w:r w:rsidRPr="009055D7">
        <w:rPr>
          <w:rFonts w:eastAsia="Times New Roman"/>
          <w:szCs w:val="20"/>
        </w:rPr>
        <w:t xml:space="preserve"> under the respective EU Directive for which there are clear rules about disclosure. </w:t>
      </w:r>
    </w:p>
    <w:p w14:paraId="6BFCB420" w14:textId="77777777" w:rsidR="00654E2C" w:rsidRPr="009055D7" w:rsidRDefault="00654E2C" w:rsidP="00654E2C">
      <w:pPr>
        <w:pStyle w:val="ListParagraph"/>
        <w:rPr>
          <w:rFonts w:eastAsia="Times New Roman"/>
          <w:szCs w:val="20"/>
        </w:rPr>
      </w:pPr>
    </w:p>
    <w:p w14:paraId="24CC21F5" w14:textId="738CF620" w:rsidR="00654E2C" w:rsidRPr="009055D7" w:rsidRDefault="00F779F0" w:rsidP="00654E2C">
      <w:pPr>
        <w:pStyle w:val="ListParagraph"/>
        <w:numPr>
          <w:ilvl w:val="0"/>
          <w:numId w:val="5"/>
        </w:numPr>
        <w:spacing w:before="240" w:after="0" w:line="276" w:lineRule="auto"/>
        <w:jc w:val="both"/>
        <w:rPr>
          <w:rFonts w:eastAsia="Times New Roman"/>
          <w:szCs w:val="20"/>
        </w:rPr>
      </w:pPr>
      <w:r w:rsidRPr="009055D7">
        <w:rPr>
          <w:rFonts w:eastAsia="Times New Roman"/>
          <w:szCs w:val="20"/>
        </w:rPr>
        <w:t>In the case of other post financial year-end events (</w:t>
      </w:r>
      <w:proofErr w:type="gramStart"/>
      <w:r w:rsidRPr="009055D7">
        <w:rPr>
          <w:rFonts w:eastAsia="Times New Roman"/>
          <w:szCs w:val="20"/>
        </w:rPr>
        <w:t>e.g.</w:t>
      </w:r>
      <w:proofErr w:type="gramEnd"/>
      <w:r w:rsidRPr="009055D7">
        <w:rPr>
          <w:rFonts w:eastAsia="Times New Roman"/>
          <w:szCs w:val="20"/>
        </w:rPr>
        <w:t xml:space="preserve"> M&amp;A transactions), companies would only be required to give the reader of financial statements a high level overview on expected future impact without requiring a great level of detail. Thus, ICC members would like to kindly recommend that </w:t>
      </w:r>
      <w:r w:rsidRPr="000070D2">
        <w:rPr>
          <w:rFonts w:eastAsia="Times New Roman"/>
          <w:b/>
          <w:bCs/>
          <w:szCs w:val="20"/>
        </w:rPr>
        <w:t>for such year ends companies should be able</w:t>
      </w:r>
      <w:r w:rsidR="00621B9E" w:rsidRPr="000070D2">
        <w:rPr>
          <w:rFonts w:eastAsia="Times New Roman"/>
          <w:b/>
          <w:bCs/>
          <w:szCs w:val="20"/>
        </w:rPr>
        <w:t xml:space="preserve"> to</w:t>
      </w:r>
      <w:r w:rsidRPr="000070D2">
        <w:rPr>
          <w:rFonts w:eastAsia="Times New Roman"/>
          <w:b/>
          <w:bCs/>
          <w:szCs w:val="20"/>
        </w:rPr>
        <w:t xml:space="preserve"> include a comment on the estimate and range of potential Pillar Two top up taxes, which normally companies have already available</w:t>
      </w:r>
      <w:r w:rsidRPr="009055D7">
        <w:rPr>
          <w:rFonts w:eastAsia="Times New Roman"/>
          <w:szCs w:val="20"/>
        </w:rPr>
        <w:t>. Alternatively, we would like to recommend the possibility for companies to be allowed to just mention the increase of the overall ETR if the top-up tax were applicable. We believe that this would be the easiest and clearest way to provide needed information for financial statements’ readers.</w:t>
      </w:r>
    </w:p>
    <w:p w14:paraId="21EEE668" w14:textId="77777777" w:rsidR="00654E2C" w:rsidRPr="009055D7" w:rsidRDefault="00654E2C" w:rsidP="00654E2C">
      <w:pPr>
        <w:pStyle w:val="ListParagraph"/>
        <w:rPr>
          <w:rFonts w:eastAsia="Times New Roman"/>
          <w:szCs w:val="20"/>
        </w:rPr>
      </w:pPr>
    </w:p>
    <w:p w14:paraId="764F7801" w14:textId="48622C86" w:rsidR="009A194E" w:rsidRPr="000070D2" w:rsidRDefault="00F779F0" w:rsidP="00BA4880">
      <w:pPr>
        <w:pStyle w:val="ListParagraph"/>
        <w:numPr>
          <w:ilvl w:val="0"/>
          <w:numId w:val="5"/>
        </w:numPr>
        <w:spacing w:before="240" w:after="0" w:line="276" w:lineRule="auto"/>
        <w:jc w:val="both"/>
        <w:rPr>
          <w:rFonts w:eastAsia="Times New Roman"/>
          <w:b/>
          <w:bCs/>
          <w:szCs w:val="20"/>
        </w:rPr>
      </w:pPr>
      <w:r w:rsidRPr="009055D7">
        <w:rPr>
          <w:rFonts w:cstheme="minorHAnsi"/>
          <w:szCs w:val="20"/>
        </w:rPr>
        <w:t>F</w:t>
      </w:r>
      <w:r w:rsidR="00654E2C" w:rsidRPr="009055D7">
        <w:rPr>
          <w:rFonts w:cstheme="minorHAnsi"/>
          <w:szCs w:val="20"/>
        </w:rPr>
        <w:t>urthermore</w:t>
      </w:r>
      <w:r w:rsidRPr="009055D7">
        <w:rPr>
          <w:rFonts w:cstheme="minorHAnsi"/>
          <w:szCs w:val="20"/>
        </w:rPr>
        <w:t>, important concerns arise from the proposals included in paragr</w:t>
      </w:r>
      <w:r w:rsidR="00654E2C" w:rsidRPr="009055D7">
        <w:rPr>
          <w:rFonts w:cstheme="minorHAnsi"/>
          <w:szCs w:val="20"/>
        </w:rPr>
        <w:t>a</w:t>
      </w:r>
      <w:r w:rsidRPr="009055D7">
        <w:rPr>
          <w:rFonts w:cstheme="minorHAnsi"/>
          <w:szCs w:val="20"/>
        </w:rPr>
        <w:t xml:space="preserve">ph 88 C b </w:t>
      </w:r>
      <w:r w:rsidR="003A4CAA">
        <w:rPr>
          <w:rFonts w:cstheme="minorHAnsi"/>
          <w:szCs w:val="20"/>
        </w:rPr>
        <w:t>and</w:t>
      </w:r>
      <w:r w:rsidRPr="009055D7">
        <w:rPr>
          <w:rFonts w:cstheme="minorHAnsi"/>
          <w:szCs w:val="20"/>
        </w:rPr>
        <w:t xml:space="preserve"> c. In relation to this paragraph, ICC members would like to highlight that </w:t>
      </w:r>
      <w:r w:rsidRPr="000070D2">
        <w:rPr>
          <w:rFonts w:cstheme="minorHAnsi"/>
          <w:szCs w:val="20"/>
        </w:rPr>
        <w:t xml:space="preserve">it would be hazardous for groups to create expectations (in authorities interested in this information for tax purposes rather than financial reporting) about the potential payment of a surtax without accurately performing the very complicated calculation and </w:t>
      </w:r>
      <w:proofErr w:type="gramStart"/>
      <w:r w:rsidRPr="000070D2">
        <w:rPr>
          <w:rFonts w:cstheme="minorHAnsi"/>
          <w:szCs w:val="20"/>
        </w:rPr>
        <w:t>on the basis of</w:t>
      </w:r>
      <w:proofErr w:type="gramEnd"/>
      <w:r w:rsidRPr="000070D2">
        <w:rPr>
          <w:rFonts w:cstheme="minorHAnsi"/>
          <w:szCs w:val="20"/>
        </w:rPr>
        <w:t xml:space="preserve"> an effective IFRS tax rate only.</w:t>
      </w:r>
      <w:r w:rsidR="000C5F6F">
        <w:rPr>
          <w:rFonts w:cstheme="minorHAnsi"/>
          <w:szCs w:val="20"/>
        </w:rPr>
        <w:t xml:space="preserve"> </w:t>
      </w:r>
      <w:r w:rsidR="00BA4880">
        <w:rPr>
          <w:szCs w:val="20"/>
        </w:rPr>
        <w:t>C</w:t>
      </w:r>
      <w:r w:rsidRPr="00BA4880">
        <w:rPr>
          <w:szCs w:val="20"/>
        </w:rPr>
        <w:t xml:space="preserve">onsequently, </w:t>
      </w:r>
      <w:r w:rsidR="00EE4737">
        <w:rPr>
          <w:szCs w:val="20"/>
        </w:rPr>
        <w:t xml:space="preserve">ICC </w:t>
      </w:r>
      <w:r w:rsidRPr="00BA4880">
        <w:rPr>
          <w:szCs w:val="20"/>
        </w:rPr>
        <w:t>members</w:t>
      </w:r>
      <w:r w:rsidR="00895E88">
        <w:rPr>
          <w:szCs w:val="20"/>
        </w:rPr>
        <w:t xml:space="preserve"> </w:t>
      </w:r>
      <w:r w:rsidRPr="00BA4880">
        <w:rPr>
          <w:szCs w:val="20"/>
        </w:rPr>
        <w:t xml:space="preserve">would recommend IASB to require companies to </w:t>
      </w:r>
      <w:r w:rsidRPr="000070D2">
        <w:rPr>
          <w:b/>
          <w:bCs/>
          <w:szCs w:val="20"/>
        </w:rPr>
        <w:t>provide information only about expected impacts where reliable and probable estimates exist.</w:t>
      </w:r>
    </w:p>
    <w:p w14:paraId="7C451FFA" w14:textId="77777777" w:rsidR="004322F8" w:rsidRPr="004322F8" w:rsidRDefault="004322F8" w:rsidP="004322F8">
      <w:pPr>
        <w:pStyle w:val="ListParagraph"/>
        <w:rPr>
          <w:rFonts w:eastAsia="Times New Roman"/>
          <w:szCs w:val="20"/>
        </w:rPr>
      </w:pPr>
    </w:p>
    <w:p w14:paraId="2BE49C18" w14:textId="61873638" w:rsidR="004322F8" w:rsidRDefault="004322F8" w:rsidP="00BA4880">
      <w:pPr>
        <w:pStyle w:val="ListParagraph"/>
        <w:numPr>
          <w:ilvl w:val="0"/>
          <w:numId w:val="5"/>
        </w:numPr>
        <w:spacing w:before="240" w:after="0" w:line="276" w:lineRule="auto"/>
        <w:jc w:val="both"/>
        <w:rPr>
          <w:rFonts w:eastAsia="Times New Roman"/>
          <w:szCs w:val="20"/>
        </w:rPr>
      </w:pPr>
      <w:r>
        <w:rPr>
          <w:rFonts w:eastAsia="Times New Roman"/>
          <w:szCs w:val="20"/>
        </w:rPr>
        <w:t xml:space="preserve">Moreover, </w:t>
      </w:r>
      <w:proofErr w:type="gramStart"/>
      <w:r>
        <w:rPr>
          <w:rFonts w:eastAsia="Times New Roman"/>
          <w:szCs w:val="20"/>
        </w:rPr>
        <w:t>assuming that</w:t>
      </w:r>
      <w:proofErr w:type="gramEnd"/>
      <w:r>
        <w:rPr>
          <w:rFonts w:eastAsia="Times New Roman"/>
          <w:szCs w:val="20"/>
        </w:rPr>
        <w:t xml:space="preserve"> a majority of countries will implement Pillar Two in 2024, complying with the proposed disclosure requirements will risk </w:t>
      </w:r>
      <w:r w:rsidR="00EE4737">
        <w:rPr>
          <w:rFonts w:eastAsia="Times New Roman"/>
          <w:szCs w:val="20"/>
        </w:rPr>
        <w:t>triggering</w:t>
      </w:r>
      <w:r>
        <w:rPr>
          <w:rFonts w:eastAsia="Times New Roman"/>
          <w:szCs w:val="20"/>
        </w:rPr>
        <w:t xml:space="preserve"> </w:t>
      </w:r>
      <w:r w:rsidR="007732C1">
        <w:rPr>
          <w:rFonts w:eastAsia="Times New Roman"/>
          <w:szCs w:val="20"/>
        </w:rPr>
        <w:t>major costs and deployment of resources for a one-time reporting.</w:t>
      </w:r>
    </w:p>
    <w:p w14:paraId="5667C887" w14:textId="77777777" w:rsidR="009902D7" w:rsidRPr="009902D7" w:rsidRDefault="009902D7" w:rsidP="009902D7">
      <w:pPr>
        <w:pStyle w:val="ListParagraph"/>
        <w:rPr>
          <w:rFonts w:eastAsia="Times New Roman"/>
          <w:szCs w:val="20"/>
        </w:rPr>
      </w:pPr>
    </w:p>
    <w:p w14:paraId="486499A9" w14:textId="7A2E615E" w:rsidR="009902D7" w:rsidRPr="00EE4737" w:rsidRDefault="009902D7" w:rsidP="00BA4880">
      <w:pPr>
        <w:pStyle w:val="ListParagraph"/>
        <w:numPr>
          <w:ilvl w:val="0"/>
          <w:numId w:val="5"/>
        </w:numPr>
        <w:spacing w:before="240" w:after="0" w:line="276" w:lineRule="auto"/>
        <w:jc w:val="both"/>
        <w:rPr>
          <w:rFonts w:eastAsia="Times New Roman"/>
          <w:b/>
          <w:bCs/>
          <w:szCs w:val="20"/>
        </w:rPr>
      </w:pPr>
      <w:r>
        <w:rPr>
          <w:rFonts w:eastAsia="Times New Roman"/>
          <w:szCs w:val="20"/>
        </w:rPr>
        <w:lastRenderedPageBreak/>
        <w:t xml:space="preserve">As an alternative to the proposed </w:t>
      </w:r>
      <w:r w:rsidR="001D4A85">
        <w:rPr>
          <w:rFonts w:eastAsia="Times New Roman"/>
          <w:szCs w:val="20"/>
        </w:rPr>
        <w:t>disclosure requirements under b) and c)</w:t>
      </w:r>
      <w:r>
        <w:rPr>
          <w:rFonts w:eastAsia="Times New Roman"/>
          <w:szCs w:val="20"/>
        </w:rPr>
        <w:t xml:space="preserve">, </w:t>
      </w:r>
      <w:r w:rsidRPr="00EE4737">
        <w:rPr>
          <w:rFonts w:eastAsia="Times New Roman"/>
          <w:b/>
          <w:bCs/>
          <w:szCs w:val="20"/>
        </w:rPr>
        <w:t xml:space="preserve">some ICC members would like to propose the disclosure of the jurisdictions not passing the De </w:t>
      </w:r>
      <w:proofErr w:type="gramStart"/>
      <w:r w:rsidRPr="00EE4737">
        <w:rPr>
          <w:rFonts w:eastAsia="Times New Roman"/>
          <w:b/>
          <w:bCs/>
          <w:szCs w:val="20"/>
        </w:rPr>
        <w:t>minimis</w:t>
      </w:r>
      <w:proofErr w:type="gramEnd"/>
      <w:r w:rsidRPr="00EE4737">
        <w:rPr>
          <w:rFonts w:eastAsia="Times New Roman"/>
          <w:b/>
          <w:bCs/>
          <w:szCs w:val="20"/>
        </w:rPr>
        <w:t xml:space="preserve"> </w:t>
      </w:r>
    </w:p>
    <w:p w14:paraId="713327E7" w14:textId="4735EB2D" w:rsidR="009A194E" w:rsidRPr="009055D7" w:rsidRDefault="001D4A85" w:rsidP="009A194E">
      <w:pPr>
        <w:pStyle w:val="ListParagraph"/>
        <w:spacing w:after="0"/>
        <w:contextualSpacing w:val="0"/>
        <w:rPr>
          <w:szCs w:val="20"/>
        </w:rPr>
      </w:pPr>
      <w:r w:rsidRPr="00EE4737">
        <w:rPr>
          <w:b/>
          <w:bCs/>
          <w:szCs w:val="20"/>
        </w:rPr>
        <w:t xml:space="preserve">Test of the OECD Transitional Safe </w:t>
      </w:r>
      <w:proofErr w:type="spellStart"/>
      <w:r w:rsidRPr="00EE4737">
        <w:rPr>
          <w:b/>
          <w:bCs/>
          <w:szCs w:val="20"/>
        </w:rPr>
        <w:t>Harbour</w:t>
      </w:r>
      <w:proofErr w:type="spellEnd"/>
      <w:r w:rsidRPr="00EE4737">
        <w:rPr>
          <w:b/>
          <w:bCs/>
          <w:szCs w:val="20"/>
        </w:rPr>
        <w:t xml:space="preserve"> </w:t>
      </w:r>
      <w:r w:rsidR="00D72328" w:rsidRPr="00EE4737">
        <w:rPr>
          <w:b/>
          <w:bCs/>
          <w:szCs w:val="20"/>
        </w:rPr>
        <w:t xml:space="preserve">rules and in which the ETR according to the simplified ETR test of the OECD Transitional Safe </w:t>
      </w:r>
      <w:proofErr w:type="spellStart"/>
      <w:r w:rsidR="00D72328" w:rsidRPr="00EE4737">
        <w:rPr>
          <w:b/>
          <w:bCs/>
          <w:szCs w:val="20"/>
        </w:rPr>
        <w:t>Harbour</w:t>
      </w:r>
      <w:proofErr w:type="spellEnd"/>
      <w:r w:rsidR="00D72328" w:rsidRPr="00EE4737">
        <w:rPr>
          <w:b/>
          <w:bCs/>
          <w:szCs w:val="20"/>
        </w:rPr>
        <w:t xml:space="preserve"> rule is below 15%</w:t>
      </w:r>
      <w:r w:rsidR="00D72328">
        <w:rPr>
          <w:szCs w:val="20"/>
        </w:rPr>
        <w:t xml:space="preserve"> (disclosure in the annual financial accounts only, based on figures of the prior fiscal year, </w:t>
      </w:r>
      <w:r w:rsidR="002466CE">
        <w:rPr>
          <w:szCs w:val="20"/>
        </w:rPr>
        <w:t xml:space="preserve">since </w:t>
      </w:r>
      <w:proofErr w:type="spellStart"/>
      <w:r w:rsidR="002466CE">
        <w:rPr>
          <w:szCs w:val="20"/>
        </w:rPr>
        <w:t>CbCR</w:t>
      </w:r>
      <w:proofErr w:type="spellEnd"/>
      <w:r w:rsidR="002466CE">
        <w:rPr>
          <w:szCs w:val="20"/>
        </w:rPr>
        <w:t xml:space="preserve"> figures are </w:t>
      </w:r>
      <w:r w:rsidR="00775320">
        <w:rPr>
          <w:szCs w:val="20"/>
        </w:rPr>
        <w:t xml:space="preserve">going to be prepared at a later stage). The figures from the De minimis test and simplified ETR are </w:t>
      </w:r>
      <w:r w:rsidR="00DB3CB9">
        <w:rPr>
          <w:szCs w:val="20"/>
        </w:rPr>
        <w:t>going to be widely used by affected multinational enterprises during the initial implementation phase of the Pillar Two implementation and thus, can be easily available and at the same time provide useful information.</w:t>
      </w:r>
    </w:p>
    <w:p w14:paraId="3B6E3C1B" w14:textId="77777777" w:rsidR="009A194E" w:rsidRPr="009055D7" w:rsidRDefault="009A194E" w:rsidP="009A194E">
      <w:pPr>
        <w:pStyle w:val="ListParagraph"/>
        <w:ind w:right="28"/>
        <w:jc w:val="both"/>
        <w:rPr>
          <w:rFonts w:cstheme="majorHAnsi"/>
          <w:szCs w:val="20"/>
        </w:rPr>
      </w:pPr>
    </w:p>
    <w:p w14:paraId="2ED09BB3" w14:textId="1C28223C" w:rsidR="00F779F0" w:rsidRPr="008406B1" w:rsidRDefault="00F779F0" w:rsidP="00654E2C">
      <w:pPr>
        <w:spacing w:line="276" w:lineRule="auto"/>
        <w:jc w:val="both"/>
        <w:rPr>
          <w:rFonts w:eastAsia="Times New Roman"/>
          <w:szCs w:val="20"/>
        </w:rPr>
      </w:pPr>
      <w:r w:rsidRPr="009055D7">
        <w:rPr>
          <w:rFonts w:eastAsia="Times New Roman"/>
          <w:szCs w:val="20"/>
        </w:rPr>
        <w:t>With respect to</w:t>
      </w:r>
      <w:r w:rsidR="00654E2C" w:rsidRPr="009055D7">
        <w:rPr>
          <w:rFonts w:eastAsia="Times New Roman"/>
          <w:szCs w:val="20"/>
        </w:rPr>
        <w:t xml:space="preserve"> </w:t>
      </w:r>
      <w:r w:rsidR="00654E2C" w:rsidRPr="008406B1">
        <w:rPr>
          <w:rFonts w:eastAsia="Times New Roman"/>
          <w:b/>
          <w:bCs/>
          <w:szCs w:val="20"/>
        </w:rPr>
        <w:t>paragraph</w:t>
      </w:r>
      <w:r w:rsidRPr="008406B1">
        <w:rPr>
          <w:rFonts w:eastAsia="Times New Roman"/>
          <w:b/>
          <w:bCs/>
          <w:szCs w:val="20"/>
        </w:rPr>
        <w:t xml:space="preserve"> 88</w:t>
      </w:r>
      <w:r w:rsidR="00654E2C" w:rsidRPr="008406B1">
        <w:rPr>
          <w:rFonts w:eastAsia="Times New Roman"/>
          <w:b/>
          <w:bCs/>
          <w:szCs w:val="20"/>
        </w:rPr>
        <w:t xml:space="preserve"> </w:t>
      </w:r>
      <w:r w:rsidRPr="008406B1">
        <w:rPr>
          <w:rFonts w:eastAsia="Times New Roman"/>
          <w:b/>
          <w:bCs/>
          <w:szCs w:val="20"/>
        </w:rPr>
        <w:t>B</w:t>
      </w:r>
      <w:r w:rsidRPr="009055D7">
        <w:rPr>
          <w:rFonts w:eastAsia="Times New Roman"/>
          <w:szCs w:val="20"/>
        </w:rPr>
        <w:t xml:space="preserve"> which requires the separate disclosure of the current tax portion for the top up tax separately, </w:t>
      </w:r>
      <w:r w:rsidR="00DA4DD2" w:rsidRPr="008406B1">
        <w:rPr>
          <w:rFonts w:eastAsia="Times New Roman"/>
          <w:b/>
          <w:bCs/>
          <w:szCs w:val="20"/>
        </w:rPr>
        <w:t xml:space="preserve">some </w:t>
      </w:r>
      <w:r w:rsidRPr="008406B1">
        <w:rPr>
          <w:rFonts w:eastAsia="Times New Roman"/>
          <w:b/>
          <w:bCs/>
          <w:szCs w:val="20"/>
        </w:rPr>
        <w:t xml:space="preserve">ICC members </w:t>
      </w:r>
      <w:r w:rsidR="00654E2C" w:rsidRPr="008406B1">
        <w:rPr>
          <w:rFonts w:eastAsia="Times New Roman"/>
          <w:b/>
          <w:bCs/>
          <w:szCs w:val="20"/>
        </w:rPr>
        <w:t>would</w:t>
      </w:r>
      <w:r w:rsidRPr="008406B1">
        <w:rPr>
          <w:rFonts w:eastAsia="Times New Roman"/>
          <w:b/>
          <w:bCs/>
          <w:szCs w:val="20"/>
        </w:rPr>
        <w:t xml:space="preserve"> instead like to propose the inclusion of the top up tax as a regular local tax in the tax rate reconciliation under “benefit/expense from rate differential”.</w:t>
      </w:r>
      <w:r w:rsidRPr="009055D7">
        <w:rPr>
          <w:rFonts w:eastAsia="Times New Roman"/>
          <w:szCs w:val="20"/>
        </w:rPr>
        <w:t xml:space="preserve"> </w:t>
      </w:r>
      <w:r w:rsidR="002F7465">
        <w:rPr>
          <w:rFonts w:eastAsia="Times New Roman"/>
          <w:szCs w:val="20"/>
        </w:rPr>
        <w:t xml:space="preserve">Other members would </w:t>
      </w:r>
      <w:r w:rsidR="00A97316" w:rsidRPr="008406B1">
        <w:rPr>
          <w:rFonts w:eastAsia="Times New Roman"/>
          <w:b/>
          <w:bCs/>
          <w:szCs w:val="20"/>
        </w:rPr>
        <w:t xml:space="preserve">suggest that the split between Pillar Two income taxes and other current taxes </w:t>
      </w:r>
      <w:r w:rsidR="00ED75F5" w:rsidRPr="008406B1">
        <w:rPr>
          <w:rFonts w:eastAsia="Times New Roman"/>
          <w:b/>
          <w:bCs/>
          <w:szCs w:val="20"/>
        </w:rPr>
        <w:t xml:space="preserve">should be presented only in the notes to the financial statements </w:t>
      </w:r>
      <w:r w:rsidR="00ED75F5" w:rsidRPr="008406B1">
        <w:rPr>
          <w:rFonts w:eastAsia="Times New Roman"/>
          <w:szCs w:val="20"/>
        </w:rPr>
        <w:t>(e.g.</w:t>
      </w:r>
      <w:r w:rsidR="006B5286">
        <w:rPr>
          <w:rFonts w:eastAsia="Times New Roman"/>
          <w:szCs w:val="20"/>
        </w:rPr>
        <w:t>,</w:t>
      </w:r>
      <w:r w:rsidR="00ED75F5" w:rsidRPr="008406B1">
        <w:rPr>
          <w:rFonts w:eastAsia="Times New Roman"/>
          <w:szCs w:val="20"/>
        </w:rPr>
        <w:t xml:space="preserve"> as part of the effective tax rate reconciliation</w:t>
      </w:r>
      <w:r w:rsidR="008406B1" w:rsidRPr="008406B1">
        <w:rPr>
          <w:rFonts w:eastAsia="Times New Roman"/>
          <w:szCs w:val="20"/>
        </w:rPr>
        <w:t>).</w:t>
      </w:r>
    </w:p>
    <w:p w14:paraId="01F6D720" w14:textId="77777777" w:rsidR="00F779F0" w:rsidRPr="009055D7" w:rsidRDefault="00F779F0" w:rsidP="00F779F0">
      <w:pPr>
        <w:pStyle w:val="ListParagraph"/>
        <w:spacing w:line="276" w:lineRule="auto"/>
        <w:jc w:val="both"/>
        <w:rPr>
          <w:szCs w:val="20"/>
        </w:rPr>
      </w:pPr>
    </w:p>
    <w:p w14:paraId="15A12B49" w14:textId="7E290BE5" w:rsidR="00654E2C" w:rsidRPr="009055D7" w:rsidRDefault="00F779F0" w:rsidP="00654E2C">
      <w:pPr>
        <w:spacing w:line="276" w:lineRule="auto"/>
        <w:jc w:val="both"/>
        <w:rPr>
          <w:szCs w:val="20"/>
        </w:rPr>
      </w:pPr>
      <w:r w:rsidRPr="009055D7">
        <w:rPr>
          <w:szCs w:val="20"/>
        </w:rPr>
        <w:t xml:space="preserve">Finally, even though rules are currently legislated, they are not yet in a final version that could enable businesses to conclude on such matters. Thus, while ICC members support the temporary exception, they think that </w:t>
      </w:r>
      <w:proofErr w:type="spellStart"/>
      <w:r w:rsidRPr="00B30AB5">
        <w:rPr>
          <w:b/>
          <w:bCs/>
          <w:szCs w:val="20"/>
        </w:rPr>
        <w:t>characterising</w:t>
      </w:r>
      <w:proofErr w:type="spellEnd"/>
      <w:r w:rsidRPr="00B30AB5">
        <w:rPr>
          <w:b/>
          <w:bCs/>
          <w:szCs w:val="20"/>
        </w:rPr>
        <w:t xml:space="preserve"> it as a temporary exception could be interpreted in a misleading way since it would imply that this is an exception from some requirements provided by the accounting standards.</w:t>
      </w:r>
      <w:r w:rsidRPr="009055D7">
        <w:rPr>
          <w:szCs w:val="20"/>
        </w:rPr>
        <w:t xml:space="preserve"> However, the IASB has not yet concluded whether deferred tax on Pillar 2 should be accounted for under IAS12 while at the same time FASB has already publicly stated that it does not consider </w:t>
      </w:r>
      <w:r w:rsidR="001E7686">
        <w:rPr>
          <w:szCs w:val="20"/>
        </w:rPr>
        <w:t xml:space="preserve">that </w:t>
      </w:r>
      <w:r w:rsidRPr="009055D7">
        <w:rPr>
          <w:szCs w:val="20"/>
        </w:rPr>
        <w:t xml:space="preserve">deferred tax should be accounted for because it sees Pillar 2 as an alternative minimum tax. </w:t>
      </w:r>
      <w:r w:rsidR="009F0A13">
        <w:rPr>
          <w:szCs w:val="20"/>
        </w:rPr>
        <w:t xml:space="preserve">The FASB </w:t>
      </w:r>
      <w:r w:rsidR="0053614E">
        <w:rPr>
          <w:szCs w:val="20"/>
        </w:rPr>
        <w:t xml:space="preserve">also does not consider any specific disclosure requirements. </w:t>
      </w:r>
    </w:p>
    <w:p w14:paraId="4F4B17BA" w14:textId="5C2F39E6" w:rsidR="00F779F0" w:rsidRDefault="00F779F0" w:rsidP="009055D7">
      <w:pPr>
        <w:spacing w:line="276" w:lineRule="auto"/>
        <w:jc w:val="both"/>
        <w:rPr>
          <w:szCs w:val="20"/>
        </w:rPr>
      </w:pPr>
      <w:r w:rsidRPr="00B30AB5">
        <w:rPr>
          <w:b/>
          <w:bCs/>
          <w:szCs w:val="20"/>
        </w:rPr>
        <w:t xml:space="preserve">ICC would kindly welcome the alignment of IASB with </w:t>
      </w:r>
      <w:r w:rsidR="00B95AF9" w:rsidRPr="00B30AB5">
        <w:rPr>
          <w:b/>
          <w:bCs/>
          <w:szCs w:val="20"/>
        </w:rPr>
        <w:t xml:space="preserve">the </w:t>
      </w:r>
      <w:r w:rsidRPr="00B30AB5">
        <w:rPr>
          <w:b/>
          <w:bCs/>
          <w:szCs w:val="20"/>
        </w:rPr>
        <w:t>FASB position, allowing accounts to be more easily comparable on a global scale.</w:t>
      </w:r>
      <w:r w:rsidRPr="009055D7">
        <w:rPr>
          <w:szCs w:val="20"/>
        </w:rPr>
        <w:t xml:space="preserve"> Moreover, if further time is needed in relation to this matter, ICC members would suggest making the “exception” mandatory </w:t>
      </w:r>
      <w:proofErr w:type="gramStart"/>
      <w:r w:rsidRPr="009055D7">
        <w:rPr>
          <w:szCs w:val="20"/>
        </w:rPr>
        <w:t>in order to</w:t>
      </w:r>
      <w:proofErr w:type="gramEnd"/>
      <w:r w:rsidRPr="009055D7">
        <w:rPr>
          <w:szCs w:val="20"/>
        </w:rPr>
        <w:t xml:space="preserve"> </w:t>
      </w:r>
      <w:proofErr w:type="spellStart"/>
      <w:r w:rsidRPr="009055D7">
        <w:rPr>
          <w:szCs w:val="20"/>
        </w:rPr>
        <w:t>minimise</w:t>
      </w:r>
      <w:proofErr w:type="spellEnd"/>
      <w:r w:rsidRPr="009055D7">
        <w:rPr>
          <w:szCs w:val="20"/>
        </w:rPr>
        <w:t xml:space="preserve"> the different approaches and timing of implementation that companies might take.</w:t>
      </w:r>
    </w:p>
    <w:p w14:paraId="4BB6E43D" w14:textId="77777777" w:rsidR="009C1DCB" w:rsidRDefault="009C1DCB" w:rsidP="009055D7">
      <w:pPr>
        <w:spacing w:line="276" w:lineRule="auto"/>
        <w:jc w:val="both"/>
        <w:rPr>
          <w:szCs w:val="20"/>
        </w:rPr>
      </w:pPr>
    </w:p>
    <w:p w14:paraId="49B3E6CB" w14:textId="1DB3BCB1" w:rsidR="009C1DCB" w:rsidRPr="009055D7" w:rsidRDefault="00F85B97" w:rsidP="009055D7">
      <w:pPr>
        <w:spacing w:line="276" w:lineRule="auto"/>
        <w:jc w:val="both"/>
        <w:rPr>
          <w:szCs w:val="20"/>
          <w:lang w:val="en-GB"/>
        </w:rPr>
      </w:pPr>
      <w:r>
        <w:rPr>
          <w:szCs w:val="20"/>
        </w:rPr>
        <w:t xml:space="preserve">We are grateful for the opportunity to provide feedback to the proposed </w:t>
      </w:r>
      <w:r w:rsidR="00B95AF9">
        <w:rPr>
          <w:szCs w:val="20"/>
        </w:rPr>
        <w:t>amendments,</w:t>
      </w:r>
      <w:r>
        <w:rPr>
          <w:szCs w:val="20"/>
        </w:rPr>
        <w:t xml:space="preserve"> and we stay at your full disposal for any further clarification</w:t>
      </w:r>
      <w:r w:rsidR="002417CB">
        <w:rPr>
          <w:szCs w:val="20"/>
        </w:rPr>
        <w:t>s.</w:t>
      </w:r>
    </w:p>
    <w:sectPr w:rsidR="009C1DCB" w:rsidRPr="009055D7" w:rsidSect="009E4D08">
      <w:headerReference w:type="even" r:id="rId11"/>
      <w:footerReference w:type="even" r:id="rId12"/>
      <w:footerReference w:type="default" r:id="rId13"/>
      <w:headerReference w:type="first" r:id="rId14"/>
      <w:footerReference w:type="first" r:id="rId15"/>
      <w:pgSz w:w="11900" w:h="16840"/>
      <w:pgMar w:top="1598" w:right="1418" w:bottom="1769" w:left="1418" w:header="309"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6D7C9" w14:textId="77777777" w:rsidR="005363AE" w:rsidRDefault="005363AE" w:rsidP="00F779F0">
      <w:pPr>
        <w:spacing w:after="0"/>
      </w:pPr>
      <w:r>
        <w:separator/>
      </w:r>
    </w:p>
  </w:endnote>
  <w:endnote w:type="continuationSeparator" w:id="0">
    <w:p w14:paraId="112B97C4" w14:textId="77777777" w:rsidR="005363AE" w:rsidRDefault="005363AE" w:rsidP="00F779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llix">
    <w:panose1 w:val="00000000000000000000"/>
    <w:charset w:val="00"/>
    <w:family w:val="modern"/>
    <w:notTrueType/>
    <w:pitch w:val="variable"/>
    <w:sig w:usb0="A10000EF" w:usb1="0000207A" w:usb2="00000000" w:usb3="00000000" w:csb0="00000093" w:csb1="00000000"/>
  </w:font>
  <w:font w:name="ヒラギノ角ゴ Pro W3">
    <w:altName w:val="MS Gothic"/>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3719789"/>
      <w:docPartObj>
        <w:docPartGallery w:val="Page Numbers (Bottom of Page)"/>
        <w:docPartUnique/>
      </w:docPartObj>
    </w:sdtPr>
    <w:sdtEndPr>
      <w:rPr>
        <w:rStyle w:val="PageNumber"/>
      </w:rPr>
    </w:sdtEndPr>
    <w:sdtContent>
      <w:p w14:paraId="2818E0DC" w14:textId="77777777" w:rsidR="00A83441" w:rsidRDefault="006B5286"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EndPr>
      <w:rPr>
        <w:rStyle w:val="PageNumber"/>
      </w:rPr>
    </w:sdtEndPr>
    <w:sdtContent>
      <w:p w14:paraId="5D772060" w14:textId="77777777" w:rsidR="00A83441" w:rsidRDefault="006B5286"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21F584" w14:textId="77777777" w:rsidR="00A83441" w:rsidRDefault="006B5286" w:rsidP="000222B2"/>
  <w:p w14:paraId="37D49F59" w14:textId="77777777" w:rsidR="00713BED" w:rsidRDefault="006B5286" w:rsidP="000222B2"/>
  <w:p w14:paraId="72F1DD5D" w14:textId="77777777" w:rsidR="00713BED" w:rsidRDefault="006B5286" w:rsidP="000222B2"/>
  <w:p w14:paraId="43C6364A" w14:textId="77777777" w:rsidR="004D071C" w:rsidRDefault="006B5286" w:rsidP="000222B2"/>
  <w:p w14:paraId="261D9851" w14:textId="77777777" w:rsidR="004D071C" w:rsidRDefault="006B5286" w:rsidP="000222B2"/>
  <w:p w14:paraId="58691053" w14:textId="77777777" w:rsidR="004D071C" w:rsidRDefault="006B5286"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A72B" w14:textId="4BB3FD6C" w:rsidR="00604243" w:rsidRPr="001D7186" w:rsidRDefault="006B5286" w:rsidP="00604243">
    <w:pPr>
      <w:pStyle w:val="zFooter"/>
      <w:rPr>
        <w:color w:val="auto"/>
      </w:rPr>
    </w:pPr>
    <w:r>
      <w:rPr>
        <w:color w:val="auto"/>
      </w:rPr>
      <w:t>February</w:t>
    </w:r>
    <w:r w:rsidRPr="001D7186">
      <w:rPr>
        <w:color w:val="auto"/>
      </w:rPr>
      <w:t xml:space="preserve"> 2023 | ICC response to </w:t>
    </w:r>
    <w:r w:rsidR="00F779F0">
      <w:rPr>
        <w:color w:val="auto"/>
      </w:rPr>
      <w:t>IASB</w:t>
    </w:r>
    <w:r w:rsidR="00654E2C">
      <w:rPr>
        <w:color w:val="auto"/>
      </w:rPr>
      <w:t xml:space="preserve"> </w:t>
    </w:r>
    <w:r w:rsidR="00F779F0">
      <w:rPr>
        <w:color w:val="auto"/>
      </w:rPr>
      <w:t xml:space="preserve">Proposed Amendments to IAS 12 </w:t>
    </w:r>
    <w:r w:rsidRPr="001D7186">
      <w:rPr>
        <w:color w:val="auto"/>
      </w:rPr>
      <w:t xml:space="preserve">| </w:t>
    </w:r>
    <w:r w:rsidRPr="001D7186">
      <w:rPr>
        <w:b/>
        <w:bCs/>
        <w:color w:val="auto"/>
      </w:rPr>
      <w:fldChar w:fldCharType="begin"/>
    </w:r>
    <w:r w:rsidRPr="001D7186">
      <w:rPr>
        <w:b/>
        <w:bCs/>
        <w:color w:val="auto"/>
      </w:rPr>
      <w:instrText xml:space="preserve"> PAGE </w:instrText>
    </w:r>
    <w:r w:rsidRPr="001D7186">
      <w:rPr>
        <w:b/>
        <w:bCs/>
        <w:color w:val="auto"/>
      </w:rPr>
      <w:fldChar w:fldCharType="separate"/>
    </w:r>
    <w:r w:rsidRPr="001D7186">
      <w:rPr>
        <w:b/>
        <w:bCs/>
        <w:color w:val="auto"/>
      </w:rPr>
      <w:t>2</w:t>
    </w:r>
    <w:r w:rsidRPr="001D7186">
      <w:rPr>
        <w:b/>
        <w:bCs/>
        <w:color w:val="auto"/>
      </w:rPr>
      <w:fldChar w:fldCharType="end"/>
    </w:r>
  </w:p>
  <w:p w14:paraId="7EEDF1F6" w14:textId="77777777" w:rsidR="00604243" w:rsidRDefault="006B5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58AC" w14:textId="77777777" w:rsidR="00713BED" w:rsidRPr="003A4365" w:rsidRDefault="006B5286" w:rsidP="003A4365">
    <w:pPr>
      <w:tabs>
        <w:tab w:val="left" w:pos="5361"/>
      </w:tabs>
      <w:rPr>
        <w:color w:val="FFC000"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CA2D6" w14:textId="77777777" w:rsidR="005363AE" w:rsidRDefault="005363AE" w:rsidP="00F779F0">
      <w:pPr>
        <w:spacing w:after="0"/>
      </w:pPr>
      <w:r>
        <w:separator/>
      </w:r>
    </w:p>
  </w:footnote>
  <w:footnote w:type="continuationSeparator" w:id="0">
    <w:p w14:paraId="485B65EF" w14:textId="77777777" w:rsidR="005363AE" w:rsidRDefault="005363AE" w:rsidP="00F779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4A86" w14:textId="77777777" w:rsidR="00155E25" w:rsidRDefault="006B5286" w:rsidP="000222B2">
    <w:pPr>
      <w:pStyle w:val="Header"/>
    </w:pPr>
  </w:p>
  <w:p w14:paraId="6B09B23F" w14:textId="77777777" w:rsidR="004D071C" w:rsidRDefault="006B5286" w:rsidP="000222B2"/>
  <w:p w14:paraId="6E08043C" w14:textId="77777777" w:rsidR="004D071C" w:rsidRDefault="006B5286" w:rsidP="000222B2"/>
  <w:p w14:paraId="44975A9F" w14:textId="77777777" w:rsidR="004D071C" w:rsidRDefault="006B5286"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5C3C" w14:textId="77777777" w:rsidR="005A3059" w:rsidRDefault="006B5286" w:rsidP="00DB01DD">
    <w:pPr>
      <w:ind w:right="-575"/>
      <w:jc w:val="right"/>
    </w:pPr>
    <w:r w:rsidRPr="008619B0">
      <w:rPr>
        <w:noProof/>
      </w:rPr>
      <w:drawing>
        <wp:anchor distT="0" distB="0" distL="114300" distR="114300" simplePos="0" relativeHeight="251659264" behindDoc="1" locked="1" layoutInCell="1" allowOverlap="1" wp14:anchorId="31029F3E" wp14:editId="4CA3CD83">
          <wp:simplePos x="0" y="0"/>
          <wp:positionH relativeFrom="page">
            <wp:align>center</wp:align>
          </wp:positionH>
          <wp:positionV relativeFrom="page">
            <wp:align>center</wp:align>
          </wp:positionV>
          <wp:extent cx="7574400" cy="10720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74400" cy="107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54839"/>
    <w:multiLevelType w:val="hybridMultilevel"/>
    <w:tmpl w:val="260886A8"/>
    <w:lvl w:ilvl="0" w:tplc="B9D8072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AB4707B"/>
    <w:multiLevelType w:val="hybridMultilevel"/>
    <w:tmpl w:val="D43A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C30"/>
    <w:multiLevelType w:val="hybridMultilevel"/>
    <w:tmpl w:val="C96CF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C04CC4"/>
    <w:multiLevelType w:val="hybridMultilevel"/>
    <w:tmpl w:val="6AD2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7162D5"/>
    <w:multiLevelType w:val="hybridMultilevel"/>
    <w:tmpl w:val="2F66CDF2"/>
    <w:lvl w:ilvl="0" w:tplc="674081AE">
      <w:start w:val="1"/>
      <w:numFmt w:val="lowerRoman"/>
      <w:lvlText w:val="%1)"/>
      <w:lvlJc w:val="left"/>
      <w:pPr>
        <w:ind w:left="1080" w:hanging="360"/>
      </w:pPr>
      <w:rPr>
        <w:rFonts w:ascii="Gellix" w:eastAsia="ヒラギノ角ゴ Pro W3" w:hAnsi="Gellix"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DBC1EB9"/>
    <w:multiLevelType w:val="hybridMultilevel"/>
    <w:tmpl w:val="BD1EB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7BA6EB0"/>
    <w:multiLevelType w:val="hybridMultilevel"/>
    <w:tmpl w:val="6DD6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078738">
    <w:abstractNumId w:val="0"/>
  </w:num>
  <w:num w:numId="2" w16cid:durableId="2112817048">
    <w:abstractNumId w:val="4"/>
  </w:num>
  <w:num w:numId="3" w16cid:durableId="2070299695">
    <w:abstractNumId w:val="2"/>
  </w:num>
  <w:num w:numId="4" w16cid:durableId="2142457878">
    <w:abstractNumId w:val="1"/>
  </w:num>
  <w:num w:numId="5" w16cid:durableId="769424873">
    <w:abstractNumId w:val="6"/>
  </w:num>
  <w:num w:numId="6" w16cid:durableId="619336783">
    <w:abstractNumId w:val="3"/>
  </w:num>
  <w:num w:numId="7" w16cid:durableId="860751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4E"/>
    <w:rsid w:val="000070D2"/>
    <w:rsid w:val="00045AFC"/>
    <w:rsid w:val="00097C6F"/>
    <w:rsid w:val="000C5F6F"/>
    <w:rsid w:val="00146029"/>
    <w:rsid w:val="00146FD2"/>
    <w:rsid w:val="0016683D"/>
    <w:rsid w:val="001774B7"/>
    <w:rsid w:val="001D4A85"/>
    <w:rsid w:val="001E2EBE"/>
    <w:rsid w:val="001E7686"/>
    <w:rsid w:val="00216850"/>
    <w:rsid w:val="002357D6"/>
    <w:rsid w:val="002417CB"/>
    <w:rsid w:val="002466CE"/>
    <w:rsid w:val="00252E3F"/>
    <w:rsid w:val="002639AA"/>
    <w:rsid w:val="002671AA"/>
    <w:rsid w:val="002C4D4C"/>
    <w:rsid w:val="002F7465"/>
    <w:rsid w:val="003843F7"/>
    <w:rsid w:val="003A4CAA"/>
    <w:rsid w:val="003C05F5"/>
    <w:rsid w:val="003C2AC7"/>
    <w:rsid w:val="004322F8"/>
    <w:rsid w:val="00471817"/>
    <w:rsid w:val="004862DA"/>
    <w:rsid w:val="0049015C"/>
    <w:rsid w:val="004A0EC2"/>
    <w:rsid w:val="004C3CB8"/>
    <w:rsid w:val="0053614E"/>
    <w:rsid w:val="005363AE"/>
    <w:rsid w:val="00566C6E"/>
    <w:rsid w:val="005834EA"/>
    <w:rsid w:val="005A164C"/>
    <w:rsid w:val="005C07EF"/>
    <w:rsid w:val="00621B9E"/>
    <w:rsid w:val="00644CAE"/>
    <w:rsid w:val="00654BFD"/>
    <w:rsid w:val="00654E2C"/>
    <w:rsid w:val="00664C21"/>
    <w:rsid w:val="00685194"/>
    <w:rsid w:val="006A7136"/>
    <w:rsid w:val="006B5286"/>
    <w:rsid w:val="007732C1"/>
    <w:rsid w:val="007745F5"/>
    <w:rsid w:val="00775320"/>
    <w:rsid w:val="007A2C2F"/>
    <w:rsid w:val="007E1328"/>
    <w:rsid w:val="0080333A"/>
    <w:rsid w:val="008406B1"/>
    <w:rsid w:val="00854249"/>
    <w:rsid w:val="00873C75"/>
    <w:rsid w:val="00881B10"/>
    <w:rsid w:val="00895E88"/>
    <w:rsid w:val="00896A15"/>
    <w:rsid w:val="008A3954"/>
    <w:rsid w:val="008D1A29"/>
    <w:rsid w:val="008F6B82"/>
    <w:rsid w:val="009055D7"/>
    <w:rsid w:val="00926397"/>
    <w:rsid w:val="00957C3E"/>
    <w:rsid w:val="009639C6"/>
    <w:rsid w:val="0097348A"/>
    <w:rsid w:val="009902D7"/>
    <w:rsid w:val="009A194E"/>
    <w:rsid w:val="009C1DCB"/>
    <w:rsid w:val="009E57F2"/>
    <w:rsid w:val="009F0A13"/>
    <w:rsid w:val="009F2AC7"/>
    <w:rsid w:val="00A44E5A"/>
    <w:rsid w:val="00A96650"/>
    <w:rsid w:val="00A97316"/>
    <w:rsid w:val="00AA6642"/>
    <w:rsid w:val="00AD0838"/>
    <w:rsid w:val="00B30AB5"/>
    <w:rsid w:val="00B47394"/>
    <w:rsid w:val="00B93FC4"/>
    <w:rsid w:val="00B95AF9"/>
    <w:rsid w:val="00BA16A1"/>
    <w:rsid w:val="00BA4880"/>
    <w:rsid w:val="00BE3AA9"/>
    <w:rsid w:val="00C02362"/>
    <w:rsid w:val="00C06C67"/>
    <w:rsid w:val="00C237AB"/>
    <w:rsid w:val="00C23A5E"/>
    <w:rsid w:val="00C56F20"/>
    <w:rsid w:val="00CE6E40"/>
    <w:rsid w:val="00CF3E44"/>
    <w:rsid w:val="00D06623"/>
    <w:rsid w:val="00D22981"/>
    <w:rsid w:val="00D72328"/>
    <w:rsid w:val="00D82C84"/>
    <w:rsid w:val="00DA0F63"/>
    <w:rsid w:val="00DA4DD2"/>
    <w:rsid w:val="00DB12AD"/>
    <w:rsid w:val="00DB3CB9"/>
    <w:rsid w:val="00DD2212"/>
    <w:rsid w:val="00E06D72"/>
    <w:rsid w:val="00E247CE"/>
    <w:rsid w:val="00EC6078"/>
    <w:rsid w:val="00ED75F5"/>
    <w:rsid w:val="00EE4737"/>
    <w:rsid w:val="00EF4183"/>
    <w:rsid w:val="00F12FBE"/>
    <w:rsid w:val="00F52ADA"/>
    <w:rsid w:val="00F779F0"/>
    <w:rsid w:val="00F85B97"/>
    <w:rsid w:val="00F914EC"/>
    <w:rsid w:val="00FA30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72F2"/>
  <w15:chartTrackingRefBased/>
  <w15:docId w15:val="{1D353E0F-ECBD-494D-BDEC-457B840C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9A194E"/>
    <w:pPr>
      <w:spacing w:after="120" w:line="240" w:lineRule="auto"/>
    </w:pPr>
    <w:rPr>
      <w:rFonts w:ascii="Gellix" w:eastAsia="ヒラギノ角ゴ Pro W3" w:hAnsi="Gellix" w:cs="Times New Roman"/>
      <w:color w:val="000000"/>
      <w:sz w:val="2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9A194E"/>
    <w:pPr>
      <w:spacing w:after="0"/>
      <w:jc w:val="center"/>
    </w:pPr>
    <w:rPr>
      <w:color w:val="5B9BD5" w:themeColor="accent5"/>
      <w:sz w:val="16"/>
      <w:szCs w:val="16"/>
    </w:rPr>
  </w:style>
  <w:style w:type="character" w:styleId="PageNumber">
    <w:name w:val="page number"/>
    <w:basedOn w:val="DefaultParagraphFont"/>
    <w:semiHidden/>
    <w:unhideWhenUsed/>
    <w:rsid w:val="009A194E"/>
  </w:style>
  <w:style w:type="paragraph" w:styleId="ListParagraph">
    <w:name w:val="List Paragraph"/>
    <w:aliases w:val="Bullet List,FooterText,List Paragraph1,numbered,Paragraphe de liste1,列出段落,列出段落1,Bulletr List Paragraph,List Paragraph2,List Paragraph21,Parágrafo da Lista1,Párrafo de lista1,Listeafsnit1,リスト段落1,????,????1,Listenabsatz,Paragraphe de liste"/>
    <w:basedOn w:val="Normal"/>
    <w:link w:val="ListParagraphChar"/>
    <w:uiPriority w:val="34"/>
    <w:qFormat/>
    <w:rsid w:val="009A194E"/>
    <w:pPr>
      <w:ind w:left="720"/>
      <w:contextualSpacing/>
    </w:pPr>
  </w:style>
  <w:style w:type="paragraph" w:styleId="Title">
    <w:name w:val="Title"/>
    <w:basedOn w:val="Normal"/>
    <w:next w:val="Normal"/>
    <w:link w:val="TitleChar"/>
    <w:qFormat/>
    <w:rsid w:val="009A194E"/>
    <w:pPr>
      <w:spacing w:before="240" w:after="0" w:line="264" w:lineRule="auto"/>
    </w:pPr>
    <w:rPr>
      <w:color w:val="FFFFFF" w:themeColor="background1"/>
      <w:sz w:val="80"/>
      <w:szCs w:val="80"/>
    </w:rPr>
  </w:style>
  <w:style w:type="character" w:customStyle="1" w:styleId="TitleChar">
    <w:name w:val="Title Char"/>
    <w:basedOn w:val="DefaultParagraphFont"/>
    <w:link w:val="Title"/>
    <w:rsid w:val="009A194E"/>
    <w:rPr>
      <w:rFonts w:ascii="Gellix" w:eastAsia="ヒラギノ角ゴ Pro W3" w:hAnsi="Gellix" w:cs="Times New Roman"/>
      <w:color w:val="FFFFFF" w:themeColor="background1"/>
      <w:sz w:val="80"/>
      <w:szCs w:val="80"/>
      <w:lang w:val="en-US" w:eastAsia="en-US"/>
    </w:rPr>
  </w:style>
  <w:style w:type="paragraph" w:styleId="Header">
    <w:name w:val="header"/>
    <w:basedOn w:val="Normal"/>
    <w:link w:val="HeaderChar"/>
    <w:unhideWhenUsed/>
    <w:rsid w:val="009A194E"/>
    <w:pPr>
      <w:tabs>
        <w:tab w:val="center" w:pos="4536"/>
        <w:tab w:val="right" w:pos="9072"/>
      </w:tabs>
    </w:pPr>
  </w:style>
  <w:style w:type="character" w:customStyle="1" w:styleId="HeaderChar">
    <w:name w:val="Header Char"/>
    <w:basedOn w:val="DefaultParagraphFont"/>
    <w:link w:val="Header"/>
    <w:rsid w:val="009A194E"/>
    <w:rPr>
      <w:rFonts w:ascii="Gellix" w:eastAsia="ヒラギノ角ゴ Pro W3" w:hAnsi="Gellix" w:cs="Times New Roman"/>
      <w:color w:val="000000"/>
      <w:sz w:val="20"/>
      <w:szCs w:val="24"/>
      <w:lang w:val="en-US" w:eastAsia="en-US"/>
    </w:rPr>
  </w:style>
  <w:style w:type="character" w:customStyle="1" w:styleId="normaltextrun">
    <w:name w:val="normaltextrun"/>
    <w:basedOn w:val="DefaultParagraphFont"/>
    <w:rsid w:val="009A194E"/>
  </w:style>
  <w:style w:type="paragraph" w:styleId="Footer">
    <w:name w:val="footer"/>
    <w:basedOn w:val="Normal"/>
    <w:link w:val="FooterChar"/>
    <w:unhideWhenUsed/>
    <w:rsid w:val="009A194E"/>
    <w:pPr>
      <w:tabs>
        <w:tab w:val="center" w:pos="4536"/>
        <w:tab w:val="right" w:pos="9072"/>
      </w:tabs>
      <w:spacing w:after="0"/>
    </w:pPr>
  </w:style>
  <w:style w:type="character" w:customStyle="1" w:styleId="FooterChar">
    <w:name w:val="Footer Char"/>
    <w:basedOn w:val="DefaultParagraphFont"/>
    <w:link w:val="Footer"/>
    <w:rsid w:val="009A194E"/>
    <w:rPr>
      <w:rFonts w:ascii="Gellix" w:eastAsia="ヒラギノ角ゴ Pro W3" w:hAnsi="Gellix" w:cs="Times New Roman"/>
      <w:color w:val="000000"/>
      <w:sz w:val="20"/>
      <w:szCs w:val="24"/>
      <w:lang w:val="en-US" w:eastAsia="en-US"/>
    </w:rPr>
  </w:style>
  <w:style w:type="character" w:styleId="Hyperlink">
    <w:name w:val="Hyperlink"/>
    <w:basedOn w:val="DefaultParagraphFont"/>
    <w:uiPriority w:val="99"/>
    <w:unhideWhenUsed/>
    <w:rsid w:val="009A194E"/>
    <w:rPr>
      <w:color w:val="0563C1" w:themeColor="hyperlink"/>
      <w:u w:val="single"/>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arágrafo da Lista1 Char,Párrafo de lista1 Char"/>
    <w:basedOn w:val="DefaultParagraphFont"/>
    <w:link w:val="ListParagraph"/>
    <w:uiPriority w:val="34"/>
    <w:qFormat/>
    <w:locked/>
    <w:rsid w:val="009A194E"/>
    <w:rPr>
      <w:rFonts w:ascii="Gellix" w:eastAsia="ヒラギノ角ゴ Pro W3" w:hAnsi="Gellix" w:cs="Times New Roman"/>
      <w:color w:val="000000"/>
      <w:sz w:val="20"/>
      <w:szCs w:val="24"/>
      <w:lang w:val="en-US" w:eastAsia="en-US"/>
    </w:rPr>
  </w:style>
  <w:style w:type="paragraph" w:styleId="NormalWeb">
    <w:name w:val="Normal (Web)"/>
    <w:basedOn w:val="Normal"/>
    <w:uiPriority w:val="99"/>
    <w:unhideWhenUsed/>
    <w:rsid w:val="009A194E"/>
    <w:pPr>
      <w:spacing w:before="100" w:beforeAutospacing="1" w:after="100" w:afterAutospacing="1"/>
    </w:pPr>
    <w:rPr>
      <w:rFonts w:ascii="Times New Roman" w:eastAsia="Times New Roman" w:hAnsi="Times New Roman"/>
      <w:color w:val="auto"/>
      <w:sz w:val="24"/>
      <w:lang w:val="en-GB" w:eastAsia="zh-CN"/>
    </w:rPr>
  </w:style>
  <w:style w:type="paragraph" w:customStyle="1" w:styleId="Default">
    <w:name w:val="Default"/>
    <w:rsid w:val="00F779F0"/>
    <w:pPr>
      <w:autoSpaceDE w:val="0"/>
      <w:autoSpaceDN w:val="0"/>
      <w:adjustRightInd w:val="0"/>
      <w:spacing w:after="0" w:line="240" w:lineRule="auto"/>
    </w:pPr>
    <w:rPr>
      <w:rFonts w:ascii="Times New Roman" w:eastAsia="Calibri" w:hAnsi="Times New Roman" w:cs="Times New Roman"/>
      <w:color w:val="000000"/>
      <w:sz w:val="24"/>
      <w:szCs w:val="24"/>
      <w:lang w:val="fr-FR" w:eastAsia="fr-FR"/>
    </w:rPr>
  </w:style>
  <w:style w:type="character" w:styleId="UnresolvedMention">
    <w:name w:val="Unresolved Mention"/>
    <w:basedOn w:val="DefaultParagraphFont"/>
    <w:uiPriority w:val="99"/>
    <w:semiHidden/>
    <w:unhideWhenUsed/>
    <w:rsid w:val="00654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91271">
      <w:bodyDiv w:val="1"/>
      <w:marLeft w:val="0"/>
      <w:marRight w:val="0"/>
      <w:marTop w:val="0"/>
      <w:marBottom w:val="0"/>
      <w:divBdr>
        <w:top w:val="none" w:sz="0" w:space="0" w:color="auto"/>
        <w:left w:val="none" w:sz="0" w:space="0" w:color="auto"/>
        <w:bottom w:val="none" w:sz="0" w:space="0" w:color="auto"/>
        <w:right w:val="none" w:sz="0" w:space="0" w:color="auto"/>
      </w:divBdr>
    </w:div>
    <w:div w:id="172335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ifrs.org/projects/work-plan/international-tax-reform-pillar-two-model-rules/exposure-draft-and-comment-le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6" ma:contentTypeDescription="Create a new document." ma:contentTypeScope="" ma:versionID="59e4d750d95cd7c2c2897d58147e6fb6">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6271557890320edb76f2a4877eca3430"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827DF-BFC2-4494-9EA6-51A2DB2BDBB4}">
  <ds:schemaRefs>
    <ds:schemaRef ds:uri="http://schemas.microsoft.com/office/2006/metadata/properties"/>
    <ds:schemaRef ds:uri="http://schemas.microsoft.com/office/infopath/2007/PartnerControls"/>
    <ds:schemaRef ds:uri="fecf7fcc-4ac6-4448-a404-5e4417a2ee04"/>
    <ds:schemaRef ds:uri="598f140b-4145-4024-8bcc-6d7083f15a24"/>
  </ds:schemaRefs>
</ds:datastoreItem>
</file>

<file path=customXml/itemProps2.xml><?xml version="1.0" encoding="utf-8"?>
<ds:datastoreItem xmlns:ds="http://schemas.openxmlformats.org/officeDocument/2006/customXml" ds:itemID="{CD5E3103-BAA1-492D-B855-19CAC913B525}">
  <ds:schemaRefs>
    <ds:schemaRef ds:uri="http://schemas.microsoft.com/sharepoint/v3/contenttype/forms"/>
  </ds:schemaRefs>
</ds:datastoreItem>
</file>

<file path=customXml/itemProps3.xml><?xml version="1.0" encoding="utf-8"?>
<ds:datastoreItem xmlns:ds="http://schemas.openxmlformats.org/officeDocument/2006/customXml" ds:itemID="{029B4A34-0CD6-4137-9473-D3A7D98CC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4</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International Chamber of Commerce</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SCARCELLA Luisa</dc:creator>
  <cp:keywords/>
  <dc:description/>
  <cp:lastModifiedBy>SCARCELLA Luisa</cp:lastModifiedBy>
  <cp:revision>105</cp:revision>
  <dcterms:created xsi:type="dcterms:W3CDTF">2023-02-22T14:09:00Z</dcterms:created>
  <dcterms:modified xsi:type="dcterms:W3CDTF">2023-02-23T15:21:00Z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ies>
</file>