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773AB" w:rsidRDefault="000773AB" w14:paraId="30284525" w14:textId="7378CF5A">
      <w:pPr>
        <w:pStyle w:val="BodyText"/>
        <w:rPr>
          <w:rFonts w:ascii="Times New Roman"/>
          <w:sz w:val="20"/>
        </w:rPr>
      </w:pPr>
    </w:p>
    <w:p w:rsidR="000773AB" w:rsidRDefault="000773AB" w14:paraId="13F17289" w14:textId="77777777">
      <w:pPr>
        <w:pStyle w:val="BodyText"/>
        <w:rPr>
          <w:rFonts w:ascii="Times New Roman"/>
          <w:sz w:val="20"/>
        </w:rPr>
      </w:pPr>
    </w:p>
    <w:p w:rsidR="000773AB" w:rsidRDefault="000773AB" w14:paraId="30C3C04C" w14:textId="2FDCC676">
      <w:pPr>
        <w:pStyle w:val="BodyText"/>
        <w:rPr>
          <w:rFonts w:ascii="Times New Roman"/>
          <w:sz w:val="20"/>
        </w:rPr>
      </w:pPr>
    </w:p>
    <w:p w:rsidR="000773AB" w:rsidRDefault="000773AB" w14:paraId="60B4E4DF" w14:textId="05080C19">
      <w:pPr>
        <w:pStyle w:val="BodyText"/>
        <w:rPr>
          <w:rFonts w:ascii="Times New Roman"/>
          <w:sz w:val="20"/>
        </w:rPr>
      </w:pPr>
    </w:p>
    <w:p w:rsidR="000773AB" w:rsidRDefault="000773AB" w14:paraId="16BD20DF" w14:textId="348D9371">
      <w:pPr>
        <w:pStyle w:val="BodyText"/>
        <w:rPr>
          <w:rFonts w:ascii="Times New Roman"/>
          <w:sz w:val="20"/>
        </w:rPr>
      </w:pPr>
    </w:p>
    <w:p w:rsidR="000773AB" w:rsidRDefault="000773AB" w14:paraId="70A2C707" w14:textId="77777777">
      <w:pPr>
        <w:pStyle w:val="BodyText"/>
        <w:rPr>
          <w:rFonts w:ascii="Times New Roman"/>
          <w:sz w:val="20"/>
        </w:rPr>
      </w:pPr>
    </w:p>
    <w:p w:rsidR="000773AB" w:rsidRDefault="000773AB" w14:paraId="2FBA4457" w14:textId="77777777">
      <w:pPr>
        <w:pStyle w:val="BodyText"/>
        <w:rPr>
          <w:rFonts w:ascii="Times New Roman"/>
          <w:sz w:val="20"/>
        </w:rPr>
      </w:pPr>
    </w:p>
    <w:p w:rsidR="000773AB" w:rsidRDefault="000773AB" w14:paraId="2A471CDA" w14:textId="77777777">
      <w:pPr>
        <w:pStyle w:val="BodyText"/>
        <w:rPr>
          <w:rFonts w:ascii="Times New Roman"/>
          <w:sz w:val="20"/>
        </w:rPr>
      </w:pPr>
    </w:p>
    <w:p w:rsidR="000773AB" w:rsidRDefault="000773AB" w14:paraId="052A9038" w14:textId="77777777">
      <w:pPr>
        <w:pStyle w:val="BodyText"/>
        <w:rPr>
          <w:rFonts w:ascii="Times New Roman"/>
          <w:sz w:val="20"/>
        </w:rPr>
      </w:pPr>
    </w:p>
    <w:p w:rsidR="000773AB" w:rsidRDefault="000773AB" w14:paraId="4CEB7096" w14:textId="77777777">
      <w:pPr>
        <w:pStyle w:val="BodyText"/>
        <w:rPr>
          <w:rFonts w:ascii="Times New Roman"/>
          <w:sz w:val="20"/>
        </w:rPr>
      </w:pPr>
    </w:p>
    <w:p w:rsidR="000773AB" w:rsidRDefault="000773AB" w14:paraId="7F4B05D4" w14:textId="77777777">
      <w:pPr>
        <w:pStyle w:val="BodyText"/>
        <w:rPr>
          <w:rFonts w:ascii="Times New Roman"/>
          <w:sz w:val="20"/>
        </w:rPr>
      </w:pPr>
    </w:p>
    <w:p w:rsidR="000773AB" w:rsidRDefault="000773AB" w14:paraId="7C2B7FF6" w14:textId="77777777">
      <w:pPr>
        <w:pStyle w:val="BodyText"/>
        <w:rPr>
          <w:rFonts w:ascii="Times New Roman"/>
          <w:sz w:val="20"/>
        </w:rPr>
      </w:pPr>
    </w:p>
    <w:p w:rsidR="000773AB" w:rsidRDefault="000773AB" w14:paraId="2BD8FA94" w14:textId="77777777">
      <w:pPr>
        <w:pStyle w:val="BodyText"/>
        <w:rPr>
          <w:rFonts w:ascii="Times New Roman"/>
          <w:sz w:val="20"/>
        </w:rPr>
      </w:pPr>
    </w:p>
    <w:p w:rsidR="000773AB" w:rsidRDefault="000773AB" w14:paraId="3E11BD22" w14:textId="77777777">
      <w:pPr>
        <w:pStyle w:val="BodyText"/>
        <w:rPr>
          <w:rFonts w:ascii="Times New Roman"/>
          <w:sz w:val="20"/>
        </w:rPr>
      </w:pPr>
    </w:p>
    <w:p w:rsidR="000773AB" w:rsidRDefault="000773AB" w14:paraId="49919220" w14:textId="77777777">
      <w:pPr>
        <w:pStyle w:val="BodyText"/>
        <w:rPr>
          <w:rFonts w:ascii="Times New Roman"/>
          <w:sz w:val="20"/>
        </w:rPr>
      </w:pPr>
    </w:p>
    <w:p w:rsidR="000773AB" w:rsidRDefault="000773AB" w14:paraId="709FA81E" w14:textId="77777777">
      <w:pPr>
        <w:pStyle w:val="BodyText"/>
        <w:rPr>
          <w:rFonts w:ascii="Times New Roman"/>
          <w:sz w:val="20"/>
        </w:rPr>
      </w:pPr>
    </w:p>
    <w:p w:rsidR="000773AB" w:rsidRDefault="000773AB" w14:paraId="38018694" w14:textId="77777777">
      <w:pPr>
        <w:pStyle w:val="BodyText"/>
        <w:rPr>
          <w:rFonts w:ascii="Times New Roman"/>
          <w:sz w:val="20"/>
        </w:rPr>
      </w:pPr>
    </w:p>
    <w:p w:rsidR="000773AB" w:rsidRDefault="000773AB" w14:paraId="2D94A306" w14:textId="77777777">
      <w:pPr>
        <w:pStyle w:val="BodyText"/>
        <w:rPr>
          <w:rFonts w:ascii="Times New Roman"/>
          <w:sz w:val="20"/>
        </w:rPr>
      </w:pPr>
    </w:p>
    <w:p w:rsidR="000773AB" w:rsidRDefault="000773AB" w14:paraId="3A3EED0E" w14:textId="77777777">
      <w:pPr>
        <w:pStyle w:val="BodyText"/>
        <w:spacing w:before="2"/>
        <w:rPr>
          <w:rFonts w:ascii="Times New Roman"/>
          <w:sz w:val="27"/>
        </w:rPr>
      </w:pPr>
    </w:p>
    <w:p w:rsidRPr="00F77FC9" w:rsidR="000773AB" w:rsidRDefault="00496A1C" w14:paraId="1B18FDB1" w14:textId="77777777">
      <w:pPr>
        <w:pStyle w:val="Title"/>
        <w:spacing w:line="223" w:lineRule="auto"/>
        <w:rPr>
          <w:color w:val="00A88F"/>
        </w:rPr>
      </w:pPr>
      <w:r w:rsidRPr="00F77FC9">
        <w:rPr>
          <w:color w:val="00A88F"/>
        </w:rPr>
        <w:t>ICC CARBON</w:t>
      </w:r>
      <w:r w:rsidRPr="00F77FC9">
        <w:rPr>
          <w:color w:val="00A88F"/>
          <w:spacing w:val="1"/>
        </w:rPr>
        <w:t xml:space="preserve"> </w:t>
      </w:r>
      <w:r w:rsidRPr="00F77FC9">
        <w:rPr>
          <w:color w:val="00A88F"/>
          <w:w w:val="95"/>
        </w:rPr>
        <w:t>PRICING</w:t>
      </w:r>
      <w:r w:rsidRPr="00F77FC9">
        <w:rPr>
          <w:color w:val="00A88F"/>
          <w:spacing w:val="38"/>
          <w:w w:val="95"/>
        </w:rPr>
        <w:t xml:space="preserve"> </w:t>
      </w:r>
      <w:r w:rsidRPr="00F77FC9">
        <w:rPr>
          <w:color w:val="00A88F"/>
          <w:w w:val="95"/>
        </w:rPr>
        <w:t>PRINCIPLES</w:t>
      </w:r>
    </w:p>
    <w:p w:rsidRPr="00F77FC9" w:rsidR="000773AB" w:rsidRDefault="00F64E75" w14:paraId="28C92D58" w14:textId="19325E8F">
      <w:pPr>
        <w:spacing w:before="346"/>
        <w:ind w:left="2117"/>
        <w:rPr>
          <w:color w:val="00A88F"/>
          <w:sz w:val="56"/>
          <w:szCs w:val="56"/>
        </w:rPr>
      </w:pPr>
      <w:r w:rsidRPr="00F77FC9">
        <w:rPr>
          <w:color w:val="00A88F"/>
          <w:w w:val="95"/>
          <w:sz w:val="56"/>
          <w:szCs w:val="56"/>
        </w:rPr>
        <w:t>C</w:t>
      </w:r>
      <w:r w:rsidR="0083605E">
        <w:rPr>
          <w:color w:val="00A88F"/>
          <w:w w:val="95"/>
          <w:sz w:val="56"/>
          <w:szCs w:val="56"/>
        </w:rPr>
        <w:t>ASE</w:t>
      </w:r>
      <w:r w:rsidRPr="00F77FC9">
        <w:rPr>
          <w:color w:val="00A88F"/>
          <w:w w:val="95"/>
          <w:sz w:val="56"/>
          <w:szCs w:val="56"/>
        </w:rPr>
        <w:t xml:space="preserve"> S</w:t>
      </w:r>
      <w:r w:rsidR="0083605E">
        <w:rPr>
          <w:color w:val="00A88F"/>
          <w:w w:val="95"/>
          <w:sz w:val="56"/>
          <w:szCs w:val="56"/>
        </w:rPr>
        <w:t>TUDIES</w:t>
      </w:r>
      <w:r w:rsidR="00C73EBC">
        <w:rPr>
          <w:color w:val="00A88F"/>
          <w:w w:val="95"/>
          <w:sz w:val="56"/>
          <w:szCs w:val="56"/>
        </w:rPr>
        <w:t xml:space="preserve"> &amp; CRITICAL DESIGN CHOICES</w:t>
      </w:r>
    </w:p>
    <w:p w:rsidR="000773AB" w:rsidRDefault="000773AB" w14:paraId="48DD4BBB" w14:textId="77777777">
      <w:pPr>
        <w:pStyle w:val="BodyText"/>
        <w:spacing w:before="9"/>
        <w:rPr>
          <w:sz w:val="45"/>
        </w:rPr>
      </w:pPr>
    </w:p>
    <w:p w:rsidR="000773AB" w:rsidRDefault="00496A1C" w14:paraId="6CAF18B3" w14:textId="77777777">
      <w:pPr>
        <w:spacing w:before="1"/>
        <w:ind w:left="2117"/>
        <w:rPr>
          <w:sz w:val="24"/>
        </w:rPr>
      </w:pPr>
      <w:r>
        <w:rPr>
          <w:color w:val="3E3E3F"/>
          <w:spacing w:val="-2"/>
          <w:sz w:val="24"/>
        </w:rPr>
        <w:t>Prepared</w:t>
      </w:r>
      <w:r>
        <w:rPr>
          <w:color w:val="3E3E3F"/>
          <w:spacing w:val="-19"/>
          <w:sz w:val="24"/>
        </w:rPr>
        <w:t xml:space="preserve"> </w:t>
      </w:r>
      <w:r>
        <w:rPr>
          <w:color w:val="3E3E3F"/>
          <w:spacing w:val="-1"/>
          <w:sz w:val="24"/>
        </w:rPr>
        <w:t>by</w:t>
      </w:r>
    </w:p>
    <w:p w:rsidR="000773AB" w:rsidRDefault="00496A1C" w14:paraId="14538E14" w14:textId="77777777">
      <w:pPr>
        <w:spacing w:before="28" w:line="264" w:lineRule="auto"/>
        <w:ind w:left="2117" w:right="2152"/>
        <w:rPr>
          <w:sz w:val="24"/>
        </w:rPr>
      </w:pPr>
      <w:r>
        <w:rPr>
          <w:color w:val="3E3E3F"/>
          <w:spacing w:val="-6"/>
          <w:sz w:val="24"/>
        </w:rPr>
        <w:t>the</w:t>
      </w:r>
      <w:r>
        <w:rPr>
          <w:color w:val="3E3E3F"/>
          <w:spacing w:val="-21"/>
          <w:sz w:val="24"/>
        </w:rPr>
        <w:t xml:space="preserve"> </w:t>
      </w:r>
      <w:r>
        <w:rPr>
          <w:color w:val="3E3E3F"/>
          <w:spacing w:val="-6"/>
          <w:sz w:val="24"/>
        </w:rPr>
        <w:t>ICC</w:t>
      </w:r>
      <w:r>
        <w:rPr>
          <w:color w:val="3E3E3F"/>
          <w:spacing w:val="-20"/>
          <w:sz w:val="24"/>
        </w:rPr>
        <w:t xml:space="preserve"> </w:t>
      </w:r>
      <w:r>
        <w:rPr>
          <w:color w:val="3E3E3F"/>
          <w:spacing w:val="-6"/>
          <w:sz w:val="24"/>
        </w:rPr>
        <w:t>Commission</w:t>
      </w:r>
      <w:r>
        <w:rPr>
          <w:color w:val="3E3E3F"/>
          <w:spacing w:val="-21"/>
          <w:sz w:val="24"/>
        </w:rPr>
        <w:t xml:space="preserve"> </w:t>
      </w:r>
      <w:r>
        <w:rPr>
          <w:color w:val="3E3E3F"/>
          <w:spacing w:val="-5"/>
          <w:sz w:val="24"/>
        </w:rPr>
        <w:t>on</w:t>
      </w:r>
      <w:r>
        <w:rPr>
          <w:color w:val="3E3E3F"/>
          <w:spacing w:val="-20"/>
          <w:sz w:val="24"/>
        </w:rPr>
        <w:t xml:space="preserve"> </w:t>
      </w:r>
      <w:r>
        <w:rPr>
          <w:color w:val="3E3E3F"/>
          <w:spacing w:val="-5"/>
          <w:sz w:val="24"/>
        </w:rPr>
        <w:t>Environment</w:t>
      </w:r>
      <w:r>
        <w:rPr>
          <w:color w:val="3E3E3F"/>
          <w:spacing w:val="-21"/>
          <w:sz w:val="24"/>
        </w:rPr>
        <w:t xml:space="preserve"> </w:t>
      </w:r>
      <w:r>
        <w:rPr>
          <w:color w:val="3E3E3F"/>
          <w:spacing w:val="-5"/>
          <w:sz w:val="24"/>
        </w:rPr>
        <w:t>and</w:t>
      </w:r>
      <w:r>
        <w:rPr>
          <w:color w:val="3E3E3F"/>
          <w:spacing w:val="-20"/>
          <w:sz w:val="24"/>
        </w:rPr>
        <w:t xml:space="preserve"> </w:t>
      </w:r>
      <w:r>
        <w:rPr>
          <w:color w:val="3E3E3F"/>
          <w:spacing w:val="-5"/>
          <w:sz w:val="24"/>
        </w:rPr>
        <w:t>Energy</w:t>
      </w:r>
      <w:r>
        <w:rPr>
          <w:color w:val="3E3E3F"/>
          <w:spacing w:val="-82"/>
          <w:sz w:val="24"/>
        </w:rPr>
        <w:t xml:space="preserve"> </w:t>
      </w:r>
      <w:r>
        <w:rPr>
          <w:color w:val="3E3E3F"/>
          <w:spacing w:val="-7"/>
          <w:sz w:val="24"/>
        </w:rPr>
        <w:t>the</w:t>
      </w:r>
      <w:r>
        <w:rPr>
          <w:color w:val="3E3E3F"/>
          <w:spacing w:val="-22"/>
          <w:sz w:val="24"/>
        </w:rPr>
        <w:t xml:space="preserve"> </w:t>
      </w:r>
      <w:r>
        <w:rPr>
          <w:color w:val="3E3E3F"/>
          <w:spacing w:val="-7"/>
          <w:sz w:val="24"/>
        </w:rPr>
        <w:t>ICC</w:t>
      </w:r>
      <w:r>
        <w:rPr>
          <w:color w:val="3E3E3F"/>
          <w:spacing w:val="-22"/>
          <w:sz w:val="24"/>
        </w:rPr>
        <w:t xml:space="preserve"> </w:t>
      </w:r>
      <w:r>
        <w:rPr>
          <w:color w:val="3E3E3F"/>
          <w:spacing w:val="-7"/>
          <w:sz w:val="24"/>
        </w:rPr>
        <w:t>Commission</w:t>
      </w:r>
      <w:r>
        <w:rPr>
          <w:color w:val="3E3E3F"/>
          <w:spacing w:val="-22"/>
          <w:sz w:val="24"/>
        </w:rPr>
        <w:t xml:space="preserve"> </w:t>
      </w:r>
      <w:r>
        <w:rPr>
          <w:color w:val="3E3E3F"/>
          <w:spacing w:val="-6"/>
          <w:sz w:val="24"/>
        </w:rPr>
        <w:t>on</w:t>
      </w:r>
      <w:r>
        <w:rPr>
          <w:color w:val="3E3E3F"/>
          <w:spacing w:val="-22"/>
          <w:sz w:val="24"/>
        </w:rPr>
        <w:t xml:space="preserve"> </w:t>
      </w:r>
      <w:r>
        <w:rPr>
          <w:color w:val="3E3E3F"/>
          <w:spacing w:val="-6"/>
          <w:sz w:val="24"/>
        </w:rPr>
        <w:t>Taxation</w:t>
      </w:r>
    </w:p>
    <w:p w:rsidR="000773AB" w:rsidRDefault="000773AB" w14:paraId="647E6344" w14:textId="77777777">
      <w:pPr>
        <w:pStyle w:val="BodyText"/>
        <w:rPr>
          <w:sz w:val="30"/>
        </w:rPr>
      </w:pPr>
    </w:p>
    <w:p w:rsidR="000773AB" w:rsidRDefault="000773AB" w14:paraId="5FB304EA" w14:textId="77777777">
      <w:pPr>
        <w:pStyle w:val="BodyText"/>
        <w:rPr>
          <w:sz w:val="30"/>
        </w:rPr>
      </w:pPr>
    </w:p>
    <w:p w:rsidR="000773AB" w:rsidRDefault="000773AB" w14:paraId="71D05D58" w14:textId="77777777">
      <w:pPr>
        <w:pStyle w:val="BodyText"/>
        <w:rPr>
          <w:sz w:val="30"/>
        </w:rPr>
      </w:pPr>
    </w:p>
    <w:p w:rsidR="000773AB" w:rsidRDefault="000773AB" w14:paraId="6199FF17" w14:textId="77777777">
      <w:pPr>
        <w:pStyle w:val="BodyText"/>
        <w:rPr>
          <w:sz w:val="30"/>
        </w:rPr>
      </w:pPr>
    </w:p>
    <w:p w:rsidR="000773AB" w:rsidRDefault="000773AB" w14:paraId="6BDBF496" w14:textId="77777777">
      <w:pPr>
        <w:pStyle w:val="BodyText"/>
        <w:spacing w:before="2"/>
        <w:rPr>
          <w:sz w:val="37"/>
        </w:rPr>
      </w:pPr>
    </w:p>
    <w:p w:rsidR="000773AB" w:rsidP="00F64E75" w:rsidRDefault="00496A1C" w14:paraId="59370D68" w14:textId="3680EFEA">
      <w:pPr>
        <w:tabs>
          <w:tab w:val="left" w:pos="6476"/>
        </w:tabs>
        <w:ind w:left="155"/>
        <w:sectPr w:rsidR="000773AB" w:rsidSect="0017318B">
          <w:type w:val="continuous"/>
          <w:pgSz w:w="11910" w:h="16840" w:orient="portrait"/>
          <w:pgMar w:top="1417" w:right="1417" w:bottom="1417" w:left="1417" w:header="720" w:footer="720" w:gutter="0"/>
          <w:cols w:space="720"/>
          <w:docGrid w:linePitch="299"/>
        </w:sectPr>
      </w:pPr>
      <w:r>
        <w:rPr>
          <w:noProof/>
        </w:rPr>
        <w:drawing>
          <wp:inline distT="0" distB="0" distL="0" distR="0" wp14:anchorId="0B9A15E4" wp14:editId="314679C3">
            <wp:extent cx="1951054" cy="629394"/>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1951054" cy="629394"/>
                    </a:xfrm>
                    <a:prstGeom prst="rect">
                      <a:avLst/>
                    </a:prstGeom>
                  </pic:spPr>
                </pic:pic>
              </a:graphicData>
            </a:graphic>
          </wp:inline>
        </w:drawing>
      </w:r>
      <w:r>
        <w:rPr>
          <w:rFonts w:ascii="Times New Roman"/>
          <w:position w:val="1"/>
          <w:sz w:val="20"/>
        </w:rPr>
        <w:tab/>
      </w:r>
      <w:r>
        <w:rPr>
          <w:rFonts w:ascii="Times New Roman"/>
          <w:spacing w:val="-3"/>
          <w:position w:val="1"/>
          <w:sz w:val="20"/>
        </w:rPr>
        <w:t xml:space="preserve"> </w:t>
      </w:r>
      <w:r>
        <w:rPr>
          <w:color w:val="3E3E3F"/>
          <w:spacing w:val="-16"/>
          <w:w w:val="95"/>
          <w:position w:val="1"/>
        </w:rPr>
        <w:t xml:space="preserve"> </w:t>
      </w:r>
    </w:p>
    <w:p w:rsidR="000773AB" w:rsidRDefault="002022E8" w14:paraId="300A45FE" w14:textId="54CC0A92">
      <w:pPr>
        <w:pStyle w:val="BodyText"/>
        <w:rPr>
          <w:sz w:val="20"/>
        </w:rPr>
      </w:pPr>
      <w:r>
        <w:rPr>
          <w:noProof/>
        </w:rPr>
        <mc:AlternateContent>
          <mc:Choice Requires="wps">
            <w:drawing>
              <wp:anchor distT="0" distB="0" distL="114300" distR="114300" simplePos="0" relativeHeight="251658240" behindDoc="0" locked="0" layoutInCell="1" allowOverlap="1" wp14:anchorId="77B9EE93" wp14:editId="2B28E7FF">
                <wp:simplePos x="0" y="0"/>
                <wp:positionH relativeFrom="page">
                  <wp:posOffset>5424805</wp:posOffset>
                </wp:positionH>
                <wp:positionV relativeFrom="page">
                  <wp:posOffset>0</wp:posOffset>
                </wp:positionV>
                <wp:extent cx="2135505" cy="3086735"/>
                <wp:effectExtent l="0" t="0" r="0" b="0"/>
                <wp:wrapNone/>
                <wp:docPr id="164"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5505" cy="3086735"/>
                        </a:xfrm>
                        <a:custGeom>
                          <a:avLst/>
                          <a:gdLst>
                            <a:gd name="T0" fmla="+- 0 11906 8543"/>
                            <a:gd name="T1" fmla="*/ T0 w 3363"/>
                            <a:gd name="T2" fmla="*/ 0 h 4861"/>
                            <a:gd name="T3" fmla="+- 0 8543 8543"/>
                            <a:gd name="T4" fmla="*/ T3 w 3363"/>
                            <a:gd name="T5" fmla="*/ 0 h 4861"/>
                            <a:gd name="T6" fmla="+- 0 11906 8543"/>
                            <a:gd name="T7" fmla="*/ T6 w 3363"/>
                            <a:gd name="T8" fmla="*/ 4861 h 4861"/>
                            <a:gd name="T9" fmla="+- 0 11906 8543"/>
                            <a:gd name="T10" fmla="*/ T9 w 3363"/>
                            <a:gd name="T11" fmla="*/ 0 h 4861"/>
                          </a:gdLst>
                          <a:ahLst/>
                          <a:cxnLst>
                            <a:cxn ang="0">
                              <a:pos x="T1" y="T2"/>
                            </a:cxn>
                            <a:cxn ang="0">
                              <a:pos x="T4" y="T5"/>
                            </a:cxn>
                            <a:cxn ang="0">
                              <a:pos x="T7" y="T8"/>
                            </a:cxn>
                            <a:cxn ang="0">
                              <a:pos x="T10" y="T11"/>
                            </a:cxn>
                          </a:cxnLst>
                          <a:rect l="0" t="0" r="r" b="b"/>
                          <a:pathLst>
                            <a:path w="3363" h="4861">
                              <a:moveTo>
                                <a:pt x="3363" y="0"/>
                              </a:moveTo>
                              <a:lnTo>
                                <a:pt x="0" y="0"/>
                              </a:lnTo>
                              <a:lnTo>
                                <a:pt x="3363" y="4861"/>
                              </a:lnTo>
                              <a:lnTo>
                                <a:pt x="336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4992BFE">
              <v:shape id="Freeform 161" style="position:absolute;margin-left:427.15pt;margin-top:0;width:168.15pt;height:243.0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63,4861" o:spid="_x0000_s1026" stroked="f" path="m3363,l,,3363,4861,336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" w14:anchorId="31ACB0D9">
                <v:path arrowok="t" o:connecttype="custom" o:connectlocs="2135505,0;0,0;2135505,3086735;2135505,0" o:connectangles="0,0,0,0"/>
                <w10:wrap anchorx="page" anchory="page"/>
              </v:shape>
            </w:pict>
          </mc:Fallback>
        </mc:AlternateContent>
      </w:r>
    </w:p>
    <w:p w:rsidR="000773AB" w:rsidRDefault="000773AB" w14:paraId="152BFABE" w14:textId="77777777">
      <w:pPr>
        <w:pStyle w:val="BodyText"/>
        <w:rPr>
          <w:sz w:val="20"/>
        </w:rPr>
      </w:pPr>
    </w:p>
    <w:p w:rsidR="000773AB" w:rsidRDefault="000773AB" w14:paraId="533EF9DA" w14:textId="77777777">
      <w:pPr>
        <w:pStyle w:val="BodyText"/>
        <w:rPr>
          <w:sz w:val="20"/>
        </w:rPr>
      </w:pPr>
    </w:p>
    <w:p w:rsidR="000773AB" w:rsidRDefault="000773AB" w14:paraId="32040E31" w14:textId="77777777">
      <w:pPr>
        <w:pStyle w:val="BodyText"/>
        <w:rPr>
          <w:sz w:val="20"/>
        </w:rPr>
      </w:pPr>
    </w:p>
    <w:p w:rsidR="000773AB" w:rsidRDefault="000773AB" w14:paraId="60A13A27" w14:textId="77777777">
      <w:pPr>
        <w:pStyle w:val="BodyText"/>
        <w:rPr>
          <w:sz w:val="20"/>
        </w:rPr>
      </w:pPr>
    </w:p>
    <w:p w:rsidR="000773AB" w:rsidRDefault="000773AB" w14:paraId="2440C788" w14:textId="77777777">
      <w:pPr>
        <w:pStyle w:val="BodyText"/>
        <w:rPr>
          <w:sz w:val="20"/>
        </w:rPr>
      </w:pPr>
    </w:p>
    <w:p w:rsidR="000773AB" w:rsidRDefault="000773AB" w14:paraId="64336C51" w14:textId="77777777">
      <w:pPr>
        <w:pStyle w:val="BodyText"/>
        <w:rPr>
          <w:sz w:val="20"/>
        </w:rPr>
      </w:pPr>
    </w:p>
    <w:p w:rsidR="000773AB" w:rsidRDefault="000773AB" w14:paraId="23CF5D4F" w14:textId="77777777">
      <w:pPr>
        <w:pStyle w:val="BodyText"/>
        <w:rPr>
          <w:sz w:val="20"/>
        </w:rPr>
      </w:pPr>
    </w:p>
    <w:p w:rsidR="000773AB" w:rsidRDefault="000773AB" w14:paraId="653B592B" w14:textId="77777777">
      <w:pPr>
        <w:pStyle w:val="BodyText"/>
        <w:rPr>
          <w:sz w:val="20"/>
        </w:rPr>
      </w:pPr>
    </w:p>
    <w:p w:rsidR="000773AB" w:rsidRDefault="000773AB" w14:paraId="30D8ACAD" w14:textId="77777777">
      <w:pPr>
        <w:pStyle w:val="BodyText"/>
        <w:rPr>
          <w:sz w:val="20"/>
        </w:rPr>
      </w:pPr>
    </w:p>
    <w:p w:rsidR="000773AB" w:rsidRDefault="000773AB" w14:paraId="03652B77" w14:textId="77777777">
      <w:pPr>
        <w:pStyle w:val="BodyText"/>
        <w:rPr>
          <w:sz w:val="20"/>
        </w:rPr>
      </w:pPr>
    </w:p>
    <w:p w:rsidR="000773AB" w:rsidRDefault="000773AB" w14:paraId="5B4113B3" w14:textId="77777777">
      <w:pPr>
        <w:pStyle w:val="BodyText"/>
        <w:rPr>
          <w:sz w:val="20"/>
        </w:rPr>
      </w:pPr>
    </w:p>
    <w:p w:rsidR="000773AB" w:rsidRDefault="000773AB" w14:paraId="6A9D9EF4" w14:textId="77777777">
      <w:pPr>
        <w:pStyle w:val="BodyText"/>
        <w:rPr>
          <w:sz w:val="20"/>
        </w:rPr>
      </w:pPr>
    </w:p>
    <w:p w:rsidR="000773AB" w:rsidRDefault="000773AB" w14:paraId="3BE7EA2E" w14:textId="77777777">
      <w:pPr>
        <w:pStyle w:val="BodyText"/>
        <w:rPr>
          <w:sz w:val="20"/>
        </w:rPr>
      </w:pPr>
    </w:p>
    <w:p w:rsidR="000773AB" w:rsidRDefault="000773AB" w14:paraId="4B0FC3FF" w14:textId="77777777">
      <w:pPr>
        <w:pStyle w:val="BodyText"/>
        <w:rPr>
          <w:sz w:val="20"/>
        </w:rPr>
      </w:pPr>
    </w:p>
    <w:p w:rsidR="000773AB" w:rsidRDefault="000773AB" w14:paraId="36DEECF2" w14:textId="77777777">
      <w:pPr>
        <w:pStyle w:val="BodyText"/>
        <w:rPr>
          <w:sz w:val="20"/>
        </w:rPr>
      </w:pPr>
    </w:p>
    <w:p w:rsidR="000773AB" w:rsidRDefault="000773AB" w14:paraId="2134DB8E" w14:textId="77777777">
      <w:pPr>
        <w:pStyle w:val="BodyText"/>
        <w:rPr>
          <w:sz w:val="20"/>
        </w:rPr>
      </w:pPr>
    </w:p>
    <w:p w:rsidR="000773AB" w:rsidRDefault="000773AB" w14:paraId="03D78FAF" w14:textId="77777777">
      <w:pPr>
        <w:pStyle w:val="BodyText"/>
        <w:rPr>
          <w:sz w:val="20"/>
        </w:rPr>
      </w:pPr>
    </w:p>
    <w:p w:rsidR="000773AB" w:rsidRDefault="000773AB" w14:paraId="7FAFEFC8" w14:textId="77777777">
      <w:pPr>
        <w:pStyle w:val="BodyText"/>
        <w:rPr>
          <w:sz w:val="20"/>
        </w:rPr>
      </w:pPr>
    </w:p>
    <w:p w:rsidR="000773AB" w:rsidRDefault="000773AB" w14:paraId="1B8EC93D" w14:textId="77777777">
      <w:pPr>
        <w:pStyle w:val="BodyText"/>
        <w:rPr>
          <w:sz w:val="20"/>
        </w:rPr>
      </w:pPr>
    </w:p>
    <w:p w:rsidR="000773AB" w:rsidRDefault="000773AB" w14:paraId="4FCAED1F" w14:textId="77777777">
      <w:pPr>
        <w:pStyle w:val="BodyText"/>
        <w:rPr>
          <w:sz w:val="20"/>
        </w:rPr>
      </w:pPr>
    </w:p>
    <w:p w:rsidR="000773AB" w:rsidRDefault="000773AB" w14:paraId="36F78E70" w14:textId="77777777">
      <w:pPr>
        <w:pStyle w:val="BodyText"/>
        <w:rPr>
          <w:sz w:val="20"/>
        </w:rPr>
      </w:pPr>
    </w:p>
    <w:p w:rsidR="000773AB" w:rsidRDefault="000773AB" w14:paraId="52201FCD" w14:textId="77777777">
      <w:pPr>
        <w:pStyle w:val="BodyText"/>
        <w:rPr>
          <w:sz w:val="20"/>
        </w:rPr>
      </w:pPr>
    </w:p>
    <w:p w:rsidR="000773AB" w:rsidRDefault="000773AB" w14:paraId="3570CF65" w14:textId="77777777">
      <w:pPr>
        <w:pStyle w:val="BodyText"/>
        <w:rPr>
          <w:sz w:val="20"/>
        </w:rPr>
      </w:pPr>
    </w:p>
    <w:p w:rsidR="000773AB" w:rsidRDefault="000773AB" w14:paraId="43D119F4" w14:textId="77777777">
      <w:pPr>
        <w:pStyle w:val="BodyText"/>
        <w:rPr>
          <w:sz w:val="20"/>
        </w:rPr>
      </w:pPr>
    </w:p>
    <w:p w:rsidR="000773AB" w:rsidRDefault="000773AB" w14:paraId="47DD6B53" w14:textId="77777777">
      <w:pPr>
        <w:pStyle w:val="BodyText"/>
        <w:rPr>
          <w:sz w:val="20"/>
        </w:rPr>
      </w:pPr>
    </w:p>
    <w:p w:rsidR="000773AB" w:rsidRDefault="000773AB" w14:paraId="146B2626" w14:textId="77777777">
      <w:pPr>
        <w:pStyle w:val="BodyText"/>
        <w:rPr>
          <w:sz w:val="20"/>
        </w:rPr>
      </w:pPr>
    </w:p>
    <w:p w:rsidR="000773AB" w:rsidRDefault="000773AB" w14:paraId="6DA32EDB" w14:textId="77777777">
      <w:pPr>
        <w:pStyle w:val="BodyText"/>
        <w:rPr>
          <w:sz w:val="20"/>
        </w:rPr>
      </w:pPr>
    </w:p>
    <w:p w:rsidR="000773AB" w:rsidRDefault="000773AB" w14:paraId="28498A76" w14:textId="77777777">
      <w:pPr>
        <w:pStyle w:val="BodyText"/>
        <w:rPr>
          <w:sz w:val="20"/>
        </w:rPr>
      </w:pPr>
    </w:p>
    <w:p w:rsidR="000773AB" w:rsidRDefault="000773AB" w14:paraId="285190EF" w14:textId="77777777">
      <w:pPr>
        <w:pStyle w:val="BodyText"/>
        <w:rPr>
          <w:sz w:val="20"/>
        </w:rPr>
      </w:pPr>
    </w:p>
    <w:p w:rsidR="000773AB" w:rsidRDefault="000773AB" w14:paraId="5C31DFEA" w14:textId="77777777">
      <w:pPr>
        <w:pStyle w:val="BodyText"/>
        <w:rPr>
          <w:sz w:val="20"/>
        </w:rPr>
      </w:pPr>
    </w:p>
    <w:p w:rsidR="000773AB" w:rsidRDefault="000773AB" w14:paraId="0067EB9A" w14:textId="77777777">
      <w:pPr>
        <w:pStyle w:val="BodyText"/>
        <w:spacing w:before="5"/>
        <w:rPr>
          <w:sz w:val="29"/>
        </w:rPr>
      </w:pPr>
    </w:p>
    <w:p w:rsidR="000773AB" w:rsidRDefault="00496A1C" w14:paraId="2DC63363" w14:textId="77777777">
      <w:pPr>
        <w:pStyle w:val="Heading1"/>
        <w:spacing w:before="128"/>
        <w:ind w:left="2117" w:firstLine="0"/>
      </w:pPr>
      <w:bookmarkStart w:name="_bookmark0" w:id="0"/>
      <w:bookmarkEnd w:id="0"/>
      <w:r>
        <w:rPr>
          <w:color w:val="0064A8"/>
          <w:w w:val="105"/>
        </w:rPr>
        <w:t>CONTENTS</w:t>
      </w:r>
    </w:p>
    <w:p w:rsidR="00E63B8A" w:rsidP="00E63B8A" w:rsidRDefault="00E63B8A" w14:paraId="459FE44E" w14:textId="0890A009">
      <w:pPr>
        <w:pStyle w:val="Heading2"/>
        <w:spacing w:before="350"/>
      </w:pPr>
      <w:r>
        <w:t>Part I: Introduction</w:t>
      </w:r>
    </w:p>
    <w:p w:rsidRPr="00E63B8A" w:rsidR="00AC5D04" w:rsidP="00E63B8A" w:rsidRDefault="000A47CD" w14:paraId="3BE79597" w14:textId="4B271900">
      <w:pPr>
        <w:pStyle w:val="Heading2"/>
        <w:spacing w:before="350"/>
        <w:rPr>
          <w:spacing w:val="10"/>
          <w:w w:val="95"/>
        </w:rPr>
      </w:pPr>
      <w:hyperlink w:history="1" w:anchor="_bookmark1">
        <w:r w:rsidRPr="00040ACC" w:rsidR="00496A1C">
          <w:rPr>
            <w:w w:val="95"/>
          </w:rPr>
          <w:t>Part</w:t>
        </w:r>
        <w:r w:rsidRPr="00040ACC" w:rsidR="00496A1C">
          <w:rPr>
            <w:spacing w:val="10"/>
            <w:w w:val="95"/>
          </w:rPr>
          <w:t xml:space="preserve"> </w:t>
        </w:r>
        <w:r w:rsidR="003B7327">
          <w:rPr>
            <w:spacing w:val="10"/>
            <w:w w:val="95"/>
          </w:rPr>
          <w:t>I</w:t>
        </w:r>
        <w:r w:rsidRPr="00040ACC" w:rsidR="00496A1C">
          <w:rPr>
            <w:w w:val="95"/>
          </w:rPr>
          <w:t>I:</w:t>
        </w:r>
        <w:r w:rsidRPr="00040ACC" w:rsidR="00496A1C">
          <w:rPr>
            <w:spacing w:val="10"/>
            <w:w w:val="95"/>
          </w:rPr>
          <w:t xml:space="preserve"> </w:t>
        </w:r>
      </w:hyperlink>
      <w:r w:rsidRPr="00040ACC" w:rsidR="00040ACC">
        <w:rPr>
          <w:w w:val="95"/>
        </w:rPr>
        <w:t>ICC Carbon Pricing</w:t>
      </w:r>
      <w:r w:rsidR="00040ACC">
        <w:rPr>
          <w:w w:val="95"/>
        </w:rPr>
        <w:t xml:space="preserve"> Princi</w:t>
      </w:r>
      <w:r w:rsidR="00AC5D04">
        <w:rPr>
          <w:w w:val="95"/>
        </w:rPr>
        <w:t>ples</w:t>
      </w:r>
    </w:p>
    <w:p w:rsidR="001D5F0B" w:rsidP="00AC5D04" w:rsidRDefault="00CC3C2B" w14:paraId="1F816D6A" w14:textId="644C1190">
      <w:pPr>
        <w:pStyle w:val="Heading2"/>
        <w:spacing w:before="350"/>
        <w:rPr>
          <w:w w:val="95"/>
        </w:rPr>
      </w:pPr>
      <w:r w:rsidR="3107EEAA">
        <w:rPr>
          <w:w w:val="95"/>
        </w:rPr>
        <w:t>Part I</w:t>
      </w:r>
      <w:r w:rsidR="423FDDBC">
        <w:rPr>
          <w:w w:val="95"/>
        </w:rPr>
        <w:t>I</w:t>
      </w:r>
      <w:r w:rsidR="3107EEAA">
        <w:rPr>
          <w:w w:val="95"/>
        </w:rPr>
        <w:t xml:space="preserve">I: </w:t>
      </w:r>
      <w:r w:rsidRPr="00CC3C2B" w:rsidR="3107EEAA">
        <w:rPr>
          <w:w w:val="95"/>
        </w:rPr>
        <w:t>Outline of Key Greenhouse Gas Emissions Pricing System Design Features</w:t>
      </w:r>
    </w:p>
    <w:p w:rsidRPr="00195277" w:rsidR="00195277" w:rsidP="00195277" w:rsidRDefault="00195277" w14:paraId="31C434BD" w14:textId="1EE90523">
      <w:pPr>
        <w:pStyle w:val="Heading2"/>
        <w:spacing w:before="350"/>
        <w:rPr>
          <w:w w:val="95"/>
        </w:rPr>
      </w:pPr>
      <w:r w:rsidR="61A416B4">
        <w:rPr>
          <w:w w:val="95"/>
        </w:rPr>
        <w:t xml:space="preserve">[Part I</w:t>
      </w:r>
      <w:r w:rsidR="3107EEAA">
        <w:rPr>
          <w:w w:val="95"/>
        </w:rPr>
        <w:t>V</w:t>
      </w:r>
      <w:r w:rsidR="61A416B4">
        <w:rPr>
          <w:w w:val="95"/>
        </w:rPr>
        <w:t xml:space="preserve">: Critical Design Features for Effective Carbon Pricing] - </w:t>
      </w:r>
      <w:r w:rsidRPr="4B9374E0" w:rsidR="4B9374E0">
        <w:rPr>
          <w:i w:val="1"/>
          <w:iCs w:val="1"/>
        </w:rPr>
        <w:t>To be completed</w:t>
      </w:r>
    </w:p>
    <w:p w:rsidR="3DBD9D9C" w:rsidP="4B9374E0" w:rsidRDefault="3DBD9D9C" w14:paraId="315DB103" w14:textId="43ED5E53">
      <w:pPr>
        <w:pStyle w:val="Heading2"/>
        <w:spacing w:before="350"/>
      </w:pPr>
      <w:r w:rsidR="3DBD9D9C">
        <w:rPr/>
        <w:t xml:space="preserve">Part </w:t>
      </w:r>
      <w:r w:rsidR="423FDDBC">
        <w:rPr/>
        <w:t>V</w:t>
      </w:r>
      <w:r w:rsidR="3DBD9D9C">
        <w:rPr/>
        <w:t>: Case Studies</w:t>
      </w:r>
    </w:p>
    <w:p w:rsidR="4B9374E0" w:rsidP="4B9374E0" w:rsidRDefault="4B9374E0" w14:paraId="0CB2CF8B" w14:textId="46E8DBBE">
      <w:pPr>
        <w:pStyle w:val="Heading2"/>
        <w:spacing w:before="350"/>
        <w:rPr>
          <w:rFonts w:ascii="Verdana" w:hAnsi="Verdana" w:eastAsia="Verdana" w:cs="Verdana"/>
          <w:sz w:val="26"/>
          <w:szCs w:val="26"/>
        </w:rPr>
        <w:sectPr w:rsidRPr="00195277" w:rsidR="00195277" w:rsidSect="0017318B">
          <w:footerReference w:type="default" r:id="rId12"/>
          <w:pgSz w:w="11910" w:h="16840" w:orient="portrait"/>
          <w:pgMar w:top="1417" w:right="1417" w:bottom="1417" w:left="1417" w:header="0" w:footer="765" w:gutter="0"/>
          <w:pgNumType w:start="2"/>
          <w:cols w:space="720"/>
          <w:docGrid w:linePitch="299"/>
        </w:sectPr>
      </w:pPr>
    </w:p>
    <w:p w:rsidRPr="003B7327" w:rsidR="000773AB" w:rsidP="00021DA9" w:rsidRDefault="00496A1C" w14:paraId="5B6BD4B0" w14:textId="32CCC015">
      <w:pPr>
        <w:pStyle w:val="Heading1"/>
        <w:numPr>
          <w:ilvl w:val="0"/>
          <w:numId w:val="2"/>
        </w:numPr>
        <w:tabs>
          <w:tab w:val="left" w:pos="511"/>
        </w:tabs>
        <w:ind w:hanging="398"/>
        <w:rPr>
          <w:rFonts w:ascii="Verdana" w:hAnsi="Verdana"/>
        </w:rPr>
      </w:pPr>
      <w:bookmarkStart w:name="_bookmark1" w:id="1"/>
      <w:bookmarkStart w:name="_bookmark2" w:id="2"/>
      <w:bookmarkEnd w:id="1"/>
      <w:bookmarkEnd w:id="2"/>
      <w:r w:rsidRPr="00637309">
        <w:rPr>
          <w:rFonts w:ascii="Verdana" w:hAnsi="Verdana"/>
          <w:color w:val="0064A8"/>
          <w:w w:val="105"/>
        </w:rPr>
        <w:t>I</w:t>
      </w:r>
      <w:r w:rsidR="003B7327">
        <w:rPr>
          <w:rFonts w:ascii="Verdana" w:hAnsi="Verdana"/>
          <w:color w:val="0064A8"/>
          <w:w w:val="105"/>
        </w:rPr>
        <w:t>NTRODUCTION</w:t>
      </w:r>
      <w:r>
        <w:br/>
      </w:r>
      <w:r>
        <w:br/>
      </w:r>
      <w:r w:rsidRPr="1A456281" w:rsidR="006056F1">
        <w:rPr>
          <w:rFonts w:ascii="Verdana" w:hAnsi="Verdana" w:eastAsia="Verdana" w:cs="Verdana"/>
          <w:b w:val="0"/>
          <w:bCs w:val="0"/>
          <w:sz w:val="21"/>
          <w:szCs w:val="21"/>
        </w:rPr>
        <w:t>The International Chamber of Commerce (ICC) – as the institutional representative of 45 million companies in over 130 countries and as the official UNFCCC Focal Point for Business and Industry – played a central role at the last UN Climate Change Conference COP26 in November 2021 by bringing the voice of the real economy to the negotiations – most importantly on Article 6 of the Paris Agreement.</w:t>
      </w:r>
      <w:r w:rsidRPr="1A456281" w:rsidR="006056F1">
        <w:rPr>
          <w:rFonts w:ascii="Verdana" w:hAnsi="Verdana" w:eastAsia="Verdana" w:cs="Verdana"/>
          <w:sz w:val="21"/>
          <w:szCs w:val="21"/>
        </w:rPr>
        <w:t xml:space="preserve"> </w:t>
      </w:r>
    </w:p>
    <w:p w:rsidRPr="003B7327" w:rsidR="000773AB" w:rsidP="1A456281" w:rsidRDefault="000773AB" w14:paraId="4842BFA5" w14:textId="44955D73">
      <w:pPr>
        <w:pStyle w:val="ListParagraph"/>
        <w:spacing w:before="0"/>
        <w:ind w:left="504" w:firstLine="0"/>
        <w:rPr>
          <w:sz w:val="21"/>
          <w:szCs w:val="21"/>
        </w:rPr>
      </w:pPr>
    </w:p>
    <w:p w:rsidRPr="003B7327" w:rsidR="000773AB" w:rsidP="1A456281" w:rsidRDefault="006056F1" w14:paraId="035F097A" w14:textId="6ED6A8E5">
      <w:pPr>
        <w:pStyle w:val="ListParagraph"/>
        <w:spacing w:before="0"/>
        <w:ind w:left="504" w:firstLine="0"/>
        <w:rPr>
          <w:color w:val="000000"/>
          <w:sz w:val="21"/>
          <w:szCs w:val="21"/>
        </w:rPr>
      </w:pPr>
      <w:r w:rsidRPr="006056F1">
        <w:rPr>
          <w:sz w:val="21"/>
          <w:szCs w:val="21"/>
        </w:rPr>
        <w:t>The Glasgow Agreement marks an important</w:t>
      </w:r>
      <w:r w:rsidRPr="006056F1">
        <w:rPr>
          <w:color w:val="000000"/>
          <w:sz w:val="21"/>
          <w:szCs w:val="21"/>
        </w:rPr>
        <w:t xml:space="preserve"> step and sets the foundation to keep the Paris Agreement goal of limiting global warming to 1.5°C within reach. </w:t>
      </w:r>
      <w:r w:rsidRPr="006056F1">
        <w:rPr>
          <w:sz w:val="21"/>
          <w:szCs w:val="21"/>
        </w:rPr>
        <w:t xml:space="preserve">Whilst the fundamental rules for trading emissions across boarders under Article 6 are now agreed </w:t>
      </w:r>
      <w:r w:rsidRPr="006056F1">
        <w:rPr>
          <w:color w:val="000000"/>
          <w:sz w:val="21"/>
          <w:szCs w:val="21"/>
        </w:rPr>
        <w:t xml:space="preserve">and set the base for certainty and predictability to both market and non-market approaches, </w:t>
      </w:r>
      <w:r w:rsidRPr="006056F1">
        <w:rPr>
          <w:sz w:val="21"/>
          <w:szCs w:val="21"/>
        </w:rPr>
        <w:t xml:space="preserve">significant further technical work will be needed to ensure new mechanisms work for the real economy and </w:t>
      </w:r>
      <w:r w:rsidRPr="006056F1">
        <w:rPr>
          <w:sz w:val="21"/>
          <w:szCs w:val="21"/>
          <w:bdr w:val="none" w:color="auto" w:sz="0" w:space="0" w:frame="1"/>
        </w:rPr>
        <w:t>protect environmental integrity and the ambition of the Paris Agreement</w:t>
      </w:r>
      <w:r w:rsidRPr="006056F1">
        <w:rPr>
          <w:sz w:val="21"/>
          <w:szCs w:val="21"/>
        </w:rPr>
        <w:t xml:space="preserve">. It is essential for governments to work closely with the business sector in this </w:t>
      </w:r>
      <w:r w:rsidRPr="006056F1" w:rsidR="00C827FD">
        <w:rPr>
          <w:sz w:val="21"/>
          <w:szCs w:val="21"/>
        </w:rPr>
        <w:t>endeavour</w:t>
      </w:r>
      <w:r w:rsidRPr="006056F1">
        <w:rPr>
          <w:sz w:val="21"/>
          <w:szCs w:val="21"/>
        </w:rPr>
        <w:t xml:space="preserve"> to maximise the potential value of the new mechanisms in both environmental and economic terms, as well as to ensure that they are implemented successfully and can </w:t>
      </w:r>
      <w:r w:rsidRPr="006056F1">
        <w:rPr>
          <w:color w:val="000000"/>
          <w:sz w:val="21"/>
          <w:szCs w:val="21"/>
        </w:rPr>
        <w:t>deliver real and additional benefits for the climate and society.</w:t>
      </w:r>
    </w:p>
    <w:p w:rsidRPr="006056F1" w:rsidR="006056F1" w:rsidP="009B11D9" w:rsidRDefault="006056F1" w14:paraId="6FFB46CA" w14:textId="77777777">
      <w:pPr>
        <w:pStyle w:val="ListParagraph"/>
        <w:spacing w:before="0"/>
        <w:ind w:left="504" w:firstLine="0"/>
        <w:rPr>
          <w:color w:val="000000"/>
          <w:sz w:val="21"/>
          <w:szCs w:val="21"/>
        </w:rPr>
      </w:pPr>
    </w:p>
    <w:p w:rsidRPr="006056F1" w:rsidR="006056F1" w:rsidP="009B11D9" w:rsidRDefault="006056F1" w14:paraId="15D79970" w14:textId="373D70A5">
      <w:pPr>
        <w:pStyle w:val="ListParagraph"/>
        <w:spacing w:before="0"/>
        <w:ind w:left="504" w:firstLine="0"/>
        <w:rPr>
          <w:rFonts w:cs="Calibri"/>
          <w:color w:val="000000"/>
          <w:sz w:val="21"/>
          <w:szCs w:val="21"/>
        </w:rPr>
      </w:pPr>
      <w:r w:rsidRPr="006056F1">
        <w:rPr>
          <w:rFonts w:cs="Arial"/>
          <w:sz w:val="21"/>
          <w:szCs w:val="21"/>
        </w:rPr>
        <w:t>The recent 2022 IPCC report</w:t>
      </w:r>
      <w:r>
        <w:rPr>
          <w:rStyle w:val="FootnoteReference"/>
          <w:rFonts w:cs="Arial"/>
          <w:sz w:val="21"/>
          <w:szCs w:val="21"/>
        </w:rPr>
        <w:footnoteReference w:id="2"/>
      </w:r>
      <w:r w:rsidRPr="006056F1">
        <w:rPr>
          <w:rFonts w:cs="Arial"/>
          <w:sz w:val="21"/>
          <w:szCs w:val="21"/>
        </w:rPr>
        <w:t xml:space="preserve"> underscores that without urgent and concerted global action, a rapidly closing window will be missed to tackle the climate crisis and prevent the most dramatic impacts on planet and people. COP26 saw an unprecedent mobilisation of the private sector with more </w:t>
      </w:r>
      <w:r w:rsidRPr="006056F1">
        <w:rPr>
          <w:rStyle w:val="A0"/>
          <w:rFonts w:ascii="Verdana" w:hAnsi="Verdana" w:cs="Arial"/>
          <w:sz w:val="21"/>
          <w:szCs w:val="21"/>
        </w:rPr>
        <w:t xml:space="preserve">companies than ever </w:t>
      </w:r>
      <w:r w:rsidRPr="006F771C">
        <w:rPr>
          <w:rStyle w:val="A0"/>
          <w:rFonts w:ascii="Verdana" w:hAnsi="Verdana" w:cs="Arial"/>
          <w:sz w:val="21"/>
          <w:szCs w:val="21"/>
        </w:rPr>
        <w:t>setting net zero targets and aligning their portfolios with the Paris goals.  However, pledges alone are insufficient -</w:t>
      </w:r>
      <w:r w:rsidRPr="006056F1">
        <w:rPr>
          <w:rStyle w:val="A0"/>
          <w:rFonts w:cs="Arial"/>
          <w:sz w:val="21"/>
          <w:szCs w:val="21"/>
        </w:rPr>
        <w:t xml:space="preserve"> </w:t>
      </w:r>
      <w:r w:rsidRPr="006056F1">
        <w:rPr>
          <w:rFonts w:cs="Arial"/>
          <w:sz w:val="21"/>
          <w:szCs w:val="21"/>
        </w:rPr>
        <w:t>determination and political will from all governments is needed to build on the achievements of Glasgow, drive forward multilevel and multilateral collaboration as well as design clear and credible decarbonisation and financing plans. This will be integral to strengthening confidence for the business community to invest further and faster in a net zero economy and lead to the ambition and action needed for COP27.</w:t>
      </w:r>
    </w:p>
    <w:p w:rsidRPr="006056F1" w:rsidR="006056F1" w:rsidP="009B11D9" w:rsidRDefault="006056F1" w14:paraId="0B262074" w14:textId="77777777">
      <w:pPr>
        <w:pStyle w:val="ListParagraph"/>
        <w:spacing w:before="0"/>
        <w:ind w:left="504" w:firstLine="0"/>
        <w:rPr>
          <w:color w:val="000000"/>
          <w:sz w:val="21"/>
          <w:szCs w:val="21"/>
        </w:rPr>
      </w:pPr>
    </w:p>
    <w:p w:rsidRPr="006056F1" w:rsidR="006056F1" w:rsidP="182B1B82" w:rsidRDefault="006056F1" w14:paraId="50B7AF8C" w14:textId="6CA2A34C">
      <w:pPr>
        <w:pStyle w:val="ListParagraph"/>
        <w:spacing w:before="0"/>
        <w:ind w:left="504" w:firstLine="0"/>
        <w:rPr>
          <w:sz w:val="21"/>
          <w:szCs w:val="21"/>
        </w:rPr>
      </w:pPr>
      <w:r w:rsidRPr="1A456281">
        <w:rPr>
          <w:rFonts w:eastAsia="Calibri"/>
          <w:sz w:val="21"/>
          <w:szCs w:val="21"/>
        </w:rPr>
        <w:t xml:space="preserve">The current geopolitical situation and the energy crisis underscore the need for urgent policy responses to safeguard energy security and affordable access to mitigate the effects of the crisis on consumers, business and society at large. The impacts of the crisis have reverberating consequences internationally and raise concerns for global cooperation, the future of the Paris Agreement and advancing goals towards net-zero. In the face of these challenges, climate change remains a pressing global issue and now, more than ever, it is imperative that all actors work together to take the necessary steps to meet the goals of the Paris Agreement, safeguard and strengthen energy security, access and efficiency, as well as promote investment in energy infrastructures to advance the transition </w:t>
      </w:r>
      <w:r w:rsidRPr="1A456281">
        <w:rPr>
          <w:rFonts w:eastAsia="Calibri" w:cs="Times New Roman"/>
          <w:sz w:val="21"/>
          <w:szCs w:val="21"/>
        </w:rPr>
        <w:t xml:space="preserve">towards a low and net zero emissions energy system. The disruptive effects on energy and energy-intensive industries and ultimately consumers need to be given due consideration, including </w:t>
      </w:r>
      <w:r w:rsidRPr="1A456281">
        <w:rPr>
          <w:sz w:val="21"/>
          <w:szCs w:val="21"/>
        </w:rPr>
        <w:t>in the context of carbon pricing discussions.</w:t>
      </w:r>
    </w:p>
    <w:p w:rsidRPr="006056F1" w:rsidR="006056F1" w:rsidP="009B11D9" w:rsidRDefault="006056F1" w14:paraId="31D66A8C" w14:textId="77777777">
      <w:pPr>
        <w:pStyle w:val="ListParagraph"/>
        <w:spacing w:before="0"/>
        <w:ind w:left="504" w:firstLine="0"/>
        <w:jc w:val="both"/>
        <w:rPr>
          <w:bCs/>
          <w:sz w:val="21"/>
          <w:szCs w:val="21"/>
        </w:rPr>
      </w:pPr>
    </w:p>
    <w:p w:rsidR="006056F1" w:rsidP="009B11D9" w:rsidRDefault="006056F1" w14:paraId="09C24ACA" w14:textId="45EA287B">
      <w:pPr>
        <w:pStyle w:val="ListParagraph"/>
        <w:spacing w:before="0"/>
        <w:ind w:left="504" w:firstLine="0"/>
        <w:rPr>
          <w:color w:val="000000"/>
          <w:sz w:val="21"/>
          <w:szCs w:val="21"/>
        </w:rPr>
      </w:pPr>
      <w:r w:rsidRPr="1A456281">
        <w:rPr>
          <w:color w:val="000000" w:themeColor="text1"/>
          <w:sz w:val="21"/>
          <w:szCs w:val="21"/>
        </w:rPr>
        <w:t xml:space="preserve">Carbon pricing and emissions trading </w:t>
      </w:r>
      <w:r w:rsidRPr="182B1B82">
        <w:rPr>
          <w:color w:val="000000" w:themeColor="text1"/>
          <w:sz w:val="21"/>
          <w:szCs w:val="21"/>
        </w:rPr>
        <w:t>are</w:t>
      </w:r>
      <w:r w:rsidRPr="1A456281">
        <w:rPr>
          <w:color w:val="000000" w:themeColor="text1"/>
          <w:sz w:val="21"/>
          <w:szCs w:val="21"/>
        </w:rPr>
        <w:t xml:space="preserve"> gaining momentum globally and </w:t>
      </w:r>
      <w:r w:rsidRPr="182B1B82">
        <w:rPr>
          <w:color w:val="000000" w:themeColor="text1"/>
          <w:sz w:val="21"/>
          <w:szCs w:val="21"/>
        </w:rPr>
        <w:t xml:space="preserve">are </w:t>
      </w:r>
      <w:r w:rsidRPr="1A456281">
        <w:rPr>
          <w:color w:val="000000" w:themeColor="text1"/>
          <w:sz w:val="21"/>
          <w:szCs w:val="21"/>
        </w:rPr>
        <w:t>viewed by many political leaders as the most economically effective way of reducing emissions. In this context</w:t>
      </w:r>
      <w:r w:rsidRPr="182B1B82">
        <w:rPr>
          <w:color w:val="000000" w:themeColor="text1"/>
          <w:sz w:val="21"/>
          <w:szCs w:val="21"/>
        </w:rPr>
        <w:t>,</w:t>
      </w:r>
      <w:r w:rsidRPr="1A456281">
        <w:rPr>
          <w:color w:val="000000" w:themeColor="text1"/>
          <w:sz w:val="21"/>
          <w:szCs w:val="21"/>
        </w:rPr>
        <w:t xml:space="preserve"> ICC developed a set of Carbon Pricing Principles </w:t>
      </w:r>
      <w:r w:rsidRPr="1A456281" w:rsidR="009B11D9">
        <w:rPr>
          <w:color w:val="000000" w:themeColor="text1"/>
          <w:sz w:val="21"/>
          <w:szCs w:val="21"/>
        </w:rPr>
        <w:t xml:space="preserve">as further outlined </w:t>
      </w:r>
      <w:r w:rsidRPr="1A456281" w:rsidR="00F029FB">
        <w:rPr>
          <w:color w:val="000000" w:themeColor="text1"/>
          <w:sz w:val="21"/>
          <w:szCs w:val="21"/>
        </w:rPr>
        <w:t xml:space="preserve">in Section II </w:t>
      </w:r>
      <w:r w:rsidRPr="1A456281" w:rsidR="009B11D9">
        <w:rPr>
          <w:color w:val="000000" w:themeColor="text1"/>
          <w:sz w:val="21"/>
          <w:szCs w:val="21"/>
        </w:rPr>
        <w:t xml:space="preserve">below. </w:t>
      </w:r>
      <w:r w:rsidRPr="1A456281" w:rsidR="003E53FD">
        <w:rPr>
          <w:color w:val="000000" w:themeColor="text1"/>
          <w:sz w:val="21"/>
          <w:szCs w:val="21"/>
        </w:rPr>
        <w:t xml:space="preserve">In </w:t>
      </w:r>
      <w:r w:rsidRPr="182B1B82" w:rsidR="003E53FD">
        <w:rPr>
          <w:color w:val="000000" w:themeColor="text1"/>
          <w:sz w:val="21"/>
          <w:szCs w:val="21"/>
        </w:rPr>
        <w:t>the</w:t>
      </w:r>
      <w:r w:rsidRPr="1A456281" w:rsidR="003E53FD">
        <w:rPr>
          <w:color w:val="000000" w:themeColor="text1"/>
          <w:sz w:val="21"/>
          <w:szCs w:val="21"/>
        </w:rPr>
        <w:t xml:space="preserve"> second phase of its work, ICC outlines existing carbon pricing</w:t>
      </w:r>
      <w:r w:rsidRPr="1A456281" w:rsidR="00BD09C9">
        <w:rPr>
          <w:color w:val="000000" w:themeColor="text1"/>
          <w:sz w:val="21"/>
          <w:szCs w:val="21"/>
        </w:rPr>
        <w:t xml:space="preserve"> policies, elaborates and assesses selected case study examples </w:t>
      </w:r>
      <w:r w:rsidRPr="1A456281" w:rsidR="004970A5">
        <w:rPr>
          <w:color w:val="000000" w:themeColor="text1"/>
          <w:sz w:val="21"/>
          <w:szCs w:val="21"/>
        </w:rPr>
        <w:t xml:space="preserve">and provides recommendations on key design features that could be useful for governments to consider </w:t>
      </w:r>
      <w:r w:rsidRPr="1A456281" w:rsidR="00871074">
        <w:rPr>
          <w:color w:val="000000" w:themeColor="text1"/>
          <w:sz w:val="21"/>
          <w:szCs w:val="21"/>
        </w:rPr>
        <w:t>in developing carbon pricing measures.</w:t>
      </w:r>
    </w:p>
    <w:p w:rsidR="002D642F" w:rsidP="009B11D9" w:rsidRDefault="002D642F" w14:paraId="244EEF61" w14:textId="77777777">
      <w:pPr>
        <w:pStyle w:val="ListParagraph"/>
        <w:spacing w:before="0"/>
        <w:ind w:left="504" w:firstLine="0"/>
        <w:rPr>
          <w:color w:val="000000"/>
          <w:sz w:val="21"/>
          <w:szCs w:val="21"/>
        </w:rPr>
      </w:pPr>
    </w:p>
    <w:p w:rsidR="006F771C" w:rsidP="00871074" w:rsidRDefault="002D642F" w14:paraId="22F7F601" w14:textId="29E00CC3">
      <w:pPr>
        <w:pStyle w:val="ListParagraph"/>
        <w:spacing w:before="0"/>
        <w:ind w:left="504" w:firstLine="0"/>
        <w:rPr>
          <w:rFonts w:eastAsia="Arial" w:cs="Arial"/>
          <w:sz w:val="21"/>
          <w:szCs w:val="21"/>
        </w:rPr>
      </w:pPr>
      <w:r>
        <w:rPr>
          <w:color w:val="000000"/>
          <w:sz w:val="21"/>
          <w:szCs w:val="21"/>
        </w:rPr>
        <w:t>Furt</w:t>
      </w:r>
      <w:r w:rsidR="00283D38">
        <w:rPr>
          <w:color w:val="000000"/>
          <w:sz w:val="21"/>
          <w:szCs w:val="21"/>
        </w:rPr>
        <w:t>her work on carbon pricing has also been conducted by international organisations</w:t>
      </w:r>
      <w:r w:rsidR="0044661A">
        <w:rPr>
          <w:color w:val="000000"/>
          <w:sz w:val="21"/>
          <w:szCs w:val="21"/>
        </w:rPr>
        <w:t xml:space="preserve">, which has been considered and referenced in the </w:t>
      </w:r>
      <w:r w:rsidR="00871074">
        <w:rPr>
          <w:color w:val="000000"/>
          <w:sz w:val="21"/>
          <w:szCs w:val="21"/>
        </w:rPr>
        <w:t>document.</w:t>
      </w:r>
      <w:r w:rsidR="000E237E">
        <w:rPr>
          <w:rStyle w:val="FootnoteReference"/>
          <w:color w:val="000000"/>
          <w:sz w:val="21"/>
          <w:szCs w:val="21"/>
        </w:rPr>
        <w:footnoteReference w:id="3"/>
      </w:r>
      <w:r w:rsidR="00026C32">
        <w:rPr>
          <w:rStyle w:val="FootnoteReference"/>
          <w:color w:val="000000"/>
          <w:sz w:val="21"/>
          <w:szCs w:val="21"/>
        </w:rPr>
        <w:footnoteReference w:id="4"/>
      </w:r>
      <w:r w:rsidR="006D1787">
        <w:rPr>
          <w:rStyle w:val="FootnoteReference"/>
          <w:color w:val="000000"/>
          <w:sz w:val="21"/>
          <w:szCs w:val="21"/>
        </w:rPr>
        <w:footnoteReference w:id="5"/>
      </w:r>
    </w:p>
    <w:p w:rsidRPr="005B278D" w:rsidR="003B7327" w:rsidP="003B7327" w:rsidRDefault="003B7327" w14:paraId="62BE69CD" w14:textId="77777777">
      <w:pPr>
        <w:pStyle w:val="Heading1"/>
        <w:tabs>
          <w:tab w:val="left" w:pos="511"/>
        </w:tabs>
        <w:ind w:firstLine="0"/>
        <w:rPr>
          <w:rFonts w:ascii="Verdana" w:hAnsi="Verdana"/>
          <w:b w:val="0"/>
          <w:bCs w:val="0"/>
          <w:sz w:val="21"/>
          <w:szCs w:val="21"/>
        </w:rPr>
      </w:pPr>
    </w:p>
    <w:p w:rsidRPr="00637309" w:rsidR="003B7327" w:rsidP="00021DA9" w:rsidRDefault="003B7327" w14:paraId="7D3F96E2" w14:textId="77777777">
      <w:pPr>
        <w:pStyle w:val="Heading1"/>
        <w:numPr>
          <w:ilvl w:val="0"/>
          <w:numId w:val="2"/>
        </w:numPr>
        <w:tabs>
          <w:tab w:val="left" w:pos="511"/>
        </w:tabs>
        <w:ind w:hanging="398"/>
        <w:rPr>
          <w:rFonts w:ascii="Verdana" w:hAnsi="Verdana"/>
        </w:rPr>
      </w:pPr>
      <w:r w:rsidRPr="00637309">
        <w:rPr>
          <w:rFonts w:ascii="Verdana" w:hAnsi="Verdana"/>
          <w:color w:val="0064A8"/>
          <w:w w:val="105"/>
        </w:rPr>
        <w:t>ICC</w:t>
      </w:r>
      <w:r w:rsidRPr="00637309">
        <w:rPr>
          <w:rFonts w:ascii="Verdana" w:hAnsi="Verdana"/>
          <w:color w:val="0064A8"/>
          <w:spacing w:val="-14"/>
          <w:w w:val="105"/>
        </w:rPr>
        <w:t xml:space="preserve"> </w:t>
      </w:r>
      <w:r w:rsidRPr="00637309">
        <w:rPr>
          <w:rFonts w:ascii="Verdana" w:hAnsi="Verdana"/>
          <w:color w:val="0064A8"/>
          <w:w w:val="105"/>
        </w:rPr>
        <w:t>CARBON</w:t>
      </w:r>
      <w:r w:rsidRPr="00637309">
        <w:rPr>
          <w:rFonts w:ascii="Verdana" w:hAnsi="Verdana"/>
          <w:color w:val="0064A8"/>
          <w:spacing w:val="-13"/>
          <w:w w:val="105"/>
        </w:rPr>
        <w:t xml:space="preserve"> </w:t>
      </w:r>
      <w:r w:rsidRPr="00637309">
        <w:rPr>
          <w:rFonts w:ascii="Verdana" w:hAnsi="Verdana"/>
          <w:color w:val="0064A8"/>
          <w:w w:val="105"/>
        </w:rPr>
        <w:t>PRICING</w:t>
      </w:r>
      <w:r w:rsidRPr="00637309">
        <w:rPr>
          <w:rFonts w:ascii="Verdana" w:hAnsi="Verdana"/>
          <w:color w:val="0064A8"/>
          <w:spacing w:val="-13"/>
          <w:w w:val="105"/>
        </w:rPr>
        <w:t xml:space="preserve"> </w:t>
      </w:r>
      <w:r w:rsidRPr="00637309">
        <w:rPr>
          <w:rFonts w:ascii="Verdana" w:hAnsi="Verdana"/>
          <w:color w:val="0064A8"/>
          <w:w w:val="105"/>
        </w:rPr>
        <w:t>PRINCIPLES</w:t>
      </w:r>
    </w:p>
    <w:p w:rsidRPr="00637309" w:rsidR="000773AB" w:rsidRDefault="00496A1C" w14:paraId="228AD1F6" w14:textId="75E816C1">
      <w:pPr>
        <w:pStyle w:val="BodyText"/>
        <w:spacing w:before="219" w:line="264" w:lineRule="auto"/>
        <w:ind w:left="113"/>
      </w:pPr>
      <w:r w:rsidRPr="00637309">
        <w:rPr>
          <w:spacing w:val="-3"/>
        </w:rPr>
        <w:t>Based</w:t>
      </w:r>
      <w:r w:rsidRPr="00637309">
        <w:rPr>
          <w:spacing w:val="-20"/>
        </w:rPr>
        <w:t xml:space="preserve"> </w:t>
      </w:r>
      <w:r w:rsidRPr="00637309">
        <w:rPr>
          <w:spacing w:val="-3"/>
        </w:rPr>
        <w:t>on</w:t>
      </w:r>
      <w:r w:rsidRPr="00637309">
        <w:rPr>
          <w:spacing w:val="-20"/>
        </w:rPr>
        <w:t xml:space="preserve"> </w:t>
      </w:r>
      <w:r w:rsidRPr="00637309">
        <w:rPr>
          <w:spacing w:val="-3"/>
        </w:rPr>
        <w:t>a</w:t>
      </w:r>
      <w:r w:rsidRPr="00637309">
        <w:rPr>
          <w:spacing w:val="-20"/>
        </w:rPr>
        <w:t xml:space="preserve"> </w:t>
      </w:r>
      <w:r w:rsidRPr="00637309">
        <w:rPr>
          <w:spacing w:val="-3"/>
        </w:rPr>
        <w:t>wide</w:t>
      </w:r>
      <w:r w:rsidRPr="00637309">
        <w:rPr>
          <w:spacing w:val="-20"/>
        </w:rPr>
        <w:t xml:space="preserve"> </w:t>
      </w:r>
      <w:r w:rsidRPr="00637309">
        <w:rPr>
          <w:spacing w:val="-3"/>
        </w:rPr>
        <w:t>range</w:t>
      </w:r>
      <w:r w:rsidRPr="00637309">
        <w:rPr>
          <w:spacing w:val="-20"/>
        </w:rPr>
        <w:t xml:space="preserve"> </w:t>
      </w:r>
      <w:r w:rsidRPr="00637309">
        <w:rPr>
          <w:spacing w:val="-3"/>
        </w:rPr>
        <w:t>of</w:t>
      </w:r>
      <w:r w:rsidRPr="00637309">
        <w:rPr>
          <w:spacing w:val="-20"/>
        </w:rPr>
        <w:t xml:space="preserve"> </w:t>
      </w:r>
      <w:r w:rsidRPr="00637309">
        <w:rPr>
          <w:spacing w:val="-3"/>
        </w:rPr>
        <w:t>business</w:t>
      </w:r>
      <w:r w:rsidRPr="00637309">
        <w:rPr>
          <w:spacing w:val="-20"/>
        </w:rPr>
        <w:t xml:space="preserve"> </w:t>
      </w:r>
      <w:r w:rsidRPr="00637309">
        <w:rPr>
          <w:spacing w:val="-2"/>
        </w:rPr>
        <w:t>experiences,</w:t>
      </w:r>
      <w:r w:rsidRPr="00637309">
        <w:rPr>
          <w:spacing w:val="-20"/>
        </w:rPr>
        <w:t xml:space="preserve"> </w:t>
      </w:r>
      <w:r w:rsidRPr="00637309">
        <w:rPr>
          <w:spacing w:val="-2"/>
        </w:rPr>
        <w:t>ICC</w:t>
      </w:r>
      <w:r w:rsidRPr="00637309">
        <w:rPr>
          <w:spacing w:val="-20"/>
        </w:rPr>
        <w:t xml:space="preserve"> </w:t>
      </w:r>
      <w:r w:rsidRPr="00637309">
        <w:rPr>
          <w:spacing w:val="-2"/>
        </w:rPr>
        <w:t>has</w:t>
      </w:r>
      <w:r w:rsidRPr="00637309">
        <w:rPr>
          <w:spacing w:val="-20"/>
        </w:rPr>
        <w:t xml:space="preserve"> </w:t>
      </w:r>
      <w:r w:rsidRPr="00637309">
        <w:rPr>
          <w:spacing w:val="-2"/>
        </w:rPr>
        <w:t>developed</w:t>
      </w:r>
      <w:r w:rsidRPr="00637309">
        <w:rPr>
          <w:spacing w:val="-20"/>
        </w:rPr>
        <w:t xml:space="preserve"> </w:t>
      </w:r>
      <w:r w:rsidRPr="00637309">
        <w:rPr>
          <w:spacing w:val="-2"/>
        </w:rPr>
        <w:t>the</w:t>
      </w:r>
      <w:r w:rsidRPr="00637309">
        <w:rPr>
          <w:spacing w:val="-20"/>
        </w:rPr>
        <w:t xml:space="preserve"> </w:t>
      </w:r>
      <w:r w:rsidRPr="00637309">
        <w:rPr>
          <w:spacing w:val="-2"/>
        </w:rPr>
        <w:t>principles</w:t>
      </w:r>
      <w:r w:rsidRPr="00637309">
        <w:rPr>
          <w:spacing w:val="-20"/>
        </w:rPr>
        <w:t xml:space="preserve"> </w:t>
      </w:r>
      <w:r w:rsidRPr="00637309">
        <w:rPr>
          <w:spacing w:val="-2"/>
        </w:rPr>
        <w:t>below</w:t>
      </w:r>
      <w:r w:rsidRPr="00637309">
        <w:rPr>
          <w:spacing w:val="-20"/>
        </w:rPr>
        <w:t xml:space="preserve"> </w:t>
      </w:r>
      <w:r w:rsidRPr="00637309">
        <w:rPr>
          <w:spacing w:val="-2"/>
        </w:rPr>
        <w:t>which</w:t>
      </w:r>
      <w:r w:rsidRPr="00637309">
        <w:rPr>
          <w:spacing w:val="-71"/>
        </w:rPr>
        <w:t xml:space="preserve"> </w:t>
      </w:r>
      <w:r w:rsidRPr="00637309">
        <w:rPr>
          <w:spacing w:val="-3"/>
        </w:rPr>
        <w:t>should</w:t>
      </w:r>
      <w:r w:rsidRPr="00637309">
        <w:rPr>
          <w:spacing w:val="-20"/>
        </w:rPr>
        <w:t xml:space="preserve"> </w:t>
      </w:r>
      <w:r w:rsidRPr="00637309">
        <w:rPr>
          <w:spacing w:val="-3"/>
        </w:rPr>
        <w:t>be</w:t>
      </w:r>
      <w:r w:rsidRPr="00637309">
        <w:rPr>
          <w:spacing w:val="-19"/>
        </w:rPr>
        <w:t xml:space="preserve"> </w:t>
      </w:r>
      <w:r w:rsidRPr="00637309">
        <w:rPr>
          <w:spacing w:val="-3"/>
        </w:rPr>
        <w:t>taken</w:t>
      </w:r>
      <w:r w:rsidRPr="00637309">
        <w:rPr>
          <w:spacing w:val="-20"/>
        </w:rPr>
        <w:t xml:space="preserve"> </w:t>
      </w:r>
      <w:r w:rsidRPr="00637309">
        <w:rPr>
          <w:spacing w:val="-3"/>
        </w:rPr>
        <w:t>into</w:t>
      </w:r>
      <w:r w:rsidRPr="00637309">
        <w:rPr>
          <w:spacing w:val="-19"/>
        </w:rPr>
        <w:t xml:space="preserve"> </w:t>
      </w:r>
      <w:r w:rsidRPr="00637309">
        <w:rPr>
          <w:spacing w:val="-3"/>
        </w:rPr>
        <w:t>account</w:t>
      </w:r>
      <w:r w:rsidRPr="00637309">
        <w:rPr>
          <w:spacing w:val="-20"/>
        </w:rPr>
        <w:t xml:space="preserve"> </w:t>
      </w:r>
      <w:r w:rsidRPr="00637309">
        <w:rPr>
          <w:spacing w:val="-3"/>
        </w:rPr>
        <w:t>for</w:t>
      </w:r>
      <w:r w:rsidRPr="00637309">
        <w:rPr>
          <w:spacing w:val="-19"/>
        </w:rPr>
        <w:t xml:space="preserve"> </w:t>
      </w:r>
      <w:r w:rsidRPr="00637309">
        <w:rPr>
          <w:spacing w:val="-3"/>
        </w:rPr>
        <w:t>developing and implementing</w:t>
      </w:r>
      <w:r w:rsidRPr="00637309">
        <w:rPr>
          <w:spacing w:val="-20"/>
        </w:rPr>
        <w:t xml:space="preserve"> </w:t>
      </w:r>
      <w:r w:rsidRPr="00637309">
        <w:rPr>
          <w:spacing w:val="-2"/>
        </w:rPr>
        <w:t>market-based</w:t>
      </w:r>
      <w:r w:rsidRPr="00637309">
        <w:rPr>
          <w:spacing w:val="-19"/>
        </w:rPr>
        <w:t xml:space="preserve"> </w:t>
      </w:r>
      <w:r w:rsidRPr="00637309">
        <w:rPr>
          <w:spacing w:val="-2"/>
        </w:rPr>
        <w:t>instruments</w:t>
      </w:r>
      <w:r w:rsidRPr="00637309">
        <w:rPr>
          <w:spacing w:val="-20"/>
        </w:rPr>
        <w:t xml:space="preserve"> </w:t>
      </w:r>
      <w:r w:rsidRPr="00637309">
        <w:rPr>
          <w:spacing w:val="-2"/>
        </w:rPr>
        <w:t>under</w:t>
      </w:r>
      <w:r w:rsidRPr="00637309">
        <w:rPr>
          <w:spacing w:val="-19"/>
        </w:rPr>
        <w:t xml:space="preserve"> </w:t>
      </w:r>
      <w:r w:rsidRPr="00637309">
        <w:rPr>
          <w:spacing w:val="-2"/>
        </w:rPr>
        <w:t>Article</w:t>
      </w:r>
      <w:r w:rsidRPr="00637309">
        <w:rPr>
          <w:spacing w:val="-20"/>
        </w:rPr>
        <w:t xml:space="preserve"> </w:t>
      </w:r>
      <w:r w:rsidRPr="00637309">
        <w:rPr>
          <w:spacing w:val="-2"/>
        </w:rPr>
        <w:t>6</w:t>
      </w:r>
      <w:r w:rsidRPr="00637309">
        <w:rPr>
          <w:spacing w:val="-19"/>
        </w:rPr>
        <w:t xml:space="preserve"> </w:t>
      </w:r>
      <w:r w:rsidRPr="00637309">
        <w:rPr>
          <w:spacing w:val="-2"/>
        </w:rPr>
        <w:t>of</w:t>
      </w:r>
      <w:r w:rsidRPr="00637309">
        <w:rPr>
          <w:spacing w:val="-20"/>
        </w:rPr>
        <w:t xml:space="preserve"> </w:t>
      </w:r>
      <w:r w:rsidRPr="00637309">
        <w:rPr>
          <w:spacing w:val="-2"/>
        </w:rPr>
        <w:t>the</w:t>
      </w:r>
      <w:r w:rsidRPr="00637309">
        <w:rPr>
          <w:spacing w:val="-1"/>
        </w:rPr>
        <w:t xml:space="preserve"> </w:t>
      </w:r>
      <w:r w:rsidRPr="00637309">
        <w:t>Paris</w:t>
      </w:r>
      <w:r w:rsidRPr="00637309">
        <w:rPr>
          <w:spacing w:val="-21"/>
        </w:rPr>
        <w:t xml:space="preserve"> </w:t>
      </w:r>
      <w:r w:rsidRPr="00637309">
        <w:t>Agreement</w:t>
      </w:r>
      <w:r w:rsidRPr="00637309">
        <w:rPr>
          <w:spacing w:val="-21"/>
        </w:rPr>
        <w:t xml:space="preserve"> </w:t>
      </w:r>
      <w:r w:rsidRPr="00637309">
        <w:t>in</w:t>
      </w:r>
      <w:r w:rsidRPr="00637309">
        <w:rPr>
          <w:spacing w:val="-20"/>
        </w:rPr>
        <w:t xml:space="preserve"> </w:t>
      </w:r>
      <w:r w:rsidRPr="00637309">
        <w:t>order</w:t>
      </w:r>
      <w:r w:rsidRPr="00637309">
        <w:rPr>
          <w:spacing w:val="-21"/>
        </w:rPr>
        <w:t xml:space="preserve"> </w:t>
      </w:r>
      <w:r w:rsidRPr="00637309">
        <w:t>to:</w:t>
      </w:r>
    </w:p>
    <w:p w:rsidRPr="00637309" w:rsidR="000773AB" w:rsidP="00021DA9" w:rsidRDefault="00496A1C" w14:paraId="42A59DD6" w14:textId="77777777">
      <w:pPr>
        <w:pStyle w:val="ListParagraph"/>
        <w:numPr>
          <w:ilvl w:val="0"/>
          <w:numId w:val="1"/>
        </w:numPr>
        <w:tabs>
          <w:tab w:val="left" w:pos="341"/>
        </w:tabs>
        <w:spacing w:before="168" w:line="259" w:lineRule="auto"/>
        <w:ind w:right="182"/>
        <w:rPr>
          <w:sz w:val="21"/>
        </w:rPr>
      </w:pPr>
      <w:r w:rsidRPr="00637309">
        <w:rPr>
          <w:w w:val="95"/>
          <w:sz w:val="21"/>
        </w:rPr>
        <w:t>tackle</w:t>
      </w:r>
      <w:r w:rsidRPr="00637309">
        <w:rPr>
          <w:spacing w:val="-14"/>
          <w:w w:val="95"/>
          <w:sz w:val="21"/>
        </w:rPr>
        <w:t xml:space="preserve"> </w:t>
      </w:r>
      <w:r w:rsidRPr="00637309">
        <w:rPr>
          <w:w w:val="95"/>
          <w:sz w:val="21"/>
        </w:rPr>
        <w:t>climate</w:t>
      </w:r>
      <w:r w:rsidRPr="00637309">
        <w:rPr>
          <w:spacing w:val="-14"/>
          <w:w w:val="95"/>
          <w:sz w:val="21"/>
        </w:rPr>
        <w:t xml:space="preserve"> </w:t>
      </w:r>
      <w:r w:rsidRPr="00637309">
        <w:rPr>
          <w:w w:val="95"/>
          <w:sz w:val="21"/>
        </w:rPr>
        <w:t>change</w:t>
      </w:r>
      <w:r w:rsidRPr="00637309">
        <w:rPr>
          <w:spacing w:val="-13"/>
          <w:w w:val="95"/>
          <w:sz w:val="21"/>
        </w:rPr>
        <w:t xml:space="preserve"> </w:t>
      </w:r>
      <w:r w:rsidRPr="00637309">
        <w:rPr>
          <w:w w:val="95"/>
          <w:sz w:val="21"/>
        </w:rPr>
        <w:t>at</w:t>
      </w:r>
      <w:r w:rsidRPr="00637309">
        <w:rPr>
          <w:spacing w:val="-14"/>
          <w:w w:val="95"/>
          <w:sz w:val="21"/>
        </w:rPr>
        <w:t xml:space="preserve"> </w:t>
      </w:r>
      <w:r w:rsidRPr="00637309">
        <w:rPr>
          <w:w w:val="95"/>
          <w:sz w:val="21"/>
        </w:rPr>
        <w:t>the</w:t>
      </w:r>
      <w:r w:rsidRPr="00637309">
        <w:rPr>
          <w:spacing w:val="-13"/>
          <w:w w:val="95"/>
          <w:sz w:val="21"/>
        </w:rPr>
        <w:t xml:space="preserve"> </w:t>
      </w:r>
      <w:r w:rsidRPr="00637309">
        <w:rPr>
          <w:w w:val="95"/>
          <w:sz w:val="21"/>
        </w:rPr>
        <w:t>quantitative</w:t>
      </w:r>
      <w:r w:rsidRPr="00637309">
        <w:rPr>
          <w:spacing w:val="-14"/>
          <w:w w:val="95"/>
          <w:sz w:val="21"/>
        </w:rPr>
        <w:t xml:space="preserve"> </w:t>
      </w:r>
      <w:r w:rsidRPr="00637309">
        <w:rPr>
          <w:w w:val="95"/>
          <w:sz w:val="21"/>
        </w:rPr>
        <w:t>scale</w:t>
      </w:r>
      <w:r w:rsidRPr="00637309">
        <w:rPr>
          <w:spacing w:val="-14"/>
          <w:w w:val="95"/>
          <w:sz w:val="21"/>
        </w:rPr>
        <w:t xml:space="preserve"> </w:t>
      </w:r>
      <w:r w:rsidRPr="00637309">
        <w:rPr>
          <w:w w:val="95"/>
          <w:sz w:val="21"/>
        </w:rPr>
        <w:t>and</w:t>
      </w:r>
      <w:r w:rsidRPr="00637309">
        <w:rPr>
          <w:spacing w:val="-13"/>
          <w:w w:val="95"/>
          <w:sz w:val="21"/>
        </w:rPr>
        <w:t xml:space="preserve"> </w:t>
      </w:r>
      <w:r w:rsidRPr="00637309">
        <w:rPr>
          <w:w w:val="95"/>
          <w:sz w:val="21"/>
        </w:rPr>
        <w:t>timescale</w:t>
      </w:r>
      <w:r w:rsidRPr="00637309">
        <w:rPr>
          <w:spacing w:val="-14"/>
          <w:w w:val="95"/>
          <w:sz w:val="21"/>
        </w:rPr>
        <w:t xml:space="preserve"> </w:t>
      </w:r>
      <w:r w:rsidRPr="00637309">
        <w:rPr>
          <w:w w:val="95"/>
          <w:sz w:val="21"/>
        </w:rPr>
        <w:t>needed,</w:t>
      </w:r>
      <w:r w:rsidRPr="00637309">
        <w:rPr>
          <w:spacing w:val="-13"/>
          <w:w w:val="95"/>
          <w:sz w:val="21"/>
        </w:rPr>
        <w:t xml:space="preserve"> </w:t>
      </w:r>
      <w:r w:rsidRPr="00637309">
        <w:rPr>
          <w:w w:val="95"/>
          <w:sz w:val="21"/>
        </w:rPr>
        <w:t>irrespective</w:t>
      </w:r>
      <w:r w:rsidRPr="00637309">
        <w:rPr>
          <w:spacing w:val="-14"/>
          <w:w w:val="95"/>
          <w:sz w:val="21"/>
        </w:rPr>
        <w:t xml:space="preserve"> </w:t>
      </w:r>
      <w:r w:rsidRPr="00637309">
        <w:rPr>
          <w:w w:val="95"/>
          <w:sz w:val="21"/>
        </w:rPr>
        <w:t>of</w:t>
      </w:r>
      <w:r w:rsidRPr="00637309">
        <w:rPr>
          <w:spacing w:val="-13"/>
          <w:w w:val="95"/>
          <w:sz w:val="21"/>
        </w:rPr>
        <w:t xml:space="preserve"> </w:t>
      </w:r>
      <w:r w:rsidRPr="00637309">
        <w:rPr>
          <w:w w:val="95"/>
          <w:sz w:val="21"/>
        </w:rPr>
        <w:t>location,</w:t>
      </w:r>
      <w:r w:rsidRPr="00637309">
        <w:rPr>
          <w:spacing w:val="1"/>
          <w:w w:val="95"/>
          <w:sz w:val="21"/>
        </w:rPr>
        <w:t xml:space="preserve"> </w:t>
      </w:r>
      <w:r w:rsidRPr="00637309">
        <w:rPr>
          <w:w w:val="95"/>
          <w:sz w:val="21"/>
        </w:rPr>
        <w:t>and</w:t>
      </w:r>
      <w:r w:rsidRPr="00637309">
        <w:rPr>
          <w:spacing w:val="-14"/>
          <w:w w:val="95"/>
          <w:sz w:val="21"/>
        </w:rPr>
        <w:t xml:space="preserve"> </w:t>
      </w:r>
      <w:r w:rsidRPr="00637309">
        <w:rPr>
          <w:w w:val="95"/>
          <w:sz w:val="21"/>
        </w:rPr>
        <w:t>at</w:t>
      </w:r>
      <w:r w:rsidRPr="00637309">
        <w:rPr>
          <w:spacing w:val="-14"/>
          <w:w w:val="95"/>
          <w:sz w:val="21"/>
        </w:rPr>
        <w:t xml:space="preserve"> </w:t>
      </w:r>
      <w:r w:rsidRPr="00637309">
        <w:rPr>
          <w:w w:val="95"/>
          <w:sz w:val="21"/>
        </w:rPr>
        <w:t>the</w:t>
      </w:r>
      <w:r w:rsidRPr="00637309">
        <w:rPr>
          <w:spacing w:val="-14"/>
          <w:w w:val="95"/>
          <w:sz w:val="21"/>
        </w:rPr>
        <w:t xml:space="preserve"> </w:t>
      </w:r>
      <w:r w:rsidRPr="00637309">
        <w:rPr>
          <w:w w:val="95"/>
          <w:sz w:val="21"/>
        </w:rPr>
        <w:t>lowest</w:t>
      </w:r>
      <w:r w:rsidRPr="00637309">
        <w:rPr>
          <w:spacing w:val="-14"/>
          <w:w w:val="95"/>
          <w:sz w:val="21"/>
        </w:rPr>
        <w:t xml:space="preserve"> </w:t>
      </w:r>
      <w:r w:rsidRPr="00637309">
        <w:rPr>
          <w:w w:val="95"/>
          <w:sz w:val="21"/>
        </w:rPr>
        <w:t>cost</w:t>
      </w:r>
      <w:r w:rsidRPr="00637309">
        <w:rPr>
          <w:spacing w:val="-14"/>
          <w:w w:val="95"/>
          <w:sz w:val="21"/>
        </w:rPr>
        <w:t xml:space="preserve"> </w:t>
      </w:r>
      <w:r w:rsidRPr="00637309">
        <w:rPr>
          <w:w w:val="95"/>
          <w:sz w:val="21"/>
        </w:rPr>
        <w:t>to</w:t>
      </w:r>
      <w:r w:rsidRPr="00637309">
        <w:rPr>
          <w:spacing w:val="-14"/>
          <w:w w:val="95"/>
          <w:sz w:val="21"/>
        </w:rPr>
        <w:t xml:space="preserve"> </w:t>
      </w:r>
      <w:r w:rsidRPr="00637309">
        <w:rPr>
          <w:w w:val="95"/>
          <w:sz w:val="21"/>
        </w:rPr>
        <w:t>consumers</w:t>
      </w:r>
      <w:r w:rsidRPr="00637309">
        <w:rPr>
          <w:spacing w:val="-14"/>
          <w:w w:val="95"/>
          <w:sz w:val="21"/>
        </w:rPr>
        <w:t xml:space="preserve"> </w:t>
      </w:r>
      <w:r w:rsidRPr="00637309">
        <w:rPr>
          <w:w w:val="95"/>
          <w:sz w:val="21"/>
        </w:rPr>
        <w:t>and</w:t>
      </w:r>
      <w:r w:rsidRPr="00637309">
        <w:rPr>
          <w:spacing w:val="-14"/>
          <w:w w:val="95"/>
          <w:sz w:val="21"/>
        </w:rPr>
        <w:t xml:space="preserve"> </w:t>
      </w:r>
      <w:r w:rsidRPr="00637309">
        <w:rPr>
          <w:w w:val="95"/>
          <w:sz w:val="21"/>
        </w:rPr>
        <w:t>society;</w:t>
      </w:r>
    </w:p>
    <w:p w:rsidRPr="00637309" w:rsidR="000773AB" w:rsidP="00021DA9" w:rsidRDefault="00496A1C" w14:paraId="66A501EB" w14:textId="77777777">
      <w:pPr>
        <w:pStyle w:val="ListParagraph"/>
        <w:numPr>
          <w:ilvl w:val="0"/>
          <w:numId w:val="1"/>
        </w:numPr>
        <w:tabs>
          <w:tab w:val="left" w:pos="341"/>
        </w:tabs>
        <w:spacing w:before="118" w:line="261" w:lineRule="auto"/>
        <w:ind w:right="155"/>
        <w:rPr>
          <w:sz w:val="21"/>
        </w:rPr>
      </w:pPr>
      <w:r w:rsidRPr="00637309">
        <w:rPr>
          <w:spacing w:val="-4"/>
          <w:sz w:val="21"/>
        </w:rPr>
        <w:t>avoid</w:t>
      </w:r>
      <w:r w:rsidRPr="00637309">
        <w:rPr>
          <w:spacing w:val="-16"/>
          <w:sz w:val="21"/>
        </w:rPr>
        <w:t xml:space="preserve"> </w:t>
      </w:r>
      <w:r w:rsidRPr="00637309">
        <w:rPr>
          <w:spacing w:val="-4"/>
          <w:sz w:val="21"/>
        </w:rPr>
        <w:t>economic</w:t>
      </w:r>
      <w:r w:rsidRPr="00637309">
        <w:rPr>
          <w:spacing w:val="-15"/>
          <w:sz w:val="21"/>
        </w:rPr>
        <w:t xml:space="preserve"> </w:t>
      </w:r>
      <w:r w:rsidRPr="00637309">
        <w:rPr>
          <w:spacing w:val="-4"/>
          <w:sz w:val="21"/>
        </w:rPr>
        <w:t>and</w:t>
      </w:r>
      <w:r w:rsidRPr="00637309">
        <w:rPr>
          <w:spacing w:val="-15"/>
          <w:sz w:val="21"/>
        </w:rPr>
        <w:t xml:space="preserve"> </w:t>
      </w:r>
      <w:r w:rsidRPr="00637309">
        <w:rPr>
          <w:spacing w:val="-4"/>
          <w:sz w:val="21"/>
        </w:rPr>
        <w:t>competitive</w:t>
      </w:r>
      <w:r w:rsidRPr="00637309">
        <w:rPr>
          <w:spacing w:val="-16"/>
          <w:sz w:val="21"/>
        </w:rPr>
        <w:t xml:space="preserve"> </w:t>
      </w:r>
      <w:r w:rsidRPr="00637309">
        <w:rPr>
          <w:spacing w:val="-3"/>
          <w:sz w:val="21"/>
        </w:rPr>
        <w:t>distortions</w:t>
      </w:r>
      <w:r w:rsidRPr="00637309">
        <w:rPr>
          <w:spacing w:val="-15"/>
          <w:sz w:val="21"/>
        </w:rPr>
        <w:t xml:space="preserve"> </w:t>
      </w:r>
      <w:r w:rsidRPr="00637309">
        <w:rPr>
          <w:spacing w:val="-3"/>
          <w:sz w:val="21"/>
        </w:rPr>
        <w:t>between</w:t>
      </w:r>
      <w:r w:rsidRPr="00637309">
        <w:rPr>
          <w:spacing w:val="-15"/>
          <w:sz w:val="21"/>
        </w:rPr>
        <w:t xml:space="preserve"> </w:t>
      </w:r>
      <w:r w:rsidRPr="00637309">
        <w:rPr>
          <w:spacing w:val="-3"/>
          <w:sz w:val="21"/>
        </w:rPr>
        <w:t>regions</w:t>
      </w:r>
      <w:r w:rsidRPr="00637309">
        <w:rPr>
          <w:spacing w:val="-15"/>
          <w:sz w:val="21"/>
        </w:rPr>
        <w:t xml:space="preserve"> </w:t>
      </w:r>
      <w:r w:rsidRPr="00637309">
        <w:rPr>
          <w:spacing w:val="-3"/>
          <w:sz w:val="21"/>
        </w:rPr>
        <w:t>and</w:t>
      </w:r>
      <w:r w:rsidRPr="00637309">
        <w:rPr>
          <w:spacing w:val="-16"/>
          <w:sz w:val="21"/>
        </w:rPr>
        <w:t xml:space="preserve"> </w:t>
      </w:r>
      <w:r w:rsidRPr="00637309">
        <w:rPr>
          <w:spacing w:val="-3"/>
          <w:sz w:val="21"/>
        </w:rPr>
        <w:t>sectors</w:t>
      </w:r>
      <w:r w:rsidRPr="00637309">
        <w:rPr>
          <w:spacing w:val="-15"/>
          <w:sz w:val="21"/>
        </w:rPr>
        <w:t xml:space="preserve"> </w:t>
      </w:r>
      <w:r w:rsidRPr="00637309">
        <w:rPr>
          <w:spacing w:val="-3"/>
          <w:sz w:val="21"/>
        </w:rPr>
        <w:t>in</w:t>
      </w:r>
      <w:r w:rsidRPr="00637309">
        <w:rPr>
          <w:spacing w:val="-15"/>
          <w:sz w:val="21"/>
        </w:rPr>
        <w:t xml:space="preserve"> </w:t>
      </w:r>
      <w:r w:rsidRPr="00637309">
        <w:rPr>
          <w:spacing w:val="-3"/>
          <w:sz w:val="21"/>
        </w:rPr>
        <w:t>order</w:t>
      </w:r>
      <w:r w:rsidRPr="00637309">
        <w:rPr>
          <w:spacing w:val="-16"/>
          <w:sz w:val="21"/>
        </w:rPr>
        <w:t xml:space="preserve"> </w:t>
      </w:r>
      <w:r w:rsidRPr="00637309">
        <w:rPr>
          <w:spacing w:val="-3"/>
          <w:sz w:val="21"/>
        </w:rPr>
        <w:t>to</w:t>
      </w:r>
      <w:r w:rsidRPr="00637309">
        <w:rPr>
          <w:spacing w:val="-15"/>
          <w:sz w:val="21"/>
        </w:rPr>
        <w:t xml:space="preserve"> </w:t>
      </w:r>
      <w:r w:rsidRPr="00637309">
        <w:rPr>
          <w:spacing w:val="-3"/>
          <w:sz w:val="21"/>
        </w:rPr>
        <w:t>achieve</w:t>
      </w:r>
      <w:r w:rsidRPr="00637309">
        <w:rPr>
          <w:spacing w:val="-2"/>
          <w:sz w:val="21"/>
        </w:rPr>
        <w:t xml:space="preserve"> </w:t>
      </w:r>
      <w:r w:rsidRPr="00637309">
        <w:rPr>
          <w:w w:val="95"/>
          <w:sz w:val="21"/>
        </w:rPr>
        <w:t>net emission reductions on a global scale, while preventing any shifting of emissions within</w:t>
      </w:r>
      <w:r w:rsidRPr="00637309">
        <w:rPr>
          <w:spacing w:val="1"/>
          <w:w w:val="95"/>
          <w:sz w:val="21"/>
        </w:rPr>
        <w:t xml:space="preserve"> </w:t>
      </w:r>
      <w:r w:rsidRPr="00637309">
        <w:rPr>
          <w:w w:val="95"/>
          <w:sz w:val="21"/>
        </w:rPr>
        <w:t>sectors</w:t>
      </w:r>
      <w:r w:rsidRPr="00637309">
        <w:rPr>
          <w:spacing w:val="-12"/>
          <w:w w:val="95"/>
          <w:sz w:val="21"/>
        </w:rPr>
        <w:t xml:space="preserve"> </w:t>
      </w:r>
      <w:r w:rsidRPr="00637309">
        <w:rPr>
          <w:w w:val="95"/>
          <w:sz w:val="21"/>
        </w:rPr>
        <w:t>and</w:t>
      </w:r>
      <w:r w:rsidRPr="00637309">
        <w:rPr>
          <w:spacing w:val="-12"/>
          <w:w w:val="95"/>
          <w:sz w:val="21"/>
        </w:rPr>
        <w:t xml:space="preserve"> </w:t>
      </w:r>
      <w:r w:rsidRPr="00637309">
        <w:rPr>
          <w:w w:val="95"/>
          <w:sz w:val="21"/>
        </w:rPr>
        <w:t>between</w:t>
      </w:r>
      <w:r w:rsidRPr="00637309">
        <w:rPr>
          <w:spacing w:val="-12"/>
          <w:w w:val="95"/>
          <w:sz w:val="21"/>
        </w:rPr>
        <w:t xml:space="preserve"> </w:t>
      </w:r>
      <w:r w:rsidRPr="00637309">
        <w:rPr>
          <w:w w:val="95"/>
          <w:sz w:val="21"/>
        </w:rPr>
        <w:t>regions</w:t>
      </w:r>
      <w:r w:rsidRPr="00637309">
        <w:rPr>
          <w:spacing w:val="-12"/>
          <w:w w:val="95"/>
          <w:sz w:val="21"/>
        </w:rPr>
        <w:t xml:space="preserve"> </w:t>
      </w:r>
      <w:r w:rsidRPr="00637309">
        <w:rPr>
          <w:w w:val="95"/>
          <w:sz w:val="21"/>
        </w:rPr>
        <w:t>(carbon</w:t>
      </w:r>
      <w:r w:rsidRPr="00637309">
        <w:rPr>
          <w:spacing w:val="-11"/>
          <w:w w:val="95"/>
          <w:sz w:val="21"/>
        </w:rPr>
        <w:t xml:space="preserve"> </w:t>
      </w:r>
      <w:r w:rsidRPr="00637309">
        <w:rPr>
          <w:w w:val="95"/>
          <w:sz w:val="21"/>
        </w:rPr>
        <w:t>leakage);</w:t>
      </w:r>
      <w:r w:rsidRPr="00637309">
        <w:rPr>
          <w:spacing w:val="-12"/>
          <w:w w:val="95"/>
          <w:sz w:val="21"/>
        </w:rPr>
        <w:t xml:space="preserve"> </w:t>
      </w:r>
      <w:r w:rsidRPr="00637309">
        <w:rPr>
          <w:w w:val="95"/>
          <w:sz w:val="21"/>
        </w:rPr>
        <w:t>and</w:t>
      </w:r>
    </w:p>
    <w:p w:rsidRPr="00637309" w:rsidR="000773AB" w:rsidP="00021DA9" w:rsidRDefault="00496A1C" w14:paraId="634772C7" w14:textId="77777777">
      <w:pPr>
        <w:pStyle w:val="ListParagraph"/>
        <w:numPr>
          <w:ilvl w:val="0"/>
          <w:numId w:val="1"/>
        </w:numPr>
        <w:tabs>
          <w:tab w:val="left" w:pos="341"/>
        </w:tabs>
        <w:spacing w:before="114" w:line="259" w:lineRule="auto"/>
        <w:ind w:right="749"/>
        <w:rPr>
          <w:sz w:val="21"/>
        </w:rPr>
      </w:pPr>
      <w:r w:rsidRPr="00637309">
        <w:rPr>
          <w:spacing w:val="-1"/>
          <w:w w:val="95"/>
          <w:sz w:val="21"/>
        </w:rPr>
        <w:t>for</w:t>
      </w:r>
      <w:r w:rsidRPr="00637309">
        <w:rPr>
          <w:spacing w:val="-16"/>
          <w:w w:val="95"/>
          <w:sz w:val="21"/>
        </w:rPr>
        <w:t xml:space="preserve"> </w:t>
      </w:r>
      <w:r w:rsidRPr="00637309">
        <w:rPr>
          <w:spacing w:val="-1"/>
          <w:w w:val="95"/>
          <w:sz w:val="21"/>
        </w:rPr>
        <w:t>policy-makers</w:t>
      </w:r>
      <w:r w:rsidRPr="00637309">
        <w:rPr>
          <w:spacing w:val="-16"/>
          <w:w w:val="95"/>
          <w:sz w:val="21"/>
        </w:rPr>
        <w:t xml:space="preserve"> </w:t>
      </w:r>
      <w:r w:rsidRPr="00637309">
        <w:rPr>
          <w:spacing w:val="-1"/>
          <w:w w:val="95"/>
          <w:sz w:val="21"/>
        </w:rPr>
        <w:t>to</w:t>
      </w:r>
      <w:r w:rsidRPr="00637309">
        <w:rPr>
          <w:spacing w:val="-16"/>
          <w:w w:val="95"/>
          <w:sz w:val="21"/>
        </w:rPr>
        <w:t xml:space="preserve"> </w:t>
      </w:r>
      <w:r w:rsidRPr="00637309">
        <w:rPr>
          <w:spacing w:val="-1"/>
          <w:w w:val="95"/>
          <w:sz w:val="21"/>
        </w:rPr>
        <w:t>give</w:t>
      </w:r>
      <w:r w:rsidRPr="00637309">
        <w:rPr>
          <w:spacing w:val="-16"/>
          <w:w w:val="95"/>
          <w:sz w:val="21"/>
        </w:rPr>
        <w:t xml:space="preserve"> </w:t>
      </w:r>
      <w:r w:rsidRPr="00637309">
        <w:rPr>
          <w:spacing w:val="-1"/>
          <w:w w:val="95"/>
          <w:sz w:val="21"/>
        </w:rPr>
        <w:t>companies</w:t>
      </w:r>
      <w:r w:rsidRPr="00637309">
        <w:rPr>
          <w:spacing w:val="-16"/>
          <w:w w:val="95"/>
          <w:sz w:val="21"/>
        </w:rPr>
        <w:t xml:space="preserve"> </w:t>
      </w:r>
      <w:r w:rsidRPr="00637309">
        <w:rPr>
          <w:spacing w:val="-1"/>
          <w:w w:val="95"/>
          <w:sz w:val="21"/>
        </w:rPr>
        <w:t>immediate,</w:t>
      </w:r>
      <w:r w:rsidRPr="00637309">
        <w:rPr>
          <w:spacing w:val="-16"/>
          <w:w w:val="95"/>
          <w:sz w:val="21"/>
        </w:rPr>
        <w:t xml:space="preserve"> </w:t>
      </w:r>
      <w:r w:rsidRPr="00637309">
        <w:rPr>
          <w:spacing w:val="-1"/>
          <w:w w:val="95"/>
          <w:sz w:val="21"/>
        </w:rPr>
        <w:t>medium</w:t>
      </w:r>
      <w:r w:rsidRPr="00637309">
        <w:rPr>
          <w:spacing w:val="-16"/>
          <w:w w:val="95"/>
          <w:sz w:val="21"/>
        </w:rPr>
        <w:t xml:space="preserve"> </w:t>
      </w:r>
      <w:r w:rsidRPr="00637309">
        <w:rPr>
          <w:w w:val="95"/>
          <w:sz w:val="21"/>
        </w:rPr>
        <w:t>and</w:t>
      </w:r>
      <w:r w:rsidRPr="00637309">
        <w:rPr>
          <w:spacing w:val="-16"/>
          <w:w w:val="95"/>
          <w:sz w:val="21"/>
        </w:rPr>
        <w:t xml:space="preserve"> </w:t>
      </w:r>
      <w:r w:rsidRPr="00637309">
        <w:rPr>
          <w:w w:val="95"/>
          <w:sz w:val="21"/>
        </w:rPr>
        <w:t>long-term</w:t>
      </w:r>
      <w:r w:rsidRPr="00637309">
        <w:rPr>
          <w:spacing w:val="-15"/>
          <w:w w:val="95"/>
          <w:sz w:val="21"/>
        </w:rPr>
        <w:t xml:space="preserve"> </w:t>
      </w:r>
      <w:r w:rsidRPr="00637309">
        <w:rPr>
          <w:w w:val="95"/>
          <w:sz w:val="21"/>
        </w:rPr>
        <w:t>frameworks</w:t>
      </w:r>
      <w:r w:rsidRPr="00637309">
        <w:rPr>
          <w:spacing w:val="-16"/>
          <w:w w:val="95"/>
          <w:sz w:val="21"/>
        </w:rPr>
        <w:t xml:space="preserve"> </w:t>
      </w:r>
      <w:r w:rsidRPr="00637309">
        <w:rPr>
          <w:w w:val="95"/>
          <w:sz w:val="21"/>
        </w:rPr>
        <w:t>and</w:t>
      </w:r>
      <w:r w:rsidRPr="00637309">
        <w:rPr>
          <w:spacing w:val="-67"/>
          <w:w w:val="95"/>
          <w:sz w:val="21"/>
        </w:rPr>
        <w:t xml:space="preserve"> </w:t>
      </w:r>
      <w:r w:rsidRPr="00637309">
        <w:rPr>
          <w:spacing w:val="-1"/>
          <w:w w:val="95"/>
          <w:sz w:val="21"/>
        </w:rPr>
        <w:t>policy</w:t>
      </w:r>
      <w:r w:rsidRPr="00637309">
        <w:rPr>
          <w:spacing w:val="-17"/>
          <w:w w:val="95"/>
          <w:sz w:val="21"/>
        </w:rPr>
        <w:t xml:space="preserve"> </w:t>
      </w:r>
      <w:r w:rsidRPr="00637309">
        <w:rPr>
          <w:spacing w:val="-1"/>
          <w:w w:val="95"/>
          <w:sz w:val="21"/>
        </w:rPr>
        <w:t>clarity</w:t>
      </w:r>
      <w:r w:rsidRPr="00637309">
        <w:rPr>
          <w:spacing w:val="-16"/>
          <w:w w:val="95"/>
          <w:sz w:val="21"/>
        </w:rPr>
        <w:t xml:space="preserve"> </w:t>
      </w:r>
      <w:r w:rsidRPr="00637309">
        <w:rPr>
          <w:spacing w:val="-1"/>
          <w:w w:val="95"/>
          <w:sz w:val="21"/>
        </w:rPr>
        <w:t>to</w:t>
      </w:r>
      <w:r w:rsidRPr="00637309">
        <w:rPr>
          <w:spacing w:val="-16"/>
          <w:w w:val="95"/>
          <w:sz w:val="21"/>
        </w:rPr>
        <w:t xml:space="preserve"> </w:t>
      </w:r>
      <w:r w:rsidRPr="00637309">
        <w:rPr>
          <w:spacing w:val="-1"/>
          <w:w w:val="95"/>
          <w:sz w:val="21"/>
        </w:rPr>
        <w:t>support</w:t>
      </w:r>
      <w:r w:rsidRPr="00637309">
        <w:rPr>
          <w:spacing w:val="-17"/>
          <w:w w:val="95"/>
          <w:sz w:val="21"/>
        </w:rPr>
        <w:t xml:space="preserve"> </w:t>
      </w:r>
      <w:r w:rsidRPr="00637309">
        <w:rPr>
          <w:spacing w:val="-1"/>
          <w:w w:val="95"/>
          <w:sz w:val="21"/>
        </w:rPr>
        <w:t>their</w:t>
      </w:r>
      <w:r w:rsidRPr="00637309">
        <w:rPr>
          <w:spacing w:val="-16"/>
          <w:w w:val="95"/>
          <w:sz w:val="21"/>
        </w:rPr>
        <w:t xml:space="preserve"> </w:t>
      </w:r>
      <w:r w:rsidRPr="00637309">
        <w:rPr>
          <w:w w:val="95"/>
          <w:sz w:val="21"/>
        </w:rPr>
        <w:t>investment</w:t>
      </w:r>
      <w:r w:rsidRPr="00637309">
        <w:rPr>
          <w:spacing w:val="-16"/>
          <w:w w:val="95"/>
          <w:sz w:val="21"/>
        </w:rPr>
        <w:t xml:space="preserve"> </w:t>
      </w:r>
      <w:r w:rsidRPr="00637309">
        <w:rPr>
          <w:w w:val="95"/>
          <w:sz w:val="21"/>
        </w:rPr>
        <w:t>decisions.</w:t>
      </w:r>
    </w:p>
    <w:p w:rsidRPr="00637309" w:rsidR="000773AB" w:rsidRDefault="000773AB" w14:paraId="470B3766" w14:textId="77777777">
      <w:pPr>
        <w:pStyle w:val="BodyText"/>
        <w:spacing w:before="8"/>
        <w:rPr>
          <w:sz w:val="23"/>
        </w:rPr>
      </w:pPr>
    </w:p>
    <w:p w:rsidRPr="00637309" w:rsidR="000773AB" w:rsidRDefault="00496A1C" w14:paraId="14592E9B" w14:textId="31EB2025">
      <w:pPr>
        <w:pStyle w:val="BodyText"/>
        <w:spacing w:line="264" w:lineRule="auto"/>
        <w:ind w:left="113" w:right="538"/>
      </w:pPr>
      <w:r w:rsidRPr="00637309">
        <w:t>The principles are aimed at helping policy-makers to</w:t>
      </w:r>
      <w:r w:rsidRPr="00637309">
        <w:rPr>
          <w:spacing w:val="1"/>
        </w:rPr>
        <w:t xml:space="preserve"> </w:t>
      </w:r>
      <w:r w:rsidRPr="00637309">
        <w:t>find a balance when designing</w:t>
      </w:r>
      <w:r w:rsidRPr="00637309">
        <w:rPr>
          <w:spacing w:val="1"/>
        </w:rPr>
        <w:t xml:space="preserve"> </w:t>
      </w:r>
      <w:r w:rsidRPr="00637309">
        <w:t>and</w:t>
      </w:r>
      <w:r w:rsidRPr="00637309">
        <w:rPr>
          <w:spacing w:val="-4"/>
        </w:rPr>
        <w:t xml:space="preserve"> </w:t>
      </w:r>
      <w:r w:rsidRPr="00637309">
        <w:t>implementing</w:t>
      </w:r>
      <w:r w:rsidRPr="00637309">
        <w:rPr>
          <w:spacing w:val="-4"/>
        </w:rPr>
        <w:t xml:space="preserve"> </w:t>
      </w:r>
      <w:r w:rsidRPr="00637309">
        <w:t>a</w:t>
      </w:r>
      <w:r w:rsidRPr="00637309">
        <w:rPr>
          <w:spacing w:val="-3"/>
        </w:rPr>
        <w:t xml:space="preserve"> </w:t>
      </w:r>
      <w:r w:rsidRPr="00637309">
        <w:t>carbon</w:t>
      </w:r>
      <w:r w:rsidRPr="00637309">
        <w:rPr>
          <w:spacing w:val="-4"/>
        </w:rPr>
        <w:t xml:space="preserve"> </w:t>
      </w:r>
      <w:r w:rsidRPr="00637309">
        <w:t>pricing</w:t>
      </w:r>
      <w:r w:rsidRPr="00637309">
        <w:rPr>
          <w:spacing w:val="-3"/>
        </w:rPr>
        <w:t xml:space="preserve"> </w:t>
      </w:r>
      <w:r w:rsidRPr="00637309">
        <w:t>instrument</w:t>
      </w:r>
      <w:r w:rsidRPr="00637309">
        <w:rPr>
          <w:spacing w:val="-4"/>
        </w:rPr>
        <w:t xml:space="preserve"> </w:t>
      </w:r>
      <w:r w:rsidRPr="00637309">
        <w:t>that</w:t>
      </w:r>
      <w:r w:rsidRPr="00637309">
        <w:rPr>
          <w:spacing w:val="-3"/>
        </w:rPr>
        <w:t xml:space="preserve"> </w:t>
      </w:r>
      <w:r w:rsidRPr="00637309">
        <w:t>should</w:t>
      </w:r>
      <w:r w:rsidRPr="00637309">
        <w:rPr>
          <w:spacing w:val="-4"/>
        </w:rPr>
        <w:t xml:space="preserve"> </w:t>
      </w:r>
      <w:r w:rsidR="00505127">
        <w:rPr>
          <w:spacing w:val="-4"/>
        </w:rPr>
        <w:t>assist</w:t>
      </w:r>
      <w:r w:rsidRPr="00637309">
        <w:rPr>
          <w:spacing w:val="-3"/>
        </w:rPr>
        <w:t xml:space="preserve"> </w:t>
      </w:r>
      <w:r w:rsidRPr="00637309">
        <w:t>countries</w:t>
      </w:r>
      <w:r w:rsidRPr="00637309">
        <w:rPr>
          <w:spacing w:val="-4"/>
        </w:rPr>
        <w:t xml:space="preserve"> </w:t>
      </w:r>
      <w:r w:rsidR="005632AE">
        <w:rPr>
          <w:spacing w:val="-4"/>
        </w:rPr>
        <w:t xml:space="preserve">in achieving these </w:t>
      </w:r>
      <w:r w:rsidRPr="00637309">
        <w:rPr>
          <w:spacing w:val="-71"/>
        </w:rPr>
        <w:t xml:space="preserve"> </w:t>
      </w:r>
      <w:r w:rsidRPr="00637309">
        <w:t>main</w:t>
      </w:r>
      <w:r w:rsidRPr="00637309">
        <w:rPr>
          <w:spacing w:val="-12"/>
        </w:rPr>
        <w:t xml:space="preserve"> </w:t>
      </w:r>
      <w:r w:rsidRPr="00637309">
        <w:t>objectives:</w:t>
      </w:r>
    </w:p>
    <w:p w:rsidRPr="00637309" w:rsidR="000773AB" w:rsidP="00021DA9" w:rsidRDefault="00496A1C" w14:paraId="3C5DAF06" w14:textId="77777777">
      <w:pPr>
        <w:pStyle w:val="ListParagraph"/>
        <w:numPr>
          <w:ilvl w:val="0"/>
          <w:numId w:val="1"/>
        </w:numPr>
        <w:tabs>
          <w:tab w:val="left" w:pos="341"/>
        </w:tabs>
        <w:spacing w:before="168" w:line="259" w:lineRule="auto"/>
        <w:ind w:right="174"/>
        <w:rPr>
          <w:sz w:val="21"/>
        </w:rPr>
      </w:pPr>
      <w:r w:rsidRPr="00637309">
        <w:rPr>
          <w:spacing w:val="-4"/>
          <w:sz w:val="21"/>
        </w:rPr>
        <w:t>halving</w:t>
      </w:r>
      <w:r w:rsidRPr="00637309">
        <w:rPr>
          <w:spacing w:val="-16"/>
          <w:sz w:val="21"/>
        </w:rPr>
        <w:t xml:space="preserve"> </w:t>
      </w:r>
      <w:r w:rsidRPr="00637309">
        <w:rPr>
          <w:spacing w:val="-4"/>
          <w:sz w:val="21"/>
        </w:rPr>
        <w:t>GHG</w:t>
      </w:r>
      <w:r w:rsidRPr="00637309">
        <w:rPr>
          <w:spacing w:val="-16"/>
          <w:sz w:val="21"/>
        </w:rPr>
        <w:t xml:space="preserve"> </w:t>
      </w:r>
      <w:r w:rsidRPr="00637309">
        <w:rPr>
          <w:spacing w:val="-4"/>
          <w:sz w:val="21"/>
        </w:rPr>
        <w:t>emissions</w:t>
      </w:r>
      <w:r w:rsidRPr="00637309">
        <w:rPr>
          <w:spacing w:val="-16"/>
          <w:sz w:val="21"/>
        </w:rPr>
        <w:t xml:space="preserve"> </w:t>
      </w:r>
      <w:r w:rsidRPr="00637309">
        <w:rPr>
          <w:spacing w:val="-3"/>
          <w:sz w:val="21"/>
        </w:rPr>
        <w:t>by</w:t>
      </w:r>
      <w:r w:rsidRPr="00637309">
        <w:rPr>
          <w:spacing w:val="-16"/>
          <w:sz w:val="21"/>
        </w:rPr>
        <w:t xml:space="preserve"> </w:t>
      </w:r>
      <w:r w:rsidRPr="00637309">
        <w:rPr>
          <w:spacing w:val="-3"/>
          <w:sz w:val="21"/>
        </w:rPr>
        <w:t>2030</w:t>
      </w:r>
      <w:r w:rsidRPr="00637309">
        <w:rPr>
          <w:spacing w:val="-15"/>
          <w:sz w:val="21"/>
        </w:rPr>
        <w:t xml:space="preserve"> </w:t>
      </w:r>
      <w:r w:rsidRPr="00637309">
        <w:rPr>
          <w:spacing w:val="-3"/>
          <w:sz w:val="21"/>
        </w:rPr>
        <w:t>and</w:t>
      </w:r>
      <w:r w:rsidRPr="00637309">
        <w:rPr>
          <w:spacing w:val="-16"/>
          <w:sz w:val="21"/>
        </w:rPr>
        <w:t xml:space="preserve"> </w:t>
      </w:r>
      <w:r w:rsidRPr="00637309">
        <w:rPr>
          <w:spacing w:val="-3"/>
          <w:sz w:val="21"/>
        </w:rPr>
        <w:t>achieving</w:t>
      </w:r>
      <w:r w:rsidRPr="00637309">
        <w:rPr>
          <w:spacing w:val="-16"/>
          <w:sz w:val="21"/>
        </w:rPr>
        <w:t xml:space="preserve"> </w:t>
      </w:r>
      <w:r w:rsidRPr="00637309">
        <w:rPr>
          <w:spacing w:val="-3"/>
          <w:sz w:val="21"/>
        </w:rPr>
        <w:t>net</w:t>
      </w:r>
      <w:r w:rsidRPr="00637309">
        <w:rPr>
          <w:spacing w:val="-16"/>
          <w:sz w:val="21"/>
        </w:rPr>
        <w:t xml:space="preserve"> </w:t>
      </w:r>
      <w:r w:rsidRPr="00637309">
        <w:rPr>
          <w:spacing w:val="-3"/>
          <w:sz w:val="21"/>
        </w:rPr>
        <w:t>zero</w:t>
      </w:r>
      <w:r w:rsidRPr="00637309">
        <w:rPr>
          <w:spacing w:val="-15"/>
          <w:sz w:val="21"/>
        </w:rPr>
        <w:t xml:space="preserve"> </w:t>
      </w:r>
      <w:r w:rsidRPr="00637309">
        <w:rPr>
          <w:spacing w:val="-3"/>
          <w:sz w:val="21"/>
        </w:rPr>
        <w:t>emissions</w:t>
      </w:r>
      <w:r w:rsidRPr="00637309">
        <w:rPr>
          <w:spacing w:val="-16"/>
          <w:sz w:val="21"/>
        </w:rPr>
        <w:t xml:space="preserve"> </w:t>
      </w:r>
      <w:r w:rsidRPr="00637309">
        <w:rPr>
          <w:spacing w:val="-3"/>
          <w:sz w:val="21"/>
        </w:rPr>
        <w:t>by</w:t>
      </w:r>
      <w:r w:rsidRPr="00637309">
        <w:rPr>
          <w:spacing w:val="-16"/>
          <w:sz w:val="21"/>
        </w:rPr>
        <w:t xml:space="preserve"> </w:t>
      </w:r>
      <w:r w:rsidRPr="00637309">
        <w:rPr>
          <w:spacing w:val="-3"/>
          <w:sz w:val="21"/>
        </w:rPr>
        <w:t>2050</w:t>
      </w:r>
      <w:r w:rsidRPr="00637309">
        <w:rPr>
          <w:spacing w:val="-16"/>
          <w:sz w:val="21"/>
        </w:rPr>
        <w:t xml:space="preserve"> </w:t>
      </w:r>
      <w:r w:rsidRPr="00637309">
        <w:rPr>
          <w:spacing w:val="-3"/>
          <w:sz w:val="21"/>
        </w:rPr>
        <w:t>by</w:t>
      </w:r>
      <w:r w:rsidRPr="00637309">
        <w:rPr>
          <w:spacing w:val="-16"/>
          <w:sz w:val="21"/>
        </w:rPr>
        <w:t xml:space="preserve"> </w:t>
      </w:r>
      <w:r w:rsidRPr="00637309">
        <w:rPr>
          <w:spacing w:val="-3"/>
          <w:sz w:val="21"/>
        </w:rPr>
        <w:t>both</w:t>
      </w:r>
      <w:r w:rsidRPr="00637309">
        <w:rPr>
          <w:spacing w:val="-15"/>
          <w:sz w:val="21"/>
        </w:rPr>
        <w:t xml:space="preserve"> </w:t>
      </w:r>
      <w:r w:rsidRPr="00637309">
        <w:rPr>
          <w:spacing w:val="-3"/>
          <w:sz w:val="21"/>
        </w:rPr>
        <w:t>reducing</w:t>
      </w:r>
      <w:r w:rsidRPr="00637309">
        <w:rPr>
          <w:spacing w:val="-2"/>
          <w:sz w:val="21"/>
        </w:rPr>
        <w:t xml:space="preserve"> </w:t>
      </w:r>
      <w:r w:rsidRPr="00637309">
        <w:rPr>
          <w:w w:val="95"/>
          <w:sz w:val="21"/>
        </w:rPr>
        <w:t>emissions</w:t>
      </w:r>
      <w:r w:rsidRPr="00637309">
        <w:rPr>
          <w:spacing w:val="-15"/>
          <w:w w:val="95"/>
          <w:sz w:val="21"/>
        </w:rPr>
        <w:t xml:space="preserve"> </w:t>
      </w:r>
      <w:r w:rsidRPr="00637309">
        <w:rPr>
          <w:w w:val="95"/>
          <w:sz w:val="21"/>
        </w:rPr>
        <w:t>and</w:t>
      </w:r>
      <w:r w:rsidRPr="00637309">
        <w:rPr>
          <w:spacing w:val="-14"/>
          <w:w w:val="95"/>
          <w:sz w:val="21"/>
        </w:rPr>
        <w:t xml:space="preserve"> </w:t>
      </w:r>
      <w:r w:rsidRPr="00637309">
        <w:rPr>
          <w:w w:val="95"/>
          <w:sz w:val="21"/>
        </w:rPr>
        <w:t>increasing</w:t>
      </w:r>
      <w:r w:rsidRPr="00637309">
        <w:rPr>
          <w:spacing w:val="-14"/>
          <w:w w:val="95"/>
          <w:sz w:val="21"/>
        </w:rPr>
        <w:t xml:space="preserve"> </w:t>
      </w:r>
      <w:r w:rsidRPr="00637309">
        <w:rPr>
          <w:w w:val="95"/>
          <w:sz w:val="21"/>
        </w:rPr>
        <w:t>removals,</w:t>
      </w:r>
      <w:r w:rsidRPr="00637309">
        <w:rPr>
          <w:spacing w:val="-15"/>
          <w:w w:val="95"/>
          <w:sz w:val="21"/>
        </w:rPr>
        <w:t xml:space="preserve"> </w:t>
      </w:r>
      <w:r w:rsidRPr="00637309">
        <w:rPr>
          <w:w w:val="95"/>
          <w:sz w:val="21"/>
        </w:rPr>
        <w:t>in</w:t>
      </w:r>
      <w:r w:rsidRPr="00637309">
        <w:rPr>
          <w:spacing w:val="-14"/>
          <w:w w:val="95"/>
          <w:sz w:val="21"/>
        </w:rPr>
        <w:t xml:space="preserve"> </w:t>
      </w:r>
      <w:r w:rsidRPr="00637309">
        <w:rPr>
          <w:w w:val="95"/>
          <w:sz w:val="21"/>
        </w:rPr>
        <w:t>line</w:t>
      </w:r>
      <w:r w:rsidRPr="00637309">
        <w:rPr>
          <w:spacing w:val="-14"/>
          <w:w w:val="95"/>
          <w:sz w:val="21"/>
        </w:rPr>
        <w:t xml:space="preserve"> </w:t>
      </w:r>
      <w:r w:rsidRPr="00637309">
        <w:rPr>
          <w:w w:val="95"/>
          <w:sz w:val="21"/>
        </w:rPr>
        <w:t>with</w:t>
      </w:r>
      <w:r w:rsidRPr="00637309">
        <w:rPr>
          <w:spacing w:val="-14"/>
          <w:w w:val="95"/>
          <w:sz w:val="21"/>
        </w:rPr>
        <w:t xml:space="preserve"> </w:t>
      </w:r>
      <w:r w:rsidRPr="00637309">
        <w:rPr>
          <w:w w:val="95"/>
          <w:sz w:val="21"/>
        </w:rPr>
        <w:t>the</w:t>
      </w:r>
      <w:r w:rsidRPr="00637309">
        <w:rPr>
          <w:spacing w:val="-15"/>
          <w:w w:val="95"/>
          <w:sz w:val="21"/>
        </w:rPr>
        <w:t xml:space="preserve"> </w:t>
      </w:r>
      <w:r w:rsidRPr="00637309">
        <w:rPr>
          <w:w w:val="95"/>
          <w:sz w:val="21"/>
        </w:rPr>
        <w:t>latest</w:t>
      </w:r>
      <w:r w:rsidRPr="00637309">
        <w:rPr>
          <w:spacing w:val="-14"/>
          <w:w w:val="95"/>
          <w:sz w:val="21"/>
        </w:rPr>
        <w:t xml:space="preserve"> </w:t>
      </w:r>
      <w:r w:rsidRPr="00637309">
        <w:rPr>
          <w:w w:val="95"/>
          <w:sz w:val="21"/>
        </w:rPr>
        <w:t>and</w:t>
      </w:r>
      <w:r w:rsidRPr="00637309">
        <w:rPr>
          <w:spacing w:val="-14"/>
          <w:w w:val="95"/>
          <w:sz w:val="21"/>
        </w:rPr>
        <w:t xml:space="preserve"> </w:t>
      </w:r>
      <w:r w:rsidRPr="00637309">
        <w:rPr>
          <w:w w:val="95"/>
          <w:sz w:val="21"/>
        </w:rPr>
        <w:t>leading</w:t>
      </w:r>
      <w:r w:rsidRPr="00637309">
        <w:rPr>
          <w:spacing w:val="-15"/>
          <w:w w:val="95"/>
          <w:sz w:val="21"/>
        </w:rPr>
        <w:t xml:space="preserve"> </w:t>
      </w:r>
      <w:r w:rsidRPr="00637309">
        <w:rPr>
          <w:w w:val="95"/>
          <w:sz w:val="21"/>
        </w:rPr>
        <w:t>available</w:t>
      </w:r>
      <w:r w:rsidRPr="00637309">
        <w:rPr>
          <w:spacing w:val="-14"/>
          <w:w w:val="95"/>
          <w:sz w:val="21"/>
        </w:rPr>
        <w:t xml:space="preserve"> </w:t>
      </w:r>
      <w:r w:rsidRPr="00637309">
        <w:rPr>
          <w:w w:val="95"/>
          <w:sz w:val="21"/>
        </w:rPr>
        <w:t>science;</w:t>
      </w:r>
    </w:p>
    <w:p w:rsidRPr="00637309" w:rsidR="000773AB" w:rsidP="00021DA9" w:rsidRDefault="00496A1C" w14:paraId="7110544A" w14:textId="77777777">
      <w:pPr>
        <w:pStyle w:val="ListParagraph"/>
        <w:numPr>
          <w:ilvl w:val="0"/>
          <w:numId w:val="1"/>
        </w:numPr>
        <w:tabs>
          <w:tab w:val="left" w:pos="341"/>
        </w:tabs>
        <w:spacing w:before="118" w:line="261" w:lineRule="auto"/>
        <w:ind w:right="213"/>
        <w:rPr>
          <w:sz w:val="21"/>
        </w:rPr>
      </w:pPr>
      <w:r w:rsidRPr="00637309">
        <w:rPr>
          <w:spacing w:val="-1"/>
          <w:sz w:val="21"/>
        </w:rPr>
        <w:t>contributing</w:t>
      </w:r>
      <w:r w:rsidRPr="00637309">
        <w:rPr>
          <w:spacing w:val="-18"/>
          <w:sz w:val="21"/>
        </w:rPr>
        <w:t xml:space="preserve"> </w:t>
      </w:r>
      <w:r w:rsidRPr="00637309">
        <w:rPr>
          <w:spacing w:val="-1"/>
          <w:sz w:val="21"/>
        </w:rPr>
        <w:t>to</w:t>
      </w:r>
      <w:r w:rsidRPr="00637309">
        <w:rPr>
          <w:spacing w:val="-17"/>
          <w:sz w:val="21"/>
        </w:rPr>
        <w:t xml:space="preserve"> </w:t>
      </w:r>
      <w:r w:rsidRPr="00637309">
        <w:rPr>
          <w:spacing w:val="-1"/>
          <w:sz w:val="21"/>
        </w:rPr>
        <w:t>the</w:t>
      </w:r>
      <w:r w:rsidRPr="00637309">
        <w:rPr>
          <w:spacing w:val="-17"/>
          <w:sz w:val="21"/>
        </w:rPr>
        <w:t xml:space="preserve"> </w:t>
      </w:r>
      <w:r w:rsidRPr="00637309">
        <w:rPr>
          <w:spacing w:val="-1"/>
          <w:sz w:val="21"/>
        </w:rPr>
        <w:t>achievement</w:t>
      </w:r>
      <w:r w:rsidRPr="00637309">
        <w:rPr>
          <w:spacing w:val="-17"/>
          <w:sz w:val="21"/>
        </w:rPr>
        <w:t xml:space="preserve"> </w:t>
      </w:r>
      <w:r w:rsidRPr="00637309">
        <w:rPr>
          <w:sz w:val="21"/>
        </w:rPr>
        <w:t>of</w:t>
      </w:r>
      <w:r w:rsidRPr="00637309">
        <w:rPr>
          <w:spacing w:val="-17"/>
          <w:sz w:val="21"/>
        </w:rPr>
        <w:t xml:space="preserve"> </w:t>
      </w:r>
      <w:r w:rsidRPr="00637309">
        <w:rPr>
          <w:sz w:val="21"/>
        </w:rPr>
        <w:t>the</w:t>
      </w:r>
      <w:r w:rsidRPr="00637309">
        <w:rPr>
          <w:spacing w:val="-18"/>
          <w:sz w:val="21"/>
        </w:rPr>
        <w:t xml:space="preserve"> </w:t>
      </w:r>
      <w:r w:rsidRPr="00637309">
        <w:rPr>
          <w:sz w:val="21"/>
        </w:rPr>
        <w:t>longstanding</w:t>
      </w:r>
      <w:r w:rsidRPr="00637309">
        <w:rPr>
          <w:spacing w:val="-17"/>
          <w:sz w:val="21"/>
        </w:rPr>
        <w:t xml:space="preserve"> </w:t>
      </w:r>
      <w:r w:rsidRPr="00637309">
        <w:rPr>
          <w:sz w:val="21"/>
        </w:rPr>
        <w:t>USD$100</w:t>
      </w:r>
      <w:r w:rsidRPr="00637309">
        <w:rPr>
          <w:spacing w:val="-17"/>
          <w:sz w:val="21"/>
        </w:rPr>
        <w:t xml:space="preserve"> </w:t>
      </w:r>
      <w:r w:rsidRPr="00637309">
        <w:rPr>
          <w:sz w:val="21"/>
        </w:rPr>
        <w:t>billion</w:t>
      </w:r>
      <w:r w:rsidRPr="00637309">
        <w:rPr>
          <w:spacing w:val="-17"/>
          <w:sz w:val="21"/>
        </w:rPr>
        <w:t xml:space="preserve"> </w:t>
      </w:r>
      <w:r w:rsidRPr="00637309">
        <w:rPr>
          <w:sz w:val="21"/>
        </w:rPr>
        <w:t>climate</w:t>
      </w:r>
      <w:r w:rsidRPr="00637309">
        <w:rPr>
          <w:spacing w:val="-17"/>
          <w:sz w:val="21"/>
        </w:rPr>
        <w:t xml:space="preserve"> </w:t>
      </w:r>
      <w:r w:rsidRPr="00637309">
        <w:rPr>
          <w:sz w:val="21"/>
        </w:rPr>
        <w:t>finance</w:t>
      </w:r>
      <w:r w:rsidRPr="00637309">
        <w:rPr>
          <w:spacing w:val="-18"/>
          <w:sz w:val="21"/>
        </w:rPr>
        <w:t xml:space="preserve"> </w:t>
      </w:r>
      <w:r w:rsidRPr="00637309">
        <w:rPr>
          <w:sz w:val="21"/>
        </w:rPr>
        <w:t>goal</w:t>
      </w:r>
      <w:r w:rsidRPr="00637309">
        <w:rPr>
          <w:spacing w:val="1"/>
          <w:sz w:val="21"/>
        </w:rPr>
        <w:t xml:space="preserve"> </w:t>
      </w:r>
      <w:r w:rsidRPr="00637309">
        <w:rPr>
          <w:w w:val="95"/>
          <w:sz w:val="21"/>
        </w:rPr>
        <w:t>and</w:t>
      </w:r>
      <w:r w:rsidRPr="00637309">
        <w:rPr>
          <w:spacing w:val="9"/>
          <w:w w:val="95"/>
          <w:sz w:val="21"/>
        </w:rPr>
        <w:t xml:space="preserve"> </w:t>
      </w:r>
      <w:r w:rsidRPr="00637309">
        <w:rPr>
          <w:w w:val="95"/>
          <w:sz w:val="21"/>
        </w:rPr>
        <w:t>triple</w:t>
      </w:r>
      <w:r w:rsidRPr="00637309">
        <w:rPr>
          <w:spacing w:val="9"/>
          <w:w w:val="95"/>
          <w:sz w:val="21"/>
        </w:rPr>
        <w:t xml:space="preserve"> </w:t>
      </w:r>
      <w:r w:rsidRPr="00637309">
        <w:rPr>
          <w:w w:val="95"/>
          <w:sz w:val="21"/>
        </w:rPr>
        <w:t>annual</w:t>
      </w:r>
      <w:r w:rsidRPr="00637309">
        <w:rPr>
          <w:spacing w:val="9"/>
          <w:w w:val="95"/>
          <w:sz w:val="21"/>
        </w:rPr>
        <w:t xml:space="preserve"> </w:t>
      </w:r>
      <w:r w:rsidRPr="00637309">
        <w:rPr>
          <w:w w:val="95"/>
          <w:sz w:val="21"/>
        </w:rPr>
        <w:t>investments</w:t>
      </w:r>
      <w:r w:rsidRPr="00637309">
        <w:rPr>
          <w:spacing w:val="9"/>
          <w:w w:val="95"/>
          <w:sz w:val="21"/>
        </w:rPr>
        <w:t xml:space="preserve"> </w:t>
      </w:r>
      <w:r w:rsidRPr="00637309">
        <w:rPr>
          <w:w w:val="95"/>
          <w:sz w:val="21"/>
        </w:rPr>
        <w:t>in</w:t>
      </w:r>
      <w:r w:rsidRPr="00637309">
        <w:rPr>
          <w:spacing w:val="9"/>
          <w:w w:val="95"/>
          <w:sz w:val="21"/>
        </w:rPr>
        <w:t xml:space="preserve"> </w:t>
      </w:r>
      <w:r w:rsidRPr="00637309">
        <w:rPr>
          <w:w w:val="95"/>
          <w:sz w:val="21"/>
        </w:rPr>
        <w:t>low</w:t>
      </w:r>
      <w:r w:rsidRPr="00637309">
        <w:rPr>
          <w:spacing w:val="9"/>
          <w:w w:val="95"/>
          <w:sz w:val="21"/>
        </w:rPr>
        <w:t xml:space="preserve"> </w:t>
      </w:r>
      <w:r w:rsidRPr="00637309">
        <w:rPr>
          <w:w w:val="95"/>
          <w:sz w:val="21"/>
        </w:rPr>
        <w:t>and</w:t>
      </w:r>
      <w:r w:rsidRPr="00637309">
        <w:rPr>
          <w:spacing w:val="9"/>
          <w:w w:val="95"/>
          <w:sz w:val="21"/>
        </w:rPr>
        <w:t xml:space="preserve"> </w:t>
      </w:r>
      <w:r w:rsidRPr="00637309">
        <w:rPr>
          <w:w w:val="95"/>
          <w:sz w:val="21"/>
        </w:rPr>
        <w:t>net</w:t>
      </w:r>
      <w:r w:rsidRPr="00637309">
        <w:rPr>
          <w:spacing w:val="9"/>
          <w:w w:val="95"/>
          <w:sz w:val="21"/>
        </w:rPr>
        <w:t xml:space="preserve"> </w:t>
      </w:r>
      <w:r w:rsidRPr="00637309">
        <w:rPr>
          <w:w w:val="95"/>
          <w:sz w:val="21"/>
        </w:rPr>
        <w:t>zero</w:t>
      </w:r>
      <w:r w:rsidRPr="00637309">
        <w:rPr>
          <w:spacing w:val="9"/>
          <w:w w:val="95"/>
          <w:sz w:val="21"/>
        </w:rPr>
        <w:t xml:space="preserve"> </w:t>
      </w:r>
      <w:r w:rsidRPr="00637309">
        <w:rPr>
          <w:w w:val="95"/>
          <w:sz w:val="21"/>
        </w:rPr>
        <w:t>emissions</w:t>
      </w:r>
      <w:r w:rsidRPr="00637309">
        <w:rPr>
          <w:spacing w:val="9"/>
          <w:w w:val="95"/>
          <w:sz w:val="21"/>
        </w:rPr>
        <w:t xml:space="preserve"> </w:t>
      </w:r>
      <w:r w:rsidRPr="00637309">
        <w:rPr>
          <w:w w:val="95"/>
          <w:sz w:val="21"/>
        </w:rPr>
        <w:t>technologies</w:t>
      </w:r>
      <w:r w:rsidRPr="00637309">
        <w:rPr>
          <w:spacing w:val="9"/>
          <w:w w:val="95"/>
          <w:sz w:val="21"/>
        </w:rPr>
        <w:t xml:space="preserve"> </w:t>
      </w:r>
      <w:r w:rsidRPr="00637309">
        <w:rPr>
          <w:w w:val="95"/>
          <w:sz w:val="21"/>
        </w:rPr>
        <w:t>to</w:t>
      </w:r>
      <w:r w:rsidRPr="00637309">
        <w:rPr>
          <w:spacing w:val="9"/>
          <w:w w:val="95"/>
          <w:sz w:val="21"/>
        </w:rPr>
        <w:t xml:space="preserve"> </w:t>
      </w:r>
      <w:r w:rsidRPr="00637309">
        <w:rPr>
          <w:w w:val="95"/>
          <w:sz w:val="21"/>
        </w:rPr>
        <w:t>$3.5</w:t>
      </w:r>
      <w:r w:rsidRPr="00637309">
        <w:rPr>
          <w:spacing w:val="9"/>
          <w:w w:val="95"/>
          <w:sz w:val="21"/>
        </w:rPr>
        <w:t xml:space="preserve"> </w:t>
      </w:r>
      <w:r w:rsidRPr="00637309">
        <w:rPr>
          <w:w w:val="95"/>
          <w:sz w:val="21"/>
        </w:rPr>
        <w:t>trillion</w:t>
      </w:r>
      <w:r w:rsidRPr="00637309">
        <w:rPr>
          <w:spacing w:val="9"/>
          <w:w w:val="95"/>
          <w:sz w:val="21"/>
        </w:rPr>
        <w:t xml:space="preserve"> </w:t>
      </w:r>
      <w:r w:rsidRPr="00637309">
        <w:rPr>
          <w:w w:val="95"/>
          <w:sz w:val="21"/>
        </w:rPr>
        <w:t>by</w:t>
      </w:r>
      <w:r w:rsidRPr="00637309">
        <w:rPr>
          <w:spacing w:val="-67"/>
          <w:w w:val="95"/>
          <w:sz w:val="21"/>
        </w:rPr>
        <w:t xml:space="preserve"> </w:t>
      </w:r>
      <w:r w:rsidRPr="00637309">
        <w:rPr>
          <w:spacing w:val="-1"/>
          <w:sz w:val="21"/>
        </w:rPr>
        <w:t>2030,</w:t>
      </w:r>
      <w:r w:rsidRPr="00637309">
        <w:rPr>
          <w:spacing w:val="-18"/>
          <w:sz w:val="21"/>
        </w:rPr>
        <w:t xml:space="preserve"> </w:t>
      </w:r>
      <w:r w:rsidRPr="00637309">
        <w:rPr>
          <w:spacing w:val="-1"/>
          <w:sz w:val="21"/>
        </w:rPr>
        <w:t>further</w:t>
      </w:r>
      <w:r w:rsidRPr="00637309">
        <w:rPr>
          <w:spacing w:val="-17"/>
          <w:sz w:val="21"/>
        </w:rPr>
        <w:t xml:space="preserve"> </w:t>
      </w:r>
      <w:r w:rsidRPr="00637309">
        <w:rPr>
          <w:spacing w:val="-1"/>
          <w:sz w:val="21"/>
        </w:rPr>
        <w:t>promoting</w:t>
      </w:r>
      <w:r w:rsidRPr="00637309">
        <w:rPr>
          <w:spacing w:val="-17"/>
          <w:sz w:val="21"/>
        </w:rPr>
        <w:t xml:space="preserve"> </w:t>
      </w:r>
      <w:r w:rsidRPr="00637309">
        <w:rPr>
          <w:spacing w:val="-1"/>
          <w:sz w:val="21"/>
        </w:rPr>
        <w:t>urgently</w:t>
      </w:r>
      <w:r w:rsidRPr="00637309">
        <w:rPr>
          <w:spacing w:val="-17"/>
          <w:sz w:val="21"/>
        </w:rPr>
        <w:t xml:space="preserve"> </w:t>
      </w:r>
      <w:r w:rsidRPr="00637309">
        <w:rPr>
          <w:sz w:val="21"/>
        </w:rPr>
        <w:t>needed</w:t>
      </w:r>
      <w:r w:rsidRPr="00637309">
        <w:rPr>
          <w:spacing w:val="-17"/>
          <w:sz w:val="21"/>
        </w:rPr>
        <w:t xml:space="preserve"> </w:t>
      </w:r>
      <w:r w:rsidRPr="00637309">
        <w:rPr>
          <w:sz w:val="21"/>
        </w:rPr>
        <w:t>climate</w:t>
      </w:r>
      <w:r w:rsidRPr="00637309">
        <w:rPr>
          <w:spacing w:val="-17"/>
          <w:sz w:val="21"/>
        </w:rPr>
        <w:t xml:space="preserve"> </w:t>
      </w:r>
      <w:r w:rsidRPr="00637309">
        <w:rPr>
          <w:sz w:val="21"/>
        </w:rPr>
        <w:t>action</w:t>
      </w:r>
      <w:r w:rsidRPr="00637309">
        <w:rPr>
          <w:spacing w:val="-17"/>
          <w:sz w:val="21"/>
        </w:rPr>
        <w:t xml:space="preserve"> </w:t>
      </w:r>
      <w:r w:rsidRPr="00637309">
        <w:rPr>
          <w:sz w:val="21"/>
        </w:rPr>
        <w:t>and</w:t>
      </w:r>
      <w:r w:rsidRPr="00637309">
        <w:rPr>
          <w:spacing w:val="-17"/>
          <w:sz w:val="21"/>
        </w:rPr>
        <w:t xml:space="preserve"> </w:t>
      </w:r>
      <w:r w:rsidRPr="00637309">
        <w:rPr>
          <w:sz w:val="21"/>
        </w:rPr>
        <w:t>supporting</w:t>
      </w:r>
      <w:r w:rsidRPr="00637309">
        <w:rPr>
          <w:spacing w:val="-17"/>
          <w:sz w:val="21"/>
        </w:rPr>
        <w:t xml:space="preserve"> </w:t>
      </w:r>
      <w:r w:rsidRPr="00637309">
        <w:rPr>
          <w:sz w:val="21"/>
        </w:rPr>
        <w:t>vulnerable</w:t>
      </w:r>
      <w:r w:rsidRPr="00637309">
        <w:rPr>
          <w:spacing w:val="-17"/>
          <w:sz w:val="21"/>
        </w:rPr>
        <w:t xml:space="preserve"> </w:t>
      </w:r>
      <w:r w:rsidRPr="00637309">
        <w:rPr>
          <w:sz w:val="21"/>
        </w:rPr>
        <w:t>actors</w:t>
      </w:r>
      <w:r w:rsidRPr="00637309">
        <w:rPr>
          <w:spacing w:val="-71"/>
          <w:sz w:val="21"/>
        </w:rPr>
        <w:t xml:space="preserve"> </w:t>
      </w:r>
      <w:r w:rsidRPr="00637309">
        <w:rPr>
          <w:w w:val="95"/>
          <w:sz w:val="21"/>
        </w:rPr>
        <w:t>in</w:t>
      </w:r>
      <w:r w:rsidRPr="00637309">
        <w:rPr>
          <w:spacing w:val="3"/>
          <w:w w:val="95"/>
          <w:sz w:val="21"/>
        </w:rPr>
        <w:t xml:space="preserve"> </w:t>
      </w:r>
      <w:r w:rsidRPr="00637309">
        <w:rPr>
          <w:w w:val="95"/>
          <w:sz w:val="21"/>
        </w:rPr>
        <w:t>their</w:t>
      </w:r>
      <w:r w:rsidRPr="00637309">
        <w:rPr>
          <w:spacing w:val="3"/>
          <w:w w:val="95"/>
          <w:sz w:val="21"/>
        </w:rPr>
        <w:t xml:space="preserve"> </w:t>
      </w:r>
      <w:r w:rsidRPr="00637309">
        <w:rPr>
          <w:w w:val="95"/>
          <w:sz w:val="21"/>
        </w:rPr>
        <w:t>efforts</w:t>
      </w:r>
      <w:r w:rsidRPr="00637309">
        <w:rPr>
          <w:spacing w:val="3"/>
          <w:w w:val="95"/>
          <w:sz w:val="21"/>
        </w:rPr>
        <w:t xml:space="preserve"> </w:t>
      </w:r>
      <w:r w:rsidRPr="00637309">
        <w:rPr>
          <w:w w:val="95"/>
          <w:sz w:val="21"/>
        </w:rPr>
        <w:t>in</w:t>
      </w:r>
      <w:r w:rsidRPr="00637309">
        <w:rPr>
          <w:spacing w:val="3"/>
          <w:w w:val="95"/>
          <w:sz w:val="21"/>
        </w:rPr>
        <w:t xml:space="preserve"> </w:t>
      </w:r>
      <w:r w:rsidRPr="00637309">
        <w:rPr>
          <w:w w:val="95"/>
          <w:sz w:val="21"/>
        </w:rPr>
        <w:t>line</w:t>
      </w:r>
      <w:r w:rsidRPr="00637309">
        <w:rPr>
          <w:spacing w:val="3"/>
          <w:w w:val="95"/>
          <w:sz w:val="21"/>
        </w:rPr>
        <w:t xml:space="preserve"> </w:t>
      </w:r>
      <w:r w:rsidRPr="00637309">
        <w:rPr>
          <w:w w:val="95"/>
          <w:sz w:val="21"/>
        </w:rPr>
        <w:t>with</w:t>
      </w:r>
      <w:r w:rsidRPr="00637309">
        <w:rPr>
          <w:spacing w:val="3"/>
          <w:w w:val="95"/>
          <w:sz w:val="21"/>
        </w:rPr>
        <w:t xml:space="preserve"> </w:t>
      </w:r>
      <w:r w:rsidRPr="00637309">
        <w:rPr>
          <w:w w:val="95"/>
          <w:sz w:val="21"/>
        </w:rPr>
        <w:t>the</w:t>
      </w:r>
      <w:r w:rsidRPr="00637309">
        <w:rPr>
          <w:spacing w:val="3"/>
          <w:w w:val="95"/>
          <w:sz w:val="21"/>
        </w:rPr>
        <w:t xml:space="preserve"> </w:t>
      </w:r>
      <w:r w:rsidRPr="00637309">
        <w:rPr>
          <w:w w:val="95"/>
          <w:sz w:val="21"/>
        </w:rPr>
        <w:t>UN</w:t>
      </w:r>
      <w:r w:rsidRPr="00637309">
        <w:rPr>
          <w:spacing w:val="3"/>
          <w:w w:val="95"/>
          <w:sz w:val="21"/>
        </w:rPr>
        <w:t xml:space="preserve"> </w:t>
      </w:r>
      <w:r w:rsidRPr="00637309">
        <w:rPr>
          <w:w w:val="95"/>
          <w:sz w:val="21"/>
        </w:rPr>
        <w:t>Sustainable</w:t>
      </w:r>
      <w:r w:rsidRPr="00637309">
        <w:rPr>
          <w:spacing w:val="3"/>
          <w:w w:val="95"/>
          <w:sz w:val="21"/>
        </w:rPr>
        <w:t xml:space="preserve"> </w:t>
      </w:r>
      <w:r w:rsidRPr="00637309">
        <w:rPr>
          <w:w w:val="95"/>
          <w:sz w:val="21"/>
        </w:rPr>
        <w:t>Development</w:t>
      </w:r>
      <w:r w:rsidRPr="00637309">
        <w:rPr>
          <w:spacing w:val="3"/>
          <w:w w:val="95"/>
          <w:sz w:val="21"/>
        </w:rPr>
        <w:t xml:space="preserve"> </w:t>
      </w:r>
      <w:r w:rsidRPr="00637309">
        <w:rPr>
          <w:w w:val="95"/>
          <w:sz w:val="21"/>
        </w:rPr>
        <w:t>Goals</w:t>
      </w:r>
      <w:r w:rsidRPr="00637309">
        <w:rPr>
          <w:spacing w:val="3"/>
          <w:w w:val="95"/>
          <w:sz w:val="21"/>
        </w:rPr>
        <w:t xml:space="preserve"> </w:t>
      </w:r>
      <w:r w:rsidRPr="00637309">
        <w:rPr>
          <w:w w:val="95"/>
          <w:sz w:val="21"/>
        </w:rPr>
        <w:t>(SDGs)</w:t>
      </w:r>
      <w:r w:rsidRPr="00637309">
        <w:rPr>
          <w:spacing w:val="3"/>
          <w:w w:val="95"/>
          <w:sz w:val="21"/>
        </w:rPr>
        <w:t xml:space="preserve"> </w:t>
      </w:r>
      <w:r w:rsidRPr="00637309">
        <w:rPr>
          <w:w w:val="95"/>
          <w:sz w:val="21"/>
        </w:rPr>
        <w:t>[</w:t>
      </w:r>
      <w:hyperlink r:id="rId13">
        <w:r w:rsidRPr="00637309">
          <w:rPr>
            <w:color w:val="0064A8"/>
            <w:w w:val="95"/>
            <w:sz w:val="21"/>
            <w:u w:val="single" w:color="0064A8"/>
          </w:rPr>
          <w:t>SDG</w:t>
        </w:r>
        <w:r w:rsidRPr="00637309">
          <w:rPr>
            <w:color w:val="0064A8"/>
            <w:spacing w:val="3"/>
            <w:w w:val="95"/>
            <w:sz w:val="21"/>
            <w:u w:val="single" w:color="0064A8"/>
          </w:rPr>
          <w:t xml:space="preserve"> </w:t>
        </w:r>
        <w:r w:rsidRPr="00637309">
          <w:rPr>
            <w:color w:val="0064A8"/>
            <w:w w:val="95"/>
            <w:sz w:val="21"/>
            <w:u w:val="single" w:color="0064A8"/>
          </w:rPr>
          <w:t>13</w:t>
        </w:r>
      </w:hyperlink>
      <w:r w:rsidRPr="00637309">
        <w:rPr>
          <w:w w:val="95"/>
          <w:sz w:val="21"/>
        </w:rPr>
        <w:t>],</w:t>
      </w:r>
      <w:r w:rsidRPr="00637309">
        <w:rPr>
          <w:spacing w:val="3"/>
          <w:w w:val="95"/>
          <w:sz w:val="21"/>
        </w:rPr>
        <w:t xml:space="preserve"> </w:t>
      </w:r>
      <w:r w:rsidRPr="00637309">
        <w:rPr>
          <w:w w:val="95"/>
          <w:sz w:val="21"/>
        </w:rPr>
        <w:t>while</w:t>
      </w:r>
      <w:r w:rsidRPr="00637309">
        <w:rPr>
          <w:spacing w:val="1"/>
          <w:w w:val="95"/>
          <w:sz w:val="21"/>
        </w:rPr>
        <w:t xml:space="preserve"> </w:t>
      </w:r>
      <w:r w:rsidRPr="00637309">
        <w:rPr>
          <w:sz w:val="21"/>
        </w:rPr>
        <w:t>at</w:t>
      </w:r>
      <w:r w:rsidRPr="00637309">
        <w:rPr>
          <w:spacing w:val="-12"/>
          <w:sz w:val="21"/>
        </w:rPr>
        <w:t xml:space="preserve"> </w:t>
      </w:r>
      <w:r w:rsidRPr="00637309">
        <w:rPr>
          <w:sz w:val="21"/>
        </w:rPr>
        <w:t>the</w:t>
      </w:r>
      <w:r w:rsidRPr="00637309">
        <w:rPr>
          <w:spacing w:val="-12"/>
          <w:sz w:val="21"/>
        </w:rPr>
        <w:t xml:space="preserve"> </w:t>
      </w:r>
      <w:r w:rsidRPr="00637309">
        <w:rPr>
          <w:sz w:val="21"/>
        </w:rPr>
        <w:t>same</w:t>
      </w:r>
      <w:r w:rsidRPr="00637309">
        <w:rPr>
          <w:spacing w:val="-12"/>
          <w:sz w:val="21"/>
        </w:rPr>
        <w:t xml:space="preserve"> </w:t>
      </w:r>
      <w:r w:rsidRPr="00637309">
        <w:rPr>
          <w:sz w:val="21"/>
        </w:rPr>
        <w:t>time;</w:t>
      </w:r>
    </w:p>
    <w:p w:rsidRPr="00637309" w:rsidR="000773AB" w:rsidP="00021DA9" w:rsidRDefault="00496A1C" w14:paraId="1A7E964B" w14:textId="77777777">
      <w:pPr>
        <w:pStyle w:val="ListParagraph"/>
        <w:numPr>
          <w:ilvl w:val="0"/>
          <w:numId w:val="1"/>
        </w:numPr>
        <w:tabs>
          <w:tab w:val="left" w:pos="341"/>
        </w:tabs>
        <w:spacing w:before="118" w:line="261" w:lineRule="auto"/>
        <w:ind w:right="835"/>
        <w:rPr>
          <w:sz w:val="21"/>
        </w:rPr>
      </w:pPr>
      <w:r w:rsidRPr="00637309">
        <w:rPr>
          <w:w w:val="95"/>
          <w:sz w:val="21"/>
        </w:rPr>
        <w:t>keeping</w:t>
      </w:r>
      <w:r w:rsidRPr="00637309">
        <w:rPr>
          <w:spacing w:val="13"/>
          <w:w w:val="95"/>
          <w:sz w:val="21"/>
        </w:rPr>
        <w:t xml:space="preserve"> </w:t>
      </w:r>
      <w:r w:rsidRPr="00637309">
        <w:rPr>
          <w:w w:val="95"/>
          <w:sz w:val="21"/>
        </w:rPr>
        <w:t>energy</w:t>
      </w:r>
      <w:r w:rsidRPr="00637309">
        <w:rPr>
          <w:spacing w:val="13"/>
          <w:w w:val="95"/>
          <w:sz w:val="21"/>
        </w:rPr>
        <w:t xml:space="preserve"> </w:t>
      </w:r>
      <w:r w:rsidRPr="00637309">
        <w:rPr>
          <w:w w:val="95"/>
          <w:sz w:val="21"/>
        </w:rPr>
        <w:t>prices,</w:t>
      </w:r>
      <w:r w:rsidRPr="00637309">
        <w:rPr>
          <w:spacing w:val="13"/>
          <w:w w:val="95"/>
          <w:sz w:val="21"/>
        </w:rPr>
        <w:t xml:space="preserve"> </w:t>
      </w:r>
      <w:r w:rsidRPr="00637309">
        <w:rPr>
          <w:w w:val="95"/>
          <w:sz w:val="21"/>
        </w:rPr>
        <w:t>also</w:t>
      </w:r>
      <w:r w:rsidRPr="00637309">
        <w:rPr>
          <w:spacing w:val="13"/>
          <w:w w:val="95"/>
          <w:sz w:val="21"/>
        </w:rPr>
        <w:t xml:space="preserve"> </w:t>
      </w:r>
      <w:r w:rsidRPr="00637309">
        <w:rPr>
          <w:w w:val="95"/>
          <w:sz w:val="21"/>
        </w:rPr>
        <w:t>through</w:t>
      </w:r>
      <w:r w:rsidRPr="00637309">
        <w:rPr>
          <w:spacing w:val="13"/>
          <w:w w:val="95"/>
          <w:sz w:val="21"/>
        </w:rPr>
        <w:t xml:space="preserve"> </w:t>
      </w:r>
      <w:r w:rsidRPr="00637309">
        <w:rPr>
          <w:w w:val="95"/>
          <w:sz w:val="21"/>
        </w:rPr>
        <w:t>complementary</w:t>
      </w:r>
      <w:r w:rsidRPr="00637309">
        <w:rPr>
          <w:spacing w:val="13"/>
          <w:w w:val="95"/>
          <w:sz w:val="21"/>
        </w:rPr>
        <w:t xml:space="preserve"> </w:t>
      </w:r>
      <w:r w:rsidRPr="00637309">
        <w:rPr>
          <w:w w:val="95"/>
          <w:sz w:val="21"/>
        </w:rPr>
        <w:t>policies,</w:t>
      </w:r>
      <w:r w:rsidRPr="00637309">
        <w:rPr>
          <w:spacing w:val="13"/>
          <w:w w:val="95"/>
          <w:sz w:val="21"/>
        </w:rPr>
        <w:t xml:space="preserve"> </w:t>
      </w:r>
      <w:r w:rsidRPr="00637309">
        <w:rPr>
          <w:w w:val="95"/>
          <w:sz w:val="21"/>
        </w:rPr>
        <w:t>at</w:t>
      </w:r>
      <w:r w:rsidRPr="00637309">
        <w:rPr>
          <w:spacing w:val="13"/>
          <w:w w:val="95"/>
          <w:sz w:val="21"/>
        </w:rPr>
        <w:t xml:space="preserve"> </w:t>
      </w:r>
      <w:r w:rsidRPr="00637309">
        <w:rPr>
          <w:w w:val="95"/>
          <w:sz w:val="21"/>
        </w:rPr>
        <w:t>a</w:t>
      </w:r>
      <w:r w:rsidRPr="00637309">
        <w:rPr>
          <w:spacing w:val="13"/>
          <w:w w:val="95"/>
          <w:sz w:val="21"/>
        </w:rPr>
        <w:t xml:space="preserve"> </w:t>
      </w:r>
      <w:r w:rsidRPr="00637309">
        <w:rPr>
          <w:w w:val="95"/>
          <w:sz w:val="21"/>
        </w:rPr>
        <w:t>level</w:t>
      </w:r>
      <w:r w:rsidRPr="00637309">
        <w:rPr>
          <w:spacing w:val="13"/>
          <w:w w:val="95"/>
          <w:sz w:val="21"/>
        </w:rPr>
        <w:t xml:space="preserve"> </w:t>
      </w:r>
      <w:r w:rsidRPr="00637309">
        <w:rPr>
          <w:w w:val="95"/>
          <w:sz w:val="21"/>
        </w:rPr>
        <w:t>that</w:t>
      </w:r>
      <w:r w:rsidRPr="00637309">
        <w:rPr>
          <w:spacing w:val="13"/>
          <w:w w:val="95"/>
          <w:sz w:val="21"/>
        </w:rPr>
        <w:t xml:space="preserve"> </w:t>
      </w:r>
      <w:r w:rsidRPr="00637309">
        <w:rPr>
          <w:w w:val="95"/>
          <w:sz w:val="21"/>
        </w:rPr>
        <w:t>does</w:t>
      </w:r>
      <w:r w:rsidRPr="00637309">
        <w:rPr>
          <w:spacing w:val="13"/>
          <w:w w:val="95"/>
          <w:sz w:val="21"/>
        </w:rPr>
        <w:t xml:space="preserve"> </w:t>
      </w:r>
      <w:r w:rsidRPr="00637309">
        <w:rPr>
          <w:w w:val="95"/>
          <w:sz w:val="21"/>
        </w:rPr>
        <w:t>not</w:t>
      </w:r>
      <w:r w:rsidRPr="00637309">
        <w:rPr>
          <w:spacing w:val="-68"/>
          <w:w w:val="95"/>
          <w:sz w:val="21"/>
        </w:rPr>
        <w:t xml:space="preserve"> </w:t>
      </w:r>
      <w:r w:rsidRPr="00637309">
        <w:rPr>
          <w:sz w:val="21"/>
        </w:rPr>
        <w:t>impede</w:t>
      </w:r>
      <w:r w:rsidRPr="00637309">
        <w:rPr>
          <w:spacing w:val="-18"/>
          <w:sz w:val="21"/>
        </w:rPr>
        <w:t xml:space="preserve"> </w:t>
      </w:r>
      <w:r w:rsidRPr="00637309">
        <w:rPr>
          <w:sz w:val="21"/>
        </w:rPr>
        <w:t>consumer</w:t>
      </w:r>
      <w:r w:rsidRPr="00637309">
        <w:rPr>
          <w:spacing w:val="-17"/>
          <w:sz w:val="21"/>
        </w:rPr>
        <w:t xml:space="preserve"> </w:t>
      </w:r>
      <w:r w:rsidRPr="00637309">
        <w:rPr>
          <w:sz w:val="21"/>
        </w:rPr>
        <w:t>access</w:t>
      </w:r>
      <w:r w:rsidRPr="00637309">
        <w:rPr>
          <w:spacing w:val="-17"/>
          <w:sz w:val="21"/>
        </w:rPr>
        <w:t xml:space="preserve"> </w:t>
      </w:r>
      <w:r w:rsidRPr="00637309">
        <w:rPr>
          <w:sz w:val="21"/>
        </w:rPr>
        <w:t>to</w:t>
      </w:r>
      <w:r w:rsidRPr="00637309">
        <w:rPr>
          <w:spacing w:val="-18"/>
          <w:sz w:val="21"/>
        </w:rPr>
        <w:t xml:space="preserve"> </w:t>
      </w:r>
      <w:r w:rsidRPr="00637309">
        <w:rPr>
          <w:sz w:val="21"/>
        </w:rPr>
        <w:t>affordable</w:t>
      </w:r>
      <w:r w:rsidRPr="00637309">
        <w:rPr>
          <w:spacing w:val="-17"/>
          <w:sz w:val="21"/>
        </w:rPr>
        <w:t xml:space="preserve"> </w:t>
      </w:r>
      <w:r w:rsidRPr="00637309">
        <w:rPr>
          <w:sz w:val="21"/>
        </w:rPr>
        <w:t>and</w:t>
      </w:r>
      <w:r w:rsidRPr="00637309">
        <w:rPr>
          <w:spacing w:val="-17"/>
          <w:sz w:val="21"/>
        </w:rPr>
        <w:t xml:space="preserve"> </w:t>
      </w:r>
      <w:r w:rsidRPr="00637309">
        <w:rPr>
          <w:sz w:val="21"/>
        </w:rPr>
        <w:t>clean</w:t>
      </w:r>
      <w:r w:rsidRPr="00637309">
        <w:rPr>
          <w:spacing w:val="-17"/>
          <w:sz w:val="21"/>
        </w:rPr>
        <w:t xml:space="preserve"> </w:t>
      </w:r>
      <w:r w:rsidRPr="00637309">
        <w:rPr>
          <w:sz w:val="21"/>
        </w:rPr>
        <w:t>energy</w:t>
      </w:r>
      <w:r w:rsidRPr="00637309">
        <w:rPr>
          <w:spacing w:val="-18"/>
          <w:sz w:val="21"/>
        </w:rPr>
        <w:t xml:space="preserve"> </w:t>
      </w:r>
      <w:r w:rsidRPr="00637309">
        <w:rPr>
          <w:sz w:val="21"/>
        </w:rPr>
        <w:t>[</w:t>
      </w:r>
      <w:hyperlink r:id="rId14">
        <w:r w:rsidRPr="00637309">
          <w:rPr>
            <w:color w:val="0064A8"/>
            <w:sz w:val="21"/>
            <w:u w:val="single" w:color="0064A8"/>
          </w:rPr>
          <w:t>SDG</w:t>
        </w:r>
        <w:r w:rsidRPr="00637309">
          <w:rPr>
            <w:color w:val="0064A8"/>
            <w:spacing w:val="-17"/>
            <w:sz w:val="21"/>
            <w:u w:val="single" w:color="0064A8"/>
          </w:rPr>
          <w:t xml:space="preserve"> </w:t>
        </w:r>
        <w:r w:rsidRPr="00637309">
          <w:rPr>
            <w:color w:val="0064A8"/>
            <w:sz w:val="21"/>
            <w:u w:val="single" w:color="0064A8"/>
          </w:rPr>
          <w:t>7</w:t>
        </w:r>
      </w:hyperlink>
      <w:r w:rsidRPr="00637309">
        <w:rPr>
          <w:sz w:val="21"/>
        </w:rPr>
        <w:t>],</w:t>
      </w:r>
      <w:r w:rsidRPr="00637309">
        <w:rPr>
          <w:spacing w:val="-17"/>
          <w:sz w:val="21"/>
        </w:rPr>
        <w:t xml:space="preserve"> </w:t>
      </w:r>
      <w:r w:rsidRPr="00637309">
        <w:rPr>
          <w:sz w:val="21"/>
        </w:rPr>
        <w:t>does</w:t>
      </w:r>
      <w:r w:rsidRPr="00637309">
        <w:rPr>
          <w:spacing w:val="-17"/>
          <w:sz w:val="21"/>
        </w:rPr>
        <w:t xml:space="preserve"> </w:t>
      </w:r>
      <w:r w:rsidRPr="00637309">
        <w:rPr>
          <w:sz w:val="21"/>
        </w:rPr>
        <w:t>not</w:t>
      </w:r>
      <w:r w:rsidRPr="00637309">
        <w:rPr>
          <w:spacing w:val="-18"/>
          <w:sz w:val="21"/>
        </w:rPr>
        <w:t xml:space="preserve"> </w:t>
      </w:r>
      <w:r w:rsidRPr="00637309">
        <w:rPr>
          <w:sz w:val="21"/>
        </w:rPr>
        <w:t>impede</w:t>
      </w:r>
      <w:r w:rsidRPr="00637309">
        <w:rPr>
          <w:spacing w:val="1"/>
          <w:sz w:val="21"/>
        </w:rPr>
        <w:t xml:space="preserve"> </w:t>
      </w:r>
      <w:r w:rsidRPr="00637309">
        <w:rPr>
          <w:sz w:val="21"/>
        </w:rPr>
        <w:t>economic</w:t>
      </w:r>
      <w:r w:rsidRPr="00637309">
        <w:rPr>
          <w:spacing w:val="-18"/>
          <w:sz w:val="21"/>
        </w:rPr>
        <w:t xml:space="preserve"> </w:t>
      </w:r>
      <w:r w:rsidRPr="00637309">
        <w:rPr>
          <w:sz w:val="21"/>
        </w:rPr>
        <w:t>growth</w:t>
      </w:r>
      <w:r w:rsidRPr="00637309">
        <w:rPr>
          <w:spacing w:val="-18"/>
          <w:sz w:val="21"/>
        </w:rPr>
        <w:t xml:space="preserve"> </w:t>
      </w:r>
      <w:r w:rsidRPr="00637309">
        <w:rPr>
          <w:sz w:val="21"/>
        </w:rPr>
        <w:t>and</w:t>
      </w:r>
      <w:r w:rsidRPr="00637309">
        <w:rPr>
          <w:spacing w:val="-18"/>
          <w:sz w:val="21"/>
        </w:rPr>
        <w:t xml:space="preserve"> </w:t>
      </w:r>
      <w:r w:rsidRPr="00637309">
        <w:rPr>
          <w:sz w:val="21"/>
        </w:rPr>
        <w:t>job</w:t>
      </w:r>
      <w:r w:rsidRPr="00637309">
        <w:rPr>
          <w:spacing w:val="-18"/>
          <w:sz w:val="21"/>
        </w:rPr>
        <w:t xml:space="preserve"> </w:t>
      </w:r>
      <w:r w:rsidRPr="00637309">
        <w:rPr>
          <w:sz w:val="21"/>
        </w:rPr>
        <w:t>creation</w:t>
      </w:r>
      <w:r w:rsidRPr="00637309">
        <w:rPr>
          <w:spacing w:val="-17"/>
          <w:sz w:val="21"/>
        </w:rPr>
        <w:t xml:space="preserve"> </w:t>
      </w:r>
      <w:r w:rsidRPr="00637309">
        <w:rPr>
          <w:sz w:val="21"/>
        </w:rPr>
        <w:t>[</w:t>
      </w:r>
      <w:hyperlink r:id="rId15">
        <w:r w:rsidRPr="00637309">
          <w:rPr>
            <w:color w:val="0064A8"/>
            <w:sz w:val="21"/>
            <w:u w:val="single" w:color="0064A8"/>
          </w:rPr>
          <w:t>SDG</w:t>
        </w:r>
        <w:r w:rsidRPr="00637309">
          <w:rPr>
            <w:color w:val="0064A8"/>
            <w:spacing w:val="-18"/>
            <w:sz w:val="21"/>
            <w:u w:val="single" w:color="0064A8"/>
          </w:rPr>
          <w:t xml:space="preserve"> </w:t>
        </w:r>
        <w:r w:rsidRPr="00637309">
          <w:rPr>
            <w:color w:val="0064A8"/>
            <w:sz w:val="21"/>
            <w:u w:val="single" w:color="0064A8"/>
          </w:rPr>
          <w:t>8</w:t>
        </w:r>
      </w:hyperlink>
      <w:r w:rsidRPr="00637309">
        <w:rPr>
          <w:sz w:val="21"/>
        </w:rPr>
        <w:t>]</w:t>
      </w:r>
      <w:r w:rsidRPr="00637309">
        <w:rPr>
          <w:spacing w:val="-18"/>
          <w:sz w:val="21"/>
        </w:rPr>
        <w:t xml:space="preserve"> </w:t>
      </w:r>
      <w:r w:rsidRPr="00637309">
        <w:rPr>
          <w:sz w:val="21"/>
        </w:rPr>
        <w:t>and</w:t>
      </w:r>
      <w:r w:rsidRPr="00637309">
        <w:rPr>
          <w:spacing w:val="-18"/>
          <w:sz w:val="21"/>
        </w:rPr>
        <w:t xml:space="preserve"> </w:t>
      </w:r>
      <w:r w:rsidRPr="00637309">
        <w:rPr>
          <w:sz w:val="21"/>
        </w:rPr>
        <w:t>does</w:t>
      </w:r>
      <w:r w:rsidRPr="00637309">
        <w:rPr>
          <w:spacing w:val="-17"/>
          <w:sz w:val="21"/>
        </w:rPr>
        <w:t xml:space="preserve"> </w:t>
      </w:r>
      <w:r w:rsidRPr="00637309">
        <w:rPr>
          <w:sz w:val="21"/>
        </w:rPr>
        <w:t>not</w:t>
      </w:r>
      <w:r w:rsidRPr="00637309">
        <w:rPr>
          <w:spacing w:val="-18"/>
          <w:sz w:val="21"/>
        </w:rPr>
        <w:t xml:space="preserve"> </w:t>
      </w:r>
      <w:r w:rsidRPr="00637309">
        <w:rPr>
          <w:sz w:val="21"/>
        </w:rPr>
        <w:t>overburden</w:t>
      </w:r>
      <w:r w:rsidRPr="00637309">
        <w:rPr>
          <w:spacing w:val="-18"/>
          <w:sz w:val="21"/>
        </w:rPr>
        <w:t xml:space="preserve"> </w:t>
      </w:r>
      <w:r w:rsidRPr="00637309">
        <w:rPr>
          <w:sz w:val="21"/>
        </w:rPr>
        <w:t>industry;</w:t>
      </w:r>
      <w:r w:rsidRPr="00637309">
        <w:rPr>
          <w:spacing w:val="-18"/>
          <w:sz w:val="21"/>
        </w:rPr>
        <w:t xml:space="preserve"> </w:t>
      </w:r>
      <w:r w:rsidRPr="00637309">
        <w:rPr>
          <w:sz w:val="21"/>
        </w:rPr>
        <w:t>and</w:t>
      </w:r>
    </w:p>
    <w:p w:rsidRPr="00637309" w:rsidR="000773AB" w:rsidP="00021DA9" w:rsidRDefault="00496A1C" w14:paraId="05587505" w14:textId="77777777">
      <w:pPr>
        <w:pStyle w:val="ListParagraph"/>
        <w:numPr>
          <w:ilvl w:val="0"/>
          <w:numId w:val="1"/>
        </w:numPr>
        <w:tabs>
          <w:tab w:val="left" w:pos="341"/>
        </w:tabs>
        <w:spacing w:before="114" w:line="259" w:lineRule="auto"/>
        <w:ind w:right="1053"/>
        <w:rPr>
          <w:sz w:val="21"/>
        </w:rPr>
      </w:pPr>
      <w:r w:rsidRPr="00637309">
        <w:rPr>
          <w:spacing w:val="-1"/>
          <w:sz w:val="21"/>
        </w:rPr>
        <w:t>allowing</w:t>
      </w:r>
      <w:r w:rsidRPr="00637309">
        <w:rPr>
          <w:spacing w:val="-18"/>
          <w:sz w:val="21"/>
        </w:rPr>
        <w:t xml:space="preserve"> </w:t>
      </w:r>
      <w:r w:rsidRPr="00637309">
        <w:rPr>
          <w:spacing w:val="-1"/>
          <w:sz w:val="21"/>
        </w:rPr>
        <w:t>the</w:t>
      </w:r>
      <w:r w:rsidRPr="00637309">
        <w:rPr>
          <w:spacing w:val="-17"/>
          <w:sz w:val="21"/>
        </w:rPr>
        <w:t xml:space="preserve"> </w:t>
      </w:r>
      <w:r w:rsidRPr="00637309">
        <w:rPr>
          <w:spacing w:val="-1"/>
          <w:sz w:val="21"/>
        </w:rPr>
        <w:t>continued</w:t>
      </w:r>
      <w:r w:rsidRPr="00637309">
        <w:rPr>
          <w:spacing w:val="-18"/>
          <w:sz w:val="21"/>
        </w:rPr>
        <w:t xml:space="preserve"> </w:t>
      </w:r>
      <w:r w:rsidRPr="00637309">
        <w:rPr>
          <w:spacing w:val="-1"/>
          <w:sz w:val="21"/>
        </w:rPr>
        <w:t>efficient</w:t>
      </w:r>
      <w:r w:rsidRPr="00637309">
        <w:rPr>
          <w:spacing w:val="-17"/>
          <w:sz w:val="21"/>
        </w:rPr>
        <w:t xml:space="preserve"> </w:t>
      </w:r>
      <w:r w:rsidRPr="00637309">
        <w:rPr>
          <w:spacing w:val="-1"/>
          <w:sz w:val="21"/>
        </w:rPr>
        <w:t>conduct</w:t>
      </w:r>
      <w:r w:rsidRPr="00637309">
        <w:rPr>
          <w:spacing w:val="-17"/>
          <w:sz w:val="21"/>
        </w:rPr>
        <w:t xml:space="preserve"> </w:t>
      </w:r>
      <w:r w:rsidRPr="00637309">
        <w:rPr>
          <w:spacing w:val="-1"/>
          <w:sz w:val="21"/>
        </w:rPr>
        <w:t>of</w:t>
      </w:r>
      <w:r w:rsidRPr="00637309">
        <w:rPr>
          <w:spacing w:val="-18"/>
          <w:sz w:val="21"/>
        </w:rPr>
        <w:t xml:space="preserve"> </w:t>
      </w:r>
      <w:r w:rsidRPr="00637309">
        <w:rPr>
          <w:spacing w:val="-1"/>
          <w:sz w:val="21"/>
        </w:rPr>
        <w:t>business,</w:t>
      </w:r>
      <w:r w:rsidRPr="00637309">
        <w:rPr>
          <w:spacing w:val="-17"/>
          <w:sz w:val="21"/>
        </w:rPr>
        <w:t xml:space="preserve"> </w:t>
      </w:r>
      <w:r w:rsidRPr="00637309">
        <w:rPr>
          <w:spacing w:val="-1"/>
          <w:sz w:val="21"/>
        </w:rPr>
        <w:t>innovation</w:t>
      </w:r>
      <w:r w:rsidRPr="00637309">
        <w:rPr>
          <w:spacing w:val="-17"/>
          <w:sz w:val="21"/>
        </w:rPr>
        <w:t xml:space="preserve"> </w:t>
      </w:r>
      <w:r w:rsidRPr="00637309">
        <w:rPr>
          <w:sz w:val="21"/>
        </w:rPr>
        <w:t>and</w:t>
      </w:r>
      <w:r w:rsidRPr="00637309">
        <w:rPr>
          <w:spacing w:val="-18"/>
          <w:sz w:val="21"/>
        </w:rPr>
        <w:t xml:space="preserve"> </w:t>
      </w:r>
      <w:r w:rsidRPr="00637309">
        <w:rPr>
          <w:sz w:val="21"/>
        </w:rPr>
        <w:t>infrastructure</w:t>
      </w:r>
      <w:r w:rsidRPr="00637309">
        <w:rPr>
          <w:spacing w:val="-70"/>
          <w:sz w:val="21"/>
        </w:rPr>
        <w:t xml:space="preserve"> </w:t>
      </w:r>
      <w:r w:rsidRPr="00637309">
        <w:rPr>
          <w:sz w:val="21"/>
        </w:rPr>
        <w:t>development</w:t>
      </w:r>
      <w:r w:rsidRPr="00637309">
        <w:rPr>
          <w:spacing w:val="-12"/>
          <w:sz w:val="21"/>
        </w:rPr>
        <w:t xml:space="preserve"> </w:t>
      </w:r>
      <w:r w:rsidRPr="00637309">
        <w:rPr>
          <w:sz w:val="21"/>
        </w:rPr>
        <w:t>[</w:t>
      </w:r>
      <w:hyperlink r:id="rId16">
        <w:r w:rsidRPr="00637309">
          <w:rPr>
            <w:color w:val="0064A8"/>
            <w:sz w:val="21"/>
            <w:u w:val="single" w:color="0064A8"/>
          </w:rPr>
          <w:t>SDG</w:t>
        </w:r>
        <w:r w:rsidRPr="00637309">
          <w:rPr>
            <w:color w:val="0064A8"/>
            <w:spacing w:val="-12"/>
            <w:sz w:val="21"/>
            <w:u w:val="single" w:color="0064A8"/>
          </w:rPr>
          <w:t xml:space="preserve"> </w:t>
        </w:r>
        <w:r w:rsidRPr="00637309">
          <w:rPr>
            <w:color w:val="0064A8"/>
            <w:sz w:val="21"/>
            <w:u w:val="single" w:color="0064A8"/>
          </w:rPr>
          <w:t>9</w:t>
        </w:r>
      </w:hyperlink>
      <w:r w:rsidRPr="00637309">
        <w:rPr>
          <w:sz w:val="21"/>
        </w:rPr>
        <w:t>].</w:t>
      </w:r>
    </w:p>
    <w:p w:rsidRPr="00637309" w:rsidR="000773AB" w:rsidP="00B5163B" w:rsidRDefault="000773AB" w14:paraId="5A64254C" w14:textId="5DE4B462">
      <w:pPr>
        <w:pStyle w:val="BodyText"/>
        <w:spacing w:before="8"/>
      </w:pPr>
    </w:p>
    <w:p w:rsidRPr="00637309" w:rsidR="00EB32B8" w:rsidP="00B5163B" w:rsidRDefault="00EB32B8" w14:paraId="29E90BA3" w14:textId="452815EA">
      <w:pPr>
        <w:pStyle w:val="BodyText"/>
        <w:spacing w:before="8"/>
      </w:pPr>
    </w:p>
    <w:p w:rsidRPr="00637309" w:rsidR="00EB32B8" w:rsidP="00B5163B" w:rsidRDefault="00EB32B8" w14:paraId="2DDD869A" w14:textId="59BF90A5">
      <w:pPr>
        <w:pStyle w:val="BodyText"/>
        <w:spacing w:before="8"/>
      </w:pPr>
    </w:p>
    <w:p w:rsidRPr="00637309" w:rsidR="00EB32B8" w:rsidP="00B5163B" w:rsidRDefault="00EB32B8" w14:paraId="251CE608" w14:textId="227B5497">
      <w:pPr>
        <w:pStyle w:val="BodyText"/>
        <w:spacing w:before="8"/>
      </w:pPr>
    </w:p>
    <w:p w:rsidRPr="00637309" w:rsidR="00EB32B8" w:rsidP="00B5163B" w:rsidRDefault="00EB32B8" w14:paraId="7068FA0C" w14:textId="076FD882">
      <w:pPr>
        <w:pStyle w:val="BodyText"/>
        <w:spacing w:before="8"/>
      </w:pPr>
    </w:p>
    <w:p w:rsidRPr="00637309" w:rsidR="00EB32B8" w:rsidP="00B5163B" w:rsidRDefault="00EB32B8" w14:paraId="68D1B323" w14:textId="265A1EC7">
      <w:pPr>
        <w:pStyle w:val="BodyText"/>
        <w:spacing w:before="8"/>
      </w:pPr>
    </w:p>
    <w:p w:rsidRPr="00637309" w:rsidR="00EB32B8" w:rsidP="00B5163B" w:rsidRDefault="00EB32B8" w14:paraId="038E66C3" w14:textId="5B802C66">
      <w:pPr>
        <w:pStyle w:val="BodyText"/>
        <w:spacing w:before="8"/>
      </w:pPr>
    </w:p>
    <w:p w:rsidRPr="00637309" w:rsidR="00EB32B8" w:rsidP="00B5163B" w:rsidRDefault="00EB32B8" w14:paraId="0491FBAB" w14:textId="0FE2B5E9">
      <w:pPr>
        <w:pStyle w:val="BodyText"/>
        <w:spacing w:before="8"/>
      </w:pPr>
    </w:p>
    <w:p w:rsidRPr="00637309" w:rsidR="00EB32B8" w:rsidP="00B5163B" w:rsidRDefault="00EB32B8" w14:paraId="076965A5" w14:textId="470890D9">
      <w:pPr>
        <w:pStyle w:val="BodyText"/>
        <w:spacing w:before="8"/>
      </w:pPr>
    </w:p>
    <w:p w:rsidRPr="00637309" w:rsidR="008E080D" w:rsidP="008A5D3F" w:rsidRDefault="000C2D86" w14:paraId="4EF7CDD8" w14:textId="052E020E">
      <w:pPr>
        <w:rPr>
          <w:rFonts w:cs="Arial"/>
          <w:sz w:val="24"/>
          <w:szCs w:val="24"/>
        </w:rPr>
        <w:sectPr w:rsidRPr="00637309" w:rsidR="008E080D" w:rsidSect="0017318B">
          <w:pgSz w:w="11910" w:h="16840" w:orient="portrait"/>
          <w:pgMar w:top="1417" w:right="1417" w:bottom="1417" w:left="1417" w:header="0" w:footer="765" w:gutter="0"/>
          <w:cols w:space="720"/>
          <w:docGrid w:linePitch="299"/>
        </w:sectPr>
      </w:pPr>
      <w:r w:rsidRPr="00637309">
        <w:rPr>
          <w:noProof/>
        </w:rPr>
        <w:drawing>
          <wp:inline distT="0" distB="0" distL="0" distR="0" wp14:anchorId="3725C99C" wp14:editId="750C8C13">
            <wp:extent cx="5763260" cy="6182360"/>
            <wp:effectExtent l="0" t="0" r="8890" b="889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3260" cy="6182360"/>
                    </a:xfrm>
                    <a:prstGeom prst="rect">
                      <a:avLst/>
                    </a:prstGeom>
                    <a:noFill/>
                    <a:ln>
                      <a:noFill/>
                    </a:ln>
                  </pic:spPr>
                </pic:pic>
              </a:graphicData>
            </a:graphic>
          </wp:inline>
        </w:drawing>
      </w:r>
    </w:p>
    <w:p w:rsidRPr="00637309" w:rsidR="000773AB" w:rsidP="52E72AA2" w:rsidRDefault="000773AB" w14:paraId="1623BC5C" w14:textId="600EB274">
      <w:pPr>
        <w:pStyle w:val="BodyText"/>
        <w:ind w:left="-1020"/>
      </w:pPr>
    </w:p>
    <w:p w:rsidRPr="00637309" w:rsidR="00101BB8" w:rsidP="00021DA9" w:rsidRDefault="00101BB8" w14:paraId="081F6F64" w14:textId="045CC2DB">
      <w:pPr>
        <w:pStyle w:val="Heading1"/>
        <w:numPr>
          <w:ilvl w:val="0"/>
          <w:numId w:val="2"/>
        </w:numPr>
        <w:tabs>
          <w:tab w:val="left" w:pos="511"/>
        </w:tabs>
        <w:rPr>
          <w:rFonts w:ascii="Verdana" w:hAnsi="Verdana"/>
        </w:rPr>
      </w:pPr>
      <w:r w:rsidRPr="00637309">
        <w:rPr>
          <w:rFonts w:ascii="Verdana" w:hAnsi="Verdana"/>
          <w:color w:val="0064A8"/>
          <w:w w:val="105"/>
        </w:rPr>
        <w:t>O</w:t>
      </w:r>
      <w:r w:rsidR="00780D9D">
        <w:rPr>
          <w:rFonts w:ascii="Verdana" w:hAnsi="Verdana"/>
          <w:color w:val="0064A8"/>
          <w:w w:val="105"/>
        </w:rPr>
        <w:t>utline of Key Greenhouse Gas Emissions Pricing System Policies &amp; Design Features</w:t>
      </w:r>
      <w:r w:rsidRPr="00637309">
        <w:rPr>
          <w:rFonts w:ascii="Verdana" w:hAnsi="Verdana"/>
          <w:color w:val="0064A8"/>
          <w:w w:val="105"/>
        </w:rPr>
        <w:t xml:space="preserve"> </w:t>
      </w:r>
    </w:p>
    <w:p w:rsidRPr="00637309" w:rsidR="00B42F49" w:rsidRDefault="00B42F49" w14:paraId="2AD8A07E" w14:textId="77777777">
      <w:pPr>
        <w:pStyle w:val="BodyText"/>
        <w:rPr>
          <w:sz w:val="20"/>
        </w:rPr>
      </w:pPr>
    </w:p>
    <w:p w:rsidRPr="00376F97" w:rsidR="00B42F49" w:rsidP="00B42F49" w:rsidRDefault="00B42F49" w14:paraId="1BD2CD0F" w14:textId="77777777">
      <w:pPr>
        <w:jc w:val="both"/>
        <w:rPr>
          <w:rFonts w:cs="Arial"/>
          <w:sz w:val="21"/>
          <w:szCs w:val="21"/>
        </w:rPr>
      </w:pPr>
      <w:r w:rsidRPr="00376F97">
        <w:rPr>
          <w:rFonts w:cs="Arial"/>
          <w:sz w:val="21"/>
          <w:szCs w:val="21"/>
        </w:rPr>
        <w:t xml:space="preserve">The purpose of this outline is to provide a framework by which greenhouse gas (GHG) emissions pricing systems can be evaluated in light of the ICC Carbon Pricing Principles. The GHG pricing system in place in a jurisdiction is likely to be composed of one or more of the following six key policies. For each policy, core design features and possible modalities are described. </w:t>
      </w:r>
    </w:p>
    <w:p w:rsidRPr="00376F97" w:rsidR="005B0DD6" w:rsidP="00B42F49" w:rsidRDefault="005B0DD6" w14:paraId="75E3EF45" w14:textId="77777777">
      <w:pPr>
        <w:jc w:val="both"/>
        <w:rPr>
          <w:rFonts w:cs="Arial"/>
          <w:sz w:val="21"/>
          <w:szCs w:val="21"/>
        </w:rPr>
      </w:pPr>
    </w:p>
    <w:p w:rsidRPr="00376F97" w:rsidR="00B42F49" w:rsidP="1A456281" w:rsidRDefault="00B42F49" w14:paraId="011178F7" w14:textId="77777777">
      <w:pPr>
        <w:jc w:val="both"/>
        <w:rPr>
          <w:rFonts w:cs="Arial"/>
          <w:sz w:val="21"/>
          <w:szCs w:val="21"/>
        </w:rPr>
      </w:pPr>
      <w:r w:rsidRPr="1A456281">
        <w:rPr>
          <w:rFonts w:cs="Arial"/>
          <w:sz w:val="21"/>
          <w:szCs w:val="21"/>
        </w:rPr>
        <w:t xml:space="preserve">The six key pricing policies must be read and assessed together because pricing normally requires a policy-mix (e.g. emissions trading schemes accepting project-based offsets and relying on taxes as penalties or, possibly, on international linking with other schemes or even a CBAM). They are presented as an ‘issue-spotter’ to facilitate the analysis of international, regional, country or sub-national pricing systems. </w:t>
      </w:r>
    </w:p>
    <w:p w:rsidRPr="00376F97" w:rsidR="00DE1C74" w:rsidP="00B42F49" w:rsidRDefault="00DE1C74" w14:paraId="3FAF8F1A" w14:textId="77777777">
      <w:pPr>
        <w:ind w:firstLine="426"/>
        <w:jc w:val="both"/>
        <w:rPr>
          <w:rFonts w:cs="Arial"/>
          <w:sz w:val="21"/>
          <w:szCs w:val="21"/>
        </w:rPr>
      </w:pPr>
    </w:p>
    <w:p w:rsidRPr="00376F97" w:rsidR="00B42F49" w:rsidP="1A456281" w:rsidRDefault="00DE1C74" w14:paraId="165A5E45" w14:textId="74805C7F">
      <w:pPr>
        <w:jc w:val="both"/>
        <w:rPr>
          <w:rFonts w:cs="Arial"/>
          <w:sz w:val="21"/>
          <w:szCs w:val="21"/>
        </w:rPr>
      </w:pPr>
      <w:r w:rsidRPr="1A456281">
        <w:rPr>
          <w:rFonts w:cs="Arial"/>
          <w:sz w:val="21"/>
          <w:szCs w:val="21"/>
        </w:rPr>
        <w:t>In particular, the</w:t>
      </w:r>
      <w:r w:rsidRPr="1A456281" w:rsidR="00B42F49">
        <w:rPr>
          <w:rFonts w:cs="Arial"/>
          <w:sz w:val="21"/>
          <w:szCs w:val="21"/>
        </w:rPr>
        <w:t xml:space="preserve"> focus is on legally required carbon pricing systems. There are a wide variety of voluntary initiatives with different degrees of institutionalisation that could also be relevant. They tend to present broadly similar design features, but there are also significant variations (e.g. voluntary carbon offsets when purchasing a flight ticket, or so-called ‘green investment schemes’ which associate a pro-environment project to a transfer of allowances). </w:t>
      </w:r>
    </w:p>
    <w:p w:rsidRPr="00376F97" w:rsidR="00B42F49" w:rsidP="00B42F49" w:rsidRDefault="00B42F49" w14:paraId="23DF3BEF" w14:textId="77777777">
      <w:pPr>
        <w:rPr>
          <w:rFonts w:cs="Arial"/>
          <w:sz w:val="21"/>
          <w:szCs w:val="21"/>
        </w:rPr>
      </w:pPr>
    </w:p>
    <w:p w:rsidRPr="00376F97" w:rsidR="00B42F49" w:rsidP="00B42F49" w:rsidRDefault="00B42F49" w14:paraId="460B0E03" w14:textId="77777777">
      <w:pPr>
        <w:rPr>
          <w:rFonts w:cs="Arial"/>
          <w:b/>
          <w:bCs/>
          <w:sz w:val="21"/>
          <w:szCs w:val="21"/>
        </w:rPr>
      </w:pPr>
      <w:r w:rsidRPr="00376F97">
        <w:rPr>
          <w:rFonts w:cs="Arial"/>
          <w:b/>
          <w:bCs/>
          <w:sz w:val="21"/>
          <w:szCs w:val="21"/>
        </w:rPr>
        <w:t>Policy 1: Emissions Trading Scheme (negative externality internalisation)</w:t>
      </w:r>
    </w:p>
    <w:p w:rsidRPr="00376F97" w:rsidR="00B42F49" w:rsidP="00B42F49" w:rsidRDefault="00B42F49" w14:paraId="3125648B" w14:textId="77777777">
      <w:pPr>
        <w:rPr>
          <w:rFonts w:cs="Arial"/>
          <w:b/>
          <w:bCs/>
          <w:sz w:val="21"/>
          <w:szCs w:val="21"/>
        </w:rPr>
      </w:pPr>
    </w:p>
    <w:p w:rsidRPr="00376F97" w:rsidR="00B42F49" w:rsidP="00B42F49" w:rsidRDefault="00B42F49" w14:paraId="028EE365" w14:textId="77777777">
      <w:pPr>
        <w:rPr>
          <w:rFonts w:cs="Arial"/>
          <w:sz w:val="21"/>
          <w:szCs w:val="21"/>
        </w:rPr>
      </w:pPr>
      <w:r w:rsidRPr="00376F97">
        <w:rPr>
          <w:rFonts w:cs="Arial"/>
          <w:sz w:val="21"/>
          <w:szCs w:val="21"/>
        </w:rPr>
        <w:t xml:space="preserve">Definition: The regulator requires emitters to compensate for their emissions, which they may do by surrendering tradable credits. </w:t>
      </w:r>
    </w:p>
    <w:p w:rsidRPr="00376F97" w:rsidR="00B42F49" w:rsidP="00B42F49" w:rsidRDefault="00B42F49" w14:paraId="3EB64453" w14:textId="77777777">
      <w:pPr>
        <w:rPr>
          <w:rFonts w:cs="Arial"/>
          <w:sz w:val="21"/>
          <w:szCs w:val="21"/>
        </w:rPr>
      </w:pPr>
    </w:p>
    <w:p w:rsidRPr="00376F97" w:rsidR="00B42F49" w:rsidP="00B42F49" w:rsidRDefault="00B42F49" w14:paraId="71680B8E" w14:textId="77777777">
      <w:pPr>
        <w:rPr>
          <w:rFonts w:cs="Arial"/>
          <w:sz w:val="21"/>
          <w:szCs w:val="21"/>
        </w:rPr>
      </w:pPr>
      <w:r w:rsidRPr="00376F97">
        <w:rPr>
          <w:rFonts w:cs="Arial"/>
          <w:sz w:val="21"/>
          <w:szCs w:val="21"/>
        </w:rPr>
        <w:t>Design features:</w:t>
      </w:r>
    </w:p>
    <w:p w:rsidRPr="00376F97" w:rsidR="00B42F49" w:rsidP="00AD6869" w:rsidRDefault="00B42F49" w14:paraId="3F902A8A" w14:textId="77777777">
      <w:pPr>
        <w:pStyle w:val="ListParagraph"/>
        <w:widowControl/>
        <w:numPr>
          <w:ilvl w:val="0"/>
          <w:numId w:val="3"/>
        </w:numPr>
        <w:autoSpaceDE/>
        <w:autoSpaceDN/>
        <w:spacing w:before="0"/>
        <w:contextualSpacing/>
        <w:rPr>
          <w:rFonts w:cs="Arial"/>
          <w:sz w:val="21"/>
          <w:szCs w:val="21"/>
        </w:rPr>
      </w:pPr>
      <w:r w:rsidRPr="00376F97">
        <w:rPr>
          <w:rFonts w:cs="Arial"/>
          <w:sz w:val="21"/>
          <w:szCs w:val="21"/>
        </w:rPr>
        <w:t>Regulator: Regional regulator / State government / Substate government</w:t>
      </w:r>
    </w:p>
    <w:p w:rsidRPr="00376F97" w:rsidR="00B42F49" w:rsidP="00AD6869" w:rsidRDefault="00B42F49" w14:paraId="18BCD5F7" w14:textId="77777777">
      <w:pPr>
        <w:pStyle w:val="ListParagraph"/>
        <w:widowControl/>
        <w:numPr>
          <w:ilvl w:val="0"/>
          <w:numId w:val="3"/>
        </w:numPr>
        <w:autoSpaceDE/>
        <w:autoSpaceDN/>
        <w:spacing w:before="0"/>
        <w:contextualSpacing/>
        <w:rPr>
          <w:rFonts w:cs="Arial"/>
          <w:sz w:val="21"/>
          <w:szCs w:val="21"/>
        </w:rPr>
      </w:pPr>
      <w:r w:rsidRPr="00376F97">
        <w:rPr>
          <w:rFonts w:cs="Arial"/>
          <w:sz w:val="21"/>
          <w:szCs w:val="21"/>
        </w:rPr>
        <w:t xml:space="preserve">Coverage: </w:t>
      </w:r>
    </w:p>
    <w:p w:rsidRPr="00376F97" w:rsidR="00B42F49" w:rsidP="00AD6869" w:rsidRDefault="00B42F49" w14:paraId="1F691270" w14:textId="77777777">
      <w:pPr>
        <w:pStyle w:val="ListParagraph"/>
        <w:widowControl/>
        <w:numPr>
          <w:ilvl w:val="1"/>
          <w:numId w:val="3"/>
        </w:numPr>
        <w:autoSpaceDE/>
        <w:autoSpaceDN/>
        <w:spacing w:before="0"/>
        <w:contextualSpacing/>
        <w:rPr>
          <w:rFonts w:cs="Arial"/>
          <w:sz w:val="21"/>
          <w:szCs w:val="21"/>
        </w:rPr>
      </w:pPr>
      <w:r w:rsidRPr="00376F97">
        <w:rPr>
          <w:rFonts w:cs="Arial"/>
          <w:sz w:val="21"/>
          <w:szCs w:val="21"/>
        </w:rPr>
        <w:t>Gases: carbon dioxide / Other gases</w:t>
      </w:r>
    </w:p>
    <w:p w:rsidRPr="00376F97" w:rsidR="00B42F49" w:rsidP="00AD6869" w:rsidRDefault="00B42F49" w14:paraId="1CF524E3" w14:textId="77777777">
      <w:pPr>
        <w:pStyle w:val="ListParagraph"/>
        <w:widowControl/>
        <w:numPr>
          <w:ilvl w:val="1"/>
          <w:numId w:val="3"/>
        </w:numPr>
        <w:autoSpaceDE/>
        <w:autoSpaceDN/>
        <w:spacing w:before="0"/>
        <w:contextualSpacing/>
        <w:rPr>
          <w:rFonts w:cs="Arial"/>
          <w:sz w:val="21"/>
          <w:szCs w:val="21"/>
        </w:rPr>
      </w:pPr>
      <w:r w:rsidRPr="00376F97">
        <w:rPr>
          <w:rFonts w:cs="Arial"/>
          <w:sz w:val="21"/>
          <w:szCs w:val="21"/>
        </w:rPr>
        <w:t>Emitters: Sector / Facility type / Facility size / Facility location / New or existing</w:t>
      </w:r>
    </w:p>
    <w:p w:rsidRPr="00376F97" w:rsidR="00B42F49" w:rsidP="00AD6869" w:rsidRDefault="00B42F49" w14:paraId="0394D5E9" w14:textId="77777777">
      <w:pPr>
        <w:pStyle w:val="ListParagraph"/>
        <w:widowControl/>
        <w:numPr>
          <w:ilvl w:val="1"/>
          <w:numId w:val="3"/>
        </w:numPr>
        <w:autoSpaceDE/>
        <w:autoSpaceDN/>
        <w:spacing w:before="0"/>
        <w:contextualSpacing/>
        <w:rPr>
          <w:rFonts w:cs="Arial"/>
          <w:sz w:val="21"/>
          <w:szCs w:val="21"/>
        </w:rPr>
      </w:pPr>
      <w:r w:rsidRPr="00376F97">
        <w:rPr>
          <w:rFonts w:cs="Arial"/>
          <w:sz w:val="21"/>
          <w:szCs w:val="21"/>
        </w:rPr>
        <w:t>Emissions: Cap-and-trade scheme / Baseline-and-credit scheme</w:t>
      </w:r>
    </w:p>
    <w:p w:rsidRPr="00376F97" w:rsidR="00B42F49" w:rsidP="00AD6869" w:rsidRDefault="00B42F49" w14:paraId="7FDEFD05" w14:textId="77777777">
      <w:pPr>
        <w:pStyle w:val="ListParagraph"/>
        <w:widowControl/>
        <w:numPr>
          <w:ilvl w:val="0"/>
          <w:numId w:val="3"/>
        </w:numPr>
        <w:autoSpaceDE/>
        <w:autoSpaceDN/>
        <w:spacing w:before="0"/>
        <w:contextualSpacing/>
        <w:rPr>
          <w:rFonts w:cs="Arial"/>
          <w:sz w:val="21"/>
          <w:szCs w:val="21"/>
        </w:rPr>
      </w:pPr>
      <w:r w:rsidRPr="00376F97">
        <w:rPr>
          <w:rFonts w:cs="Arial"/>
          <w:sz w:val="21"/>
          <w:szCs w:val="21"/>
        </w:rPr>
        <w:t>Supply of credits: Free allocation / Auctioning / Purchase</w:t>
      </w:r>
    </w:p>
    <w:p w:rsidRPr="00376F97" w:rsidR="00B42F49" w:rsidP="00AD6869" w:rsidRDefault="00B42F49" w14:paraId="289D9D8E" w14:textId="77777777">
      <w:pPr>
        <w:pStyle w:val="ListParagraph"/>
        <w:widowControl/>
        <w:numPr>
          <w:ilvl w:val="0"/>
          <w:numId w:val="3"/>
        </w:numPr>
        <w:autoSpaceDE/>
        <w:autoSpaceDN/>
        <w:spacing w:before="0"/>
        <w:contextualSpacing/>
        <w:rPr>
          <w:rFonts w:cs="Arial"/>
          <w:sz w:val="21"/>
          <w:szCs w:val="21"/>
        </w:rPr>
      </w:pPr>
      <w:r w:rsidRPr="00376F97">
        <w:rPr>
          <w:rFonts w:cs="Arial"/>
          <w:sz w:val="21"/>
          <w:szCs w:val="21"/>
        </w:rPr>
        <w:t>Price controls: Direct price floors and cap / Alterations to number of credits supplied / ‘Central-bank’-like supply / Demand interventions to keep price within bands</w:t>
      </w:r>
    </w:p>
    <w:p w:rsidRPr="00376F97" w:rsidR="00B42F49" w:rsidP="00AD6869" w:rsidRDefault="00B42F49" w14:paraId="41B22A6D" w14:textId="77777777">
      <w:pPr>
        <w:pStyle w:val="ListParagraph"/>
        <w:widowControl/>
        <w:numPr>
          <w:ilvl w:val="0"/>
          <w:numId w:val="3"/>
        </w:numPr>
        <w:autoSpaceDE/>
        <w:autoSpaceDN/>
        <w:spacing w:before="0"/>
        <w:contextualSpacing/>
        <w:rPr>
          <w:rFonts w:cs="Arial"/>
          <w:sz w:val="21"/>
          <w:szCs w:val="21"/>
        </w:rPr>
      </w:pPr>
      <w:r w:rsidRPr="00376F97">
        <w:rPr>
          <w:rFonts w:cs="Arial"/>
          <w:sz w:val="21"/>
          <w:szCs w:val="21"/>
        </w:rPr>
        <w:t xml:space="preserve">Nature of credits: Time-validity / Allowances and/or offsets / Nature of underlying emission reduction or removal / relevant industries / Relevant jurisdictions </w:t>
      </w:r>
    </w:p>
    <w:p w:rsidRPr="00376F97" w:rsidR="00B42F49" w:rsidP="00AD6869" w:rsidRDefault="00B42F49" w14:paraId="6B126944" w14:textId="77777777">
      <w:pPr>
        <w:pStyle w:val="ListParagraph"/>
        <w:widowControl/>
        <w:numPr>
          <w:ilvl w:val="0"/>
          <w:numId w:val="3"/>
        </w:numPr>
        <w:autoSpaceDE/>
        <w:autoSpaceDN/>
        <w:spacing w:before="0"/>
        <w:contextualSpacing/>
        <w:rPr>
          <w:rFonts w:cs="Arial"/>
          <w:sz w:val="21"/>
          <w:szCs w:val="21"/>
        </w:rPr>
      </w:pPr>
      <w:r w:rsidRPr="00376F97">
        <w:rPr>
          <w:rFonts w:cs="Arial"/>
          <w:sz w:val="21"/>
          <w:szCs w:val="21"/>
        </w:rPr>
        <w:t>Compliance obligation: Restrictions on combined credits used / In case of shortfall: fee reflecting the market price for credits / inflated price for the remaining emissions/ greater number of credits by a later date / administrative penalties and fines.</w:t>
      </w:r>
    </w:p>
    <w:p w:rsidRPr="00376F97" w:rsidR="00B42F49" w:rsidP="00AD6869" w:rsidRDefault="00B42F49" w14:paraId="3C5D5575" w14:textId="77777777">
      <w:pPr>
        <w:pStyle w:val="ListParagraph"/>
        <w:widowControl/>
        <w:numPr>
          <w:ilvl w:val="0"/>
          <w:numId w:val="3"/>
        </w:numPr>
        <w:autoSpaceDE/>
        <w:autoSpaceDN/>
        <w:spacing w:before="0"/>
        <w:contextualSpacing/>
        <w:rPr>
          <w:rFonts w:cs="Arial"/>
          <w:sz w:val="21"/>
          <w:szCs w:val="21"/>
        </w:rPr>
      </w:pPr>
      <w:r w:rsidRPr="00376F97">
        <w:rPr>
          <w:rFonts w:cs="Arial"/>
          <w:sz w:val="21"/>
          <w:szCs w:val="21"/>
        </w:rPr>
        <w:t>Revenue allocation: Revenue-neutral / Climate-related allocation / Non-climate-related allocation</w:t>
      </w:r>
    </w:p>
    <w:p w:rsidRPr="00376F97" w:rsidR="00B42F49" w:rsidP="00B42F49" w:rsidRDefault="00B42F49" w14:paraId="63A437CD" w14:textId="77777777">
      <w:pPr>
        <w:rPr>
          <w:rFonts w:cs="Arial"/>
          <w:sz w:val="21"/>
          <w:szCs w:val="21"/>
        </w:rPr>
      </w:pPr>
    </w:p>
    <w:p w:rsidR="00EF3DA2" w:rsidP="00B42F49" w:rsidRDefault="00EF3DA2" w14:paraId="6DB45C79" w14:textId="77777777">
      <w:pPr>
        <w:rPr>
          <w:rFonts w:cs="Arial"/>
          <w:b/>
          <w:bCs/>
          <w:sz w:val="21"/>
          <w:szCs w:val="21"/>
        </w:rPr>
      </w:pPr>
    </w:p>
    <w:p w:rsidRPr="00376F97" w:rsidR="00B42F49" w:rsidP="00B42F49" w:rsidRDefault="00B42F49" w14:paraId="2DFDAC8F" w14:textId="4C0DE291">
      <w:pPr>
        <w:rPr>
          <w:rFonts w:cs="Arial"/>
          <w:b/>
          <w:bCs/>
          <w:sz w:val="21"/>
          <w:szCs w:val="21"/>
        </w:rPr>
      </w:pPr>
      <w:r w:rsidRPr="00376F97">
        <w:rPr>
          <w:rFonts w:cs="Arial"/>
          <w:b/>
          <w:bCs/>
          <w:sz w:val="21"/>
          <w:szCs w:val="21"/>
        </w:rPr>
        <w:t>Policy 2: Crediting Scheme (Project-based offsets</w:t>
      </w:r>
      <w:r w:rsidRPr="3B2884A5">
        <w:rPr>
          <w:rFonts w:cs="Arial"/>
          <w:b/>
          <w:bCs/>
          <w:sz w:val="21"/>
          <w:szCs w:val="21"/>
        </w:rPr>
        <w:t>)</w:t>
      </w:r>
    </w:p>
    <w:p w:rsidRPr="00376F97" w:rsidR="00B42F49" w:rsidP="00B42F49" w:rsidRDefault="00B42F49" w14:paraId="77D1B1CD" w14:textId="77777777">
      <w:pPr>
        <w:rPr>
          <w:rFonts w:cs="Arial"/>
          <w:b/>
          <w:bCs/>
          <w:sz w:val="21"/>
          <w:szCs w:val="21"/>
        </w:rPr>
      </w:pPr>
    </w:p>
    <w:p w:rsidRPr="00376F97" w:rsidR="00B42F49" w:rsidP="00B42F49" w:rsidRDefault="00B42F49" w14:paraId="429F0D18" w14:textId="77777777">
      <w:pPr>
        <w:rPr>
          <w:rFonts w:cs="Arial"/>
          <w:sz w:val="21"/>
          <w:szCs w:val="21"/>
        </w:rPr>
      </w:pPr>
      <w:r w:rsidRPr="00376F97">
        <w:rPr>
          <w:rFonts w:cs="Arial"/>
          <w:sz w:val="21"/>
          <w:szCs w:val="21"/>
        </w:rPr>
        <w:t>Definition:</w:t>
      </w:r>
      <w:r w:rsidRPr="00376F97">
        <w:rPr>
          <w:rFonts w:cs="Arial"/>
          <w:b/>
          <w:bCs/>
          <w:sz w:val="21"/>
          <w:szCs w:val="21"/>
        </w:rPr>
        <w:t xml:space="preserve"> </w:t>
      </w:r>
      <w:r w:rsidRPr="00376F97">
        <w:rPr>
          <w:rFonts w:cs="Arial"/>
          <w:sz w:val="21"/>
          <w:szCs w:val="21"/>
        </w:rPr>
        <w:t xml:space="preserve">The regulator issues tradeable credits as an incentive to those who achieve emissions reductions or greenhouse gas removals. </w:t>
      </w:r>
    </w:p>
    <w:p w:rsidRPr="00376F97" w:rsidR="00B42F49" w:rsidP="00B42F49" w:rsidRDefault="00B42F49" w14:paraId="6AC622DD" w14:textId="77777777">
      <w:pPr>
        <w:rPr>
          <w:rFonts w:cs="Arial"/>
          <w:b/>
          <w:bCs/>
          <w:sz w:val="21"/>
          <w:szCs w:val="21"/>
        </w:rPr>
      </w:pPr>
    </w:p>
    <w:p w:rsidRPr="00376F97" w:rsidR="00B42F49" w:rsidP="00B42F49" w:rsidRDefault="00B42F49" w14:paraId="4E346D9F" w14:textId="77777777">
      <w:pPr>
        <w:rPr>
          <w:rFonts w:cs="Arial"/>
          <w:sz w:val="21"/>
          <w:szCs w:val="21"/>
        </w:rPr>
      </w:pPr>
      <w:r w:rsidRPr="00376F97">
        <w:rPr>
          <w:rFonts w:cs="Arial"/>
          <w:sz w:val="21"/>
          <w:szCs w:val="21"/>
        </w:rPr>
        <w:t>Design features:</w:t>
      </w:r>
    </w:p>
    <w:p w:rsidRPr="00376F97" w:rsidR="00B42F49" w:rsidP="00AD6869" w:rsidRDefault="00B42F49" w14:paraId="4C5E57FC" w14:textId="77777777">
      <w:pPr>
        <w:pStyle w:val="ListParagraph"/>
        <w:widowControl/>
        <w:numPr>
          <w:ilvl w:val="0"/>
          <w:numId w:val="4"/>
        </w:numPr>
        <w:autoSpaceDE/>
        <w:autoSpaceDN/>
        <w:spacing w:before="0"/>
        <w:contextualSpacing/>
        <w:rPr>
          <w:rFonts w:cs="Arial"/>
          <w:sz w:val="21"/>
          <w:szCs w:val="21"/>
        </w:rPr>
      </w:pPr>
      <w:r w:rsidRPr="00376F97">
        <w:rPr>
          <w:rFonts w:cs="Arial"/>
          <w:sz w:val="21"/>
          <w:szCs w:val="21"/>
        </w:rPr>
        <w:t>Regulator: International regulator (e.g. CDM Executive Board) / Regional regulator / State government / Substate government</w:t>
      </w:r>
    </w:p>
    <w:p w:rsidRPr="00376F97" w:rsidR="00B42F49" w:rsidP="00AD6869" w:rsidRDefault="00B42F49" w14:paraId="5A62359D" w14:textId="77777777">
      <w:pPr>
        <w:pStyle w:val="ListParagraph"/>
        <w:widowControl/>
        <w:numPr>
          <w:ilvl w:val="0"/>
          <w:numId w:val="4"/>
        </w:numPr>
        <w:autoSpaceDE/>
        <w:autoSpaceDN/>
        <w:spacing w:before="0"/>
        <w:contextualSpacing/>
        <w:rPr>
          <w:rFonts w:cs="Arial"/>
          <w:sz w:val="21"/>
          <w:szCs w:val="21"/>
        </w:rPr>
      </w:pPr>
      <w:r w:rsidRPr="00376F97">
        <w:rPr>
          <w:rFonts w:cs="Arial"/>
          <w:sz w:val="21"/>
          <w:szCs w:val="21"/>
        </w:rPr>
        <w:t xml:space="preserve">Coverage: </w:t>
      </w:r>
    </w:p>
    <w:p w:rsidRPr="00376F97" w:rsidR="00B42F49" w:rsidP="00AD6869" w:rsidRDefault="00B42F49" w14:paraId="04AFA46D" w14:textId="77777777">
      <w:pPr>
        <w:pStyle w:val="ListParagraph"/>
        <w:widowControl/>
        <w:numPr>
          <w:ilvl w:val="1"/>
          <w:numId w:val="4"/>
        </w:numPr>
        <w:autoSpaceDE/>
        <w:autoSpaceDN/>
        <w:spacing w:before="0"/>
        <w:contextualSpacing/>
        <w:rPr>
          <w:rFonts w:cs="Arial"/>
          <w:sz w:val="21"/>
          <w:szCs w:val="21"/>
        </w:rPr>
      </w:pPr>
      <w:r w:rsidRPr="00376F97">
        <w:rPr>
          <w:rFonts w:cs="Arial"/>
          <w:sz w:val="21"/>
          <w:szCs w:val="21"/>
        </w:rPr>
        <w:t>Gases: Carbon dioxide / Other greenhouse gases</w:t>
      </w:r>
    </w:p>
    <w:p w:rsidRPr="00376F97" w:rsidR="00B42F49" w:rsidP="00AD6869" w:rsidRDefault="00B42F49" w14:paraId="61439BA6" w14:textId="77777777">
      <w:pPr>
        <w:pStyle w:val="ListParagraph"/>
        <w:widowControl/>
        <w:numPr>
          <w:ilvl w:val="1"/>
          <w:numId w:val="4"/>
        </w:numPr>
        <w:autoSpaceDE/>
        <w:autoSpaceDN/>
        <w:spacing w:before="0"/>
        <w:contextualSpacing/>
        <w:rPr>
          <w:rFonts w:cs="Arial"/>
          <w:sz w:val="21"/>
          <w:szCs w:val="21"/>
        </w:rPr>
      </w:pPr>
      <w:r w:rsidRPr="00376F97">
        <w:rPr>
          <w:rFonts w:cs="Arial"/>
          <w:sz w:val="21"/>
          <w:szCs w:val="21"/>
        </w:rPr>
        <w:t xml:space="preserve">Activities: Emissions removal / Emissions Reduction </w:t>
      </w:r>
    </w:p>
    <w:p w:rsidRPr="00376F97" w:rsidR="00B42F49" w:rsidP="00B42F49" w:rsidRDefault="00B42F49" w14:paraId="79B71607" w14:textId="77777777">
      <w:pPr>
        <w:pStyle w:val="ListParagraph"/>
        <w:ind w:left="2160"/>
        <w:rPr>
          <w:rFonts w:cs="Arial"/>
          <w:sz w:val="21"/>
          <w:szCs w:val="21"/>
        </w:rPr>
      </w:pPr>
      <w:r w:rsidRPr="00376F97">
        <w:rPr>
          <w:rFonts w:cs="Arial"/>
          <w:sz w:val="21"/>
          <w:szCs w:val="21"/>
        </w:rPr>
        <w:t xml:space="preserve">     Carbon removal projects / Operational reductions from BAU industries</w:t>
      </w:r>
    </w:p>
    <w:p w:rsidRPr="00376F97" w:rsidR="00B42F49" w:rsidP="00AD6869" w:rsidRDefault="00B42F49" w14:paraId="7FD50BDE" w14:textId="77777777">
      <w:pPr>
        <w:pStyle w:val="ListParagraph"/>
        <w:widowControl/>
        <w:numPr>
          <w:ilvl w:val="1"/>
          <w:numId w:val="4"/>
        </w:numPr>
        <w:autoSpaceDE/>
        <w:autoSpaceDN/>
        <w:spacing w:before="0"/>
        <w:contextualSpacing/>
        <w:rPr>
          <w:rFonts w:cs="Arial"/>
          <w:sz w:val="21"/>
          <w:szCs w:val="21"/>
        </w:rPr>
      </w:pPr>
      <w:r w:rsidRPr="00376F97">
        <w:rPr>
          <w:rFonts w:cs="Arial"/>
          <w:sz w:val="21"/>
          <w:szCs w:val="21"/>
        </w:rPr>
        <w:t>Jurisdiction: Globally / Specified jurisdiction</w:t>
      </w:r>
    </w:p>
    <w:p w:rsidRPr="00376F97" w:rsidR="00B42F49" w:rsidP="00AD6869" w:rsidRDefault="00B42F49" w14:paraId="2B353145" w14:textId="77777777">
      <w:pPr>
        <w:pStyle w:val="ListParagraph"/>
        <w:widowControl/>
        <w:numPr>
          <w:ilvl w:val="0"/>
          <w:numId w:val="4"/>
        </w:numPr>
        <w:autoSpaceDE/>
        <w:autoSpaceDN/>
        <w:spacing w:before="0"/>
        <w:contextualSpacing/>
        <w:rPr>
          <w:rFonts w:cs="Arial"/>
          <w:b/>
          <w:bCs/>
          <w:sz w:val="21"/>
          <w:szCs w:val="21"/>
        </w:rPr>
      </w:pPr>
      <w:r w:rsidRPr="00376F97">
        <w:rPr>
          <w:rFonts w:cs="Arial"/>
          <w:sz w:val="21"/>
          <w:szCs w:val="21"/>
        </w:rPr>
        <w:t>Credit Amount: Baseline-based (emission reductions from BAU) / Based on volume of GHG removed from the atmosphere by the project (removals) / Cap on the number of credits</w:t>
      </w:r>
    </w:p>
    <w:p w:rsidRPr="00376F97" w:rsidR="00B42F49" w:rsidP="00AD6869" w:rsidRDefault="00B42F49" w14:paraId="32AFF404" w14:textId="77777777">
      <w:pPr>
        <w:pStyle w:val="ListParagraph"/>
        <w:widowControl/>
        <w:numPr>
          <w:ilvl w:val="0"/>
          <w:numId w:val="4"/>
        </w:numPr>
        <w:autoSpaceDE/>
        <w:autoSpaceDN/>
        <w:spacing w:before="0"/>
        <w:contextualSpacing/>
        <w:rPr>
          <w:rFonts w:cs="Arial"/>
          <w:b/>
          <w:bCs/>
          <w:sz w:val="21"/>
          <w:szCs w:val="21"/>
        </w:rPr>
      </w:pPr>
      <w:r w:rsidRPr="00376F97">
        <w:rPr>
          <w:rFonts w:cs="Arial"/>
          <w:sz w:val="21"/>
          <w:szCs w:val="21"/>
        </w:rPr>
        <w:t>Nature of credits: One or more types of credits (e.g. under Kyoto: CERs, ERUs, RMUs) / Time-validity of credits / Certain types of emitters / industries / certain jurisdictions / Fungibility of credits / Restrictions on use or transfers</w:t>
      </w:r>
    </w:p>
    <w:p w:rsidRPr="00376F97" w:rsidR="00B42F49" w:rsidP="00B42F49" w:rsidRDefault="00B42F49" w14:paraId="23311007" w14:textId="77777777">
      <w:pPr>
        <w:rPr>
          <w:rFonts w:cs="Arial"/>
          <w:b/>
          <w:bCs/>
          <w:sz w:val="21"/>
          <w:szCs w:val="21"/>
        </w:rPr>
      </w:pPr>
    </w:p>
    <w:p w:rsidRPr="00376F97" w:rsidR="00B42F49" w:rsidP="00B42F49" w:rsidRDefault="00B42F49" w14:paraId="2C409677" w14:textId="77777777">
      <w:pPr>
        <w:rPr>
          <w:rFonts w:cs="Arial"/>
          <w:b/>
          <w:bCs/>
          <w:sz w:val="21"/>
          <w:szCs w:val="21"/>
        </w:rPr>
      </w:pPr>
      <w:r w:rsidRPr="00376F97">
        <w:rPr>
          <w:rFonts w:cs="Arial"/>
          <w:b/>
          <w:bCs/>
          <w:sz w:val="21"/>
          <w:szCs w:val="21"/>
        </w:rPr>
        <w:t>Policy 3: Levy Scheme (negative externality internalisation)</w:t>
      </w:r>
    </w:p>
    <w:p w:rsidRPr="00376F97" w:rsidR="00B42F49" w:rsidP="00B42F49" w:rsidRDefault="00B42F49" w14:paraId="44D9165E" w14:textId="77777777">
      <w:pPr>
        <w:rPr>
          <w:rFonts w:cs="Arial"/>
          <w:b/>
          <w:bCs/>
          <w:sz w:val="21"/>
          <w:szCs w:val="21"/>
        </w:rPr>
      </w:pPr>
    </w:p>
    <w:p w:rsidRPr="00376F97" w:rsidR="00B42F49" w:rsidP="00B42F49" w:rsidRDefault="00B42F49" w14:paraId="573BE465" w14:textId="77777777">
      <w:pPr>
        <w:rPr>
          <w:rFonts w:cs="Arial"/>
          <w:sz w:val="21"/>
          <w:szCs w:val="21"/>
        </w:rPr>
      </w:pPr>
      <w:r w:rsidRPr="00376F97">
        <w:rPr>
          <w:rFonts w:cs="Arial"/>
          <w:sz w:val="21"/>
          <w:szCs w:val="21"/>
        </w:rPr>
        <w:t xml:space="preserve">Definition: The regulator raises revenue in a manner that increases the costs of greenhouse gas intensive products or services.  </w:t>
      </w:r>
    </w:p>
    <w:p w:rsidRPr="00376F97" w:rsidR="00B42F49" w:rsidP="00B42F49" w:rsidRDefault="00B42F49" w14:paraId="2FB5E523" w14:textId="77777777">
      <w:pPr>
        <w:rPr>
          <w:rFonts w:cs="Arial"/>
          <w:sz w:val="21"/>
          <w:szCs w:val="21"/>
        </w:rPr>
      </w:pPr>
    </w:p>
    <w:p w:rsidRPr="00376F97" w:rsidR="00B42F49" w:rsidP="00B42F49" w:rsidRDefault="00B42F49" w14:paraId="70243F83" w14:textId="77777777">
      <w:pPr>
        <w:rPr>
          <w:rFonts w:cs="Arial"/>
          <w:sz w:val="21"/>
          <w:szCs w:val="21"/>
        </w:rPr>
      </w:pPr>
      <w:r w:rsidRPr="00376F97">
        <w:rPr>
          <w:rFonts w:cs="Arial"/>
          <w:sz w:val="21"/>
          <w:szCs w:val="21"/>
        </w:rPr>
        <w:t>Design features:</w:t>
      </w:r>
    </w:p>
    <w:p w:rsidRPr="00376F97" w:rsidR="00B42F49" w:rsidP="00AD6869" w:rsidRDefault="00B42F49" w14:paraId="39A56F97" w14:textId="77777777">
      <w:pPr>
        <w:pStyle w:val="ListParagraph"/>
        <w:widowControl/>
        <w:numPr>
          <w:ilvl w:val="0"/>
          <w:numId w:val="5"/>
        </w:numPr>
        <w:autoSpaceDE/>
        <w:autoSpaceDN/>
        <w:spacing w:before="0"/>
        <w:contextualSpacing/>
        <w:rPr>
          <w:rFonts w:cs="Arial"/>
          <w:sz w:val="21"/>
          <w:szCs w:val="21"/>
        </w:rPr>
      </w:pPr>
      <w:r w:rsidRPr="00376F97">
        <w:rPr>
          <w:rFonts w:cs="Arial"/>
          <w:sz w:val="21"/>
          <w:szCs w:val="21"/>
        </w:rPr>
        <w:t>Regulator: Regional / State government / Substate government</w:t>
      </w:r>
    </w:p>
    <w:p w:rsidRPr="00376F97" w:rsidR="00B42F49" w:rsidP="00AD6869" w:rsidRDefault="00B42F49" w14:paraId="1AB6B605" w14:textId="77777777">
      <w:pPr>
        <w:pStyle w:val="ListParagraph"/>
        <w:widowControl/>
        <w:numPr>
          <w:ilvl w:val="0"/>
          <w:numId w:val="5"/>
        </w:numPr>
        <w:autoSpaceDE/>
        <w:autoSpaceDN/>
        <w:spacing w:before="0"/>
        <w:contextualSpacing/>
        <w:rPr>
          <w:rFonts w:cs="Arial"/>
          <w:sz w:val="21"/>
          <w:szCs w:val="21"/>
        </w:rPr>
      </w:pPr>
      <w:r w:rsidRPr="00376F97">
        <w:rPr>
          <w:rFonts w:cs="Arial"/>
          <w:sz w:val="21"/>
          <w:szCs w:val="21"/>
        </w:rPr>
        <w:t xml:space="preserve">Legal nature: </w:t>
      </w:r>
    </w:p>
    <w:p w:rsidRPr="00376F97" w:rsidR="00B42F49" w:rsidP="00B42F49" w:rsidRDefault="00B42F49" w14:paraId="6E71A033" w14:textId="77777777">
      <w:pPr>
        <w:ind w:firstLine="720"/>
        <w:rPr>
          <w:rFonts w:cs="Arial"/>
          <w:sz w:val="21"/>
          <w:szCs w:val="21"/>
        </w:rPr>
      </w:pPr>
      <w:r w:rsidRPr="00376F97">
        <w:rPr>
          <w:rFonts w:cs="Arial"/>
          <w:sz w:val="21"/>
          <w:szCs w:val="21"/>
        </w:rPr>
        <w:t>Collected as a tax / as a regulatory charge</w:t>
      </w:r>
    </w:p>
    <w:p w:rsidRPr="00376F97" w:rsidR="00B42F49" w:rsidP="00B42F49" w:rsidRDefault="00B42F49" w14:paraId="181BC22F" w14:textId="77777777">
      <w:pPr>
        <w:rPr>
          <w:rFonts w:cs="Arial"/>
          <w:sz w:val="21"/>
          <w:szCs w:val="21"/>
        </w:rPr>
      </w:pPr>
      <w:r w:rsidRPr="00376F97">
        <w:rPr>
          <w:rFonts w:cs="Arial"/>
          <w:sz w:val="21"/>
          <w:szCs w:val="21"/>
        </w:rPr>
        <w:tab/>
      </w:r>
      <w:r w:rsidRPr="00376F97">
        <w:rPr>
          <w:rFonts w:cs="Arial"/>
          <w:sz w:val="21"/>
          <w:szCs w:val="21"/>
        </w:rPr>
        <w:t>Raised indirectly by reducing subsidies available to GHG-intensive industries</w:t>
      </w:r>
    </w:p>
    <w:p w:rsidRPr="00376F97" w:rsidR="00B42F49" w:rsidP="00AD6869" w:rsidRDefault="00B42F49" w14:paraId="7BF55013" w14:textId="77777777">
      <w:pPr>
        <w:pStyle w:val="ListParagraph"/>
        <w:widowControl/>
        <w:numPr>
          <w:ilvl w:val="0"/>
          <w:numId w:val="5"/>
        </w:numPr>
        <w:autoSpaceDE/>
        <w:autoSpaceDN/>
        <w:spacing w:before="0"/>
        <w:contextualSpacing/>
        <w:rPr>
          <w:rFonts w:cs="Arial"/>
          <w:sz w:val="21"/>
          <w:szCs w:val="21"/>
        </w:rPr>
      </w:pPr>
      <w:r w:rsidRPr="00376F97">
        <w:rPr>
          <w:rFonts w:cs="Arial"/>
          <w:sz w:val="21"/>
          <w:szCs w:val="21"/>
        </w:rPr>
        <w:t>Coverage: Types of emission / Types of products or services</w:t>
      </w:r>
    </w:p>
    <w:p w:rsidRPr="00376F97" w:rsidR="00B42F49" w:rsidP="00AD6869" w:rsidRDefault="00B42F49" w14:paraId="0D0DE24A" w14:textId="77777777">
      <w:pPr>
        <w:pStyle w:val="ListParagraph"/>
        <w:widowControl/>
        <w:numPr>
          <w:ilvl w:val="1"/>
          <w:numId w:val="5"/>
        </w:numPr>
        <w:autoSpaceDE/>
        <w:autoSpaceDN/>
        <w:spacing w:before="0"/>
        <w:contextualSpacing/>
        <w:rPr>
          <w:rFonts w:cs="Arial"/>
          <w:sz w:val="21"/>
          <w:szCs w:val="21"/>
        </w:rPr>
      </w:pPr>
      <w:r w:rsidRPr="00376F97">
        <w:rPr>
          <w:rFonts w:cs="Arial"/>
          <w:sz w:val="21"/>
          <w:szCs w:val="21"/>
        </w:rPr>
        <w:t xml:space="preserve">Gases: Carbon dioxide / Other gases </w:t>
      </w:r>
    </w:p>
    <w:p w:rsidRPr="00376F97" w:rsidR="00B42F49" w:rsidP="00AD6869" w:rsidRDefault="00B42F49" w14:paraId="68AEEE3F" w14:textId="77777777">
      <w:pPr>
        <w:pStyle w:val="ListParagraph"/>
        <w:widowControl/>
        <w:numPr>
          <w:ilvl w:val="1"/>
          <w:numId w:val="5"/>
        </w:numPr>
        <w:autoSpaceDE/>
        <w:autoSpaceDN/>
        <w:spacing w:before="0"/>
        <w:contextualSpacing/>
        <w:rPr>
          <w:rFonts w:cs="Arial"/>
          <w:sz w:val="21"/>
          <w:szCs w:val="21"/>
        </w:rPr>
      </w:pPr>
      <w:r w:rsidRPr="00376F97">
        <w:rPr>
          <w:rFonts w:cs="Arial"/>
          <w:sz w:val="21"/>
          <w:szCs w:val="21"/>
        </w:rPr>
        <w:t>Products and services: Upstream products / Downstream at the point of consumption</w:t>
      </w:r>
    </w:p>
    <w:p w:rsidRPr="00376F97" w:rsidR="00B42F49" w:rsidP="00AD6869" w:rsidRDefault="00B42F49" w14:paraId="19F6DE06" w14:textId="77777777">
      <w:pPr>
        <w:pStyle w:val="ListParagraph"/>
        <w:widowControl/>
        <w:numPr>
          <w:ilvl w:val="0"/>
          <w:numId w:val="5"/>
        </w:numPr>
        <w:autoSpaceDE/>
        <w:autoSpaceDN/>
        <w:spacing w:before="0"/>
        <w:contextualSpacing/>
        <w:rPr>
          <w:rFonts w:cs="Arial"/>
          <w:sz w:val="21"/>
          <w:szCs w:val="21"/>
        </w:rPr>
      </w:pPr>
      <w:r w:rsidRPr="00376F97">
        <w:rPr>
          <w:rFonts w:cs="Arial"/>
          <w:sz w:val="21"/>
          <w:szCs w:val="21"/>
        </w:rPr>
        <w:t>Price: Based on the GHG intensiveness of the good and granularity / Planned price increases for a certain number of years</w:t>
      </w:r>
    </w:p>
    <w:p w:rsidRPr="00376F97" w:rsidR="00B42F49" w:rsidP="00AD6869" w:rsidRDefault="00B42F49" w14:paraId="2EB05EAD" w14:textId="77777777">
      <w:pPr>
        <w:pStyle w:val="ListParagraph"/>
        <w:widowControl/>
        <w:numPr>
          <w:ilvl w:val="0"/>
          <w:numId w:val="5"/>
        </w:numPr>
        <w:autoSpaceDE/>
        <w:autoSpaceDN/>
        <w:spacing w:before="0"/>
        <w:contextualSpacing/>
        <w:rPr>
          <w:rFonts w:cs="Arial"/>
          <w:sz w:val="21"/>
          <w:szCs w:val="21"/>
        </w:rPr>
      </w:pPr>
      <w:r w:rsidRPr="00376F97">
        <w:rPr>
          <w:rFonts w:cs="Arial"/>
          <w:sz w:val="21"/>
          <w:szCs w:val="21"/>
        </w:rPr>
        <w:t>Revenue allocation: Revenue-neutral / Climate-related allocation / Non-climate-related allocation</w:t>
      </w:r>
    </w:p>
    <w:p w:rsidRPr="00376F97" w:rsidR="00B42F49" w:rsidP="00B42F49" w:rsidRDefault="00B42F49" w14:paraId="3F2CEC2A" w14:textId="77777777">
      <w:pPr>
        <w:rPr>
          <w:rFonts w:cs="Arial"/>
          <w:sz w:val="21"/>
          <w:szCs w:val="21"/>
        </w:rPr>
      </w:pPr>
    </w:p>
    <w:p w:rsidRPr="00376F97" w:rsidR="00B42F49" w:rsidP="00B42F49" w:rsidRDefault="00B42F49" w14:paraId="396CCE84" w14:textId="77777777">
      <w:pPr>
        <w:rPr>
          <w:rFonts w:cs="Arial"/>
          <w:b/>
          <w:bCs/>
          <w:sz w:val="21"/>
          <w:szCs w:val="21"/>
        </w:rPr>
      </w:pPr>
      <w:r w:rsidRPr="00376F97">
        <w:rPr>
          <w:rFonts w:cs="Arial"/>
          <w:b/>
          <w:bCs/>
          <w:sz w:val="21"/>
          <w:szCs w:val="21"/>
        </w:rPr>
        <w:t>Policy 4: Support Scheme (positive externality internalisation)</w:t>
      </w:r>
    </w:p>
    <w:p w:rsidRPr="00376F97" w:rsidR="00B42F49" w:rsidP="00B42F49" w:rsidRDefault="00B42F49" w14:paraId="1E3B6DD4" w14:textId="77777777">
      <w:pPr>
        <w:rPr>
          <w:rFonts w:cs="Arial"/>
          <w:sz w:val="21"/>
          <w:szCs w:val="21"/>
        </w:rPr>
      </w:pPr>
    </w:p>
    <w:p w:rsidRPr="00376F97" w:rsidR="00B42F49" w:rsidP="00B42F49" w:rsidRDefault="00B42F49" w14:paraId="68F1299E" w14:textId="77777777">
      <w:pPr>
        <w:rPr>
          <w:rFonts w:cs="Arial"/>
          <w:sz w:val="21"/>
          <w:szCs w:val="21"/>
        </w:rPr>
      </w:pPr>
      <w:r w:rsidRPr="00376F97">
        <w:rPr>
          <w:rFonts w:cs="Arial"/>
          <w:sz w:val="21"/>
          <w:szCs w:val="21"/>
        </w:rPr>
        <w:t>Definition: The regulator provides support, financial or otherwise, to those providing low greenhouse gas intensity products and services to support their viability.</w:t>
      </w:r>
    </w:p>
    <w:p w:rsidRPr="00376F97" w:rsidR="00B42F49" w:rsidP="00B42F49" w:rsidRDefault="00B42F49" w14:paraId="06D676CE" w14:textId="77777777">
      <w:pPr>
        <w:rPr>
          <w:rFonts w:cs="Arial"/>
          <w:sz w:val="21"/>
          <w:szCs w:val="21"/>
        </w:rPr>
      </w:pPr>
    </w:p>
    <w:p w:rsidRPr="00376F97" w:rsidR="00B42F49" w:rsidP="00B42F49" w:rsidRDefault="00B42F49" w14:paraId="6C987F98" w14:textId="77777777">
      <w:pPr>
        <w:rPr>
          <w:rFonts w:cs="Arial"/>
          <w:sz w:val="21"/>
          <w:szCs w:val="21"/>
        </w:rPr>
      </w:pPr>
      <w:r w:rsidRPr="00376F97">
        <w:rPr>
          <w:rFonts w:cs="Arial"/>
          <w:sz w:val="21"/>
          <w:szCs w:val="21"/>
        </w:rPr>
        <w:t>Design features:</w:t>
      </w:r>
    </w:p>
    <w:p w:rsidRPr="00376F97" w:rsidR="00B42F49" w:rsidP="00AD6869" w:rsidRDefault="00B42F49" w14:paraId="3163E45A" w14:textId="77777777">
      <w:pPr>
        <w:pStyle w:val="ListParagraph"/>
        <w:widowControl/>
        <w:numPr>
          <w:ilvl w:val="0"/>
          <w:numId w:val="6"/>
        </w:numPr>
        <w:autoSpaceDE/>
        <w:autoSpaceDN/>
        <w:spacing w:before="0"/>
        <w:contextualSpacing/>
        <w:rPr>
          <w:rFonts w:cs="Arial"/>
          <w:sz w:val="21"/>
          <w:szCs w:val="21"/>
        </w:rPr>
      </w:pPr>
      <w:r w:rsidRPr="00376F97">
        <w:rPr>
          <w:rFonts w:cs="Arial"/>
          <w:sz w:val="21"/>
          <w:szCs w:val="21"/>
        </w:rPr>
        <w:t>Regulator: International fund (e.g. GCF) / Regional regulator / State government / Substate government</w:t>
      </w:r>
    </w:p>
    <w:p w:rsidRPr="00376F97" w:rsidR="00B42F49" w:rsidP="00AD6869" w:rsidRDefault="00B42F49" w14:paraId="603C2D88" w14:textId="77777777">
      <w:pPr>
        <w:pStyle w:val="ListParagraph"/>
        <w:widowControl/>
        <w:numPr>
          <w:ilvl w:val="0"/>
          <w:numId w:val="6"/>
        </w:numPr>
        <w:autoSpaceDE/>
        <w:autoSpaceDN/>
        <w:spacing w:before="0"/>
        <w:contextualSpacing/>
        <w:rPr>
          <w:rFonts w:cs="Arial"/>
          <w:sz w:val="21"/>
          <w:szCs w:val="21"/>
        </w:rPr>
      </w:pPr>
      <w:r w:rsidRPr="00376F97">
        <w:rPr>
          <w:rFonts w:cs="Arial"/>
          <w:sz w:val="21"/>
          <w:szCs w:val="21"/>
        </w:rPr>
        <w:t>Legal nature:</w:t>
      </w:r>
    </w:p>
    <w:p w:rsidRPr="00376F97" w:rsidR="00B42F49" w:rsidP="00AD6869" w:rsidRDefault="00B42F49" w14:paraId="7FAB9644" w14:textId="77777777">
      <w:pPr>
        <w:pStyle w:val="ListParagraph"/>
        <w:widowControl/>
        <w:numPr>
          <w:ilvl w:val="1"/>
          <w:numId w:val="6"/>
        </w:numPr>
        <w:autoSpaceDE/>
        <w:autoSpaceDN/>
        <w:spacing w:before="0"/>
        <w:contextualSpacing/>
        <w:rPr>
          <w:rFonts w:cs="Arial"/>
          <w:sz w:val="21"/>
          <w:szCs w:val="21"/>
        </w:rPr>
      </w:pPr>
      <w:r w:rsidRPr="00376F97">
        <w:rPr>
          <w:rFonts w:cs="Arial"/>
          <w:sz w:val="21"/>
          <w:szCs w:val="21"/>
        </w:rPr>
        <w:t>Investment</w:t>
      </w:r>
    </w:p>
    <w:p w:rsidRPr="00376F97" w:rsidR="00B42F49" w:rsidP="00AD6869" w:rsidRDefault="00B42F49" w14:paraId="74B0A310" w14:textId="77777777">
      <w:pPr>
        <w:pStyle w:val="ListParagraph"/>
        <w:widowControl/>
        <w:numPr>
          <w:ilvl w:val="1"/>
          <w:numId w:val="6"/>
        </w:numPr>
        <w:autoSpaceDE/>
        <w:autoSpaceDN/>
        <w:spacing w:before="0"/>
        <w:contextualSpacing/>
        <w:rPr>
          <w:rFonts w:cs="Arial"/>
          <w:sz w:val="21"/>
          <w:szCs w:val="21"/>
        </w:rPr>
      </w:pPr>
      <w:r w:rsidRPr="00376F97">
        <w:rPr>
          <w:rFonts w:cs="Arial"/>
          <w:sz w:val="21"/>
          <w:szCs w:val="21"/>
        </w:rPr>
        <w:t xml:space="preserve">Financial: Tax credits, tax rebates, preferential loans, loan support, equity injections or grants </w:t>
      </w:r>
    </w:p>
    <w:p w:rsidRPr="00376F97" w:rsidR="00B42F49" w:rsidP="00AD6869" w:rsidRDefault="00B42F49" w14:paraId="376CA076" w14:textId="77777777">
      <w:pPr>
        <w:pStyle w:val="ListParagraph"/>
        <w:widowControl/>
        <w:numPr>
          <w:ilvl w:val="1"/>
          <w:numId w:val="6"/>
        </w:numPr>
        <w:autoSpaceDE/>
        <w:autoSpaceDN/>
        <w:spacing w:before="0"/>
        <w:contextualSpacing/>
        <w:rPr>
          <w:rFonts w:cs="Arial"/>
          <w:sz w:val="21"/>
          <w:szCs w:val="21"/>
        </w:rPr>
      </w:pPr>
      <w:r w:rsidRPr="00376F97">
        <w:rPr>
          <w:rFonts w:cs="Arial"/>
          <w:sz w:val="21"/>
          <w:szCs w:val="21"/>
        </w:rPr>
        <w:t>Procurement: direct (low greenhouse gas intensity products, e.g. electricity from modern renewables) or indirect (local content requirements linked to direct procurement)</w:t>
      </w:r>
    </w:p>
    <w:p w:rsidRPr="00376F97" w:rsidR="00B42F49" w:rsidP="00AD6869" w:rsidRDefault="00B42F49" w14:paraId="5D54AE40" w14:textId="77777777">
      <w:pPr>
        <w:pStyle w:val="ListParagraph"/>
        <w:widowControl/>
        <w:numPr>
          <w:ilvl w:val="1"/>
          <w:numId w:val="6"/>
        </w:numPr>
        <w:autoSpaceDE/>
        <w:autoSpaceDN/>
        <w:spacing w:before="0"/>
        <w:contextualSpacing/>
        <w:rPr>
          <w:rFonts w:cs="Arial"/>
          <w:sz w:val="21"/>
          <w:szCs w:val="21"/>
        </w:rPr>
      </w:pPr>
      <w:r w:rsidRPr="00376F97">
        <w:rPr>
          <w:rFonts w:cs="Arial"/>
          <w:sz w:val="21"/>
          <w:szCs w:val="21"/>
        </w:rPr>
        <w:t xml:space="preserve">Mandates </w:t>
      </w:r>
    </w:p>
    <w:p w:rsidRPr="00376F97" w:rsidR="00B42F49" w:rsidP="00AD6869" w:rsidRDefault="00B42F49" w14:paraId="14ADAFDC" w14:textId="77777777">
      <w:pPr>
        <w:pStyle w:val="ListParagraph"/>
        <w:widowControl/>
        <w:numPr>
          <w:ilvl w:val="1"/>
          <w:numId w:val="6"/>
        </w:numPr>
        <w:autoSpaceDE/>
        <w:autoSpaceDN/>
        <w:spacing w:before="0"/>
        <w:contextualSpacing/>
        <w:rPr>
          <w:rFonts w:cs="Arial"/>
          <w:sz w:val="21"/>
          <w:szCs w:val="21"/>
        </w:rPr>
      </w:pPr>
      <w:r w:rsidRPr="00376F97">
        <w:rPr>
          <w:rFonts w:cs="Arial"/>
          <w:sz w:val="21"/>
          <w:szCs w:val="21"/>
        </w:rPr>
        <w:t>Property: Legal protections for private investments in the target industries</w:t>
      </w:r>
    </w:p>
    <w:p w:rsidRPr="00376F97" w:rsidR="00B42F49" w:rsidP="00AD6869" w:rsidRDefault="00B42F49" w14:paraId="66403FE5" w14:textId="77777777">
      <w:pPr>
        <w:pStyle w:val="ListParagraph"/>
        <w:widowControl/>
        <w:numPr>
          <w:ilvl w:val="0"/>
          <w:numId w:val="6"/>
        </w:numPr>
        <w:autoSpaceDE/>
        <w:autoSpaceDN/>
        <w:spacing w:before="0"/>
        <w:contextualSpacing/>
        <w:rPr>
          <w:rFonts w:cs="Arial"/>
          <w:sz w:val="21"/>
          <w:szCs w:val="21"/>
        </w:rPr>
      </w:pPr>
      <w:r w:rsidRPr="00376F97">
        <w:rPr>
          <w:rFonts w:cs="Arial"/>
          <w:sz w:val="21"/>
          <w:szCs w:val="21"/>
        </w:rPr>
        <w:t>Coverage: Specific industries / Products / Services</w:t>
      </w:r>
    </w:p>
    <w:p w:rsidRPr="00376F97" w:rsidR="00B42F49" w:rsidP="00AD6869" w:rsidRDefault="00B42F49" w14:paraId="49E01E24" w14:textId="77777777">
      <w:pPr>
        <w:pStyle w:val="ListParagraph"/>
        <w:widowControl/>
        <w:numPr>
          <w:ilvl w:val="0"/>
          <w:numId w:val="6"/>
        </w:numPr>
        <w:autoSpaceDE/>
        <w:autoSpaceDN/>
        <w:spacing w:before="0"/>
        <w:contextualSpacing/>
        <w:rPr>
          <w:rFonts w:cs="Arial"/>
          <w:sz w:val="21"/>
          <w:szCs w:val="21"/>
        </w:rPr>
      </w:pPr>
      <w:r w:rsidRPr="00376F97">
        <w:rPr>
          <w:rFonts w:cs="Arial"/>
          <w:sz w:val="21"/>
          <w:szCs w:val="21"/>
        </w:rPr>
        <w:t xml:space="preserve">Magnitude of assistance: Direct financial assistance / Increase costs paid as compared to higher GHG intensity alternatives / Other support like intellectual property rights </w:t>
      </w:r>
    </w:p>
    <w:p w:rsidRPr="00376F97" w:rsidR="00B42F49" w:rsidP="00AD6869" w:rsidRDefault="00B42F49" w14:paraId="35F11EC6" w14:textId="77777777">
      <w:pPr>
        <w:pStyle w:val="ListParagraph"/>
        <w:widowControl/>
        <w:numPr>
          <w:ilvl w:val="0"/>
          <w:numId w:val="6"/>
        </w:numPr>
        <w:autoSpaceDE/>
        <w:autoSpaceDN/>
        <w:spacing w:before="0"/>
        <w:contextualSpacing/>
        <w:rPr>
          <w:rFonts w:cs="Arial"/>
          <w:sz w:val="21"/>
          <w:szCs w:val="21"/>
        </w:rPr>
      </w:pPr>
      <w:r w:rsidRPr="00376F97">
        <w:rPr>
          <w:rFonts w:cs="Arial"/>
          <w:sz w:val="21"/>
          <w:szCs w:val="21"/>
        </w:rPr>
        <w:t>Adjustments over time / Cancellation (pre-determined length of time)</w:t>
      </w:r>
    </w:p>
    <w:p w:rsidRPr="00376F97" w:rsidR="00B42F49" w:rsidP="00B42F49" w:rsidRDefault="00B42F49" w14:paraId="7E3667A5" w14:textId="77777777">
      <w:pPr>
        <w:rPr>
          <w:rFonts w:cs="Arial"/>
          <w:b/>
          <w:bCs/>
          <w:sz w:val="21"/>
          <w:szCs w:val="21"/>
          <w:highlight w:val="yellow"/>
        </w:rPr>
      </w:pPr>
    </w:p>
    <w:p w:rsidRPr="00376F97" w:rsidR="00B42F49" w:rsidP="00B42F49" w:rsidRDefault="00B42F49" w14:paraId="08331D5B" w14:textId="77777777">
      <w:pPr>
        <w:rPr>
          <w:rFonts w:cs="Arial"/>
          <w:sz w:val="21"/>
          <w:szCs w:val="21"/>
        </w:rPr>
      </w:pPr>
      <w:r w:rsidRPr="00376F97">
        <w:rPr>
          <w:rFonts w:cs="Arial"/>
          <w:b/>
          <w:bCs/>
          <w:sz w:val="21"/>
          <w:szCs w:val="21"/>
        </w:rPr>
        <w:t>Policy 5: Carbon Border Adjustment Mechanism</w:t>
      </w:r>
    </w:p>
    <w:p w:rsidRPr="00376F97" w:rsidR="00B42F49" w:rsidP="00B42F49" w:rsidRDefault="00B42F49" w14:paraId="2BF9DBA4" w14:textId="77777777">
      <w:pPr>
        <w:rPr>
          <w:rFonts w:cs="Arial"/>
          <w:b/>
          <w:bCs/>
          <w:sz w:val="21"/>
          <w:szCs w:val="21"/>
        </w:rPr>
      </w:pPr>
    </w:p>
    <w:p w:rsidRPr="00376F97" w:rsidR="00B42F49" w:rsidP="00B42F49" w:rsidRDefault="00B42F49" w14:paraId="2B6BE32B" w14:textId="77777777">
      <w:pPr>
        <w:rPr>
          <w:rFonts w:cs="Arial"/>
          <w:sz w:val="21"/>
          <w:szCs w:val="21"/>
        </w:rPr>
      </w:pPr>
      <w:r w:rsidRPr="00376F97">
        <w:rPr>
          <w:rFonts w:cs="Arial"/>
          <w:sz w:val="21"/>
          <w:szCs w:val="21"/>
        </w:rPr>
        <w:t xml:space="preserve">Definition: The regulator uses trade-related measures to impose costs on imported goods with a view to equalizing the GHG emissions costs faced by domestic and foreign producers. </w:t>
      </w:r>
    </w:p>
    <w:p w:rsidRPr="00376F97" w:rsidR="00B42F49" w:rsidP="00B42F49" w:rsidRDefault="00B42F49" w14:paraId="64F6B220" w14:textId="77777777">
      <w:pPr>
        <w:rPr>
          <w:rFonts w:cs="Arial"/>
          <w:sz w:val="21"/>
          <w:szCs w:val="21"/>
        </w:rPr>
      </w:pPr>
    </w:p>
    <w:p w:rsidRPr="00376F97" w:rsidR="00B42F49" w:rsidP="00B42F49" w:rsidRDefault="00B42F49" w14:paraId="671C56BB" w14:textId="77777777">
      <w:pPr>
        <w:rPr>
          <w:rFonts w:cs="Arial"/>
          <w:sz w:val="21"/>
          <w:szCs w:val="21"/>
        </w:rPr>
      </w:pPr>
      <w:r w:rsidRPr="00376F97">
        <w:rPr>
          <w:rFonts w:cs="Arial"/>
          <w:sz w:val="21"/>
          <w:szCs w:val="21"/>
        </w:rPr>
        <w:t xml:space="preserve">Design Features: </w:t>
      </w:r>
    </w:p>
    <w:p w:rsidRPr="00376F97" w:rsidR="00B42F49" w:rsidP="00AD6869" w:rsidRDefault="00B42F49" w14:paraId="45382D5C" w14:textId="77777777">
      <w:pPr>
        <w:pStyle w:val="ListParagraph"/>
        <w:widowControl/>
        <w:numPr>
          <w:ilvl w:val="0"/>
          <w:numId w:val="7"/>
        </w:numPr>
        <w:autoSpaceDE/>
        <w:autoSpaceDN/>
        <w:spacing w:before="0"/>
        <w:contextualSpacing/>
        <w:rPr>
          <w:rFonts w:cs="Arial"/>
          <w:sz w:val="21"/>
          <w:szCs w:val="21"/>
        </w:rPr>
      </w:pPr>
      <w:r w:rsidRPr="00376F97">
        <w:rPr>
          <w:rFonts w:cs="Arial"/>
          <w:sz w:val="21"/>
          <w:szCs w:val="21"/>
        </w:rPr>
        <w:t>Regulator: Regional regulator (e.g. European Commission) / State government / Substate government (if in charge of trade policy, e.g. Macau or Hong Kong)</w:t>
      </w:r>
    </w:p>
    <w:p w:rsidRPr="00376F97" w:rsidR="00B42F49" w:rsidP="00AD6869" w:rsidRDefault="00B42F49" w14:paraId="1730EBB4" w14:textId="65D1F7C4">
      <w:pPr>
        <w:pStyle w:val="ListParagraph"/>
        <w:widowControl/>
        <w:numPr>
          <w:ilvl w:val="0"/>
          <w:numId w:val="7"/>
        </w:numPr>
        <w:autoSpaceDE/>
        <w:autoSpaceDN/>
        <w:spacing w:before="0"/>
        <w:contextualSpacing/>
        <w:rPr>
          <w:rFonts w:cs="Arial"/>
          <w:sz w:val="21"/>
          <w:szCs w:val="21"/>
        </w:rPr>
      </w:pPr>
      <w:r w:rsidRPr="00376F97">
        <w:rPr>
          <w:rFonts w:cs="Arial"/>
          <w:sz w:val="21"/>
          <w:szCs w:val="21"/>
        </w:rPr>
        <w:t>Legal nature: Import-based, export-based or both / Equalisation duty imposed at the border on foreign goods or at the point of consumption on all goods / Regulation (</w:t>
      </w:r>
      <w:r w:rsidRPr="00376F97" w:rsidR="00AD2EA3">
        <w:rPr>
          <w:rFonts w:cs="Arial"/>
          <w:sz w:val="21"/>
          <w:szCs w:val="21"/>
        </w:rPr>
        <w:t>e.g.,</w:t>
      </w:r>
      <w:r w:rsidRPr="00376F97">
        <w:rPr>
          <w:rFonts w:cs="Arial"/>
          <w:sz w:val="21"/>
          <w:szCs w:val="21"/>
        </w:rPr>
        <w:t xml:space="preserve"> extension of an emissions trading scheme to importers, or mirroring regulation imposing similar cost) / Export rebates to remove internal GHG cost when good is exported / Free allocation or other support to equalise situation of domestic producers</w:t>
      </w:r>
    </w:p>
    <w:p w:rsidRPr="00376F97" w:rsidR="00B42F49" w:rsidP="00AD6869" w:rsidRDefault="00B42F49" w14:paraId="4ACF2498" w14:textId="77777777">
      <w:pPr>
        <w:pStyle w:val="ListParagraph"/>
        <w:widowControl/>
        <w:numPr>
          <w:ilvl w:val="0"/>
          <w:numId w:val="7"/>
        </w:numPr>
        <w:autoSpaceDE/>
        <w:autoSpaceDN/>
        <w:spacing w:before="0"/>
        <w:contextualSpacing/>
        <w:rPr>
          <w:rFonts w:cs="Arial"/>
          <w:sz w:val="21"/>
          <w:szCs w:val="21"/>
        </w:rPr>
      </w:pPr>
      <w:r w:rsidRPr="00376F97">
        <w:rPr>
          <w:rFonts w:cs="Arial"/>
          <w:sz w:val="21"/>
          <w:szCs w:val="21"/>
        </w:rPr>
        <w:t>Coverage: GHG emission-based / Limited to certain goods and materials</w:t>
      </w:r>
    </w:p>
    <w:p w:rsidRPr="00376F97" w:rsidR="00B42F49" w:rsidP="00AD6869" w:rsidRDefault="00B42F49" w14:paraId="07BBAAA6" w14:textId="77777777">
      <w:pPr>
        <w:pStyle w:val="ListParagraph"/>
        <w:widowControl/>
        <w:numPr>
          <w:ilvl w:val="1"/>
          <w:numId w:val="7"/>
        </w:numPr>
        <w:autoSpaceDE/>
        <w:autoSpaceDN/>
        <w:spacing w:before="0"/>
        <w:contextualSpacing/>
        <w:rPr>
          <w:rFonts w:cs="Arial"/>
          <w:sz w:val="21"/>
          <w:szCs w:val="21"/>
        </w:rPr>
      </w:pPr>
      <w:r w:rsidRPr="00376F97">
        <w:rPr>
          <w:rFonts w:cs="Arial"/>
          <w:sz w:val="21"/>
          <w:szCs w:val="21"/>
        </w:rPr>
        <w:t>Gases: Carbon dioxide / Other gases</w:t>
      </w:r>
    </w:p>
    <w:p w:rsidRPr="00376F97" w:rsidR="00B42F49" w:rsidP="00AD6869" w:rsidRDefault="00B42F49" w14:paraId="458E4419" w14:textId="77777777">
      <w:pPr>
        <w:pStyle w:val="ListParagraph"/>
        <w:widowControl/>
        <w:numPr>
          <w:ilvl w:val="1"/>
          <w:numId w:val="7"/>
        </w:numPr>
        <w:autoSpaceDE/>
        <w:autoSpaceDN/>
        <w:spacing w:before="0"/>
        <w:contextualSpacing/>
        <w:rPr>
          <w:rFonts w:cs="Arial"/>
          <w:sz w:val="21"/>
          <w:szCs w:val="21"/>
        </w:rPr>
      </w:pPr>
      <w:r w:rsidRPr="00376F97">
        <w:rPr>
          <w:rFonts w:cs="Arial"/>
          <w:sz w:val="21"/>
          <w:szCs w:val="21"/>
        </w:rPr>
        <w:t>Emissions: Schemes may vary in scope of the emissions they target (Scopes 1, 2 or 3 of the Greenhouse Gas Protocol)</w:t>
      </w:r>
    </w:p>
    <w:p w:rsidRPr="00376F97" w:rsidR="00B42F49" w:rsidP="00AD6869" w:rsidRDefault="00B42F49" w14:paraId="7DD749D8" w14:textId="77777777">
      <w:pPr>
        <w:pStyle w:val="ListParagraph"/>
        <w:widowControl/>
        <w:numPr>
          <w:ilvl w:val="1"/>
          <w:numId w:val="7"/>
        </w:numPr>
        <w:autoSpaceDE/>
        <w:autoSpaceDN/>
        <w:spacing w:before="0"/>
        <w:contextualSpacing/>
        <w:rPr>
          <w:rFonts w:cs="Arial"/>
          <w:sz w:val="21"/>
          <w:szCs w:val="21"/>
        </w:rPr>
      </w:pPr>
      <w:r w:rsidRPr="00376F97">
        <w:rPr>
          <w:rFonts w:cs="Arial"/>
          <w:sz w:val="21"/>
          <w:szCs w:val="21"/>
        </w:rPr>
        <w:t>Goods and materials: Different goods and materials (raw materials, electricity and manufactured goods including those raw materials or electricity)</w:t>
      </w:r>
    </w:p>
    <w:p w:rsidRPr="00376F97" w:rsidR="00B42F49" w:rsidP="00AD6869" w:rsidRDefault="00B42F49" w14:paraId="4738F0B5" w14:textId="77777777">
      <w:pPr>
        <w:pStyle w:val="ListParagraph"/>
        <w:widowControl/>
        <w:numPr>
          <w:ilvl w:val="1"/>
          <w:numId w:val="7"/>
        </w:numPr>
        <w:autoSpaceDE/>
        <w:autoSpaceDN/>
        <w:spacing w:before="0"/>
        <w:contextualSpacing/>
        <w:rPr>
          <w:rFonts w:cs="Arial"/>
          <w:sz w:val="21"/>
          <w:szCs w:val="21"/>
        </w:rPr>
      </w:pPr>
      <w:r w:rsidRPr="00376F97">
        <w:rPr>
          <w:rFonts w:cs="Arial"/>
          <w:sz w:val="21"/>
          <w:szCs w:val="21"/>
        </w:rPr>
        <w:t>Exemptions: origin-based exemptions / subsequent equivalence-based exceptions / specific good or flow carve-outs</w:t>
      </w:r>
    </w:p>
    <w:p w:rsidRPr="00376F97" w:rsidR="00B42F49" w:rsidP="00AD6869" w:rsidRDefault="00B42F49" w14:paraId="6E7738BA" w14:textId="77777777">
      <w:pPr>
        <w:pStyle w:val="ListParagraph"/>
        <w:widowControl/>
        <w:numPr>
          <w:ilvl w:val="0"/>
          <w:numId w:val="7"/>
        </w:numPr>
        <w:autoSpaceDE/>
        <w:autoSpaceDN/>
        <w:spacing w:before="0"/>
        <w:contextualSpacing/>
        <w:rPr>
          <w:rFonts w:cs="Arial"/>
          <w:sz w:val="21"/>
          <w:szCs w:val="21"/>
        </w:rPr>
      </w:pPr>
      <w:r w:rsidRPr="00376F97">
        <w:rPr>
          <w:rFonts w:cs="Arial"/>
          <w:sz w:val="21"/>
          <w:szCs w:val="21"/>
        </w:rPr>
        <w:t>Additional Cost Imposed: GHG pricing (based on home prices or some common standard) / Administrative costs</w:t>
      </w:r>
    </w:p>
    <w:p w:rsidRPr="00376F97" w:rsidR="00B42F49" w:rsidP="00AD6869" w:rsidRDefault="00B42F49" w14:paraId="6EC823C4" w14:textId="77777777">
      <w:pPr>
        <w:pStyle w:val="ListParagraph"/>
        <w:widowControl/>
        <w:numPr>
          <w:ilvl w:val="0"/>
          <w:numId w:val="7"/>
        </w:numPr>
        <w:autoSpaceDE/>
        <w:autoSpaceDN/>
        <w:spacing w:before="0"/>
        <w:contextualSpacing/>
        <w:rPr>
          <w:rFonts w:cs="Arial"/>
          <w:sz w:val="21"/>
          <w:szCs w:val="21"/>
        </w:rPr>
      </w:pPr>
      <w:r w:rsidRPr="00376F97">
        <w:rPr>
          <w:rFonts w:cs="Arial"/>
          <w:sz w:val="21"/>
          <w:szCs w:val="21"/>
        </w:rPr>
        <w:t>Revenue allocation: Climate-related allocation / No climate-relate allocation</w:t>
      </w:r>
    </w:p>
    <w:p w:rsidRPr="00376F97" w:rsidR="00B42F49" w:rsidP="00B42F49" w:rsidRDefault="00B42F49" w14:paraId="0F10FB23" w14:textId="77777777">
      <w:pPr>
        <w:rPr>
          <w:rFonts w:cs="Arial"/>
          <w:sz w:val="21"/>
          <w:szCs w:val="21"/>
        </w:rPr>
      </w:pPr>
    </w:p>
    <w:p w:rsidRPr="00376F97" w:rsidR="00B42F49" w:rsidP="00B42F49" w:rsidRDefault="00B42F49" w14:paraId="197F149B" w14:textId="77777777">
      <w:pPr>
        <w:rPr>
          <w:rFonts w:cs="Arial"/>
          <w:b/>
          <w:bCs/>
          <w:sz w:val="21"/>
          <w:szCs w:val="21"/>
        </w:rPr>
      </w:pPr>
      <w:r w:rsidRPr="00376F97">
        <w:rPr>
          <w:rFonts w:cs="Arial"/>
          <w:b/>
          <w:bCs/>
          <w:sz w:val="21"/>
          <w:szCs w:val="21"/>
        </w:rPr>
        <w:t>Policy 6: Linking Mechanism</w:t>
      </w:r>
    </w:p>
    <w:p w:rsidRPr="00376F97" w:rsidR="00B42F49" w:rsidP="00B42F49" w:rsidRDefault="00B42F49" w14:paraId="3B463C33" w14:textId="77777777">
      <w:pPr>
        <w:rPr>
          <w:rFonts w:cs="Arial"/>
          <w:b/>
          <w:bCs/>
          <w:sz w:val="21"/>
          <w:szCs w:val="21"/>
        </w:rPr>
      </w:pPr>
    </w:p>
    <w:p w:rsidRPr="00376F97" w:rsidR="00B42F49" w:rsidP="00B42F49" w:rsidRDefault="00B42F49" w14:paraId="24E5877F" w14:textId="2986A21F">
      <w:pPr>
        <w:rPr>
          <w:rFonts w:cs="Arial"/>
          <w:sz w:val="21"/>
          <w:szCs w:val="21"/>
        </w:rPr>
      </w:pPr>
      <w:r w:rsidRPr="1A456281">
        <w:rPr>
          <w:rFonts w:cs="Arial"/>
          <w:sz w:val="21"/>
          <w:szCs w:val="21"/>
        </w:rPr>
        <w:t>Definition: The regulator(s) create a mechanism by which pricing mechanisms, normally allowances and offsets, can be used in two or more linked jurisdictions.</w:t>
      </w:r>
    </w:p>
    <w:p w:rsidRPr="00376F97" w:rsidR="00B42F49" w:rsidP="00B42F49" w:rsidRDefault="00B42F49" w14:paraId="148BC8B7" w14:textId="77777777">
      <w:pPr>
        <w:rPr>
          <w:rFonts w:cs="Arial"/>
          <w:sz w:val="21"/>
          <w:szCs w:val="21"/>
        </w:rPr>
      </w:pPr>
    </w:p>
    <w:p w:rsidRPr="00376F97" w:rsidR="00B42F49" w:rsidP="00B42F49" w:rsidRDefault="00B42F49" w14:paraId="519FC316" w14:textId="77777777">
      <w:pPr>
        <w:rPr>
          <w:rFonts w:cs="Arial"/>
          <w:sz w:val="21"/>
          <w:szCs w:val="21"/>
        </w:rPr>
      </w:pPr>
      <w:r w:rsidRPr="00376F97">
        <w:rPr>
          <w:rFonts w:cs="Arial"/>
          <w:sz w:val="21"/>
          <w:szCs w:val="21"/>
        </w:rPr>
        <w:t>Design features:</w:t>
      </w:r>
    </w:p>
    <w:p w:rsidRPr="00376F97" w:rsidR="00B42F49" w:rsidP="00AD6869" w:rsidRDefault="00B42F49" w14:paraId="790BFC14" w14:textId="77777777">
      <w:pPr>
        <w:pStyle w:val="ListParagraph"/>
        <w:widowControl/>
        <w:numPr>
          <w:ilvl w:val="0"/>
          <w:numId w:val="8"/>
        </w:numPr>
        <w:autoSpaceDE/>
        <w:autoSpaceDN/>
        <w:spacing w:before="0"/>
        <w:contextualSpacing/>
        <w:rPr>
          <w:rFonts w:cs="Arial"/>
          <w:sz w:val="21"/>
          <w:szCs w:val="21"/>
        </w:rPr>
      </w:pPr>
      <w:r w:rsidRPr="00376F97">
        <w:rPr>
          <w:rFonts w:cs="Arial"/>
          <w:sz w:val="21"/>
          <w:szCs w:val="21"/>
        </w:rPr>
        <w:t xml:space="preserve">Regulator(s) of the linked schemes: Regional / State government / Substate government </w:t>
      </w:r>
    </w:p>
    <w:p w:rsidRPr="00376F97" w:rsidR="00B42F49" w:rsidP="00AD6869" w:rsidRDefault="00B42F49" w14:paraId="5BD28A58" w14:textId="77777777">
      <w:pPr>
        <w:pStyle w:val="ListParagraph"/>
        <w:widowControl/>
        <w:numPr>
          <w:ilvl w:val="0"/>
          <w:numId w:val="8"/>
        </w:numPr>
        <w:autoSpaceDE/>
        <w:autoSpaceDN/>
        <w:spacing w:before="0"/>
        <w:contextualSpacing/>
        <w:rPr>
          <w:rFonts w:cs="Arial"/>
          <w:sz w:val="21"/>
          <w:szCs w:val="21"/>
        </w:rPr>
      </w:pPr>
      <w:r w:rsidRPr="00376F97">
        <w:rPr>
          <w:rFonts w:cs="Arial"/>
          <w:sz w:val="21"/>
          <w:szCs w:val="21"/>
        </w:rPr>
        <w:t>Recognition: Unilateral / Reciprocal / Multilateral</w:t>
      </w:r>
    </w:p>
    <w:p w:rsidRPr="00376F97" w:rsidR="00B42F49" w:rsidP="00AD6869" w:rsidRDefault="00B42F49" w14:paraId="37122E35" w14:textId="77777777">
      <w:pPr>
        <w:pStyle w:val="ListParagraph"/>
        <w:widowControl/>
        <w:numPr>
          <w:ilvl w:val="0"/>
          <w:numId w:val="8"/>
        </w:numPr>
        <w:autoSpaceDE/>
        <w:autoSpaceDN/>
        <w:spacing w:before="0"/>
        <w:contextualSpacing/>
        <w:rPr>
          <w:rFonts w:cs="Arial"/>
          <w:sz w:val="21"/>
          <w:szCs w:val="21"/>
        </w:rPr>
      </w:pPr>
      <w:r w:rsidRPr="00376F97">
        <w:rPr>
          <w:rFonts w:cs="Arial"/>
          <w:sz w:val="21"/>
          <w:szCs w:val="21"/>
        </w:rPr>
        <w:t xml:space="preserve">Legal nature: </w:t>
      </w:r>
    </w:p>
    <w:p w:rsidRPr="00376F97" w:rsidR="00B42F49" w:rsidP="00AD6869" w:rsidRDefault="00B42F49" w14:paraId="4F8371BB" w14:textId="77777777">
      <w:pPr>
        <w:pStyle w:val="ListParagraph"/>
        <w:widowControl/>
        <w:numPr>
          <w:ilvl w:val="1"/>
          <w:numId w:val="7"/>
        </w:numPr>
        <w:autoSpaceDE/>
        <w:autoSpaceDN/>
        <w:spacing w:before="0"/>
        <w:contextualSpacing/>
        <w:rPr>
          <w:rFonts w:cs="Arial"/>
          <w:sz w:val="21"/>
          <w:szCs w:val="21"/>
        </w:rPr>
      </w:pPr>
      <w:r w:rsidRPr="00376F97">
        <w:rPr>
          <w:rFonts w:cs="Arial"/>
          <w:sz w:val="21"/>
          <w:szCs w:val="21"/>
        </w:rPr>
        <w:t>Type of recognition: Unilateral recognition / Binding agreement between regulators (contract or treaty) / Non-binding cooperative mechanisms</w:t>
      </w:r>
    </w:p>
    <w:p w:rsidRPr="00376F97" w:rsidR="00B42F49" w:rsidP="00AD6869" w:rsidRDefault="00B42F49" w14:paraId="00AF01E8" w14:textId="3EDF0889">
      <w:pPr>
        <w:pStyle w:val="ListParagraph"/>
        <w:widowControl/>
        <w:numPr>
          <w:ilvl w:val="1"/>
          <w:numId w:val="7"/>
        </w:numPr>
        <w:autoSpaceDE/>
        <w:autoSpaceDN/>
        <w:spacing w:before="0"/>
        <w:contextualSpacing/>
        <w:rPr>
          <w:rFonts w:cs="Arial"/>
          <w:sz w:val="21"/>
          <w:szCs w:val="21"/>
        </w:rPr>
      </w:pPr>
      <w:r w:rsidRPr="00376F97">
        <w:rPr>
          <w:rFonts w:cs="Arial"/>
          <w:sz w:val="21"/>
          <w:szCs w:val="21"/>
        </w:rPr>
        <w:t xml:space="preserve">Scope of the linking: allowances and/or offsets and/or compliance certificates with other pricing mechanisms / GHG, project and industry coverage (depending </w:t>
      </w:r>
      <w:r w:rsidRPr="00376F97" w:rsidR="00AD2EA3">
        <w:rPr>
          <w:rFonts w:cs="Arial"/>
          <w:sz w:val="21"/>
          <w:szCs w:val="21"/>
        </w:rPr>
        <w:t>on</w:t>
      </w:r>
      <w:r w:rsidRPr="00376F97">
        <w:rPr>
          <w:rFonts w:cs="Arial"/>
          <w:sz w:val="21"/>
          <w:szCs w:val="21"/>
        </w:rPr>
        <w:t xml:space="preserve"> scope of linked mechanisms)</w:t>
      </w:r>
    </w:p>
    <w:p w:rsidRPr="00376F97" w:rsidR="00B42F49" w:rsidP="00AD6869" w:rsidRDefault="00B42F49" w14:paraId="54E8D521" w14:textId="77777777">
      <w:pPr>
        <w:pStyle w:val="ListParagraph"/>
        <w:widowControl/>
        <w:numPr>
          <w:ilvl w:val="0"/>
          <w:numId w:val="8"/>
        </w:numPr>
        <w:autoSpaceDE/>
        <w:autoSpaceDN/>
        <w:spacing w:before="0"/>
        <w:contextualSpacing/>
        <w:rPr>
          <w:rFonts w:cs="Arial"/>
          <w:sz w:val="21"/>
          <w:szCs w:val="21"/>
        </w:rPr>
      </w:pPr>
      <w:r w:rsidRPr="00376F97">
        <w:rPr>
          <w:rFonts w:cs="Arial"/>
          <w:sz w:val="21"/>
          <w:szCs w:val="21"/>
        </w:rPr>
        <w:t xml:space="preserve">Degree of integration: Completely harmonized / Restricted </w:t>
      </w:r>
    </w:p>
    <w:p w:rsidRPr="00376F97" w:rsidR="00B42F49" w:rsidP="00B42F49" w:rsidRDefault="00B42F49" w14:paraId="03454782" w14:textId="77777777">
      <w:pPr>
        <w:rPr>
          <w:rFonts w:cstheme="minorHAnsi"/>
          <w:sz w:val="21"/>
          <w:szCs w:val="21"/>
        </w:rPr>
      </w:pPr>
    </w:p>
    <w:p w:rsidRPr="00376F97" w:rsidR="00B42F49" w:rsidRDefault="00B42F49" w14:paraId="463EDE38" w14:textId="76E20164">
      <w:pPr>
        <w:rPr>
          <w:sz w:val="21"/>
          <w:szCs w:val="21"/>
        </w:rPr>
      </w:pPr>
      <w:r w:rsidRPr="00376F97">
        <w:rPr>
          <w:sz w:val="21"/>
          <w:szCs w:val="21"/>
        </w:rPr>
        <w:br w:type="page"/>
      </w:r>
    </w:p>
    <w:p w:rsidRPr="00637309" w:rsidR="00B42F49" w:rsidRDefault="00B42F49" w14:paraId="575C5868" w14:textId="77777777">
      <w:pPr>
        <w:pStyle w:val="BodyText"/>
        <w:rPr>
          <w:sz w:val="20"/>
        </w:rPr>
      </w:pPr>
    </w:p>
    <w:p w:rsidR="4B9374E0" w:rsidP="4B9374E0" w:rsidRDefault="4B9374E0" w14:paraId="6FD16AB6" w14:textId="29114F43">
      <w:pPr>
        <w:pStyle w:val="ListParagraph"/>
        <w:numPr>
          <w:ilvl w:val="0"/>
          <w:numId w:val="2"/>
        </w:numPr>
        <w:rPr>
          <w:rFonts w:ascii="Verdana" w:hAnsi="Verdana" w:eastAsia="Verdana" w:cs="Verdana"/>
          <w:b w:val="1"/>
          <w:bCs w:val="1"/>
          <w:color w:val="0064A8"/>
          <w:sz w:val="36"/>
          <w:szCs w:val="36"/>
        </w:rPr>
      </w:pPr>
      <w:r w:rsidRPr="4B9374E0" w:rsidR="4B9374E0">
        <w:rPr>
          <w:rFonts w:ascii="Verdana" w:hAnsi="Verdana" w:eastAsia="Verdana" w:cs="Verdana"/>
          <w:b w:val="1"/>
          <w:bCs w:val="1"/>
          <w:color w:val="0064A8"/>
          <w:sz w:val="36"/>
          <w:szCs w:val="36"/>
        </w:rPr>
        <w:t xml:space="preserve">[Critical Design Features for Effective Carbon Pricing] - </w:t>
      </w:r>
      <w:r w:rsidRPr="4B9374E0" w:rsidR="4B9374E0">
        <w:rPr>
          <w:rFonts w:ascii="Verdana" w:hAnsi="Verdana" w:eastAsia="Verdana" w:cs="Verdana"/>
          <w:b w:val="1"/>
          <w:bCs w:val="1"/>
          <w:i w:val="1"/>
          <w:iCs w:val="1"/>
          <w:color w:val="0064A8"/>
          <w:sz w:val="36"/>
          <w:szCs w:val="36"/>
        </w:rPr>
        <w:t>To be completed</w:t>
      </w:r>
    </w:p>
    <w:p w:rsidR="4B9374E0" w:rsidP="4B9374E0" w:rsidRDefault="4B9374E0" w14:paraId="4D772D54" w14:textId="5F692BB7">
      <w:pPr>
        <w:pStyle w:val="Normal"/>
        <w:ind w:left="0"/>
        <w:rPr>
          <w:rFonts w:ascii="Verdana" w:hAnsi="Verdana" w:eastAsia="Verdana" w:cs="Verdana"/>
          <w:b w:val="1"/>
          <w:bCs w:val="1"/>
          <w:color w:val="0064A8"/>
          <w:sz w:val="36"/>
          <w:szCs w:val="36"/>
        </w:rPr>
      </w:pPr>
    </w:p>
    <w:p w:rsidRPr="00637309" w:rsidR="00ED252B" w:rsidP="4B9374E0" w:rsidRDefault="00ED252B" w14:paraId="623DB599" w14:textId="13F32B21">
      <w:pPr>
        <w:pStyle w:val="ListParagraph"/>
        <w:numPr>
          <w:ilvl w:val="0"/>
          <w:numId w:val="2"/>
        </w:numPr>
        <w:rPr>
          <w:rFonts w:ascii="Calibri" w:hAnsi="Calibri" w:eastAsia="宋体" w:cs="Arial" w:asciiTheme="minorAscii" w:hAnsiTheme="minorAscii" w:eastAsiaTheme="minorEastAsia" w:cstheme="minorBidi"/>
          <w:b w:val="1"/>
          <w:bCs w:val="1"/>
          <w:color w:val="0064A8"/>
          <w:sz w:val="36"/>
          <w:szCs w:val="36"/>
        </w:rPr>
      </w:pPr>
      <w:r w:rsidRPr="4B9374E0" w:rsidR="1EC6B140">
        <w:rPr>
          <w:b w:val="1"/>
          <w:bCs w:val="1"/>
          <w:color w:val="0064A8"/>
          <w:sz w:val="36"/>
          <w:szCs w:val="36"/>
        </w:rPr>
        <w:t>CASE STUDIES</w:t>
      </w:r>
    </w:p>
    <w:p w:rsidRPr="00637309" w:rsidR="00CD2416" w:rsidP="5A0EDC4F" w:rsidRDefault="00CD2416" w14:paraId="37CEEB87" w14:textId="77777777">
      <w:pPr>
        <w:rPr>
          <w:b/>
          <w:color w:val="0064A8"/>
          <w:sz w:val="36"/>
          <w:szCs w:val="36"/>
        </w:rPr>
      </w:pPr>
    </w:p>
    <w:p w:rsidRPr="00637309" w:rsidR="00CD2416" w:rsidP="002F4D17" w:rsidRDefault="00CD2416" w14:paraId="666A93E6" w14:textId="72890E7B">
      <w:pPr>
        <w:pStyle w:val="ListParagraph"/>
        <w:numPr>
          <w:ilvl w:val="0"/>
          <w:numId w:val="35"/>
        </w:numPr>
        <w:rPr>
          <w:rFonts w:asciiTheme="minorHAnsi" w:hAnsiTheme="minorHAnsi" w:eastAsiaTheme="minorEastAsia" w:cstheme="minorBidi"/>
          <w:b/>
          <w:bCs/>
          <w:color w:val="0064A8"/>
          <w:sz w:val="36"/>
          <w:szCs w:val="36"/>
        </w:rPr>
      </w:pPr>
      <w:r w:rsidRPr="5950690B">
        <w:rPr>
          <w:b/>
          <w:color w:val="0064A8"/>
          <w:sz w:val="36"/>
          <w:szCs w:val="36"/>
        </w:rPr>
        <w:t>C</w:t>
      </w:r>
      <w:r w:rsidRPr="5950690B" w:rsidR="00B37D5B">
        <w:rPr>
          <w:b/>
          <w:color w:val="0064A8"/>
          <w:sz w:val="36"/>
          <w:szCs w:val="36"/>
        </w:rPr>
        <w:t>ANADA</w:t>
      </w:r>
      <w:r w:rsidRPr="5950690B">
        <w:rPr>
          <w:b/>
          <w:color w:val="0064A8"/>
          <w:sz w:val="36"/>
          <w:szCs w:val="36"/>
        </w:rPr>
        <w:t xml:space="preserve"> </w:t>
      </w:r>
    </w:p>
    <w:p w:rsidRPr="00637309" w:rsidR="00CD2416" w:rsidP="6D3E814B" w:rsidRDefault="00CD2416" w14:paraId="61A01AEE" w14:textId="0D8B4ACD">
      <w:pPr>
        <w:rPr>
          <w:b/>
          <w:bCs/>
          <w:color w:val="0064A8"/>
          <w:sz w:val="36"/>
          <w:szCs w:val="36"/>
        </w:rPr>
      </w:pPr>
    </w:p>
    <w:p w:rsidRPr="00637309" w:rsidR="00CD2416" w:rsidP="002F4D17" w:rsidRDefault="01799236" w14:paraId="05532DCB" w14:textId="72890E7B">
      <w:pPr>
        <w:pStyle w:val="ListParagraph"/>
        <w:numPr>
          <w:ilvl w:val="0"/>
          <w:numId w:val="33"/>
        </w:numPr>
        <w:rPr>
          <w:rFonts w:asciiTheme="minorHAnsi" w:hAnsiTheme="minorHAnsi" w:eastAsiaTheme="minorEastAsia" w:cstheme="minorBidi"/>
          <w:b/>
          <w:color w:val="0064A8"/>
          <w:sz w:val="36"/>
          <w:szCs w:val="36"/>
        </w:rPr>
      </w:pPr>
      <w:r w:rsidRPr="3EF7338F">
        <w:rPr>
          <w:b/>
          <w:bCs/>
          <w:color w:val="0064A8"/>
          <w:sz w:val="36"/>
          <w:szCs w:val="36"/>
        </w:rPr>
        <w:t>INTRODUCTION</w:t>
      </w:r>
      <w:r w:rsidRPr="2551F41B" w:rsidR="00CD2416">
        <w:rPr>
          <w:b/>
          <w:color w:val="0064A8"/>
          <w:sz w:val="36"/>
          <w:szCs w:val="36"/>
        </w:rPr>
        <w:t xml:space="preserve"> &amp; FACTSHEET</w:t>
      </w:r>
    </w:p>
    <w:p w:rsidRPr="00637309" w:rsidR="00CD2416" w:rsidP="5A0EDC4F" w:rsidRDefault="00CD2416" w14:paraId="631071DA" w14:textId="77777777"/>
    <w:p w:rsidRPr="00376F97" w:rsidR="00CD2416" w:rsidP="5A0EDC4F" w:rsidRDefault="00CD2416" w14:paraId="73ED95F4" w14:textId="464E8A9F">
      <w:r w:rsidRPr="00376F97">
        <w:t>Building on the momentum established by the passage and rapid entry into force of the Paris Agreement, Canada passed in 2016 the Pan-Canadian Framework on Clean Growth and Climate Change to provide a structured transition to a low carbon economy.</w:t>
      </w:r>
      <w:r w:rsidRPr="66ED54BF">
        <w:rPr>
          <w:vertAlign w:val="superscript"/>
        </w:rPr>
        <w:footnoteReference w:id="6"/>
      </w:r>
      <w:r w:rsidRPr="00376F97">
        <w:t xml:space="preserve"> Carbon pricing, characteri</w:t>
      </w:r>
      <w:r w:rsidR="006D41ED">
        <w:t>s</w:t>
      </w:r>
      <w:r w:rsidRPr="00376F97">
        <w:t>ed by flexibility, complementarity with existing systems at the provincial level, broad application to emission sources and predictable ratcheting up of costs coupled with transparent reporting was identified as a key priority.</w:t>
      </w:r>
      <w:r w:rsidRPr="309B8C96">
        <w:rPr>
          <w:vertAlign w:val="superscript"/>
        </w:rPr>
        <w:footnoteReference w:id="7"/>
      </w:r>
      <w:r w:rsidRPr="00376F97">
        <w:t xml:space="preserve"> Canada being a federal system has defined competencies in the constitution relating to GHG emissions, with provincial power grounded in jurisdiction over property and civil rights, and federal power grounded in the doctrine of peace, order and good governance.</w:t>
      </w:r>
      <w:r w:rsidRPr="6DA7E626">
        <w:rPr>
          <w:vertAlign w:val="superscript"/>
        </w:rPr>
        <w:footnoteReference w:id="8"/>
      </w:r>
      <w:r w:rsidRPr="00376F97">
        <w:t xml:space="preserve"> </w:t>
      </w:r>
    </w:p>
    <w:p w:rsidRPr="00376F97" w:rsidR="00CD2416" w:rsidP="5A0EDC4F" w:rsidRDefault="00CD2416" w14:paraId="261CF9B5" w14:textId="57B32B72"/>
    <w:p w:rsidRPr="00376F97" w:rsidR="00CD2416" w:rsidP="5A0EDC4F" w:rsidRDefault="00DC06C6" w14:paraId="17EC897A" w14:textId="304C0917">
      <w:r w:rsidRPr="00376F97">
        <w:t xml:space="preserve">In 2018 the </w:t>
      </w:r>
      <w:r w:rsidRPr="52E72AA2">
        <w:t>Greenhouse Gas Pollution Pricing Act</w:t>
      </w:r>
      <w:r w:rsidRPr="00376F97">
        <w:t xml:space="preserve"> was passed providing a federal backstop for operationali</w:t>
      </w:r>
      <w:r>
        <w:t>s</w:t>
      </w:r>
      <w:r w:rsidRPr="00376F97">
        <w:t>ation of carbon pricing as a crucial modality to enable domestic achievement of Canada’s NDC under the Paris Agreement.</w:t>
      </w:r>
      <w:r w:rsidRPr="483A2A75">
        <w:rPr>
          <w:vertAlign w:val="superscript"/>
        </w:rPr>
        <w:footnoteReference w:id="9"/>
      </w:r>
      <w:r w:rsidRPr="00376F97" w:rsidR="00CD2416">
        <w:t xml:space="preserve"> In 2021 Canada provided an updated Nationally Determined Contribution (NDC) outlining the target of reducing emissions by 40-45% below 2005 levels by 2030 and achieving net-zero by 2050.</w:t>
      </w:r>
      <w:r w:rsidRPr="07BF1A0C" w:rsidR="00CD2416">
        <w:rPr>
          <w:vertAlign w:val="superscript"/>
        </w:rPr>
        <w:footnoteReference w:id="10"/>
      </w:r>
      <w:r w:rsidRPr="00376F97" w:rsidR="00CD2416">
        <w:t xml:space="preserve"> Finding a basis in both federal and provincial law, the national approach to carbon pricing in Canada has a harmoni</w:t>
      </w:r>
      <w:r w:rsidR="00002BA2">
        <w:t>s</w:t>
      </w:r>
      <w:r w:rsidRPr="00376F97" w:rsidR="00CD2416">
        <w:t>e</w:t>
      </w:r>
      <w:r w:rsidR="00002BA2">
        <w:t>d</w:t>
      </w:r>
      <w:r w:rsidRPr="00376F97" w:rsidR="00CD2416">
        <w:t xml:space="preserve"> framework that consists of two parts with flexibility provided for nuanced differences at the provincial level.</w:t>
      </w:r>
    </w:p>
    <w:p w:rsidRPr="00376F97" w:rsidR="00CD2416" w:rsidP="5A0EDC4F" w:rsidRDefault="00CD2416" w14:paraId="78AADDEB" w14:textId="77777777"/>
    <w:p w:rsidRPr="00376F97" w:rsidR="00CD2416" w:rsidP="5A0EDC4F" w:rsidRDefault="00CD2416" w14:paraId="4E107B7A" w14:textId="77777777">
      <w:pPr>
        <w:rPr>
          <w:b/>
          <w:sz w:val="24"/>
          <w:szCs w:val="24"/>
        </w:rPr>
      </w:pPr>
      <w:r w:rsidRPr="5734C361">
        <w:rPr>
          <w:b/>
          <w:sz w:val="24"/>
          <w:szCs w:val="24"/>
        </w:rPr>
        <w:t>Factsheet</w:t>
      </w:r>
    </w:p>
    <w:p w:rsidRPr="00CA6BA0" w:rsidR="00EB0E85" w:rsidP="5A0EDC4F" w:rsidRDefault="00090DED" w14:paraId="2F628AC7" w14:textId="62EFA60A">
      <w:r w:rsidRPr="5734C361">
        <w:rPr>
          <w:b/>
        </w:rPr>
        <w:t xml:space="preserve">Year of </w:t>
      </w:r>
      <w:r w:rsidRPr="5734C361" w:rsidR="001C4FA5">
        <w:rPr>
          <w:b/>
        </w:rPr>
        <w:t>Implementation</w:t>
      </w:r>
      <w:r w:rsidR="00EB0E85">
        <w:t xml:space="preserve">: </w:t>
      </w:r>
      <w:r w:rsidR="2FAAA7C4">
        <w:t>2019</w:t>
      </w:r>
    </w:p>
    <w:p w:rsidR="2FAAA7C4" w:rsidP="5A0EDC4F" w:rsidRDefault="2FAAA7C4" w14:paraId="1CC7BF9F" w14:textId="2A057BB8">
      <w:r w:rsidRPr="20CB01CB">
        <w:rPr>
          <w:b/>
        </w:rPr>
        <w:t>Regulator</w:t>
      </w:r>
      <w:r>
        <w:t>: Federal Government, provinces and territories.</w:t>
      </w:r>
    </w:p>
    <w:p w:rsidRPr="00376F97" w:rsidR="00CD2416" w:rsidP="5A0EDC4F" w:rsidRDefault="00CA6BA0" w14:paraId="2C1CB293" w14:textId="33396203">
      <w:r>
        <w:t xml:space="preserve">Policy mechanism(s): </w:t>
      </w:r>
      <w:r w:rsidR="2BFBA56D">
        <w:t xml:space="preserve">Federal pricing system consisting of (i) a fuel charge on fossil fuels </w:t>
      </w:r>
      <w:r w:rsidR="3DFA4ED2">
        <w:t xml:space="preserve">and ii) a performance-based pricing system for large emitters – </w:t>
      </w:r>
      <w:r w:rsidR="1A456281">
        <w:t xml:space="preserve">the federal Output-Based Pricing System (OBPS). </w:t>
      </w:r>
      <w:r>
        <w:t>Federal backstop</w:t>
      </w:r>
      <w:r w:rsidR="4FED693A">
        <w:t xml:space="preserve"> provides a backstop to provincial approaches.  </w:t>
      </w:r>
    </w:p>
    <w:p w:rsidRPr="00637309" w:rsidR="00CD2416" w:rsidP="5A0EDC4F" w:rsidRDefault="5223F5F4" w14:paraId="4AFF73FB" w14:textId="6664ACC6">
      <w:r w:rsidRPr="20CB01CB">
        <w:rPr>
          <w:b/>
        </w:rPr>
        <w:t>GHGs coverage</w:t>
      </w:r>
      <w:r w:rsidR="3DFA4ED2">
        <w:t>: carbon dioxide (</w:t>
      </w:r>
      <w:r w:rsidR="1A456281">
        <w:t xml:space="preserve">CO2), methane </w:t>
      </w:r>
      <w:r w:rsidR="52E72AA2">
        <w:t>(CH4)</w:t>
      </w:r>
      <w:r w:rsidR="1A456281">
        <w:t xml:space="preserve">, nitrous oxide (N2O), </w:t>
      </w:r>
      <w:proofErr w:type="spellStart"/>
      <w:r w:rsidR="52E72AA2">
        <w:t>sulfur</w:t>
      </w:r>
      <w:proofErr w:type="spellEnd"/>
      <w:r w:rsidR="52E72AA2">
        <w:t xml:space="preserve"> hexafluoride (</w:t>
      </w:r>
      <w:r w:rsidR="1A456281">
        <w:t>SF₆), p</w:t>
      </w:r>
      <w:r w:rsidR="52E72AA2">
        <w:t>erfluorochemicals (</w:t>
      </w:r>
      <w:r w:rsidR="1A456281">
        <w:t>PFCs), h</w:t>
      </w:r>
      <w:r w:rsidR="52E72AA2">
        <w:t>ydrofluorocarbons (</w:t>
      </w:r>
      <w:r w:rsidR="1A456281">
        <w:t>HFCs)</w:t>
      </w:r>
      <w:r w:rsidR="00CD2416">
        <w:br/>
      </w:r>
      <w:r w:rsidR="4FED693A">
        <w:t>The legislative framework encompasses 33 GHG with the cost for excess emission calculated through the multiplication of the scale of emissions compared to the global warming potential at a prescribed rate based on the type. Distribution and consumption of 22 types of fuel are regulated with differential costs based on pollutant level.</w:t>
      </w:r>
    </w:p>
    <w:p w:rsidRPr="00637309" w:rsidR="00CD2416" w:rsidP="5A0EDC4F" w:rsidRDefault="3DFA4ED2" w14:paraId="3F354BA2" w14:textId="7195BE6E">
      <w:r w:rsidRPr="5C00ACA0">
        <w:rPr>
          <w:b/>
        </w:rPr>
        <w:t>Pricing</w:t>
      </w:r>
      <w:r>
        <w:t>: F</w:t>
      </w:r>
      <w:r w:rsidR="4FED693A">
        <w:t xml:space="preserve">ollowing a progressive ratcheting up in price since 2018, </w:t>
      </w:r>
      <w:r w:rsidR="2FAAA7C4">
        <w:t xml:space="preserve">2021 price was CA$40/tCO2e, escalating to $50/t in 2022. </w:t>
      </w:r>
    </w:p>
    <w:p w:rsidRPr="00637309" w:rsidR="00CD2416" w:rsidP="5A0EDC4F" w:rsidRDefault="4FED693A" w14:paraId="7075716F" w14:textId="36E71510">
      <w:r>
        <w:t xml:space="preserve">Compliance obligation: </w:t>
      </w:r>
      <w:r w:rsidR="2FAAA7C4">
        <w:t>If the compliance deadline is missed, compliance is due at an increased rate of four to one (4:1). Facilities are required to submit four compliance units for each tCO2e over the Emissions Limit or four times the Excess Emissions Charge rate</w:t>
      </w:r>
    </w:p>
    <w:p w:rsidR="007915CB" w:rsidRDefault="4FED693A" w14:paraId="4EB0E945" w14:textId="36E71510">
      <w:r w:rsidRPr="5C00ACA0">
        <w:rPr>
          <w:b/>
        </w:rPr>
        <w:t>Revenue allocation</w:t>
      </w:r>
      <w:r>
        <w:t xml:space="preserve">: </w:t>
      </w:r>
      <w:r w:rsidR="2FAAA7C4">
        <w:t>All proceeds collected from OBPS compliance payments returned directly to regulated emitters to support GHG emission reduction projects and the use of low emissions technologies and processes.</w:t>
      </w:r>
    </w:p>
    <w:p w:rsidR="00C605C5" w:rsidRDefault="00C605C5" w14:paraId="75A37137" w14:textId="36E71510"/>
    <w:p w:rsidR="00C605C5" w:rsidRDefault="00C605C5" w14:paraId="7F83E9A9" w14:textId="36E71510"/>
    <w:p w:rsidRPr="00637309" w:rsidR="00CD2416" w:rsidP="002F4D17" w:rsidRDefault="00CD2416" w14:paraId="45654B8B" w14:textId="2BCBA11F">
      <w:pPr>
        <w:pStyle w:val="ListParagraph"/>
        <w:numPr>
          <w:ilvl w:val="0"/>
          <w:numId w:val="33"/>
        </w:numPr>
        <w:rPr>
          <w:rFonts w:asciiTheme="minorHAnsi" w:hAnsiTheme="minorHAnsi" w:eastAsiaTheme="minorEastAsia" w:cstheme="minorBidi"/>
          <w:b/>
          <w:color w:val="0064A8"/>
          <w:sz w:val="36"/>
          <w:szCs w:val="36"/>
        </w:rPr>
      </w:pPr>
      <w:r w:rsidRPr="3E08CD71">
        <w:rPr>
          <w:b/>
          <w:color w:val="0064A8"/>
          <w:sz w:val="36"/>
          <w:szCs w:val="36"/>
        </w:rPr>
        <w:t xml:space="preserve">CORE DESIGN FEATURES &amp; </w:t>
      </w:r>
      <w:bookmarkStart w:name="_Int_HowXyJ8V" w:id="3"/>
      <w:r w:rsidRPr="3E08CD71">
        <w:rPr>
          <w:b/>
          <w:color w:val="0064A8"/>
          <w:sz w:val="36"/>
          <w:szCs w:val="36"/>
        </w:rPr>
        <w:t>PRINCIPLE</w:t>
      </w:r>
      <w:bookmarkEnd w:id="3"/>
      <w:r w:rsidRPr="3E08CD71">
        <w:rPr>
          <w:b/>
          <w:color w:val="0064A8"/>
          <w:sz w:val="36"/>
          <w:szCs w:val="36"/>
        </w:rPr>
        <w:t xml:space="preserve"> TEST </w:t>
      </w:r>
    </w:p>
    <w:p w:rsidR="009E7AAC" w:rsidP="5A0EDC4F" w:rsidRDefault="009E7AAC" w14:paraId="3D8B0420" w14:textId="410A1F32"/>
    <w:p w:rsidRPr="00B04190" w:rsidR="008C76F4" w:rsidP="002F4D17" w:rsidRDefault="52E72AA2" w14:paraId="4EDADC0E" w14:textId="15B66D0E">
      <w:pPr>
        <w:pStyle w:val="ListParagraph"/>
        <w:numPr>
          <w:ilvl w:val="0"/>
          <w:numId w:val="34"/>
        </w:numPr>
        <w:rPr>
          <w:rFonts w:asciiTheme="minorHAnsi" w:hAnsiTheme="minorHAnsi" w:eastAsiaTheme="minorEastAsia" w:cstheme="minorBidi"/>
        </w:rPr>
      </w:pPr>
      <w:r>
        <w:t>The Federal government of Canada requires provinces and territories to implement a minimum carbon price rising progressively from CAN$10 per ton in 2018 to CAN$50 in 2022 and CAN$170 in 2030. Jurisdictions are free to meet this requirement through carbon taxes or emissions trading systems.</w:t>
      </w:r>
    </w:p>
    <w:p w:rsidRPr="00B04190" w:rsidR="008C76F4" w:rsidP="002F4D17" w:rsidRDefault="008C76F4" w14:paraId="36F20824" w14:textId="1AB50BE8">
      <w:pPr>
        <w:pStyle w:val="ListParagraph"/>
        <w:numPr>
          <w:ilvl w:val="0"/>
          <w:numId w:val="34"/>
        </w:numPr>
      </w:pPr>
      <w:r>
        <w:t xml:space="preserve">Canada’s approach allows subnational jurisdictions to either design their own pricing system or adopt the federal pricing system which sets minimum national stringency standards (which is proposed to rise to $170 CAD per tonne of GHG emissions by 2030).  The federal pricing system consists of two parts: a fuel charge on fossil fuels like gasoline and natural gas, and a performance-based pricing system for large emitters, also </w:t>
      </w:r>
      <w:r w:rsidR="1A456281">
        <w:t>known as OBPS.</w:t>
      </w:r>
    </w:p>
    <w:p w:rsidRPr="00B04190" w:rsidR="008C76F4" w:rsidP="002F4D17" w:rsidRDefault="008C76F4" w14:paraId="0C5D0332" w14:textId="647960B1">
      <w:pPr>
        <w:pStyle w:val="ListParagraph"/>
        <w:numPr>
          <w:ilvl w:val="0"/>
          <w:numId w:val="34"/>
        </w:numPr>
      </w:pPr>
      <w:r>
        <w:t xml:space="preserve">In certain provinces, emissions-intensive and trade-exposed (EITE) sectors are subject to the federal system. In other provinces, a cap-and-trade system applies to EITE sectors, or a carbon tax applies to both EITE and non-EITE sectors. System designs account for the risks of carbon leakage and adverse competitiveness impacts. Canada is also exploring the potential for a border carbon adjustment to address the risks of carbon leakage. </w:t>
      </w:r>
    </w:p>
    <w:p w:rsidR="1A456281" w:rsidP="002F4D17" w:rsidRDefault="1A456281" w14:paraId="024747CE" w14:textId="77E2202B">
      <w:pPr>
        <w:pStyle w:val="ListParagraph"/>
        <w:numPr>
          <w:ilvl w:val="0"/>
          <w:numId w:val="34"/>
        </w:numPr>
      </w:pPr>
      <w:r>
        <w:t>The OBPS currently applies to facilities that emit over 50,000 tCO2e/year. Facilities that emit over 10,000 tCO2e in regulated sectors can opt-in at any time. Emission reduction obligations are determined using an output-based standard (OBS), which varies depending on the industrial activity and the competitiveness of the sector. The OBPS is currently implemented in Manitoba, Ontario, New Brunswick, Yukon, Nunavut, and applies to the electricity and natural gas transmission sectors in Saskatchewan.</w:t>
      </w:r>
    </w:p>
    <w:p w:rsidR="009E7AAC" w:rsidP="002F4D17" w:rsidRDefault="008C76F4" w14:paraId="5A0AF4E3" w14:textId="31A55636">
      <w:pPr>
        <w:pStyle w:val="ListParagraph"/>
        <w:numPr>
          <w:ilvl w:val="0"/>
          <w:numId w:val="34"/>
        </w:numPr>
      </w:pPr>
      <w:r>
        <w:t xml:space="preserve">Proceeds from the revenue neutral federal carbon pricing system remain in the jurisdiction where they were collected. Proceeds are delivered to individual households and businesses through payments and climate action programs to support further decarbonisation and to address carbon pricing affordability. The Government of Canada also provides targeted support to address the unique cost of living challenges in northern and Indigenous communities. Canadian jurisdictions are returning a portion of carbon pricing revenue through various funding programs to support industry decarbonisation. </w:t>
      </w:r>
    </w:p>
    <w:p w:rsidRPr="00B04190" w:rsidR="008C76F4" w:rsidP="002F4D17" w:rsidRDefault="008C76F4" w14:paraId="50BE7A1B" w14:textId="6FD3F2C1">
      <w:pPr>
        <w:pStyle w:val="ListParagraph"/>
        <w:numPr>
          <w:ilvl w:val="0"/>
          <w:numId w:val="34"/>
        </w:numPr>
      </w:pPr>
      <w:r>
        <w:t xml:space="preserve">As an example, in the province of British Columbia, a clean industry fund granted roughly $40 million (CAD) in 2021 to 14 oil and gas sector projects that collectively will reduce emissions by over 3.5 million tonnes. Different companies, such as Shell has implemented various low-emissions projects in Canada </w:t>
      </w:r>
      <w:proofErr w:type="spellStart"/>
      <w:r>
        <w:t>incented</w:t>
      </w:r>
      <w:proofErr w:type="spellEnd"/>
      <w:r>
        <w:t xml:space="preserve"> by the rising carbon price and, in some cases, further enabled by funding programs supported through carbon pricing </w:t>
      </w:r>
      <w:r w:rsidR="00C827FD">
        <w:t>proceeds. At</w:t>
      </w:r>
      <w:r>
        <w:t xml:space="preserve"> the subnational level, the province of Quebec has linked its economy-wide emissions trading program with the state of California, creating North America’s largest carbon market. Canada has noted that further domestic linking of carbon pricing systems would provide considerable benefits in the longer term, lowering costs of compliance while mitigating carbon leakage. </w:t>
      </w:r>
    </w:p>
    <w:p w:rsidR="009E7AAC" w:rsidP="002F4D17" w:rsidRDefault="00CD2416" w14:paraId="66FCD817" w14:textId="77777777">
      <w:pPr>
        <w:pStyle w:val="ListParagraph"/>
        <w:numPr>
          <w:ilvl w:val="0"/>
          <w:numId w:val="34"/>
        </w:numPr>
      </w:pPr>
      <w:r w:rsidRPr="009E7AAC">
        <w:t>Fossil fuel and combustible waste producers, distributors, and importers in provinces and territories that do not have their own legislation must register and provide monthly reporting.</w:t>
      </w:r>
      <w:r w:rsidRPr="6D7AE8A4">
        <w:rPr>
          <w:vertAlign w:val="superscript"/>
        </w:rPr>
        <w:footnoteReference w:id="11"/>
      </w:r>
      <w:r w:rsidRPr="009E7AAC">
        <w:t xml:space="preserve"> </w:t>
      </w:r>
    </w:p>
    <w:p w:rsidR="009E7AAC" w:rsidP="002F4D17" w:rsidRDefault="00CD2416" w14:paraId="65E37D66" w14:textId="77777777">
      <w:pPr>
        <w:pStyle w:val="ListParagraph"/>
        <w:numPr>
          <w:ilvl w:val="0"/>
          <w:numId w:val="34"/>
        </w:numPr>
      </w:pPr>
      <w:r w:rsidRPr="009E7AAC">
        <w:t>Rates for distribution of fuel are based on a usage or output-based model with fees established in Schedule 2 of the Act and based on the operator-type, province/territory of operation and fuel type.</w:t>
      </w:r>
      <w:r w:rsidRPr="6D7AE8A4">
        <w:rPr>
          <w:vertAlign w:val="superscript"/>
        </w:rPr>
        <w:footnoteReference w:id="12"/>
      </w:r>
      <w:r w:rsidRPr="009E7AAC">
        <w:t xml:space="preserve"> </w:t>
      </w:r>
    </w:p>
    <w:p w:rsidR="00322277" w:rsidP="002F4D17" w:rsidRDefault="00CD2416" w14:paraId="5E7CB618" w14:textId="15E2F72B">
      <w:pPr>
        <w:pStyle w:val="ListParagraph"/>
        <w:numPr>
          <w:ilvl w:val="0"/>
          <w:numId w:val="34"/>
        </w:numPr>
      </w:pPr>
      <w:r w:rsidRPr="009E7AAC">
        <w:t>Fees are established for 22 fuel types on a per lit</w:t>
      </w:r>
      <w:r w:rsidR="00322277">
        <w:t>re</w:t>
      </w:r>
      <w:r w:rsidRPr="009E7AAC">
        <w:t>/cubic met</w:t>
      </w:r>
      <w:r w:rsidR="00322277">
        <w:t>re</w:t>
      </w:r>
      <w:r w:rsidRPr="009E7AAC">
        <w:t>/tonne basis depending upon type and with the prescribed levy increased annually from 2019-2022.</w:t>
      </w:r>
      <w:r w:rsidRPr="2CBAE14C">
        <w:rPr>
          <w:vertAlign w:val="superscript"/>
        </w:rPr>
        <w:footnoteReference w:id="13"/>
      </w:r>
      <w:r w:rsidRPr="2CBAE14C">
        <w:rPr>
          <w:vertAlign w:val="superscript"/>
        </w:rPr>
        <w:t xml:space="preserve"> </w:t>
      </w:r>
      <w:r w:rsidRPr="009E7AAC">
        <w:t>Some are reduced for practical reasons such as aviation fuel in the northern territories (CA$0/L), others are modest such as gasoline in (CA$0.1105/L) or marketable natural gas (CA$0.0979/m3), while other</w:t>
      </w:r>
      <w:r w:rsidRPr="009E7AAC" w:rsidR="003D5D50">
        <w:t>s</w:t>
      </w:r>
      <w:r w:rsidRPr="009E7AAC">
        <w:t xml:space="preserve"> with a higher pollutant potential are more robust such as coke (CA$159.99/t) or combustible waste (CA$99.87/t).</w:t>
      </w:r>
      <w:r w:rsidRPr="2CBAE14C">
        <w:rPr>
          <w:vertAlign w:val="superscript"/>
        </w:rPr>
        <w:footnoteReference w:id="14"/>
      </w:r>
      <w:r w:rsidRPr="2CBAE14C">
        <w:rPr>
          <w:vertAlign w:val="superscript"/>
        </w:rPr>
        <w:t xml:space="preserve"> </w:t>
      </w:r>
    </w:p>
    <w:p w:rsidR="00882DC9" w:rsidP="002F4D17" w:rsidRDefault="00CD2416" w14:paraId="464A80D0" w14:textId="39BF9A42">
      <w:pPr>
        <w:pStyle w:val="ListParagraph"/>
        <w:numPr>
          <w:ilvl w:val="0"/>
          <w:numId w:val="34"/>
        </w:numPr>
        <w:rPr>
          <w:vertAlign w:val="superscript"/>
        </w:rPr>
      </w:pPr>
      <w:r w:rsidRPr="00322277">
        <w:t>Covered facilities defined as those emitting over 10kt of GHG/year located in Manitoba, Saskatchewan, Prince Edward Island, Yukon, and Nunavut are also required to register, report emissions annually, and provide remittance of compliance units for excess emissions as a result of operations.</w:t>
      </w:r>
      <w:r w:rsidRPr="67F08C21">
        <w:rPr>
          <w:vertAlign w:val="superscript"/>
        </w:rPr>
        <w:footnoteReference w:id="15"/>
      </w:r>
      <w:r w:rsidRPr="00322277">
        <w:t xml:space="preserve"> A tracking system is also established to monitor issuance, transfer, retirement, revocation, suspension and cancellation of compliance units, as well as excess emission charges levied on an operator.</w:t>
      </w:r>
      <w:r w:rsidRPr="67F08C21">
        <w:rPr>
          <w:vertAlign w:val="superscript"/>
        </w:rPr>
        <w:footnoteReference w:id="16"/>
      </w:r>
      <w:r w:rsidRPr="67F08C21">
        <w:rPr>
          <w:vertAlign w:val="superscript"/>
        </w:rPr>
        <w:t xml:space="preserve"> </w:t>
      </w:r>
    </w:p>
    <w:p w:rsidR="00882DC9" w:rsidP="002F4D17" w:rsidRDefault="00CD2416" w14:paraId="5F4EE635" w14:textId="273AF9C6">
      <w:pPr>
        <w:pStyle w:val="ListParagraph"/>
        <w:numPr>
          <w:ilvl w:val="0"/>
          <w:numId w:val="34"/>
        </w:numPr>
      </w:pPr>
      <w:r w:rsidRPr="00322277">
        <w:t>A total of 33 greenhouse gases are regulated under the Act and are converted into CO2e through the multiplication of the amount by the global warming potential as listed in Schedule 3, and applicable fees for excess emissions progressively increase annually from $10/tonne in 2018 to $50/tonne in 2022.</w:t>
      </w:r>
      <w:r w:rsidRPr="2E94B830">
        <w:rPr>
          <w:vertAlign w:val="superscript"/>
        </w:rPr>
        <w:footnoteReference w:id="17"/>
      </w:r>
    </w:p>
    <w:p w:rsidR="00A91227" w:rsidP="002F4D17" w:rsidRDefault="00CD2416" w14:paraId="4F39EEE3" w14:textId="77777777">
      <w:pPr>
        <w:pStyle w:val="ListParagraph"/>
        <w:numPr>
          <w:ilvl w:val="0"/>
          <w:numId w:val="34"/>
        </w:numPr>
      </w:pPr>
      <w:r w:rsidRPr="00882DC9">
        <w:t>As the federal regime provides a backstop for jurisdictions that have yet to develop an adequate approach, provincial frameworks are also of relevance with the approach adopted by British Columbia of note. In addition to a carbon tax originally introduced in 2008 that is annually ratcheted up in line with federal rates for fuel distribution by type and excess CO2</w:t>
      </w:r>
      <w:r w:rsidRPr="0C5E05C9">
        <w:rPr>
          <w:vertAlign w:val="superscript"/>
        </w:rPr>
        <w:footnoteReference w:id="18"/>
      </w:r>
      <w:r w:rsidRPr="00882DC9">
        <w:t xml:space="preserve"> the legislative and policy framework on climate change in the province of British Columbia is comprised of several instruments encompassing a broad range of climate-related factors including, industrial reporting, energy production and use, emission, building codes and fuel standards.</w:t>
      </w:r>
      <w:r w:rsidRPr="57892427">
        <w:rPr>
          <w:vertAlign w:val="superscript"/>
        </w:rPr>
        <w:footnoteReference w:id="19"/>
      </w:r>
      <w:r w:rsidRPr="57892427">
        <w:rPr>
          <w:vertAlign w:val="superscript"/>
        </w:rPr>
        <w:t xml:space="preserve"> </w:t>
      </w:r>
    </w:p>
    <w:p w:rsidR="009E7AAC" w:rsidP="002F4D17" w:rsidRDefault="00CD2416" w14:paraId="63330372" w14:textId="37E3982F">
      <w:pPr>
        <w:pStyle w:val="ListParagraph"/>
        <w:numPr>
          <w:ilvl w:val="0"/>
          <w:numId w:val="34"/>
        </w:numPr>
      </w:pPr>
      <w:r w:rsidRPr="00A91227">
        <w:t>One of the central legislative instruments is the Climate Change Accountability Act passed in 2018 that updated the original approach established in the Greenhouse Gas Reductions Targets Act of 2007. The Act sets in place GHG emission reduction milestones (40% below 2007 level by 2030, 60% by 2040, and 80% by 2050) and establish</w:t>
      </w:r>
      <w:r w:rsidR="00F95CB6">
        <w:t>es</w:t>
      </w:r>
      <w:r w:rsidRPr="00A91227">
        <w:t xml:space="preserve"> the goal of a carbon neutral public sector.</w:t>
      </w:r>
      <w:r w:rsidRPr="73320FD8">
        <w:rPr>
          <w:vertAlign w:val="superscript"/>
        </w:rPr>
        <w:footnoteReference w:id="20"/>
      </w:r>
      <w:r w:rsidRPr="00A91227">
        <w:t xml:space="preserve"> An advisory committee is established to provide advice to the minister on plans, actions, and impacts of climate change and opportunities for sustainable development and transition to a low carbon economy.</w:t>
      </w:r>
      <w:r w:rsidRPr="73320FD8">
        <w:rPr>
          <w:vertAlign w:val="superscript"/>
        </w:rPr>
        <w:footnoteReference w:id="21"/>
      </w:r>
      <w:r w:rsidRPr="00A91227">
        <w:t xml:space="preserve"> The committee is interdisciplinary and comprised of 20 total members with at least half being women as well as designated representation from Indigenous peoples, local governments, environmental organizations, academics, unions, rural communities, and business leaders.</w:t>
      </w:r>
      <w:r w:rsidRPr="73320FD8">
        <w:rPr>
          <w:vertAlign w:val="superscript"/>
        </w:rPr>
        <w:footnoteReference w:id="22"/>
      </w:r>
      <w:r w:rsidRPr="73320FD8">
        <w:rPr>
          <w:vertAlign w:val="superscript"/>
        </w:rPr>
        <w:t xml:space="preserve"> </w:t>
      </w:r>
    </w:p>
    <w:p w:rsidRPr="00F932FC" w:rsidR="00CD2416" w:rsidP="002F4D17" w:rsidRDefault="00CD2416" w14:paraId="5AC5AA8A" w14:textId="77777777">
      <w:pPr>
        <w:pStyle w:val="ListParagraph"/>
        <w:numPr>
          <w:ilvl w:val="0"/>
          <w:numId w:val="34"/>
        </w:numPr>
      </w:pPr>
      <w:r w:rsidRPr="00A91227">
        <w:t>An annual provincial report is also to be provided by the minister and the province outlining the scale of GHG emissions, actions taken to reduce provincial emissions, ongoing priorities, status of offset units retired, and future actions to meet established reduction targets.</w:t>
      </w:r>
      <w:r w:rsidRPr="6AB5A0FA">
        <w:rPr>
          <w:vertAlign w:val="superscript"/>
        </w:rPr>
        <w:footnoteReference w:id="23"/>
      </w:r>
      <w:r w:rsidRPr="00A91227">
        <w:t xml:space="preserve"> Industrial emissions exceeding 10kt CO2 per year must be reported, and installations exceeding 25kt CO2 per year are required to have independent verification.</w:t>
      </w:r>
      <w:r w:rsidRPr="6AB5A0FA">
        <w:rPr>
          <w:vertAlign w:val="superscript"/>
        </w:rPr>
        <w:footnoteReference w:id="24"/>
      </w:r>
    </w:p>
    <w:p w:rsidRPr="00637309" w:rsidR="00CD2416" w:rsidP="5A0EDC4F" w:rsidRDefault="00CD2416" w14:paraId="6C2C658B" w14:textId="77777777"/>
    <w:p w:rsidRPr="00637309" w:rsidR="00CD2416" w:rsidP="007A38DB" w:rsidRDefault="00CD2416" w14:paraId="7E407789" w14:textId="77777777"/>
    <w:p w:rsidRPr="00637309" w:rsidR="00CD2416" w:rsidP="002F4D17" w:rsidRDefault="00CD2416" w14:paraId="0A36AE4C" w14:textId="77777777">
      <w:pPr>
        <w:pStyle w:val="ListParagraph"/>
        <w:numPr>
          <w:ilvl w:val="0"/>
          <w:numId w:val="33"/>
        </w:numPr>
        <w:rPr>
          <w:rFonts w:asciiTheme="minorHAnsi" w:hAnsiTheme="minorHAnsi" w:eastAsiaTheme="minorEastAsia" w:cstheme="minorBidi"/>
          <w:b/>
          <w:color w:val="0064A8"/>
          <w:sz w:val="36"/>
          <w:szCs w:val="36"/>
        </w:rPr>
      </w:pPr>
      <w:r w:rsidRPr="54427E35">
        <w:rPr>
          <w:b/>
          <w:color w:val="0064A8"/>
          <w:sz w:val="36"/>
          <w:szCs w:val="36"/>
        </w:rPr>
        <w:t xml:space="preserve">ASSESSMENT: USEFUL FEATURES / BEST PRACTICES </w:t>
      </w:r>
    </w:p>
    <w:p w:rsidRPr="00637309" w:rsidR="00CD2416" w:rsidP="5A0EDC4F" w:rsidRDefault="00CD2416" w14:paraId="6EC93FE5" w14:textId="77777777"/>
    <w:p w:rsidRPr="00376F97" w:rsidR="00CD2416" w:rsidP="002F4D17" w:rsidRDefault="00CD2416" w14:paraId="06891533" w14:textId="0C2DF6B7">
      <w:pPr>
        <w:pStyle w:val="ListParagraph"/>
        <w:numPr>
          <w:ilvl w:val="0"/>
          <w:numId w:val="32"/>
        </w:numPr>
        <w:rPr>
          <w:rFonts w:asciiTheme="minorHAnsi" w:hAnsiTheme="minorHAnsi" w:eastAsiaTheme="minorEastAsia" w:cstheme="minorBidi"/>
        </w:rPr>
      </w:pPr>
      <w:r>
        <w:t xml:space="preserve">Creation of a backstop in a federal context provides clarity for economic actors operating across multiple jurisdictions of the long-term policy priority while providing flexibility for provincial approaches. </w:t>
      </w:r>
    </w:p>
    <w:p w:rsidRPr="00376F97" w:rsidR="00CD2416" w:rsidP="002F4D17" w:rsidRDefault="00CD2416" w14:paraId="4B60C8D4" w14:textId="7C6020A3">
      <w:pPr>
        <w:pStyle w:val="ListParagraph"/>
        <w:numPr>
          <w:ilvl w:val="0"/>
          <w:numId w:val="32"/>
        </w:numPr>
      </w:pPr>
      <w:r>
        <w:t xml:space="preserve">Inclusion of a progressive ratcheting up the carbon price allows impacted organizations to adapt over time. </w:t>
      </w:r>
    </w:p>
    <w:p w:rsidRPr="00244636" w:rsidR="00244636" w:rsidP="002F4D17" w:rsidRDefault="00CD2416" w14:paraId="3C6535FE" w14:textId="7D2EF041">
      <w:pPr>
        <w:pStyle w:val="ListParagraph"/>
        <w:numPr>
          <w:ilvl w:val="0"/>
          <w:numId w:val="32"/>
        </w:numPr>
      </w:pPr>
      <w:r>
        <w:t xml:space="preserve">Alignment of key goals to significantly reduce emissions levels by 2030 and achieve net-zero by 2050 in line with the domestic NDC provides long-term prioritization and certainty for investors, innovators, and operators. </w:t>
      </w:r>
    </w:p>
    <w:p w:rsidRPr="00376F97" w:rsidR="00CD2416" w:rsidP="002F4D17" w:rsidRDefault="00CD2416" w14:paraId="49388B71" w14:textId="36725ACB">
      <w:pPr>
        <w:pStyle w:val="ListParagraph"/>
        <w:numPr>
          <w:ilvl w:val="0"/>
          <w:numId w:val="32"/>
        </w:numPr>
      </w:pPr>
      <w:r>
        <w:t xml:space="preserve">Encompassing a wide range of fuel and GHG types ensures the framework adequately captures the full scale of potentially harmful practices. </w:t>
      </w:r>
    </w:p>
    <w:p w:rsidRPr="00244636" w:rsidR="00244636" w:rsidP="002F4D17" w:rsidRDefault="00CD2416" w14:paraId="30BBF5D7" w14:textId="7A2E1B98">
      <w:pPr>
        <w:pStyle w:val="ListParagraph"/>
        <w:numPr>
          <w:ilvl w:val="0"/>
          <w:numId w:val="32"/>
        </w:numPr>
      </w:pPr>
      <w:r>
        <w:t xml:space="preserve">Integration of an interdisciplinary multistakeholder advisory committee to review and influence policy approaches supports an inclusive approach that can be responsive to localized or industry-specific challenges. </w:t>
      </w:r>
    </w:p>
    <w:p w:rsidRPr="00244636" w:rsidR="00244636" w:rsidP="002F4D17" w:rsidRDefault="00244636" w14:paraId="4E4F2C73" w14:textId="42D72755">
      <w:pPr>
        <w:pStyle w:val="ListParagraph"/>
        <w:numPr>
          <w:ilvl w:val="0"/>
          <w:numId w:val="32"/>
        </w:numPr>
      </w:pPr>
      <w:r>
        <w:t>A continued focus on strong, supportive, predictable and responsive policies intended to grow supply and demand for low- and zero-carbon technologies will be instrumental to drive actions in Canada. The Canadian government’s efforts to promote harmonized international carbon prices and to explore potential for a border carbon adjustment can help mitigate the risks of carbon leakage while maintaining a strong price signal domestically</w:t>
      </w:r>
      <w:r w:rsidR="46C9FD96">
        <w:t>.</w:t>
      </w:r>
    </w:p>
    <w:p w:rsidRPr="00244636" w:rsidR="00244636" w:rsidP="002F4D17" w:rsidRDefault="00244636" w14:paraId="7B868D4B" w14:textId="7A487598">
      <w:pPr>
        <w:pStyle w:val="ListParagraph"/>
        <w:numPr>
          <w:ilvl w:val="0"/>
          <w:numId w:val="32"/>
        </w:numPr>
      </w:pPr>
      <w:r>
        <w:t>In time, Canada’s offset market should be linked with international markets to potentially further increase the benefit of Canadian offset investments.</w:t>
      </w:r>
    </w:p>
    <w:p w:rsidRPr="004C0E00" w:rsidR="00244636" w:rsidP="5A0EDC4F" w:rsidRDefault="00244636" w14:paraId="73C17836" w14:textId="77777777"/>
    <w:p w:rsidR="00D51FE1" w:rsidRDefault="00D51FE1" w14:paraId="20A33306" w14:textId="311606C8">
      <w:r>
        <w:br w:type="page"/>
      </w:r>
    </w:p>
    <w:p w:rsidRPr="00376F97" w:rsidR="00D51FE1" w:rsidP="5A0EDC4F" w:rsidRDefault="00D51FE1" w14:paraId="7678B268" w14:textId="6F79DBFC">
      <w:pPr>
        <w:rPr>
          <w:b/>
          <w:color w:val="0064A8"/>
          <w:sz w:val="36"/>
          <w:szCs w:val="36"/>
        </w:rPr>
      </w:pPr>
      <w:r w:rsidRPr="62E1AFC4">
        <w:rPr>
          <w:b/>
          <w:color w:val="0064A8"/>
          <w:sz w:val="36"/>
          <w:szCs w:val="36"/>
        </w:rPr>
        <w:t>Business case</w:t>
      </w:r>
      <w:r w:rsidRPr="62E1AFC4" w:rsidR="00DC05A0">
        <w:rPr>
          <w:b/>
          <w:color w:val="0064A8"/>
          <w:sz w:val="36"/>
          <w:szCs w:val="36"/>
        </w:rPr>
        <w:t xml:space="preserve">: </w:t>
      </w:r>
      <w:r w:rsidRPr="62E1AFC4" w:rsidR="002448F3">
        <w:rPr>
          <w:b/>
          <w:color w:val="0064A8"/>
          <w:sz w:val="36"/>
          <w:szCs w:val="36"/>
        </w:rPr>
        <w:t>E</w:t>
      </w:r>
      <w:r w:rsidRPr="62E1AFC4" w:rsidR="00DC05A0">
        <w:rPr>
          <w:b/>
          <w:color w:val="0064A8"/>
          <w:sz w:val="36"/>
          <w:szCs w:val="36"/>
        </w:rPr>
        <w:t xml:space="preserve">xperience with </w:t>
      </w:r>
      <w:r w:rsidRPr="62E1AFC4" w:rsidR="00C92576">
        <w:rPr>
          <w:b/>
          <w:color w:val="0064A8"/>
          <w:sz w:val="36"/>
          <w:szCs w:val="36"/>
        </w:rPr>
        <w:t xml:space="preserve">the </w:t>
      </w:r>
      <w:r w:rsidRPr="62E1AFC4" w:rsidR="00DC05A0">
        <w:rPr>
          <w:b/>
          <w:color w:val="0064A8"/>
          <w:sz w:val="36"/>
          <w:szCs w:val="36"/>
        </w:rPr>
        <w:t>Canada model: Shell</w:t>
      </w:r>
    </w:p>
    <w:p w:rsidRPr="00376F97" w:rsidR="00D51FE1" w:rsidP="5A0EDC4F" w:rsidRDefault="00D51FE1" w14:paraId="2FBE3B77" w14:textId="30137B94">
      <w:r w:rsidRPr="00376F97">
        <w:t>Shell’s target is to become a net-zero emissions energy business by 2050, in step with society’s progress in achieving the goal of the UN Paris Agreement on climate change</w:t>
      </w:r>
      <w:r w:rsidRPr="579DF56B">
        <w:rPr>
          <w:vertAlign w:val="superscript"/>
        </w:rPr>
        <w:footnoteReference w:id="25"/>
      </w:r>
      <w:r w:rsidRPr="00376F97">
        <w:t>. Shell also supports putting a direct price on carbon emissions as part of a broader policy framework to achieve net-zero emissions. The carbon price, whether through taxation, cap-and-trade or a hybrid system, should apply to as many sectors of the economy as possible and increase over time. Policies should be based on robust and transparent modelling of the impacts of carbon pricing on consumers and industry.</w:t>
      </w:r>
    </w:p>
    <w:p w:rsidRPr="00376F97" w:rsidR="00D51FE1" w:rsidP="5A0EDC4F" w:rsidRDefault="00D51FE1" w14:paraId="2FFC021F" w14:textId="77777777"/>
    <w:p w:rsidRPr="00376F97" w:rsidR="00D51FE1" w:rsidP="5A0EDC4F" w:rsidRDefault="00D51FE1" w14:paraId="71EA3A72" w14:textId="77777777">
      <w:r>
        <w:t>To assess the resilience of new projects we consider the potential costs associated with operational GHG emissions. We have developed country specific short, medium, and long-term estimates of future costs of carbon which are reviewed and updated annually. In 2021, we increased the expected cost of carbon, so by 2050, in real terms our cost of carbon estimates for all countries increased to between $125 and $200 per tonne of GHG emissions. The process for developing our cost of carbon estimates uses short-term policy outlooks and long-term scenario forecasts. We believe our estimates appropriately reflect society’s current implementation of the Paris Agreement. Unfortunately, however, society is not yet on track to meet the goals of the Paris Agreement. Shell will continue to update the cost of carbon estimates to take account of changes in the economic environment and pace of energy transition.</w:t>
      </w:r>
    </w:p>
    <w:p w:rsidRPr="00376F97" w:rsidR="00635ECB" w:rsidP="5A0EDC4F" w:rsidRDefault="00635ECB" w14:paraId="0711A326" w14:textId="77777777"/>
    <w:p w:rsidRPr="00376F97" w:rsidR="00635ECB" w:rsidP="5A0EDC4F" w:rsidRDefault="00635ECB" w14:paraId="56930CDA" w14:textId="363F3875">
      <w:r>
        <w:t xml:space="preserve">Shell has operated in Canada for over 110 years and all of Shell’s global lines of business are represented in the country. Canada champions many of the carbon pricing principles promoted by the ICC. Since 2019, every jurisdiction in Canada has priced carbon and Canada has championed the adoption of a global minimum standard on carbon pricing. </w:t>
      </w:r>
    </w:p>
    <w:p w:rsidR="004C0E00" w:rsidP="5A0EDC4F" w:rsidRDefault="004C0E00" w14:paraId="060921F4" w14:textId="77777777"/>
    <w:p w:rsidRPr="00376F97" w:rsidR="00635ECB" w:rsidP="5A0EDC4F" w:rsidRDefault="00635ECB" w14:paraId="0BD03C35" w14:textId="7A9D77C8">
      <w:r>
        <w:t xml:space="preserve">Shell has implemented various low-carbon projects in Canada </w:t>
      </w:r>
      <w:proofErr w:type="spellStart"/>
      <w:r>
        <w:t>incented</w:t>
      </w:r>
      <w:proofErr w:type="spellEnd"/>
      <w:r>
        <w:t xml:space="preserve"> by the rising carbon price and, in some cases, further enabled by funding programs supported through carbon pricing proceeds.</w:t>
      </w:r>
    </w:p>
    <w:p w:rsidRPr="00376F97" w:rsidR="00635ECB" w:rsidP="5A0EDC4F" w:rsidRDefault="00635ECB" w14:paraId="4EA27D51" w14:textId="77777777"/>
    <w:p w:rsidRPr="00376F97" w:rsidR="00685CF7" w:rsidP="5A0EDC4F" w:rsidRDefault="00685CF7" w14:paraId="5D2914AE" w14:textId="135D4103">
      <w:r w:rsidRPr="00376F97">
        <w:t>As Shell works to transform its business for a lower carbon future, it supports carbon pricing mechanisms as a key policy tool that governments can use to help increase global ambition and create incentives to invest in lower-carbon technology and infrastructure. The Shell-operated</w:t>
      </w:r>
      <w:r w:rsidRPr="2BCF7086">
        <w:rPr>
          <w:vertAlign w:val="superscript"/>
        </w:rPr>
        <w:footnoteReference w:id="26"/>
      </w:r>
      <w:r w:rsidRPr="00376F97">
        <w:t xml:space="preserve"> Quest project deploying carbon capture and storage (CCS) in Canada was financially supported by the governments of Canada and Alberta and is the world’s first commercial-scale CCS facility applied to oil sands operations. Quest has captured and permanently stored over 6 million tonnes since start-up in 2015. Following the success of Quest, Shell recently announced a proposal to build another large-scale CCS project at the Shell-owned Scotford refinery</w:t>
      </w:r>
      <w:r w:rsidRPr="5B969A22">
        <w:rPr>
          <w:vertAlign w:val="superscript"/>
        </w:rPr>
        <w:footnoteReference w:id="27"/>
      </w:r>
      <w:r w:rsidRPr="00376F97">
        <w:t xml:space="preserve"> and chemicals</w:t>
      </w:r>
      <w:r w:rsidRPr="5B969A22">
        <w:rPr>
          <w:vertAlign w:val="superscript"/>
        </w:rPr>
        <w:footnoteReference w:id="28"/>
      </w:r>
      <w:r w:rsidRPr="00376F97">
        <w:t xml:space="preserve"> facilities in Alberta. The project is expected to start operations in the middle of the decade subject to a final investment decision by Shell expected in 2023. Shell</w:t>
      </w:r>
      <w:r w:rsidRPr="0D4943BE">
        <w:rPr>
          <w:vertAlign w:val="superscript"/>
        </w:rPr>
        <w:footnoteReference w:id="29"/>
      </w:r>
      <w:r w:rsidRPr="00376F97">
        <w:t xml:space="preserve"> is progressing the first phase of the proposed Polaris project on the basis of the lessons learned from Quest, the projected price of carbon, and the proposed Canadian Clean Fuel Regulation.</w:t>
      </w:r>
    </w:p>
    <w:p w:rsidRPr="00376F97" w:rsidR="00685CF7" w:rsidP="5A0EDC4F" w:rsidRDefault="00685CF7" w14:paraId="0C0B418A" w14:textId="77777777"/>
    <w:p w:rsidRPr="00376F97" w:rsidR="00685CF7" w:rsidP="5A0EDC4F" w:rsidRDefault="00685CF7" w14:paraId="26DDF4F2" w14:textId="714C80DD">
      <w:r>
        <w:t xml:space="preserve">Shell supports Canada’s carbon pricing framework, which provides policy certainty to support delivery of net-zero emissions. Shell supports the further harmonization of federal and provincial carbon pricing systems across Canada. As an example, linking carbon credit systems would allow parties with greater flexibility to invest in eligible compensation projects without being restricted to jurisdictions where they hold obligations, allowing them to deliver the largest carbon reduction per dollar spent. </w:t>
      </w:r>
    </w:p>
    <w:p w:rsidR="00685CF7" w:rsidP="5A0EDC4F" w:rsidRDefault="00685CF7" w14:paraId="2E407CCC" w14:textId="77777777"/>
    <w:p w:rsidRPr="00637309" w:rsidR="00CD2416" w:rsidP="007A38DB" w:rsidRDefault="00CD2416" w14:paraId="350EEFDD" w14:textId="77777777"/>
    <w:p w:rsidR="00E02FA3" w:rsidRDefault="00E02FA3" w14:paraId="40367D0E" w14:textId="502BE431">
      <w:r>
        <w:br w:type="page"/>
      </w:r>
    </w:p>
    <w:p w:rsidRPr="00637309" w:rsidR="00CD2416" w:rsidP="5A0EDC4F" w:rsidRDefault="00CD2416" w14:paraId="3EDDFBC0" w14:textId="77777777"/>
    <w:p w:rsidRPr="00637309" w:rsidR="00CD2416" w:rsidP="002F4D17" w:rsidRDefault="00CD2416" w14:paraId="64BAAD30" w14:textId="37306D00">
      <w:pPr>
        <w:pStyle w:val="ListParagraph"/>
        <w:numPr>
          <w:ilvl w:val="0"/>
          <w:numId w:val="35"/>
        </w:numPr>
        <w:rPr>
          <w:rFonts w:asciiTheme="minorHAnsi" w:hAnsiTheme="minorHAnsi" w:eastAsiaTheme="minorEastAsia" w:cstheme="minorBidi"/>
          <w:b/>
          <w:color w:val="0064A8"/>
          <w:sz w:val="36"/>
          <w:szCs w:val="36"/>
        </w:rPr>
      </w:pPr>
      <w:r w:rsidRPr="7BA20A37">
        <w:rPr>
          <w:b/>
          <w:color w:val="0064A8"/>
          <w:sz w:val="36"/>
          <w:szCs w:val="36"/>
        </w:rPr>
        <w:t>EU E</w:t>
      </w:r>
      <w:r w:rsidRPr="7BA20A37" w:rsidR="00E014E5">
        <w:rPr>
          <w:b/>
          <w:color w:val="0064A8"/>
          <w:sz w:val="36"/>
          <w:szCs w:val="36"/>
        </w:rPr>
        <w:t>MISSIONS TRADING SYSTEM</w:t>
      </w:r>
    </w:p>
    <w:p w:rsidRPr="00637309" w:rsidR="00CD2416" w:rsidP="5A0EDC4F" w:rsidRDefault="00CD2416" w14:paraId="68930804" w14:textId="77777777">
      <w:pPr>
        <w:rPr>
          <w:b/>
          <w:color w:val="0064A8"/>
          <w:sz w:val="36"/>
          <w:szCs w:val="36"/>
        </w:rPr>
      </w:pPr>
    </w:p>
    <w:p w:rsidRPr="00637309" w:rsidR="00CD2416" w:rsidP="002F4D17" w:rsidRDefault="00CD2416" w14:paraId="6BA76BC6" w14:textId="77777777">
      <w:pPr>
        <w:pStyle w:val="ListParagraph"/>
        <w:numPr>
          <w:ilvl w:val="0"/>
          <w:numId w:val="31"/>
        </w:numPr>
        <w:rPr>
          <w:rFonts w:asciiTheme="minorHAnsi" w:hAnsiTheme="minorHAnsi" w:eastAsiaTheme="minorEastAsia" w:cstheme="minorBidi"/>
          <w:b/>
          <w:color w:val="0064A8"/>
          <w:sz w:val="36"/>
          <w:szCs w:val="36"/>
        </w:rPr>
      </w:pPr>
      <w:r w:rsidRPr="7BA20A37">
        <w:rPr>
          <w:b/>
          <w:color w:val="0064A8"/>
          <w:sz w:val="36"/>
          <w:szCs w:val="36"/>
        </w:rPr>
        <w:t>INTRODUCTION &amp; FACTSHEET</w:t>
      </w:r>
    </w:p>
    <w:p w:rsidR="5DE2853F" w:rsidP="5A0EDC4F" w:rsidRDefault="5DE2853F" w14:paraId="418110DD" w14:textId="7F937B91"/>
    <w:p w:rsidR="15602292" w:rsidP="5A0EDC4F" w:rsidRDefault="15602292" w14:paraId="5834B92C" w14:textId="6BF81036">
      <w:r w:rsidRPr="5A0EDC4F">
        <w:t xml:space="preserve">The European Union Emissions Trading System (EU ETS) is a cornerstone and key policy instrument of the EU's strategy for reducing greenhouse gas (GHG) emissions cost-effectively since 2005. The system covers ~40% of the EU’s emissions, from the power sector, manufacturing industry and aviation within the European Economic Area. It is the world’s first major carbon market and now second-largest ETS in force. Introduced in 2005, the EU ETS has gone through several </w:t>
      </w:r>
      <w:r w:rsidRPr="5A0EDC4F" w:rsidR="001A2030">
        <w:t>reforms,</w:t>
      </w:r>
      <w:r w:rsidRPr="5A0EDC4F">
        <w:t xml:space="preserve"> and it is now in its fourth trading phase. </w:t>
      </w:r>
      <w:r w:rsidRPr="5A0EDC4F" w:rsidR="703BBD8A">
        <w:t>The latest reform of the ETS was proposed in July of 2021 as a part of the European Green Deal</w:t>
      </w:r>
      <w:r w:rsidRPr="560C3D9F" w:rsidR="1EC706CA">
        <w:rPr>
          <w:vertAlign w:val="superscript"/>
        </w:rPr>
        <w:footnoteReference w:id="30"/>
      </w:r>
      <w:r w:rsidRPr="5A0EDC4F" w:rsidR="703BBD8A">
        <w:t xml:space="preserve"> that introduced </w:t>
      </w:r>
      <w:r w:rsidR="00DA3536">
        <w:t xml:space="preserve">a </w:t>
      </w:r>
      <w:r w:rsidRPr="5A0EDC4F" w:rsidR="703BBD8A">
        <w:t xml:space="preserve">more ambitious intermediate and long-term target of reducing GHG emissions by at least 55% by 2030, compared to 1990 levels and achieve net zero emissions by 2050. </w:t>
      </w:r>
      <w:r w:rsidRPr="5A0EDC4F">
        <w:t xml:space="preserve">The latest reform proposes major changes to the system.  </w:t>
      </w:r>
    </w:p>
    <w:p w:rsidR="15602292" w:rsidP="5A0EDC4F" w:rsidRDefault="15602292" w14:paraId="5FC1ED88" w14:textId="7C455485"/>
    <w:p w:rsidR="1EC706CA" w:rsidP="5A0EDC4F" w:rsidRDefault="15602292" w14:paraId="1FD4EC1B" w14:textId="13121A44">
      <w:r w:rsidRPr="5A0EDC4F">
        <w:t xml:space="preserve">As of January 2020, the EU ETS became linked to the Swiss ETS, the first linking of this kind for both parties. The link allows covered entities in both systems to use allowances from either ETS for compliance. </w:t>
      </w:r>
      <w:r w:rsidRPr="5A0EDC4F" w:rsidR="703BBD8A">
        <w:t xml:space="preserve">The United </w:t>
      </w:r>
      <w:r w:rsidRPr="5A0EDC4F" w:rsidR="138DD392">
        <w:t>Kingdom</w:t>
      </w:r>
      <w:r w:rsidRPr="5A0EDC4F">
        <w:t xml:space="preserve"> after withdrawing officially from the EU on 31 January 2020 also stopped participating in the EU ETS.</w:t>
      </w:r>
    </w:p>
    <w:p w:rsidR="0EC1EA53" w:rsidP="5A0EDC4F" w:rsidRDefault="0EC1EA53" w14:paraId="36E7A5B8" w14:textId="05CCED92"/>
    <w:p w:rsidR="01799236" w:rsidP="5A0EDC4F" w:rsidRDefault="01799236" w14:paraId="7160CB5E" w14:textId="26A474E8">
      <w:pPr>
        <w:rPr>
          <w:b/>
          <w:sz w:val="24"/>
          <w:szCs w:val="24"/>
        </w:rPr>
      </w:pPr>
      <w:r w:rsidRPr="7BA20A37">
        <w:rPr>
          <w:b/>
          <w:sz w:val="24"/>
          <w:szCs w:val="24"/>
        </w:rPr>
        <w:t>Factsheet</w:t>
      </w:r>
    </w:p>
    <w:p w:rsidR="303D519F" w:rsidP="5A0EDC4F" w:rsidRDefault="303D519F" w14:paraId="7BF49EF4" w14:textId="4BF2B91D">
      <w:r w:rsidRPr="1EF4203F">
        <w:rPr>
          <w:b/>
        </w:rPr>
        <w:t>Years in operation</w:t>
      </w:r>
      <w:r w:rsidRPr="5A0EDC4F">
        <w:t>: Phase 1: 2005-07; Phase 2: 2008-12; Phase 3: 2013-20; Phase 4: 2021-30</w:t>
      </w:r>
    </w:p>
    <w:p w:rsidR="28942749" w:rsidP="5A0EDC4F" w:rsidRDefault="303D519F" w14:paraId="48F58737" w14:textId="0FD92B8F">
      <w:r w:rsidRPr="24D844F5">
        <w:rPr>
          <w:b/>
        </w:rPr>
        <w:t>Jurisdictions</w:t>
      </w:r>
      <w:r w:rsidRPr="5A0EDC4F">
        <w:t>: 27 EU members states and three European Economic Area-European Free Trade Association (EEA-EFTA) states: Norway, Iceland and Liechtenstein.</w:t>
      </w:r>
    </w:p>
    <w:p w:rsidR="47BC3B5C" w:rsidP="5A0EDC4F" w:rsidRDefault="5D4C7CF1" w14:paraId="4F94B976" w14:textId="6F823737">
      <w:r w:rsidRPr="24D844F5">
        <w:rPr>
          <w:b/>
        </w:rPr>
        <w:t>GHG coverage</w:t>
      </w:r>
      <w:r w:rsidRPr="5A0EDC4F">
        <w:t xml:space="preserve">: CO2, N2O, </w:t>
      </w:r>
      <w:r w:rsidRPr="5A0EDC4F" w:rsidR="6BAD1085">
        <w:t>PFCs</w:t>
      </w:r>
    </w:p>
    <w:p w:rsidR="6F60BE4D" w:rsidP="5A0EDC4F" w:rsidRDefault="3192C950" w14:paraId="1FC7089F" w14:textId="0A6BC46E">
      <w:r w:rsidRPr="24D844F5">
        <w:rPr>
          <w:b/>
        </w:rPr>
        <w:t>Pricing</w:t>
      </w:r>
      <w:r w:rsidRPr="24D844F5" w:rsidR="6F60BE4D">
        <w:rPr>
          <w:b/>
        </w:rPr>
        <w:t>:</w:t>
      </w:r>
      <w:r w:rsidRPr="5A0EDC4F" w:rsidR="6F60BE4D">
        <w:t xml:space="preserve"> Current Allowance Price (per t/CO2): EUR 77.</w:t>
      </w:r>
      <w:r w:rsidRPr="5A0EDC4F" w:rsidR="308F5F1D">
        <w:t>10</w:t>
      </w:r>
      <w:r w:rsidRPr="5A0EDC4F" w:rsidR="6F60BE4D">
        <w:t xml:space="preserve"> </w:t>
      </w:r>
      <w:r w:rsidRPr="5A0EDC4F" w:rsidR="1ACA9822">
        <w:t>(</w:t>
      </w:r>
      <w:r w:rsidRPr="5A0EDC4F" w:rsidR="5ED9A231">
        <w:t xml:space="preserve">22 March </w:t>
      </w:r>
      <w:r w:rsidRPr="5A0EDC4F" w:rsidR="774B8498">
        <w:t>2022)</w:t>
      </w:r>
      <w:r w:rsidRPr="5A0EDC4F" w:rsidR="549FE868">
        <w:t xml:space="preserve"> </w:t>
      </w:r>
    </w:p>
    <w:p w:rsidR="1EC706CA" w:rsidP="5A0EDC4F" w:rsidRDefault="6F60BE4D" w14:paraId="35645080" w14:textId="6872204D">
      <w:r w:rsidRPr="5A0EDC4F">
        <w:t xml:space="preserve">EU Carbon Permits reached an all-time high of 98.49 in February of </w:t>
      </w:r>
      <w:r w:rsidRPr="5A0EDC4F" w:rsidR="1A9D9AA0">
        <w:t>2022.</w:t>
      </w:r>
    </w:p>
    <w:p w:rsidR="09E9B3D3" w:rsidP="5A0EDC4F" w:rsidRDefault="5237911A" w14:paraId="1060DAD0" w14:textId="13CDACD2">
      <w:r w:rsidRPr="24D844F5">
        <w:rPr>
          <w:b/>
        </w:rPr>
        <w:t>Compliance obligation</w:t>
      </w:r>
      <w:r w:rsidRPr="5A0EDC4F">
        <w:t>: Entities must pay EUR 100/t for non-compliance, adjusted with the EU inflation rate from 2013 onwards. The shortfall incompliance is also then added to the compliance target of the following year.</w:t>
      </w:r>
    </w:p>
    <w:p w:rsidR="7574D5DD" w:rsidP="5A0EDC4F" w:rsidRDefault="7574D5DD" w14:paraId="4C5AC52D" w14:textId="0F801802">
      <w:r w:rsidRPr="24D844F5">
        <w:rPr>
          <w:b/>
        </w:rPr>
        <w:t>Use of revenues</w:t>
      </w:r>
      <w:r w:rsidRPr="5A0EDC4F">
        <w:t>: At least 50% of auctioning revenues or the equivalent in financial value of these revenues should be used by Member States for climate and energy related purposes</w:t>
      </w:r>
    </w:p>
    <w:p w:rsidR="449570CA" w:rsidP="5A0EDC4F" w:rsidRDefault="449570CA" w14:paraId="5CBA17C2" w14:textId="36DEF215"/>
    <w:p w:rsidR="1EC706CA" w:rsidP="5A0EDC4F" w:rsidRDefault="1EC706CA" w14:paraId="050F9391" w14:textId="71D38D7A"/>
    <w:p w:rsidRPr="00637309" w:rsidR="00CD2416" w:rsidP="002F4D17" w:rsidRDefault="00CD2416" w14:paraId="4F11226B" w14:textId="7F94BD49">
      <w:pPr>
        <w:pStyle w:val="ListParagraph"/>
        <w:numPr>
          <w:ilvl w:val="0"/>
          <w:numId w:val="31"/>
        </w:numPr>
        <w:rPr>
          <w:rFonts w:asciiTheme="minorHAnsi" w:hAnsiTheme="minorHAnsi" w:eastAsiaTheme="minorEastAsia" w:cstheme="minorBidi"/>
          <w:b/>
          <w:color w:val="0064A8"/>
          <w:sz w:val="36"/>
          <w:szCs w:val="36"/>
        </w:rPr>
      </w:pPr>
      <w:r w:rsidRPr="4B1C6D57">
        <w:rPr>
          <w:b/>
          <w:color w:val="0064A8"/>
          <w:sz w:val="36"/>
          <w:szCs w:val="36"/>
        </w:rPr>
        <w:t xml:space="preserve">CORE DESIGN FEATURES &amp; PRINCIPLE TEST </w:t>
      </w:r>
    </w:p>
    <w:p w:rsidR="00CD2416" w:rsidP="5A0EDC4F" w:rsidRDefault="00CD2416" w14:paraId="3832B4E4" w14:textId="7145B729"/>
    <w:p w:rsidRPr="00637309" w:rsidR="00CD2416" w:rsidP="002F4D17" w:rsidRDefault="11E1B9E1" w14:paraId="199E3178" w14:textId="76A36CE3">
      <w:pPr>
        <w:pStyle w:val="ListParagraph"/>
        <w:numPr>
          <w:ilvl w:val="0"/>
          <w:numId w:val="30"/>
        </w:numPr>
        <w:rPr>
          <w:rFonts w:asciiTheme="minorHAnsi" w:hAnsiTheme="minorHAnsi" w:eastAsiaTheme="minorEastAsia" w:cstheme="minorBidi"/>
        </w:rPr>
      </w:pPr>
      <w:r w:rsidRPr="5A0EDC4F">
        <w:t>The EU ETS ai</w:t>
      </w:r>
      <w:r w:rsidR="008E35E7">
        <w:t>m</w:t>
      </w:r>
      <w:r w:rsidRPr="5A0EDC4F">
        <w:t xml:space="preserve"> is to assist the EU in reaching its medium and long-term climate targets (by 2030 to get to at least 55% below 1990 GHG levels and by 2050 achieve net zero emissions</w:t>
      </w:r>
      <w:r w:rsidRPr="389E4C4E" w:rsidR="652D2C55">
        <w:rPr>
          <w:vertAlign w:val="superscript"/>
        </w:rPr>
        <w:footnoteReference w:id="31"/>
      </w:r>
      <w:r w:rsidRPr="5A0EDC4F">
        <w:t>) by “promoting reductions of emissions in a cost-effective and economically efficient manner</w:t>
      </w:r>
      <w:r w:rsidRPr="5A0EDC4F" w:rsidR="7BD7FBF6">
        <w:t>”</w:t>
      </w:r>
      <w:r w:rsidRPr="389E4C4E" w:rsidR="652D2C55">
        <w:rPr>
          <w:vertAlign w:val="superscript"/>
        </w:rPr>
        <w:footnoteReference w:id="32"/>
      </w:r>
      <w:r w:rsidRPr="5A0EDC4F" w:rsidR="7BD7FBF6">
        <w:t>.</w:t>
      </w:r>
    </w:p>
    <w:p w:rsidRPr="00637309" w:rsidR="00CD2416" w:rsidP="002F4D17" w:rsidRDefault="18E14237" w14:paraId="004FEAC0" w14:textId="4309FC51">
      <w:pPr>
        <w:pStyle w:val="ListParagraph"/>
        <w:numPr>
          <w:ilvl w:val="0"/>
          <w:numId w:val="30"/>
        </w:numPr>
      </w:pPr>
      <w:r w:rsidRPr="5A0EDC4F">
        <w:t xml:space="preserve">The EU ETS works on the principle of 'cap-and-trade'. It sets an absolute limit or 'cap' on the total amount of certain GHG that can be emitted each year by the entities covered by the system. This cap is reduced over time so that total emissions fall. </w:t>
      </w:r>
      <w:r w:rsidRPr="5A0EDC4F" w:rsidR="6DD5C321">
        <w:t>The main features of the EU ETS are the emission cap (a ceiling on the maximum amount) and the trading of EU emission allowances (EUAs). The cap represents the maximum absolute quantity of GHG emissions that may be emitted by entities covered by the system and guarantees that total emissions are kept to a pre-defined level. In the current phase 4 (2021-2030), the cap for both stationary installations and aviation is set to decrease annually by the linear reduction factor of 2.2</w:t>
      </w:r>
      <w:r w:rsidRPr="5A0EDC4F" w:rsidR="3882D29F">
        <w:t>%.</w:t>
      </w:r>
      <w:r w:rsidRPr="22948E64" w:rsidR="652D2C55">
        <w:rPr>
          <w:vertAlign w:val="superscript"/>
        </w:rPr>
        <w:footnoteReference w:id="33"/>
      </w:r>
    </w:p>
    <w:p w:rsidRPr="00637309" w:rsidR="00CD2416" w:rsidP="002F4D17" w:rsidRDefault="6DD5C321" w14:paraId="58EBC9F5" w14:textId="6B1B61FA">
      <w:pPr>
        <w:pStyle w:val="ListParagraph"/>
        <w:numPr>
          <w:ilvl w:val="0"/>
          <w:numId w:val="30"/>
        </w:numPr>
      </w:pPr>
      <w:r w:rsidRPr="5A0EDC4F">
        <w:t>EUAs are allocated for free or they are auctioned. The trading system provides some flexibility to the entities covered by the scheme as they can decide on taking action or buying EUAs depending on the EUA price. Installations that achieve reduction costs lower than the price are encouraged to take action, while emitters with high mitigation costs can buy EUAs complying with the GHG policy more cheaply.</w:t>
      </w:r>
    </w:p>
    <w:p w:rsidRPr="00637309" w:rsidR="00CD2416" w:rsidP="5A0EDC4F" w:rsidRDefault="00CD2416" w14:paraId="5C932B9B" w14:textId="4A5FD5D5"/>
    <w:p w:rsidRPr="00637309" w:rsidR="00CD2416" w:rsidP="5A0EDC4F" w:rsidRDefault="7120334C" w14:paraId="08E462C3" w14:textId="5CF97FB5">
      <w:pPr>
        <w:rPr>
          <w:b/>
        </w:rPr>
      </w:pPr>
      <w:r w:rsidRPr="2E701773">
        <w:rPr>
          <w:b/>
        </w:rPr>
        <w:t>Key design features developed over time</w:t>
      </w:r>
      <w:r w:rsidRPr="011C4F41" w:rsidR="652D2C55">
        <w:rPr>
          <w:b/>
          <w:vertAlign w:val="superscript"/>
        </w:rPr>
        <w:footnoteReference w:id="34"/>
      </w:r>
    </w:p>
    <w:p w:rsidRPr="00637309" w:rsidR="00CD2416" w:rsidP="6C52DDB4" w:rsidRDefault="00CD2416" w14:paraId="7049C11A" w14:textId="58C5BDC9"/>
    <w:p w:rsidRPr="00637309" w:rsidR="00CD2416" w:rsidP="6C52DDB4" w:rsidRDefault="6DD5C321" w14:paraId="50E11CCF" w14:textId="21754206">
      <w:pPr>
        <w:rPr>
          <w:b/>
        </w:rPr>
      </w:pPr>
      <w:r w:rsidRPr="072884DE">
        <w:rPr>
          <w:b/>
        </w:rPr>
        <w:t>Phase 1 (2005-2007</w:t>
      </w:r>
      <w:r w:rsidRPr="072884DE" w:rsidR="6C52DDB4">
        <w:rPr>
          <w:b/>
        </w:rPr>
        <w:t xml:space="preserve">) </w:t>
      </w:r>
    </w:p>
    <w:p w:rsidRPr="00637309" w:rsidR="00CD2416" w:rsidP="002F4D17" w:rsidRDefault="6DD5C321" w14:paraId="50B10714" w14:textId="311AD1A0">
      <w:pPr>
        <w:pStyle w:val="ListParagraph"/>
        <w:numPr>
          <w:ilvl w:val="0"/>
          <w:numId w:val="29"/>
        </w:numPr>
        <w:rPr>
          <w:rFonts w:asciiTheme="minorHAnsi" w:hAnsiTheme="minorHAnsi" w:eastAsiaTheme="minorEastAsia" w:cstheme="minorBidi"/>
        </w:rPr>
      </w:pPr>
      <w:r w:rsidRPr="5A0EDC4F">
        <w:t xml:space="preserve">This was a three-year pilot test to prepare for phase 2, when the EU ETS would need to function effectively to help the EU achieve its UNFCCC Kyoto Protocol targets. The Member States were able to decide on how many EUAs to allocate in total as well as to each installation in their country by preparing national allocation plans (NAPs). Almost all EUAs were allocated for free and were based on historic emissions called “grandfathering”. </w:t>
      </w:r>
    </w:p>
    <w:p w:rsidRPr="00637309" w:rsidR="00CD2416" w:rsidP="3807E9F1" w:rsidRDefault="00CD2416" w14:paraId="63D93ABC" w14:textId="55CC68E8"/>
    <w:p w:rsidRPr="00637309" w:rsidR="00CD2416" w:rsidP="5A0EDC4F" w:rsidRDefault="6DD5C321" w14:paraId="79D131AF" w14:textId="5821301A">
      <w:r w:rsidRPr="5A0EDC4F">
        <w:t>Key features:</w:t>
      </w:r>
    </w:p>
    <w:p w:rsidRPr="00637309" w:rsidR="00CD2416" w:rsidP="002F4D17" w:rsidRDefault="6DD5C321" w14:paraId="2F75EC60" w14:textId="7BEC71DF">
      <w:pPr>
        <w:pStyle w:val="ListParagraph"/>
        <w:numPr>
          <w:ilvl w:val="0"/>
          <w:numId w:val="26"/>
        </w:numPr>
        <w:rPr>
          <w:rFonts w:asciiTheme="minorHAnsi" w:hAnsiTheme="minorHAnsi" w:eastAsiaTheme="minorEastAsia" w:cstheme="minorBidi"/>
        </w:rPr>
      </w:pPr>
      <w:r w:rsidRPr="5A0EDC4F">
        <w:t>Covered only CO2 emissions from power and heat generators and energy-intensive industries;</w:t>
      </w:r>
    </w:p>
    <w:p w:rsidRPr="00637309" w:rsidR="00CD2416" w:rsidP="002F4D17" w:rsidRDefault="6DD5C321" w14:paraId="4ADD112C" w14:textId="659001E7">
      <w:pPr>
        <w:pStyle w:val="ListParagraph"/>
        <w:numPr>
          <w:ilvl w:val="0"/>
          <w:numId w:val="26"/>
        </w:numPr>
        <w:rPr>
          <w:rFonts w:asciiTheme="minorHAnsi" w:hAnsiTheme="minorHAnsi" w:eastAsiaTheme="minorEastAsia" w:cstheme="minorBidi"/>
        </w:rPr>
      </w:pPr>
      <w:r w:rsidRPr="5A0EDC4F">
        <w:t>Almost all allowances were given to businesses for free; and</w:t>
      </w:r>
    </w:p>
    <w:p w:rsidRPr="00637309" w:rsidR="00CD2416" w:rsidP="002F4D17" w:rsidRDefault="6DD5C321" w14:paraId="00CC9494" w14:textId="5C273E30">
      <w:pPr>
        <w:pStyle w:val="ListParagraph"/>
        <w:numPr>
          <w:ilvl w:val="0"/>
          <w:numId w:val="26"/>
        </w:numPr>
        <w:rPr>
          <w:rFonts w:asciiTheme="minorHAnsi" w:hAnsiTheme="minorHAnsi" w:eastAsiaTheme="minorEastAsia" w:cstheme="minorBidi"/>
        </w:rPr>
      </w:pPr>
      <w:r w:rsidRPr="5A0EDC4F">
        <w:t>The penalty for non-compliance was €40 per ton</w:t>
      </w:r>
    </w:p>
    <w:p w:rsidRPr="00637309" w:rsidR="00CD2416" w:rsidP="5A0EDC4F" w:rsidRDefault="6DD5C321" w14:paraId="259064DF" w14:textId="58E062C5">
      <w:r w:rsidRPr="5A0EDC4F">
        <w:t xml:space="preserve"> </w:t>
      </w:r>
    </w:p>
    <w:p w:rsidRPr="00637309" w:rsidR="00CD2416" w:rsidP="762FA721" w:rsidRDefault="6DD5C321" w14:paraId="581098AD" w14:textId="3650376E">
      <w:r w:rsidRPr="5A0EDC4F">
        <w:t xml:space="preserve">Phase 1 succeeded in establishing: </w:t>
      </w:r>
    </w:p>
    <w:p w:rsidRPr="00637309" w:rsidR="00CD2416" w:rsidP="002F4D17" w:rsidRDefault="6DD5C321" w14:paraId="17EB981F" w14:textId="457BDD01">
      <w:pPr>
        <w:pStyle w:val="ListParagraph"/>
        <w:numPr>
          <w:ilvl w:val="0"/>
          <w:numId w:val="25"/>
        </w:numPr>
        <w:rPr>
          <w:rFonts w:asciiTheme="minorHAnsi" w:hAnsiTheme="minorHAnsi" w:eastAsiaTheme="minorEastAsia" w:cstheme="minorBidi"/>
        </w:rPr>
      </w:pPr>
      <w:r w:rsidRPr="5A0EDC4F">
        <w:t>A price for carbon;</w:t>
      </w:r>
    </w:p>
    <w:p w:rsidRPr="00637309" w:rsidR="00CD2416" w:rsidP="002F4D17" w:rsidRDefault="6DD5C321" w14:paraId="7AC1B36C" w14:textId="7DDA6B4C">
      <w:pPr>
        <w:pStyle w:val="ListParagraph"/>
        <w:numPr>
          <w:ilvl w:val="0"/>
          <w:numId w:val="25"/>
        </w:numPr>
        <w:rPr>
          <w:rFonts w:asciiTheme="minorHAnsi" w:hAnsiTheme="minorHAnsi" w:eastAsiaTheme="minorEastAsia" w:cstheme="minorBidi"/>
        </w:rPr>
      </w:pPr>
      <w:r w:rsidRPr="5A0EDC4F">
        <w:t>Free trade in emission allowances across the EU; and</w:t>
      </w:r>
    </w:p>
    <w:p w:rsidRPr="00637309" w:rsidR="00CD2416" w:rsidP="002F4D17" w:rsidRDefault="6DD5C321" w14:paraId="02417E6F" w14:textId="16F19D65">
      <w:pPr>
        <w:pStyle w:val="ListParagraph"/>
        <w:numPr>
          <w:ilvl w:val="0"/>
          <w:numId w:val="25"/>
        </w:numPr>
        <w:rPr>
          <w:rFonts w:asciiTheme="minorHAnsi" w:hAnsiTheme="minorHAnsi" w:eastAsiaTheme="minorEastAsia" w:cstheme="minorBidi"/>
        </w:rPr>
      </w:pPr>
      <w:r w:rsidRPr="5A0EDC4F">
        <w:t>The infrastructure needed to monitor, report and verify (MRV) emissions from installations covered.</w:t>
      </w:r>
    </w:p>
    <w:p w:rsidRPr="00637309" w:rsidR="00CD2416" w:rsidP="06056689" w:rsidRDefault="00CD2416" w14:paraId="239DC8BD" w14:textId="06E1FBBA"/>
    <w:p w:rsidRPr="00637309" w:rsidR="00CD2416" w:rsidP="06056689" w:rsidRDefault="6DD5C321" w14:paraId="32D53278" w14:textId="411F95D7">
      <w:r w:rsidRPr="5A0EDC4F">
        <w:t xml:space="preserve">Phase 1 caps were set on the basis of estimates as no reliable emissions data was available. The total amount of allowances issued exceeded emissions and, with supply significantly exceeding demand, in 2007 the price of allowances fell to zero (phase 1 allowances could not be banked for use in phase 2). </w:t>
      </w:r>
    </w:p>
    <w:p w:rsidRPr="00637309" w:rsidR="00CD2416" w:rsidP="5A0EDC4F" w:rsidRDefault="6DD5C321" w14:paraId="265D52F4" w14:textId="27889FBD">
      <w:r w:rsidRPr="5A0EDC4F">
        <w:t xml:space="preserve"> </w:t>
      </w:r>
    </w:p>
    <w:p w:rsidRPr="00637309" w:rsidR="00CD2416" w:rsidP="3CE8A474" w:rsidRDefault="6DD5C321" w14:paraId="17B204B3" w14:textId="22A92D21">
      <w:pPr>
        <w:rPr>
          <w:b/>
        </w:rPr>
      </w:pPr>
      <w:r w:rsidRPr="140C31EA">
        <w:rPr>
          <w:b/>
        </w:rPr>
        <w:t>Phase 2 (2008-2012</w:t>
      </w:r>
      <w:r w:rsidRPr="140C31EA" w:rsidR="3CE8A474">
        <w:rPr>
          <w:b/>
        </w:rPr>
        <w:t>)</w:t>
      </w:r>
    </w:p>
    <w:p w:rsidRPr="00637309" w:rsidR="00CD2416" w:rsidP="002F4D17" w:rsidRDefault="6DD5C321" w14:paraId="5593798B" w14:textId="257FD4CA">
      <w:pPr>
        <w:pStyle w:val="ListParagraph"/>
        <w:numPr>
          <w:ilvl w:val="0"/>
          <w:numId w:val="28"/>
        </w:numPr>
        <w:rPr>
          <w:rFonts w:asciiTheme="minorHAnsi" w:hAnsiTheme="minorHAnsi" w:eastAsiaTheme="minorEastAsia" w:cstheme="minorBidi"/>
        </w:rPr>
      </w:pPr>
      <w:r w:rsidRPr="5A0EDC4F">
        <w:t>Phase 2 was concurrent with the first commitment period of the Kyoto Protocol. Iceland, Norway and Liechtenstein joined the EU ETS and the scope was amended to include nitrous oxide from nitric acid production from several countries.</w:t>
      </w:r>
    </w:p>
    <w:p w:rsidRPr="00637309" w:rsidR="00CD2416" w:rsidP="5A0EDC4F" w:rsidRDefault="6DD5C321" w14:paraId="10BEE4F1" w14:textId="6EE638A3">
      <w:r w:rsidRPr="5A0EDC4F">
        <w:t xml:space="preserve"> </w:t>
      </w:r>
    </w:p>
    <w:p w:rsidRPr="00637309" w:rsidR="00CD2416" w:rsidP="5A0EDC4F" w:rsidRDefault="6DD5C321" w14:paraId="39015B87" w14:textId="01459A47">
      <w:r w:rsidRPr="140C31EA">
        <w:rPr>
          <w:b/>
        </w:rPr>
        <w:t>Key features</w:t>
      </w:r>
      <w:r w:rsidRPr="5A0EDC4F">
        <w:t>:</w:t>
      </w:r>
    </w:p>
    <w:p w:rsidRPr="00637309" w:rsidR="00CD2416" w:rsidP="002F4D17" w:rsidRDefault="6DD5C321" w14:paraId="24B801F3" w14:textId="623A8CED">
      <w:pPr>
        <w:pStyle w:val="ListParagraph"/>
        <w:numPr>
          <w:ilvl w:val="0"/>
          <w:numId w:val="24"/>
        </w:numPr>
        <w:rPr>
          <w:rFonts w:asciiTheme="minorHAnsi" w:hAnsiTheme="minorHAnsi" w:eastAsiaTheme="minorEastAsia" w:cstheme="minorBidi"/>
        </w:rPr>
      </w:pPr>
      <w:r w:rsidRPr="5A0EDC4F">
        <w:t>Lower cap on allowances (some 6.5% lower compared to 2005);</w:t>
      </w:r>
    </w:p>
    <w:p w:rsidRPr="00637309" w:rsidR="00CD2416" w:rsidP="002F4D17" w:rsidRDefault="6DD5C321" w14:paraId="210AE906" w14:textId="07DE26F5">
      <w:pPr>
        <w:pStyle w:val="ListParagraph"/>
        <w:numPr>
          <w:ilvl w:val="0"/>
          <w:numId w:val="24"/>
        </w:numPr>
        <w:rPr>
          <w:rFonts w:asciiTheme="minorHAnsi" w:hAnsiTheme="minorHAnsi" w:eastAsiaTheme="minorEastAsia" w:cstheme="minorBidi"/>
        </w:rPr>
      </w:pPr>
      <w:r w:rsidRPr="5A0EDC4F">
        <w:t>Nitrous oxide emissions from the production of nitric acid included by a number of countries;</w:t>
      </w:r>
    </w:p>
    <w:p w:rsidRPr="00637309" w:rsidR="00CD2416" w:rsidP="002F4D17" w:rsidRDefault="6DD5C321" w14:paraId="7FE7AD9E" w14:textId="4ECCE05D">
      <w:pPr>
        <w:pStyle w:val="ListParagraph"/>
        <w:numPr>
          <w:ilvl w:val="0"/>
          <w:numId w:val="24"/>
        </w:numPr>
        <w:rPr>
          <w:rFonts w:asciiTheme="minorHAnsi" w:hAnsiTheme="minorHAnsi" w:eastAsiaTheme="minorEastAsia" w:cstheme="minorBidi"/>
        </w:rPr>
      </w:pPr>
      <w:r w:rsidRPr="5A0EDC4F">
        <w:t>The proportion of free allocation fell slightly to around 90%;</w:t>
      </w:r>
    </w:p>
    <w:p w:rsidRPr="00637309" w:rsidR="00CD2416" w:rsidP="002F4D17" w:rsidRDefault="6DD5C321" w14:paraId="6F5CA712" w14:textId="56FFF961">
      <w:pPr>
        <w:pStyle w:val="ListParagraph"/>
        <w:numPr>
          <w:ilvl w:val="0"/>
          <w:numId w:val="24"/>
        </w:numPr>
        <w:rPr>
          <w:rFonts w:asciiTheme="minorHAnsi" w:hAnsiTheme="minorHAnsi" w:eastAsiaTheme="minorEastAsia" w:cstheme="minorBidi"/>
        </w:rPr>
      </w:pPr>
      <w:r w:rsidRPr="5A0EDC4F">
        <w:t>Several countries held auctions;</w:t>
      </w:r>
    </w:p>
    <w:p w:rsidRPr="00637309" w:rsidR="00CD2416" w:rsidP="002F4D17" w:rsidRDefault="6DD5C321" w14:paraId="0F06722B" w14:textId="03058827">
      <w:pPr>
        <w:pStyle w:val="ListParagraph"/>
        <w:numPr>
          <w:ilvl w:val="0"/>
          <w:numId w:val="24"/>
        </w:numPr>
        <w:rPr>
          <w:rFonts w:asciiTheme="minorHAnsi" w:hAnsiTheme="minorHAnsi" w:eastAsiaTheme="minorEastAsia" w:cstheme="minorBidi"/>
        </w:rPr>
      </w:pPr>
      <w:r w:rsidRPr="5A0EDC4F">
        <w:t>The penalty for non-compliance was increased to €100 per tonne;</w:t>
      </w:r>
    </w:p>
    <w:p w:rsidRPr="00637309" w:rsidR="00CD2416" w:rsidP="002F4D17" w:rsidRDefault="6DD5C321" w14:paraId="195BB334" w14:textId="0990ADCE">
      <w:pPr>
        <w:pStyle w:val="ListParagraph"/>
        <w:numPr>
          <w:ilvl w:val="0"/>
          <w:numId w:val="24"/>
        </w:numPr>
        <w:rPr>
          <w:rFonts w:asciiTheme="minorHAnsi" w:hAnsiTheme="minorHAnsi" w:eastAsiaTheme="minorEastAsia" w:cstheme="minorBidi"/>
        </w:rPr>
      </w:pPr>
      <w:r w:rsidRPr="5A0EDC4F">
        <w:t>Businesses were allowed to buy international credits (from the Kyoto Protocol’s CDM and JI); totalling around 1.4 billion tonnes of CO2-equivalent;</w:t>
      </w:r>
    </w:p>
    <w:p w:rsidRPr="00637309" w:rsidR="00CD2416" w:rsidP="002F4D17" w:rsidRDefault="6DD5C321" w14:paraId="7BB758AF" w14:textId="084EF079">
      <w:pPr>
        <w:pStyle w:val="ListParagraph"/>
        <w:numPr>
          <w:ilvl w:val="0"/>
          <w:numId w:val="24"/>
        </w:numPr>
        <w:rPr>
          <w:rFonts w:asciiTheme="minorHAnsi" w:hAnsiTheme="minorHAnsi" w:eastAsiaTheme="minorEastAsia" w:cstheme="minorBidi"/>
        </w:rPr>
      </w:pPr>
      <w:r w:rsidRPr="5A0EDC4F">
        <w:t>Union registry replaced national registries and the European Union Transaction Log (EUTL) replaced the Community Independent Transaction Log (CITL); and</w:t>
      </w:r>
    </w:p>
    <w:p w:rsidRPr="00637309" w:rsidR="00CD2416" w:rsidP="002F4D17" w:rsidRDefault="6DD5C321" w14:paraId="50F1895D" w14:textId="12FD785C">
      <w:pPr>
        <w:pStyle w:val="ListParagraph"/>
        <w:numPr>
          <w:ilvl w:val="0"/>
          <w:numId w:val="24"/>
        </w:numPr>
        <w:rPr>
          <w:rFonts w:asciiTheme="minorHAnsi" w:hAnsiTheme="minorHAnsi" w:eastAsiaTheme="minorEastAsia" w:cstheme="minorBidi"/>
        </w:rPr>
      </w:pPr>
      <w:r w:rsidRPr="5A0EDC4F">
        <w:t>The aviation sector was brought into the EU ETS on 1 January 2012</w:t>
      </w:r>
      <w:r w:rsidRPr="5A0EDC4F" w:rsidR="5BB06F27">
        <w:t>. In November 2012, the EU temporarily suspended enforcement of the EU ETS requirements for flights operating from or to non-EEA countries (“stop the clock”) while continuing to apply the legislation to flights within and between countries in the EEA. The EU will maintain the intra-EEA scope until 31 December 2023.</w:t>
      </w:r>
    </w:p>
    <w:p w:rsidRPr="00637309" w:rsidR="00CD2416" w:rsidP="002F4D17" w:rsidRDefault="6DD5C321" w14:paraId="3C28FB2C" w14:textId="3F068E39">
      <w:pPr>
        <w:pStyle w:val="ListParagraph"/>
        <w:numPr>
          <w:ilvl w:val="0"/>
          <w:numId w:val="27"/>
        </w:numPr>
        <w:rPr>
          <w:rFonts w:asciiTheme="minorHAnsi" w:hAnsiTheme="minorHAnsi" w:eastAsiaTheme="minorEastAsia" w:cstheme="minorBidi"/>
        </w:rPr>
      </w:pPr>
      <w:r w:rsidRPr="5A0EDC4F">
        <w:t>In phase 2 veriﬁed annual emissions data from the pilot phase was now available and the cap on allowances was reduced, based on actual emissions. The expansion of the system to international credits made the EU ETS the main driver of the international carbon market. However, the 2008 financial crisis led to emissions reductions that were greater than expected. This led to a large surplus of allowances and credits, which caused a fall of the price from 30 Euro to less than 7 Euro.</w:t>
      </w:r>
    </w:p>
    <w:p w:rsidRPr="00637309" w:rsidR="00CD2416" w:rsidP="5A0EDC4F" w:rsidRDefault="6DD5C321" w14:paraId="1EA31CEB" w14:textId="19765AB2">
      <w:r w:rsidRPr="5A0EDC4F">
        <w:t xml:space="preserve"> </w:t>
      </w:r>
    </w:p>
    <w:p w:rsidRPr="00637309" w:rsidR="00CD2416" w:rsidP="4606FA9D" w:rsidRDefault="6DD5C321" w14:paraId="410C9156" w14:textId="73DC8C08">
      <w:pPr>
        <w:rPr>
          <w:b/>
          <w:bCs/>
        </w:rPr>
      </w:pPr>
      <w:r w:rsidRPr="4606FA9D">
        <w:rPr>
          <w:b/>
        </w:rPr>
        <w:t>Phase 3 (2013-2020</w:t>
      </w:r>
      <w:r w:rsidRPr="4606FA9D" w:rsidR="4606FA9D">
        <w:rPr>
          <w:b/>
          <w:bCs/>
        </w:rPr>
        <w:t>)</w:t>
      </w:r>
    </w:p>
    <w:p w:rsidRPr="00637309" w:rsidR="00CD2416" w:rsidP="002F4D17" w:rsidRDefault="6DD5C321" w14:paraId="70CD89B1" w14:textId="36B55FDD">
      <w:pPr>
        <w:pStyle w:val="ListParagraph"/>
        <w:numPr>
          <w:ilvl w:val="0"/>
          <w:numId w:val="23"/>
        </w:numPr>
        <w:rPr>
          <w:rFonts w:asciiTheme="minorHAnsi" w:hAnsiTheme="minorHAnsi" w:eastAsiaTheme="minorEastAsia" w:cstheme="minorBidi"/>
        </w:rPr>
      </w:pPr>
      <w:r w:rsidRPr="5A0EDC4F">
        <w:t>The reform for phase 3 included significant changes to the system compared to phases 1 and 2 that aimed to address key inherent weaknesses and challenges of the system: (i) fall of EUAs during phase two greatly undermined the reliability of the EU ETS; (ii) EU ETS did not generate needed transformations or transition towards renewable energies and low-emissions technologies (iii) system was not as cost-effective as initially anticipated; and (iv) it was subjected to several frauds and scams.</w:t>
      </w:r>
    </w:p>
    <w:p w:rsidRPr="00637309" w:rsidR="00CD2416" w:rsidP="5A0EDC4F" w:rsidRDefault="6DD5C321" w14:paraId="2544F1E4" w14:textId="550F84A4">
      <w:r w:rsidRPr="5A0EDC4F">
        <w:t xml:space="preserve"> </w:t>
      </w:r>
    </w:p>
    <w:p w:rsidRPr="00637309" w:rsidR="00CD2416" w:rsidP="5A0EDC4F" w:rsidRDefault="6DD5C321" w14:paraId="597573F6" w14:textId="6FD0EC5E">
      <w:pPr>
        <w:rPr>
          <w:b/>
        </w:rPr>
      </w:pPr>
      <w:r w:rsidRPr="7C858D77">
        <w:rPr>
          <w:b/>
        </w:rPr>
        <w:t>Key changes:</w:t>
      </w:r>
    </w:p>
    <w:p w:rsidRPr="00637309" w:rsidR="00CD2416" w:rsidP="002F4D17" w:rsidRDefault="6DD5C321" w14:paraId="61BAE3CF" w14:textId="6081CD3E">
      <w:pPr>
        <w:pStyle w:val="ListParagraph"/>
        <w:numPr>
          <w:ilvl w:val="0"/>
          <w:numId w:val="22"/>
        </w:numPr>
        <w:rPr>
          <w:rFonts w:asciiTheme="minorHAnsi" w:hAnsiTheme="minorHAnsi" w:eastAsiaTheme="minorEastAsia" w:cstheme="minorBidi"/>
        </w:rPr>
      </w:pPr>
      <w:r w:rsidRPr="5A0EDC4F">
        <w:t>A single, EU-wide cap on emissions in place of the previous system of national caps;</w:t>
      </w:r>
    </w:p>
    <w:p w:rsidRPr="00637309" w:rsidR="00CD2416" w:rsidP="002F4D17" w:rsidRDefault="6DD5C321" w14:paraId="71646C47" w14:textId="6CD93748">
      <w:pPr>
        <w:pStyle w:val="ListParagraph"/>
        <w:numPr>
          <w:ilvl w:val="0"/>
          <w:numId w:val="22"/>
        </w:numPr>
      </w:pPr>
      <w:r w:rsidRPr="5A0EDC4F">
        <w:t>Auctioning as the default method for allocating allowances (instead of free allocation);</w:t>
      </w:r>
    </w:p>
    <w:p w:rsidRPr="00637309" w:rsidR="00CD2416" w:rsidP="002F4D17" w:rsidRDefault="6DD5C321" w14:paraId="3A8B62EE" w14:textId="57B9724F">
      <w:pPr>
        <w:pStyle w:val="ListParagraph"/>
        <w:numPr>
          <w:ilvl w:val="0"/>
          <w:numId w:val="22"/>
        </w:numPr>
      </w:pPr>
      <w:r w:rsidRPr="5A0EDC4F">
        <w:t xml:space="preserve">Process of auctioning is supervised by the EU ETS Actioning Regulation to ensure actions correspond to agreed criteria and are performed in open, transparent, harmonised and non-discriminatory manner; </w:t>
      </w:r>
    </w:p>
    <w:p w:rsidRPr="00637309" w:rsidR="00CD2416" w:rsidP="002F4D17" w:rsidRDefault="6DD5C321" w14:paraId="362635B2" w14:textId="738F64E5">
      <w:pPr>
        <w:pStyle w:val="ListParagraph"/>
        <w:numPr>
          <w:ilvl w:val="0"/>
          <w:numId w:val="22"/>
        </w:numPr>
      </w:pPr>
      <w:r w:rsidRPr="5A0EDC4F">
        <w:t>Introduction of short-term measure “back-loading” to address growing surplus of EUAs transferred from phase 2. The auctioning of 900 million EUAs was postponed to the end of the trading period;</w:t>
      </w:r>
    </w:p>
    <w:p w:rsidRPr="00637309" w:rsidR="00CD2416" w:rsidP="002F4D17" w:rsidRDefault="6DD5C321" w14:paraId="578ACE56" w14:textId="71F79C32">
      <w:pPr>
        <w:pStyle w:val="ListParagraph"/>
        <w:numPr>
          <w:ilvl w:val="0"/>
          <w:numId w:val="22"/>
        </w:numPr>
      </w:pPr>
      <w:r w:rsidRPr="5A0EDC4F">
        <w:t>Harmonised allocation rules applying to the allowances still given away for free, mostly to industry based on benchmarking;</w:t>
      </w:r>
    </w:p>
    <w:p w:rsidRPr="00637309" w:rsidR="00CD2416" w:rsidP="002F4D17" w:rsidRDefault="6DD5C321" w14:paraId="290EEBA4" w14:textId="05D370E0">
      <w:pPr>
        <w:pStyle w:val="ListParagraph"/>
        <w:numPr>
          <w:ilvl w:val="0"/>
          <w:numId w:val="22"/>
        </w:numPr>
      </w:pPr>
      <w:r w:rsidRPr="5A0EDC4F">
        <w:t xml:space="preserve">More sectors and gases included; </w:t>
      </w:r>
    </w:p>
    <w:p w:rsidRPr="00637309" w:rsidR="00CD2416" w:rsidP="002F4D17" w:rsidRDefault="1F778CF0" w14:paraId="78E8445A" w14:textId="7696C2C1">
      <w:pPr>
        <w:pStyle w:val="ListParagraph"/>
        <w:numPr>
          <w:ilvl w:val="0"/>
          <w:numId w:val="22"/>
        </w:numPr>
      </w:pPr>
      <w:r w:rsidRPr="5A0EDC4F">
        <w:t xml:space="preserve">Use of offsets: installations are able to use a limited amount of international credits </w:t>
      </w:r>
      <w:r>
        <w:t xml:space="preserve">from the clean development mechanism (CDM) and joint implementation (JI) for compliance. Qualitative criteria were introduced and apply to the types of credits that can be used. </w:t>
      </w:r>
    </w:p>
    <w:p w:rsidRPr="00637309" w:rsidR="00CD2416" w:rsidP="002F4D17" w:rsidRDefault="038E3CDC" w14:paraId="3024172B" w14:textId="7D25A1F2">
      <w:pPr>
        <w:pStyle w:val="ListParagraph"/>
        <w:numPr>
          <w:ilvl w:val="0"/>
          <w:numId w:val="22"/>
        </w:numPr>
      </w:pPr>
      <w:r w:rsidRPr="5A0EDC4F">
        <w:t>300 million allowances set aside in the New Entrants Reserve to fund the deployment of renewable energy technologies and carbon capture and storage through the NER 300 programme.</w:t>
      </w:r>
      <w:r w:rsidRPr="5A0EDC4F" w:rsidR="37A4AB39">
        <w:t xml:space="preserve"> NER 300 is EU low-emission funding programme of approximately EUR 2 billion monetised through the sale off 300 million allowances</w:t>
      </w:r>
      <w:r w:rsidRPr="5A0EDC4F" w:rsidR="4B4611D5">
        <w:t>; and</w:t>
      </w:r>
    </w:p>
    <w:p w:rsidRPr="00637309" w:rsidR="00CD2416" w:rsidP="002F4D17" w:rsidRDefault="6DD5C321" w14:paraId="1279E7B9" w14:textId="5E160798">
      <w:pPr>
        <w:pStyle w:val="ListParagraph"/>
        <w:numPr>
          <w:ilvl w:val="0"/>
          <w:numId w:val="22"/>
        </w:numPr>
      </w:pPr>
      <w:r w:rsidRPr="5A0EDC4F">
        <w:t xml:space="preserve">A Market Stability Reserve (MSR) </w:t>
      </w:r>
      <w:r w:rsidR="000E1220">
        <w:t>was</w:t>
      </w:r>
      <w:r w:rsidRPr="5A0EDC4F">
        <w:t xml:space="preserve"> </w:t>
      </w:r>
      <w:r w:rsidRPr="5A0EDC4F" w:rsidR="005B2FDE">
        <w:t>introduced</w:t>
      </w:r>
      <w:r w:rsidRPr="5A0EDC4F">
        <w:t xml:space="preserve"> in 2019 to deal with the accumulated surplus of allowances and take into account interacti</w:t>
      </w:r>
      <w:r w:rsidR="00B948E2">
        <w:t xml:space="preserve">on of </w:t>
      </w:r>
      <w:r w:rsidRPr="5A0EDC4F">
        <w:t>other polic</w:t>
      </w:r>
      <w:r w:rsidR="00B948E2">
        <w:t>ies</w:t>
      </w:r>
      <w:r w:rsidRPr="5A0EDC4F">
        <w:t xml:space="preserve"> on ETS perimeter</w:t>
      </w:r>
    </w:p>
    <w:p w:rsidRPr="00637309" w:rsidR="00CD2416" w:rsidP="5A0EDC4F" w:rsidRDefault="6DD5C321" w14:paraId="44115821" w14:textId="05CC4B55">
      <w:r w:rsidRPr="5A0EDC4F">
        <w:t xml:space="preserve"> </w:t>
      </w:r>
    </w:p>
    <w:p w:rsidRPr="00637309" w:rsidR="00CD2416" w:rsidP="5DBA69C0" w:rsidRDefault="6DD5C321" w14:paraId="1A20AC3B" w14:textId="10066F81">
      <w:pPr>
        <w:rPr>
          <w:b/>
          <w:bCs/>
        </w:rPr>
      </w:pPr>
      <w:r w:rsidRPr="5DBA69C0">
        <w:rPr>
          <w:b/>
        </w:rPr>
        <w:t>Phase 4 (2021-2030</w:t>
      </w:r>
      <w:r w:rsidRPr="5DBA69C0" w:rsidR="4F9ECD1B">
        <w:rPr>
          <w:b/>
        </w:rPr>
        <w:t>)</w:t>
      </w:r>
    </w:p>
    <w:p w:rsidRPr="00637309" w:rsidR="00CD2416" w:rsidP="002F4D17" w:rsidRDefault="6DD5C321" w14:paraId="13EFB0AB" w14:textId="65B4A5D3">
      <w:pPr>
        <w:pStyle w:val="ListParagraph"/>
        <w:numPr>
          <w:ilvl w:val="0"/>
          <w:numId w:val="21"/>
        </w:numPr>
        <w:rPr>
          <w:rFonts w:asciiTheme="minorHAnsi" w:hAnsiTheme="minorHAnsi" w:eastAsiaTheme="minorEastAsia" w:cstheme="minorBidi"/>
        </w:rPr>
      </w:pPr>
      <w:r w:rsidRPr="5A0EDC4F">
        <w:t xml:space="preserve">In July 2021, the European Commission released the “Fit for 55” package – a set of policy proposals spanning all major sectors of the economy to achieve emission reductions of at least 55% below 1990 levels and become a net zero economy by 2050. The EU ETS is seen to play a major role in achieving these objectives and several major changes have been proposed – most importantly:  </w:t>
      </w:r>
    </w:p>
    <w:p w:rsidRPr="00637309" w:rsidR="00CD2416" w:rsidP="002F4D17" w:rsidRDefault="6DD5C321" w14:paraId="1E079CA6" w14:textId="46586453">
      <w:pPr>
        <w:pStyle w:val="ListParagraph"/>
        <w:numPr>
          <w:ilvl w:val="1"/>
          <w:numId w:val="21"/>
        </w:numPr>
      </w:pPr>
      <w:r w:rsidRPr="5A0EDC4F">
        <w:t>A new reduction target for the system (61% below 2005 levels by 2030 compared to 43% below 2005 levels currently);</w:t>
      </w:r>
    </w:p>
    <w:p w:rsidRPr="00637309" w:rsidR="00CD2416" w:rsidP="002F4D17" w:rsidRDefault="6DD5C321" w14:paraId="6B797036" w14:textId="15B824D1">
      <w:pPr>
        <w:pStyle w:val="ListParagraph"/>
        <w:numPr>
          <w:ilvl w:val="1"/>
          <w:numId w:val="21"/>
        </w:numPr>
      </w:pPr>
      <w:r w:rsidRPr="5A0EDC4F">
        <w:t xml:space="preserve">A one-off reduction to the cap and increased linear reduction factor (from 2.2% to 4.2%); </w:t>
      </w:r>
    </w:p>
    <w:p w:rsidRPr="00637309" w:rsidR="00CD2416" w:rsidP="002F4D17" w:rsidRDefault="6DD5C321" w14:paraId="7776AE83" w14:textId="58FD2348">
      <w:pPr>
        <w:pStyle w:val="ListParagraph"/>
        <w:numPr>
          <w:ilvl w:val="1"/>
          <w:numId w:val="21"/>
        </w:numPr>
      </w:pPr>
      <w:r w:rsidRPr="5A0EDC4F">
        <w:t>Inclusion of the maritime sector into the EU ETS’ scope from 2023 onwards</w:t>
      </w:r>
      <w:r w:rsidRPr="4CC0B723" w:rsidR="00CD2416">
        <w:rPr>
          <w:vertAlign w:val="superscript"/>
        </w:rPr>
        <w:footnoteReference w:id="35"/>
      </w:r>
      <w:r w:rsidRPr="5A0EDC4F">
        <w:t>;</w:t>
      </w:r>
    </w:p>
    <w:p w:rsidRPr="00637309" w:rsidR="00CD2416" w:rsidP="002F4D17" w:rsidRDefault="6DD5C321" w14:paraId="3AD938DB" w14:textId="1AD63D64">
      <w:pPr>
        <w:pStyle w:val="ListParagraph"/>
        <w:numPr>
          <w:ilvl w:val="1"/>
          <w:numId w:val="21"/>
        </w:numPr>
      </w:pPr>
      <w:r w:rsidRPr="5A0EDC4F">
        <w:t xml:space="preserve">Separate ETS system to cover emission from fuels used in transport and buildings; </w:t>
      </w:r>
    </w:p>
    <w:p w:rsidRPr="00637309" w:rsidR="00CD2416" w:rsidP="002F4D17" w:rsidRDefault="6DD5C321" w14:paraId="6783E32D" w14:textId="0C971502">
      <w:pPr>
        <w:pStyle w:val="ListParagraph"/>
        <w:numPr>
          <w:ilvl w:val="1"/>
          <w:numId w:val="21"/>
        </w:numPr>
      </w:pPr>
      <w:r w:rsidRPr="5A0EDC4F">
        <w:t xml:space="preserve">Strengthened benchmarks and a faster phase down of free allocation which would be tied to low-carbon investment by the receiving entity; </w:t>
      </w:r>
    </w:p>
    <w:p w:rsidRPr="00637309" w:rsidR="00CD2416" w:rsidP="002F4D17" w:rsidRDefault="6DD5C321" w14:paraId="49210F16" w14:textId="68625902">
      <w:pPr>
        <w:pStyle w:val="ListParagraph"/>
        <w:numPr>
          <w:ilvl w:val="1"/>
          <w:numId w:val="21"/>
        </w:numPr>
      </w:pPr>
      <w:r w:rsidRPr="5A0EDC4F">
        <w:t xml:space="preserve">Introduction of a carbon border adjustment mechanism (CBAM) aimed at counteracting the risk of carbon leakage by putting a price on imported goods based on their embedded emissions to come fully operational by 2026; </w:t>
      </w:r>
    </w:p>
    <w:p w:rsidRPr="00637309" w:rsidR="00CD2416" w:rsidP="002F4D17" w:rsidRDefault="6DD5C321" w14:paraId="1FC9D09F" w14:textId="1A976894">
      <w:pPr>
        <w:pStyle w:val="ListParagraph"/>
        <w:numPr>
          <w:ilvl w:val="1"/>
          <w:numId w:val="21"/>
        </w:numPr>
      </w:pPr>
      <w:r w:rsidRPr="5A0EDC4F">
        <w:t>Updated parameters of the Market Stability Reserve (MSR) including a new buffer threshold and an extension of the current intake rate of 24% beyond 2023;</w:t>
      </w:r>
    </w:p>
    <w:p w:rsidRPr="00637309" w:rsidR="00CD2416" w:rsidP="002F4D17" w:rsidRDefault="112BCAA0" w14:paraId="56C49875" w14:textId="6955E69E">
      <w:pPr>
        <w:pStyle w:val="ListParagraph"/>
        <w:numPr>
          <w:ilvl w:val="1"/>
          <w:numId w:val="21"/>
        </w:numPr>
      </w:pPr>
      <w:r w:rsidRPr="5A0EDC4F">
        <w:t xml:space="preserve">Use of offsets: based </w:t>
      </w:r>
      <w:r w:rsidRPr="5A0EDC4F" w:rsidR="57CFF6AE">
        <w:t>on</w:t>
      </w:r>
      <w:r w:rsidRPr="5A0EDC4F">
        <w:t xml:space="preserve"> current legislation there will be no use of international credits.</w:t>
      </w:r>
    </w:p>
    <w:p w:rsidRPr="00637309" w:rsidR="00CD2416" w:rsidP="002F4D17" w:rsidRDefault="6DD5C321" w14:paraId="0FAA6A8E" w14:textId="708E5DDA">
      <w:pPr>
        <w:pStyle w:val="ListParagraph"/>
        <w:numPr>
          <w:ilvl w:val="1"/>
          <w:numId w:val="21"/>
        </w:numPr>
      </w:pPr>
      <w:r w:rsidRPr="5A0EDC4F">
        <w:t xml:space="preserve">New regulations to use at least 50% of auctioning revenues or the equivalent in financial value for climate and energy relate around revenue use to address distributional effects and spur innovation, including the creation of the Social Climate Fund to address any social impacts that arise from this new system. </w:t>
      </w:r>
      <w:r w:rsidRPr="5A0EDC4F" w:rsidR="39398B2E">
        <w:t>Revenues from the ETS should also support EU stakeholders in the low-carbon investment challenge through the Innovation Fund and Modernisation Fund</w:t>
      </w:r>
      <w:r w:rsidRPr="5A0EDC4F" w:rsidR="4504FCC3">
        <w:t>.</w:t>
      </w:r>
      <w:r w:rsidRPr="5508D36C" w:rsidR="652D2C55">
        <w:rPr>
          <w:vertAlign w:val="superscript"/>
        </w:rPr>
        <w:footnoteReference w:id="36"/>
      </w:r>
    </w:p>
    <w:p w:rsidRPr="00637309" w:rsidR="00CD2416" w:rsidP="5A0EDC4F" w:rsidRDefault="6DD5C321" w14:paraId="78DC5726" w14:textId="4FCC98E5">
      <w:r w:rsidRPr="5A0EDC4F">
        <w:t xml:space="preserve"> </w:t>
      </w:r>
    </w:p>
    <w:p w:rsidRPr="00637309" w:rsidR="00CD2416" w:rsidP="002F4D17" w:rsidRDefault="6DD5C321" w14:paraId="2DD1CCA6" w14:textId="38E8CA9C">
      <w:pPr>
        <w:pStyle w:val="ListParagraph"/>
        <w:numPr>
          <w:ilvl w:val="0"/>
          <w:numId w:val="20"/>
        </w:numPr>
        <w:rPr>
          <w:rFonts w:asciiTheme="minorHAnsi" w:hAnsiTheme="minorHAnsi" w:eastAsiaTheme="minorEastAsia" w:cstheme="minorBidi"/>
        </w:rPr>
      </w:pPr>
      <w:r w:rsidRPr="5A0EDC4F">
        <w:t>The package is currently going through the EU’s ordinary legislative procedure and is being debated in the Council of the EU and the European Parliament, before entering effect in its final form in the coming years.</w:t>
      </w:r>
      <w:r w:rsidR="652D2C55">
        <w:br/>
      </w:r>
      <w:r w:rsidRPr="5A0EDC4F">
        <w:t xml:space="preserve"> </w:t>
      </w:r>
    </w:p>
    <w:p w:rsidRPr="00637309" w:rsidR="00CD2416" w:rsidP="002F4D17" w:rsidRDefault="01799236" w14:paraId="4B34173A" w14:textId="28A9DD26">
      <w:pPr>
        <w:pStyle w:val="ListParagraph"/>
        <w:numPr>
          <w:ilvl w:val="0"/>
          <w:numId w:val="31"/>
        </w:numPr>
        <w:rPr>
          <w:rFonts w:asciiTheme="minorHAnsi" w:hAnsiTheme="minorHAnsi" w:eastAsiaTheme="minorEastAsia" w:cstheme="minorBidi"/>
          <w:b/>
          <w:bCs/>
          <w:color w:val="0064A8"/>
          <w:sz w:val="36"/>
          <w:szCs w:val="36"/>
        </w:rPr>
      </w:pPr>
      <w:r w:rsidRPr="1831A152">
        <w:rPr>
          <w:b/>
          <w:bCs/>
          <w:color w:val="0064A8"/>
          <w:sz w:val="36"/>
          <w:szCs w:val="36"/>
        </w:rPr>
        <w:t xml:space="preserve">ASSESSMENT: USEFUL FEATURES / BEST PRACTICES </w:t>
      </w:r>
    </w:p>
    <w:p w:rsidRPr="00637309" w:rsidR="00CD2416" w:rsidP="76FE591D" w:rsidRDefault="00CD2416" w14:paraId="4CEB76D5" w14:textId="2C212F6D"/>
    <w:p w:rsidRPr="00637309" w:rsidR="00CD2416" w:rsidP="002F4D17" w:rsidRDefault="23B5C9AB" w14:paraId="654DB936" w14:textId="7BAB2919">
      <w:pPr>
        <w:pStyle w:val="ListParagraph"/>
        <w:numPr>
          <w:ilvl w:val="0"/>
          <w:numId w:val="19"/>
        </w:numPr>
        <w:rPr>
          <w:rFonts w:asciiTheme="minorHAnsi" w:hAnsiTheme="minorHAnsi" w:eastAsiaTheme="minorEastAsia" w:cstheme="minorBidi"/>
        </w:rPr>
      </w:pPr>
      <w:r w:rsidRPr="5A0EDC4F">
        <w:t xml:space="preserve">The EU chose a “cap-and-trade” structure as the best means of meeting the GHG emissions reduction target at least overall cost to participants and the </w:t>
      </w:r>
      <w:bookmarkStart w:name="_Int_UOfNnJBC" w:id="5"/>
      <w:r w:rsidRPr="5A0EDC4F">
        <w:t>economy as a whole</w:t>
      </w:r>
      <w:bookmarkEnd w:id="5"/>
      <w:r w:rsidRPr="5A0EDC4F">
        <w:t>. The cap-and-trade system allows companies in the system to determine what the least-cost option is for them to meet a common fixed cap. The carbon price is then set by the market through trading and based on a wide range of factors.</w:t>
      </w:r>
    </w:p>
    <w:p w:rsidRPr="00637309" w:rsidR="00CD2416" w:rsidP="002F4D17" w:rsidRDefault="23B5C9AB" w14:paraId="39E1D91B" w14:textId="76861136">
      <w:pPr>
        <w:pStyle w:val="ListParagraph"/>
        <w:numPr>
          <w:ilvl w:val="0"/>
          <w:numId w:val="19"/>
        </w:numPr>
      </w:pPr>
      <w:r w:rsidRPr="5A0EDC4F">
        <w:t xml:space="preserve">The trading system provides some flexibility to the entities covered by the scheme as they can decide on taking action or buying EUAs depending on the EUA price. Installations that achieve reduction costs lower than the price are encouraged to </w:t>
      </w:r>
      <w:bookmarkStart w:name="_Int_3iSAoZv5" w:id="6"/>
      <w:r w:rsidRPr="5A0EDC4F">
        <w:t>take action</w:t>
      </w:r>
      <w:bookmarkEnd w:id="6"/>
      <w:r w:rsidRPr="5A0EDC4F">
        <w:t>, while emitters with high mitigation costs can buy EUAs complying with the GHG policy more cheaply</w:t>
      </w:r>
      <w:r w:rsidRPr="3DA2852C" w:rsidR="3DA2852C">
        <w:t>.</w:t>
      </w:r>
    </w:p>
    <w:p w:rsidRPr="00637309" w:rsidR="00CD2416" w:rsidP="002F4D17" w:rsidRDefault="23B5C9AB" w14:paraId="664A853B" w14:textId="15F051C0">
      <w:pPr>
        <w:pStyle w:val="ListParagraph"/>
        <w:numPr>
          <w:ilvl w:val="0"/>
          <w:numId w:val="19"/>
        </w:numPr>
      </w:pPr>
      <w:r w:rsidRPr="5A0EDC4F">
        <w:t xml:space="preserve">Decision to </w:t>
      </w:r>
      <w:r w:rsidRPr="5A0EDC4F" w:rsidR="51CFE714">
        <w:t xml:space="preserve">develop </w:t>
      </w:r>
      <w:r w:rsidRPr="5A0EDC4F" w:rsidR="1D1331B1">
        <w:t>a</w:t>
      </w:r>
      <w:r w:rsidRPr="5A0EDC4F">
        <w:t xml:space="preserve"> clear Monitoring, Reporting and Verification</w:t>
      </w:r>
      <w:r w:rsidRPr="5A0EDC4F" w:rsidR="4BEBC25E">
        <w:t xml:space="preserve"> </w:t>
      </w:r>
      <w:r w:rsidRPr="5A0EDC4F" w:rsidR="0D0591EA">
        <w:t>framework</w:t>
      </w:r>
      <w:r w:rsidRPr="5A0EDC4F" w:rsidR="58FC6CEC">
        <w:t>, as one of the first lesson that EC took into account after the problems that happened in the early years of EU ETS</w:t>
      </w:r>
      <w:r w:rsidRPr="5A0EDC4F" w:rsidR="569BD053">
        <w:t>.</w:t>
      </w:r>
    </w:p>
    <w:p w:rsidRPr="00637309" w:rsidR="00CD2416" w:rsidP="002F4D17" w:rsidRDefault="23B5C9AB" w14:paraId="2FA8594C" w14:textId="5B909449">
      <w:pPr>
        <w:pStyle w:val="ListParagraph"/>
        <w:numPr>
          <w:ilvl w:val="0"/>
          <w:numId w:val="19"/>
        </w:numPr>
      </w:pPr>
      <w:r w:rsidRPr="5A0EDC4F">
        <w:t>Some small emitters are exempt from the EU ETS. Installations are considered small emitters if they emit less than 25 ktCO2e annually and, if they are combustion installations, have a thermal rated input below 35MW. Hospitals may also opt-out if they are subject to equivalent measures.</w:t>
      </w:r>
    </w:p>
    <w:p w:rsidRPr="00637309" w:rsidR="00CD2416" w:rsidP="002F4D17" w:rsidRDefault="23B5C9AB" w14:paraId="6364DE75" w14:textId="1926970A">
      <w:pPr>
        <w:pStyle w:val="ListParagraph"/>
        <w:numPr>
          <w:ilvl w:val="0"/>
          <w:numId w:val="19"/>
        </w:numPr>
      </w:pPr>
      <w:r w:rsidRPr="5A0EDC4F">
        <w:t>In 2019, the European Commission implemented the Market Stability Reserve (MSR). This withholds a certain amount of auction volume based on the Total Number of Allowances in Circulation. It was introduced at first to remove an anormal surplus that accumulated in ETS in the phase 2 but it is also targeted to remove influence of other policies interacting on the ETS perimeter</w:t>
      </w:r>
    </w:p>
    <w:p w:rsidRPr="00637309" w:rsidR="00CD2416" w:rsidP="002F4D17" w:rsidRDefault="23B5C9AB" w14:paraId="75A6C5ED" w14:textId="2B314C1B">
      <w:pPr>
        <w:pStyle w:val="ListParagraph"/>
        <w:numPr>
          <w:ilvl w:val="0"/>
          <w:numId w:val="19"/>
        </w:numPr>
      </w:pPr>
      <w:r w:rsidRPr="5A0EDC4F">
        <w:t>At least 50% of auctioning revenues or the equivalent in financial value of these revenues should be used by Member States for climate and energy related purposes.</w:t>
      </w:r>
    </w:p>
    <w:p w:rsidRPr="00637309" w:rsidR="00CD2416" w:rsidP="002F4D17" w:rsidRDefault="23B5C9AB" w14:paraId="20C8F02A" w14:textId="53FF2404">
      <w:pPr>
        <w:pStyle w:val="ListParagraph"/>
        <w:numPr>
          <w:ilvl w:val="0"/>
          <w:numId w:val="19"/>
        </w:numPr>
      </w:pPr>
      <w:r w:rsidRPr="5A0EDC4F">
        <w:t>Under proposals to finance the Coronavirus recovery package (</w:t>
      </w:r>
      <w:proofErr w:type="spellStart"/>
      <w:r w:rsidRPr="5A0EDC4F">
        <w:t>NextGenerationEU</w:t>
      </w:r>
      <w:proofErr w:type="spellEnd"/>
      <w:r w:rsidRPr="5A0EDC4F">
        <w:t>), revenues gained from introducing emissions trading to new sectors may be diverted for the use of centralised EU expenditure.</w:t>
      </w:r>
    </w:p>
    <w:p w:rsidRPr="00637309" w:rsidR="00CD2416" w:rsidP="5A0EDC4F" w:rsidRDefault="00CD2416" w14:paraId="09AF91E0" w14:textId="3B0BDCFC"/>
    <w:p w:rsidRPr="00637309" w:rsidR="00CD2416" w:rsidP="2820D2C5" w:rsidRDefault="00CD2416" w14:paraId="43E321C8" w14:textId="3B0BDCFC"/>
    <w:p w:rsidRPr="00637309" w:rsidR="00CD2416" w:rsidP="2820D2C5" w:rsidRDefault="00CD2416" w14:paraId="567F11CE" w14:textId="2AD180A0">
      <w:r>
        <w:br w:type="page"/>
      </w:r>
    </w:p>
    <w:p w:rsidR="2820D2C5" w:rsidP="2820D2C5" w:rsidRDefault="2820D2C5" w14:paraId="7D04D1F0" w14:textId="498CDAC1"/>
    <w:p w:rsidRPr="00637309" w:rsidR="00651657" w:rsidP="002F4D17" w:rsidRDefault="00651657" w14:paraId="1C22BDF2" w14:textId="63F7DFA8">
      <w:pPr>
        <w:pStyle w:val="ListParagraph"/>
        <w:numPr>
          <w:ilvl w:val="0"/>
          <w:numId w:val="35"/>
        </w:numPr>
        <w:rPr>
          <w:rFonts w:asciiTheme="minorHAnsi" w:hAnsiTheme="minorHAnsi" w:eastAsiaTheme="minorEastAsia" w:cstheme="minorBidi"/>
          <w:b/>
          <w:color w:val="0064A8"/>
          <w:sz w:val="36"/>
          <w:szCs w:val="36"/>
        </w:rPr>
      </w:pPr>
      <w:r w:rsidRPr="13039DB3">
        <w:rPr>
          <w:b/>
          <w:color w:val="0064A8"/>
          <w:sz w:val="36"/>
          <w:szCs w:val="36"/>
        </w:rPr>
        <w:t>I</w:t>
      </w:r>
      <w:r w:rsidRPr="13039DB3" w:rsidR="00E014E5">
        <w:rPr>
          <w:b/>
          <w:color w:val="0064A8"/>
          <w:sz w:val="36"/>
          <w:szCs w:val="36"/>
        </w:rPr>
        <w:t>NDONESIA</w:t>
      </w:r>
    </w:p>
    <w:p w:rsidRPr="00637309" w:rsidR="00651657" w:rsidP="5A0EDC4F" w:rsidRDefault="00651657" w14:paraId="7BDDA628" w14:textId="77777777">
      <w:pPr>
        <w:rPr>
          <w:b/>
          <w:color w:val="0064A8"/>
          <w:sz w:val="36"/>
          <w:szCs w:val="36"/>
        </w:rPr>
      </w:pPr>
    </w:p>
    <w:p w:rsidRPr="00637309" w:rsidR="00651657" w:rsidP="002F4D17" w:rsidRDefault="00651657" w14:paraId="013C440C" w14:textId="77777777">
      <w:pPr>
        <w:pStyle w:val="ListParagraph"/>
        <w:numPr>
          <w:ilvl w:val="0"/>
          <w:numId w:val="18"/>
        </w:numPr>
        <w:rPr>
          <w:rFonts w:asciiTheme="minorHAnsi" w:hAnsiTheme="minorHAnsi" w:eastAsiaTheme="minorEastAsia" w:cstheme="minorBidi"/>
          <w:b/>
          <w:color w:val="0064A8"/>
          <w:sz w:val="36"/>
          <w:szCs w:val="36"/>
        </w:rPr>
      </w:pPr>
      <w:r w:rsidRPr="13039DB3">
        <w:rPr>
          <w:b/>
          <w:color w:val="0064A8"/>
          <w:sz w:val="36"/>
          <w:szCs w:val="36"/>
        </w:rPr>
        <w:t>INTRODUCTION &amp; FACTSHEET</w:t>
      </w:r>
    </w:p>
    <w:p w:rsidR="1A456281" w:rsidP="5A0EDC4F" w:rsidRDefault="1A456281" w14:paraId="65C4DF77" w14:textId="4DE5FC66"/>
    <w:p w:rsidR="1A456281" w:rsidP="5A0EDC4F" w:rsidRDefault="1A456281" w14:paraId="4845D0F9" w14:textId="1CA3C007">
      <w:r>
        <w:t xml:space="preserve">Indonesia is the </w:t>
      </w:r>
      <w:r w:rsidR="47E77E09">
        <w:t>world’s</w:t>
      </w:r>
      <w:r>
        <w:t xml:space="preserve"> eight-biggest GHG emitter and – with its more than 17,000 islands and most of its population living in the low-lying coastal area – the country is highly vulnerable to climate change impacts, including extreme weather events such as floods and droughts, and long-term changes from sea level rise, shifts in rainfall patterns and increasing temperature.</w:t>
      </w:r>
    </w:p>
    <w:p w:rsidR="1A456281" w:rsidP="5A0EDC4F" w:rsidRDefault="1A456281" w14:paraId="0AD7FDFC" w14:textId="558DC53D"/>
    <w:p w:rsidR="1A456281" w:rsidP="5A0EDC4F" w:rsidRDefault="1A456281" w14:paraId="7C7DF4F4" w14:textId="534F464F">
      <w:r w:rsidRPr="1A456281">
        <w:t>In 2021, Indonesia set its goal for achieving net zero emissions by 2060 and communicated its revised national climate targets or NDC, confirming its existing 2030 targets to an unconditional 29% reduction in emissions below a business-as-usual (BAU) scenario by its own efforts and a conditional 41% reduction in emissions below the same BAU, that could be achieved with the necessary help of international funding and transfer of technology.</w:t>
      </w:r>
      <w:r w:rsidRPr="39C137D2">
        <w:rPr>
          <w:vertAlign w:val="superscript"/>
        </w:rPr>
        <w:footnoteReference w:id="37"/>
      </w:r>
      <w:r w:rsidRPr="1A456281">
        <w:t xml:space="preserve"> To meet these goals, the country also passed a Presidential Regulation on the Economic Value of Carbon for NDC (Carbon Economic Value Bill) that serves as national framework for carbon pricing, including a carbon tax and ETS.</w:t>
      </w:r>
    </w:p>
    <w:p w:rsidRPr="00376F97" w:rsidR="00AA4C33" w:rsidP="5A0EDC4F" w:rsidRDefault="00AA4C33" w14:paraId="797B0366" w14:textId="29FF071E"/>
    <w:p w:rsidRPr="00376F97" w:rsidR="00F93D1D" w:rsidP="5A0EDC4F" w:rsidRDefault="00F93D1D" w14:paraId="0B318088" w14:textId="73EDCAA0">
      <w:r>
        <w:t xml:space="preserve">A carbon tax will be piloted beginning in April 2022, </w:t>
      </w:r>
      <w:r w:rsidR="1A456281">
        <w:t>with the first one on coal-fired power plants</w:t>
      </w:r>
      <w:r>
        <w:t>. By 2025, the government plans to also establish an ETS and expand the carbon tax to other sectors.</w:t>
      </w:r>
    </w:p>
    <w:p w:rsidRPr="00376F97" w:rsidR="002907F1" w:rsidP="5A0EDC4F" w:rsidRDefault="002907F1" w14:paraId="7C79D1B3" w14:textId="77777777"/>
    <w:p w:rsidRPr="00376F97" w:rsidR="00A07D1D" w:rsidP="5A0EDC4F" w:rsidRDefault="00A07D1D" w14:paraId="54094592" w14:textId="373B9BB7">
      <w:pPr>
        <w:rPr>
          <w:b/>
          <w:sz w:val="24"/>
          <w:szCs w:val="24"/>
        </w:rPr>
      </w:pPr>
      <w:r w:rsidRPr="13039DB3">
        <w:rPr>
          <w:b/>
          <w:sz w:val="24"/>
          <w:szCs w:val="24"/>
        </w:rPr>
        <w:t>Factsheet</w:t>
      </w:r>
    </w:p>
    <w:p w:rsidRPr="00376F97" w:rsidR="00651657" w:rsidP="5A0EDC4F" w:rsidRDefault="00090DED" w14:paraId="76F3B923" w14:textId="77F65C55">
      <w:r w:rsidRPr="13039DB3">
        <w:rPr>
          <w:b/>
        </w:rPr>
        <w:t xml:space="preserve">Year of </w:t>
      </w:r>
      <w:r w:rsidRPr="13039DB3" w:rsidR="03124956">
        <w:rPr>
          <w:b/>
        </w:rPr>
        <w:t>Implementation</w:t>
      </w:r>
      <w:r w:rsidR="03124956">
        <w:t xml:space="preserve">: </w:t>
      </w:r>
      <w:r w:rsidR="0EF2DCF0">
        <w:t>2022 for pilot of carbon tax and 2025 for the emissions trading marke</w:t>
      </w:r>
      <w:r w:rsidR="3DE98347">
        <w:t>t system</w:t>
      </w:r>
      <w:r w:rsidR="03124956">
        <w:t xml:space="preserve"> </w:t>
      </w:r>
    </w:p>
    <w:p w:rsidRPr="00376F97" w:rsidR="00CA6F42" w:rsidP="5A0EDC4F" w:rsidRDefault="4422B3BE" w14:paraId="26B03654" w14:textId="5067754C">
      <w:r w:rsidRPr="5CBA27B6">
        <w:rPr>
          <w:b/>
        </w:rPr>
        <w:t>Policy system/mechanism(s)</w:t>
      </w:r>
      <w:r>
        <w:t>: emissions trading through ETS (cap and trade system) or crediting scheme (Project Based Offsets); levy scheme (tax levy) and other linking mechanisms.</w:t>
      </w:r>
    </w:p>
    <w:p w:rsidRPr="00620C68" w:rsidR="00651657" w:rsidP="5A0EDC4F" w:rsidRDefault="1F4B61F1" w14:paraId="12C00E57" w14:textId="6A7312D2">
      <w:r w:rsidRPr="3D82D10A">
        <w:rPr>
          <w:b/>
        </w:rPr>
        <w:t xml:space="preserve">GHGs </w:t>
      </w:r>
      <w:r w:rsidRPr="3D82D10A" w:rsidR="2D3773A9">
        <w:rPr>
          <w:b/>
          <w:bCs/>
        </w:rPr>
        <w:t>c</w:t>
      </w:r>
      <w:r w:rsidRPr="3D82D10A" w:rsidR="4298FCE9">
        <w:rPr>
          <w:b/>
          <w:bCs/>
        </w:rPr>
        <w:t>overage</w:t>
      </w:r>
      <w:r w:rsidRPr="1A456281" w:rsidR="03124956">
        <w:t xml:space="preserve">: a) </w:t>
      </w:r>
      <w:r w:rsidRPr="52E72AA2" w:rsidR="03124956">
        <w:t>CO2e</w:t>
      </w:r>
      <w:r w:rsidRPr="1A456281" w:rsidR="03124956">
        <w:t>; b) products and services: tax is payable on purchase of goods containing carbon and activities that produce GHG emissions.</w:t>
      </w:r>
      <w:r w:rsidRPr="62E2A14B" w:rsidR="00651657">
        <w:rPr>
          <w:vertAlign w:val="superscript"/>
        </w:rPr>
        <w:footnoteReference w:id="38"/>
      </w:r>
    </w:p>
    <w:p w:rsidRPr="00376F97" w:rsidR="00651657" w:rsidP="5A0EDC4F" w:rsidRDefault="03124956" w14:paraId="3B08B942" w14:textId="6BE3E988">
      <w:r w:rsidRPr="3D82D10A">
        <w:rPr>
          <w:b/>
        </w:rPr>
        <w:t>Pricing</w:t>
      </w:r>
      <w:r>
        <w:t xml:space="preserve">: </w:t>
      </w:r>
      <w:r w:rsidR="52E72AA2">
        <w:t>By Law, the</w:t>
      </w:r>
      <w:r>
        <w:t xml:space="preserve"> carbon tax rate is set to be higher than or at market price, with a minimum rate of Indonesian Rupiah (IDR) 30 (US$ 0.002) per kilogram of </w:t>
      </w:r>
      <w:r w:rsidR="52E72AA2">
        <w:t>CO2 equivalent (</w:t>
      </w:r>
      <w:r>
        <w:t>CO2e</w:t>
      </w:r>
      <w:r w:rsidR="52E72AA2">
        <w:t>),</w:t>
      </w:r>
      <w:r>
        <w:t xml:space="preserve"> or US$ 2.13 per ton of CO2e emission above the stipulated cap</w:t>
      </w:r>
      <w:r w:rsidR="52E72AA2">
        <w:t xml:space="preserve"> (cap</w:t>
      </w:r>
      <w:r>
        <w:t xml:space="preserve"> and </w:t>
      </w:r>
      <w:r w:rsidR="52E72AA2">
        <w:t>tax). CO2e is a representation of greenhouse gas emissions that includes CO2, N2O and CH4 compounds.</w:t>
      </w:r>
    </w:p>
    <w:p w:rsidR="005920F2" w:rsidP="5A0EDC4F" w:rsidRDefault="005920F2" w14:paraId="7A4BE03E" w14:textId="33BB7534">
      <w:r w:rsidRPr="3D82D10A">
        <w:rPr>
          <w:b/>
        </w:rPr>
        <w:t>Revenue allocation</w:t>
      </w:r>
      <w:r>
        <w:t>: revenues from the carbon tax would be allocated for climate change mitigation activities.</w:t>
      </w:r>
    </w:p>
    <w:p w:rsidR="00651657" w:rsidP="5A0EDC4F" w:rsidRDefault="00651657" w14:paraId="22C5DACA" w14:textId="77777777"/>
    <w:p w:rsidRPr="00637309" w:rsidR="004E541B" w:rsidP="5A0EDC4F" w:rsidRDefault="4FD679FD" w14:paraId="29907225" w14:textId="2DF7AE63">
      <w:r>
        <w:rPr>
          <w:noProof/>
        </w:rPr>
        <w:drawing>
          <wp:inline distT="0" distB="0" distL="0" distR="0" wp14:anchorId="11E9E103" wp14:editId="3E285BF8">
            <wp:extent cx="5751576" cy="3235334"/>
            <wp:effectExtent l="0" t="0" r="1905" b="3175"/>
            <wp:docPr id="9" name="Picture 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8">
                      <a:extLst>
                        <a:ext uri="{28A0092B-C50C-407E-A947-70E740481C1C}">
                          <a14:useLocalDpi xmlns:a14="http://schemas.microsoft.com/office/drawing/2010/main" val="0"/>
                        </a:ext>
                      </a:extLst>
                    </a:blip>
                    <a:stretch>
                      <a:fillRect/>
                    </a:stretch>
                  </pic:blipFill>
                  <pic:spPr>
                    <a:xfrm>
                      <a:off x="0" y="0"/>
                      <a:ext cx="5751576" cy="3235334"/>
                    </a:xfrm>
                    <a:prstGeom prst="rect">
                      <a:avLst/>
                    </a:prstGeom>
                  </pic:spPr>
                </pic:pic>
              </a:graphicData>
            </a:graphic>
          </wp:inline>
        </w:drawing>
      </w:r>
    </w:p>
    <w:p w:rsidR="006F4B9D" w:rsidRDefault="006F4B9D" w14:paraId="65534CFF" w14:textId="5FFEDCAA"/>
    <w:p w:rsidRPr="00637309" w:rsidR="00651657" w:rsidP="002F4D17" w:rsidRDefault="6A0056B3" w14:paraId="199A20D9" w14:textId="7E0A627A">
      <w:pPr>
        <w:pStyle w:val="ListParagraph"/>
        <w:numPr>
          <w:ilvl w:val="0"/>
          <w:numId w:val="18"/>
        </w:numPr>
        <w:rPr>
          <w:rFonts w:asciiTheme="minorHAnsi" w:hAnsiTheme="minorHAnsi" w:eastAsiaTheme="minorEastAsia" w:cstheme="minorBidi"/>
          <w:b/>
          <w:bCs/>
          <w:color w:val="0064A8"/>
          <w:sz w:val="36"/>
          <w:szCs w:val="36"/>
        </w:rPr>
      </w:pPr>
      <w:r w:rsidRPr="4A413B49">
        <w:rPr>
          <w:b/>
          <w:color w:val="0064A8"/>
          <w:sz w:val="36"/>
          <w:szCs w:val="36"/>
        </w:rPr>
        <w:t>CORE</w:t>
      </w:r>
      <w:r w:rsidRPr="4A413B49" w:rsidR="00651657">
        <w:rPr>
          <w:b/>
          <w:color w:val="0064A8"/>
          <w:sz w:val="36"/>
          <w:szCs w:val="36"/>
        </w:rPr>
        <w:t xml:space="preserve"> DESIGN FEATURES &amp; </w:t>
      </w:r>
      <w:bookmarkStart w:name="_Int_Pwa1tngt" w:id="7"/>
      <w:r w:rsidRPr="4A413B49" w:rsidR="00651657">
        <w:rPr>
          <w:b/>
          <w:color w:val="0064A8"/>
          <w:sz w:val="36"/>
          <w:szCs w:val="36"/>
        </w:rPr>
        <w:t>PRINCIPLE</w:t>
      </w:r>
      <w:bookmarkEnd w:id="7"/>
      <w:r w:rsidRPr="4A413B49" w:rsidR="00651657">
        <w:rPr>
          <w:b/>
          <w:color w:val="0064A8"/>
          <w:sz w:val="36"/>
          <w:szCs w:val="36"/>
        </w:rPr>
        <w:t xml:space="preserve"> TEST</w:t>
      </w:r>
    </w:p>
    <w:p w:rsidRPr="00637309" w:rsidR="00651657" w:rsidP="4A413B49" w:rsidRDefault="00651657" w14:paraId="47BDD2B0" w14:textId="77777777">
      <w:pPr>
        <w:rPr>
          <w:b/>
          <w:color w:val="0064A8"/>
          <w:sz w:val="36"/>
          <w:szCs w:val="36"/>
        </w:rPr>
      </w:pPr>
      <w:r w:rsidRPr="4A413B49">
        <w:rPr>
          <w:b/>
          <w:color w:val="0064A8"/>
          <w:sz w:val="36"/>
          <w:szCs w:val="36"/>
        </w:rPr>
        <w:t xml:space="preserve"> </w:t>
      </w:r>
    </w:p>
    <w:p w:rsidRPr="00637309" w:rsidR="00651657" w:rsidP="002F4D17" w:rsidRDefault="00A03C8C" w14:paraId="02E6B3F5" w14:textId="74AB91B8">
      <w:pPr>
        <w:pStyle w:val="ListParagraph"/>
        <w:numPr>
          <w:ilvl w:val="0"/>
          <w:numId w:val="17"/>
        </w:numPr>
        <w:rPr>
          <w:rFonts w:asciiTheme="minorHAnsi" w:hAnsiTheme="minorHAnsi" w:eastAsiaTheme="minorEastAsia" w:cstheme="minorBidi"/>
        </w:rPr>
      </w:pPr>
      <w:r>
        <w:t>In 2021, t</w:t>
      </w:r>
      <w:r w:rsidR="52E72AA2">
        <w:t>he Indonesian government introduced a new tax law, namely Law No.7 of 2021 regarding the Harmonization of Taxation ("Taxation Harmonization Law”), which entered into force in October 2021 and introduced a carbon tax, with the aim of achieving Indonesia’s climate mitigation targets. This is the first time the country has imposed taxation on emissions.</w:t>
      </w:r>
    </w:p>
    <w:p w:rsidRPr="00637309" w:rsidR="00651657" w:rsidP="002F4D17" w:rsidRDefault="52E72AA2" w14:paraId="0C669032" w14:textId="3D239886">
      <w:pPr>
        <w:pStyle w:val="ListParagraph"/>
        <w:numPr>
          <w:ilvl w:val="0"/>
          <w:numId w:val="17"/>
        </w:numPr>
      </w:pPr>
      <w:r>
        <w:t>According to Article 13 paragraph (1) of the Taxation Harmonization Law, the carbon tax will be imposed on CO2 emissions “that have a negative impact on the environment”. The tax is payable by individuals or legal entities on (a) purchased goods containing carbon and (b) activities that produce GHG emissions. The tax rate is set to be “higher [than] or equal to the carbon market price per kilogram of carbon dioxide or its equivalent”.</w:t>
      </w:r>
    </w:p>
    <w:p w:rsidRPr="00637309" w:rsidR="00651657" w:rsidP="002F4D17" w:rsidRDefault="52E72AA2" w14:paraId="7CA3ED12" w14:textId="6A090013">
      <w:pPr>
        <w:pStyle w:val="ListParagraph"/>
        <w:numPr>
          <w:ilvl w:val="0"/>
          <w:numId w:val="17"/>
        </w:numPr>
      </w:pPr>
      <w:r w:rsidRPr="52E72AA2">
        <w:t xml:space="preserve">The minimum carbon tax rate is set at IDR 30 per kilogram (USD2.11 per tonne) of CO2e or its equivalent. </w:t>
      </w:r>
      <w:r w:rsidRPr="52E72AA2" w:rsidR="03124956">
        <w:t>This rate is among the lowest carbon tax rates in the world and significantly lower than the World Bank, IMF’s and the High Commission on Carbon Pricing suggested carbon tax rate for developing countries (between USD$ 30 – USD$ 100 t/CO2)</w:t>
      </w:r>
      <w:r w:rsidRPr="66BFF19B" w:rsidR="00651657">
        <w:rPr>
          <w:vertAlign w:val="superscript"/>
        </w:rPr>
        <w:footnoteReference w:id="39"/>
      </w:r>
      <w:r w:rsidRPr="52E72AA2">
        <w:t>. The goods tax will be due at the time of purchase and the activities tax will be assessed annually. Taxable goods containing carbon include, but are not limited to, fossil fuels. Regulated activities will include those activities that produce carbon emissions in the energy and transportation, agriculture, forestry and peat lands, industry, and waste treatment sectors. These sectors are identified in the Indonesia’s NDC as the five main sectors in terms of GHG contributions.</w:t>
      </w:r>
    </w:p>
    <w:p w:rsidRPr="00637309" w:rsidR="00651657" w:rsidP="002F4D17" w:rsidRDefault="52E72AA2" w14:paraId="774254DD" w14:textId="1A04E123">
      <w:pPr>
        <w:pStyle w:val="ListParagraph"/>
        <w:numPr>
          <w:ilvl w:val="0"/>
          <w:numId w:val="17"/>
        </w:numPr>
      </w:pPr>
      <w:r>
        <w:t>The carbon tax is part of Indonesia’s larger emissions reduction framework.</w:t>
      </w:r>
      <w:r w:rsidR="00AA4C33">
        <w:t xml:space="preserve"> The levy follows a </w:t>
      </w:r>
      <w:r w:rsidR="00246E04">
        <w:t>“</w:t>
      </w:r>
      <w:r w:rsidR="00AA4C33">
        <w:t xml:space="preserve">cap and </w:t>
      </w:r>
      <w:r w:rsidR="00246E04">
        <w:t>trade” system</w:t>
      </w:r>
      <w:r w:rsidR="00AA4C33">
        <w:t xml:space="preserve">, which imposes a tax for </w:t>
      </w:r>
      <w:r w:rsidR="000B303A">
        <w:t>carbon emissions in excess of a stipulated cap and where allowances can be traded within the country and cross-border. T</w:t>
      </w:r>
      <w:r w:rsidR="00AA4C33">
        <w:t xml:space="preserve">axpayers who participate in emissions trading may receive a reduction of carbon tax. This levy scheme is not the only carbon pricing measure since the new regulation also refers to potential links to emission trading and offsetting schemes as part of a carbon market roadmap. </w:t>
      </w:r>
    </w:p>
    <w:p w:rsidR="52E72AA2" w:rsidP="002F4D17" w:rsidRDefault="52E72AA2" w14:paraId="1140F6F9" w14:textId="016E0E44">
      <w:pPr>
        <w:pStyle w:val="ListParagraph"/>
        <w:numPr>
          <w:ilvl w:val="0"/>
          <w:numId w:val="17"/>
        </w:numPr>
      </w:pPr>
      <w:r>
        <w:t>The income generated from the carbon tax is set to</w:t>
      </w:r>
      <w:r w:rsidR="007C73EE">
        <w:t xml:space="preserve"> be</w:t>
      </w:r>
      <w:r>
        <w:t xml:space="preserve"> allocated for the country’s climate change mitigation and adaptation activities. The income will be managed by the Environmental Fund Management Agency (Badan </w:t>
      </w:r>
      <w:proofErr w:type="spellStart"/>
      <w:r>
        <w:t>Pengelola</w:t>
      </w:r>
      <w:proofErr w:type="spellEnd"/>
      <w:r>
        <w:t xml:space="preserve"> Dana </w:t>
      </w:r>
      <w:proofErr w:type="spellStart"/>
      <w:r>
        <w:t>Lingkungan</w:t>
      </w:r>
      <w:proofErr w:type="spellEnd"/>
      <w:r>
        <w:t xml:space="preserve"> </w:t>
      </w:r>
      <w:proofErr w:type="spellStart"/>
      <w:r>
        <w:t>Hidup</w:t>
      </w:r>
      <w:proofErr w:type="spellEnd"/>
      <w:r>
        <w:t xml:space="preserve"> or BPDLH), an independent management fund formed by the government and tasked with accumulating, managing, and distributing funds for mitigation and adaptation actions.</w:t>
      </w:r>
    </w:p>
    <w:p w:rsidRPr="00637309" w:rsidR="00651657" w:rsidP="002F4D17" w:rsidRDefault="1A456281" w14:paraId="12CA3574" w14:textId="152A0E1B">
      <w:pPr>
        <w:pStyle w:val="ListParagraph"/>
        <w:numPr>
          <w:ilvl w:val="0"/>
          <w:numId w:val="17"/>
        </w:numPr>
      </w:pPr>
      <w:r>
        <w:t xml:space="preserve">In 2021 the Indonesian Minister of Energy and Mineral Resources also ran a voluntary emissions trading trial for the power sector that included 80 coal-fired power plants, of which 59 are owned by the state electricity company PLN. </w:t>
      </w:r>
      <w:r w:rsidR="52E72AA2">
        <w:t>The results of the pilot will be used to inform the mandatory ETS.</w:t>
      </w:r>
    </w:p>
    <w:p w:rsidRPr="00792C04" w:rsidR="00B364F4" w:rsidP="002F4D17" w:rsidRDefault="1A456281" w14:paraId="4D54DB57" w14:textId="0A90197B">
      <w:pPr>
        <w:pStyle w:val="ListParagraph"/>
        <w:numPr>
          <w:ilvl w:val="0"/>
          <w:numId w:val="17"/>
        </w:numPr>
      </w:pPr>
      <w:r>
        <w:t>The overall cap for the pilot was intensity-based, with different intensity benchmarks for three subgroups: generators with a capacity between 100 and 400 MWh, with a capacity of over 400 MWh, and generators (with a capacity between 100 and 400 MWh) that are located directly next to a coal mine. Benchmarks are based on the weighted average of GHG emissions intensity of power generators in each participant subgroup in 2019. Participants can trade allowance units as well as offset credits from renewable energy generation. The voluntary program</w:t>
      </w:r>
      <w:r w:rsidR="00792C04">
        <w:t>me</w:t>
      </w:r>
      <w:r>
        <w:t xml:space="preserve"> is set to continue, with yearly trading periods and reviews, until the implementation of a national ETS.</w:t>
      </w:r>
    </w:p>
    <w:p w:rsidRPr="00792C04" w:rsidR="00792C04" w:rsidP="5A0EDC4F" w:rsidRDefault="00792C04" w14:paraId="2C9647F5" w14:textId="77777777"/>
    <w:p w:rsidRPr="00637309" w:rsidR="00B364F4" w:rsidP="007A38DB" w:rsidRDefault="00B364F4" w14:paraId="3ECE8ACE" w14:textId="77777777"/>
    <w:p w:rsidRPr="00637309" w:rsidR="00651657" w:rsidP="002F4D17" w:rsidRDefault="00651657" w14:paraId="29AE6C32" w14:textId="77777777">
      <w:pPr>
        <w:pStyle w:val="ListParagraph"/>
        <w:numPr>
          <w:ilvl w:val="0"/>
          <w:numId w:val="18"/>
        </w:numPr>
        <w:rPr>
          <w:rFonts w:asciiTheme="minorHAnsi" w:hAnsiTheme="minorHAnsi" w:eastAsiaTheme="minorEastAsia" w:cstheme="minorBidi"/>
          <w:b/>
          <w:color w:val="0064A8"/>
          <w:sz w:val="36"/>
          <w:szCs w:val="36"/>
        </w:rPr>
      </w:pPr>
      <w:r w:rsidRPr="2BE93AF3">
        <w:rPr>
          <w:b/>
          <w:color w:val="0064A8"/>
          <w:sz w:val="36"/>
          <w:szCs w:val="36"/>
        </w:rPr>
        <w:t xml:space="preserve">ASSESSMENT: USEFUL FEATURES / BEST PRACTICES </w:t>
      </w:r>
    </w:p>
    <w:p w:rsidRPr="00637309" w:rsidR="00651657" w:rsidP="5A0EDC4F" w:rsidRDefault="00651657" w14:paraId="23798B9D" w14:textId="77777777"/>
    <w:p w:rsidR="001137A5" w:rsidP="002F4D17" w:rsidRDefault="52E72AA2" w14:paraId="3255F234" w14:textId="5DF985EC">
      <w:pPr>
        <w:pStyle w:val="ListParagraph"/>
        <w:numPr>
          <w:ilvl w:val="0"/>
          <w:numId w:val="16"/>
        </w:numPr>
        <w:rPr>
          <w:rFonts w:asciiTheme="minorHAnsi" w:hAnsiTheme="minorHAnsi" w:eastAsiaTheme="minorEastAsia" w:cstheme="minorBidi"/>
        </w:rPr>
      </w:pPr>
      <w:r>
        <w:t>The government hopes that the introduced measures incentivise consumers to decrease their carbon footprint by switching to more sustainable practices and utilise low-emission fuels. The carbon tax may also help generate more investment in renewable ener</w:t>
      </w:r>
      <w:r w:rsidR="00A72DC2">
        <w:t>g</w:t>
      </w:r>
      <w:r>
        <w:t>y sources, which would support the government’s plan to achieve a renewable energy account of at least 23% of the country’s total energy mix by 2025.</w:t>
      </w:r>
    </w:p>
    <w:p w:rsidR="001137A5" w:rsidP="002F4D17" w:rsidRDefault="52E72AA2" w14:paraId="085093B4" w14:textId="5351BBA8">
      <w:pPr>
        <w:pStyle w:val="ListParagraph"/>
        <w:numPr>
          <w:ilvl w:val="0"/>
          <w:numId w:val="16"/>
        </w:numPr>
      </w:pPr>
      <w:r>
        <w:t xml:space="preserve">We are seeing some examples of businesses rethinking their business models, </w:t>
      </w:r>
      <w:r w:rsidR="00056DE1">
        <w:t>i.e.</w:t>
      </w:r>
      <w:r>
        <w:t xml:space="preserve"> </w:t>
      </w:r>
      <w:proofErr w:type="spellStart"/>
      <w:r>
        <w:t>MedcoEnergi</w:t>
      </w:r>
      <w:proofErr w:type="spellEnd"/>
      <w:r>
        <w:t xml:space="preserve">, one of the largest oil and gas companies in Indonesia, has a liquefied petroleum gas sister company that </w:t>
      </w:r>
      <w:bookmarkStart w:name="_Int_kxUKvrNJ" w:id="8"/>
      <w:r>
        <w:t>captures</w:t>
      </w:r>
      <w:bookmarkEnd w:id="8"/>
      <w:r>
        <w:t xml:space="preserve"> and processes associated gas that would otherwise have been released and created more emissions. This gas recovery and utilisation project has allowed </w:t>
      </w:r>
      <w:proofErr w:type="spellStart"/>
      <w:r>
        <w:t>MedcoEnergi</w:t>
      </w:r>
      <w:proofErr w:type="spellEnd"/>
      <w:r>
        <w:t xml:space="preserve"> to generate profit through the issuance of Verified Carbon Units (VCUs) and the sale of carbon credits on the international voluntary carbon market.</w:t>
      </w:r>
    </w:p>
    <w:p w:rsidRPr="001137A5" w:rsidR="52E72AA2" w:rsidP="002F4D17" w:rsidRDefault="52E72AA2" w14:paraId="6FDFE141" w14:textId="35466C1E">
      <w:pPr>
        <w:pStyle w:val="ListParagraph"/>
        <w:numPr>
          <w:ilvl w:val="0"/>
          <w:numId w:val="16"/>
        </w:numPr>
      </w:pPr>
      <w:r>
        <w:t>Despite some positive signs, businesses in carbon-intensive sectors such as coal-fired power plants, oil and mining, pulp and paper, cement, plastic, petrochemicals, and palm oil plantations, among others, will be the most heavily affected by the new carbon tax. Responding to the measures, businesses, in particular those in the coal and cement industries, have expressed concern that the carbon tax would place too high a burden on their operations and activities and have also questioned the carbon tax rate calculation.</w:t>
      </w:r>
    </w:p>
    <w:p w:rsidR="52E72AA2" w:rsidP="002F4D17" w:rsidRDefault="52E72AA2" w14:paraId="5388E7F7" w14:textId="17E7394F">
      <w:pPr>
        <w:pStyle w:val="ListParagraph"/>
        <w:numPr>
          <w:ilvl w:val="0"/>
          <w:numId w:val="16"/>
        </w:numPr>
      </w:pPr>
      <w:r w:rsidRPr="52E72AA2">
        <w:t xml:space="preserve">Some experts also estimate that the current minimum rate of IDR 30 per kg CO2e will very unlikely trigger the expected transformation and </w:t>
      </w:r>
      <w:proofErr w:type="spellStart"/>
      <w:r w:rsidRPr="52E72AA2">
        <w:t>behavioral</w:t>
      </w:r>
      <w:proofErr w:type="spellEnd"/>
      <w:r w:rsidRPr="52E72AA2">
        <w:t xml:space="preserve"> change. Several business representatives interviewed stated that they would rather pay the carbon tax than invest in new technologies or use renewable alternatives to reduce carbon emissions</w:t>
      </w:r>
      <w:r w:rsidRPr="757DA85C">
        <w:rPr>
          <w:vertAlign w:val="superscript"/>
        </w:rPr>
        <w:footnoteReference w:id="40"/>
      </w:r>
      <w:r w:rsidRPr="52E72AA2">
        <w:t xml:space="preserve">. </w:t>
      </w:r>
    </w:p>
    <w:p w:rsidRPr="00637309" w:rsidR="00651657" w:rsidP="007A38DB" w:rsidRDefault="00651657" w14:paraId="33645130" w14:textId="77777777"/>
    <w:p w:rsidRPr="00637309" w:rsidR="00CD2416" w:rsidP="007A38DB" w:rsidRDefault="00CD2416" w14:paraId="60FD9583" w14:textId="6696A470"/>
    <w:p w:rsidRPr="00637309" w:rsidR="00187AF9" w:rsidRDefault="00187AF9" w14:paraId="78F918DE" w14:textId="79510C52">
      <w:r>
        <w:br w:type="page"/>
      </w:r>
    </w:p>
    <w:p w:rsidRPr="00637309" w:rsidR="00E014E5" w:rsidP="007A38DB" w:rsidRDefault="00E014E5" w14:paraId="35529C54" w14:textId="77777777">
      <w:pPr>
        <w:rPr>
          <w:b/>
          <w:color w:val="0064A8"/>
          <w:sz w:val="36"/>
          <w:szCs w:val="36"/>
        </w:rPr>
      </w:pPr>
    </w:p>
    <w:p w:rsidRPr="00637309" w:rsidR="00E014E5" w:rsidP="002F4D17" w:rsidRDefault="00E014E5" w14:paraId="073BE507" w14:textId="5176EE13">
      <w:pPr>
        <w:pStyle w:val="ListParagraph"/>
        <w:numPr>
          <w:ilvl w:val="0"/>
          <w:numId w:val="35"/>
        </w:numPr>
        <w:rPr>
          <w:rFonts w:asciiTheme="minorHAnsi" w:hAnsiTheme="minorHAnsi" w:eastAsiaTheme="minorEastAsia" w:cstheme="minorBidi"/>
          <w:b/>
          <w:color w:val="0064A8"/>
          <w:sz w:val="36"/>
          <w:szCs w:val="36"/>
        </w:rPr>
      </w:pPr>
      <w:r w:rsidRPr="0FE1FD25">
        <w:rPr>
          <w:b/>
          <w:color w:val="0064A8"/>
          <w:sz w:val="36"/>
          <w:szCs w:val="36"/>
        </w:rPr>
        <w:t>NEW ZEALAND EMISSIONS TRADING SCHEME</w:t>
      </w:r>
    </w:p>
    <w:p w:rsidRPr="00637309" w:rsidR="00E014E5" w:rsidP="5A0EDC4F" w:rsidRDefault="00E014E5" w14:paraId="1FCDF212" w14:textId="77777777">
      <w:pPr>
        <w:rPr>
          <w:b/>
          <w:color w:val="0064A8"/>
          <w:sz w:val="36"/>
          <w:szCs w:val="36"/>
        </w:rPr>
      </w:pPr>
    </w:p>
    <w:p w:rsidRPr="00637309" w:rsidR="00ED252B" w:rsidP="002F4D17" w:rsidRDefault="4238048C" w14:paraId="073DF4EC" w14:textId="76B79CBB">
      <w:pPr>
        <w:pStyle w:val="ListParagraph"/>
        <w:numPr>
          <w:ilvl w:val="0"/>
          <w:numId w:val="15"/>
        </w:numPr>
        <w:rPr>
          <w:rFonts w:asciiTheme="minorHAnsi" w:hAnsiTheme="minorHAnsi" w:eastAsiaTheme="minorEastAsia" w:cstheme="minorBidi"/>
          <w:b/>
          <w:color w:val="0064A8"/>
          <w:sz w:val="36"/>
          <w:szCs w:val="36"/>
        </w:rPr>
      </w:pPr>
      <w:r w:rsidRPr="0FE1FD25">
        <w:rPr>
          <w:b/>
          <w:bCs/>
          <w:color w:val="0064A8"/>
          <w:sz w:val="36"/>
          <w:szCs w:val="36"/>
        </w:rPr>
        <w:t>INTRODUCTION</w:t>
      </w:r>
      <w:r w:rsidRPr="0FE1FD25" w:rsidR="149990A5">
        <w:rPr>
          <w:b/>
          <w:color w:val="0064A8"/>
          <w:sz w:val="36"/>
          <w:szCs w:val="36"/>
        </w:rPr>
        <w:t xml:space="preserve"> &amp; FACTSHEET</w:t>
      </w:r>
    </w:p>
    <w:p w:rsidR="5223F5F4" w:rsidP="5A0EDC4F" w:rsidRDefault="5223F5F4" w14:paraId="653A2940" w14:textId="559A3104"/>
    <w:p w:rsidR="2A8E52B8" w:rsidP="6967C240" w:rsidRDefault="6967C240" w14:paraId="2889EF6B" w14:textId="47131A92">
      <w:pPr>
        <w:rPr>
          <w:sz w:val="21"/>
          <w:szCs w:val="21"/>
        </w:rPr>
      </w:pPr>
      <w:r>
        <w:t>Under the 2015 Paris Agreement, New Zealand has committed to join with other countries in holding the increase in the global average temperature to 1.5°C and reaching net zero global emissions by 2050. In 2019, it set a new domestic emissions reduction target by 2050 into law with the Climate Change Response (Zero Carbon) Amendment Act40</w:t>
      </w:r>
      <w:r w:rsidRPr="64B3D26E" w:rsidR="64B3D26E">
        <w:rPr>
          <w:rStyle w:val="FootnoteReference"/>
        </w:rPr>
        <w:footnoteReference w:id="41"/>
      </w:r>
      <w:r>
        <w:t xml:space="preserve"> and established an independent Climate Change Commission to provide advice to Government on climate change mitigation and adaptation and to monitor progress towards the new 2050 target emissions budgets as well as the implementation of a National Adaptation Plan. </w:t>
      </w:r>
    </w:p>
    <w:p w:rsidR="6967C240" w:rsidP="6967C240" w:rsidRDefault="6967C240" w14:paraId="7E4D614D" w14:textId="4765CA94">
      <w:r>
        <w:t xml:space="preserve"> </w:t>
      </w:r>
    </w:p>
    <w:p w:rsidR="73CE46BA" w:rsidP="73CE46BA" w:rsidRDefault="0B1B3AC8" w14:paraId="7E2E5B0B" w14:textId="598C787A">
      <w:r>
        <w:t>During COP26 in November 2021, New Zealand announced an updated NDC under the Paris Agreement for the period 2021 to 2030, committing to reduce emissions to 50% below gross 2005 levels by 2030. The country sees effective and adequate pricing of emissions as an important tool to achieve its goals.</w:t>
      </w:r>
      <w:r w:rsidRPr="065C046C" w:rsidR="065C046C">
        <w:rPr>
          <w:rStyle w:val="FootnoteReference"/>
        </w:rPr>
        <w:footnoteReference w:id="42"/>
      </w:r>
      <w:r>
        <w:t xml:space="preserve"> Carbon pricing is seen to help set economic incentives for a transition to a sustainable, net zero emissions economy by also mobilising the financial investments required to stimulate deployment and development of </w:t>
      </w:r>
      <w:r w:rsidR="6C23198E">
        <w:t>climate technologies</w:t>
      </w:r>
      <w:r>
        <w:t xml:space="preserve"> and market innovation, and also fuelling new, low-</w:t>
      </w:r>
      <w:r w:rsidR="3BA5CA5D">
        <w:t xml:space="preserve">emissions </w:t>
      </w:r>
      <w:r>
        <w:t xml:space="preserve">drivers of economic growth. </w:t>
      </w:r>
    </w:p>
    <w:p w:rsidR="2F923F29" w:rsidP="2F923F29" w:rsidRDefault="2F923F29" w14:paraId="572A0317" w14:textId="007DFBFD"/>
    <w:p w:rsidR="50B0E8EA" w:rsidP="4EB22948" w:rsidRDefault="0B1B3AC8" w14:paraId="7CA71832" w14:textId="6A65F084">
      <w:r>
        <w:t xml:space="preserve">The </w:t>
      </w:r>
      <w:r w:rsidR="1749FB09">
        <w:t xml:space="preserve">government </w:t>
      </w:r>
      <w:r w:rsidR="1887CF7A">
        <w:t xml:space="preserve">first launched an </w:t>
      </w:r>
      <w:r w:rsidR="045610BA">
        <w:t xml:space="preserve">ETS </w:t>
      </w:r>
      <w:r>
        <w:t xml:space="preserve">in 2008 </w:t>
      </w:r>
      <w:r w:rsidR="609333E0">
        <w:t xml:space="preserve">as </w:t>
      </w:r>
      <w:r w:rsidR="4F97B1F6">
        <w:t>a central</w:t>
      </w:r>
      <w:r>
        <w:t xml:space="preserve"> policy for climate change mitigation</w:t>
      </w:r>
      <w:r w:rsidR="4F97B1F6">
        <w:t>.</w:t>
      </w:r>
      <w:r>
        <w:t xml:space="preserve"> It has broad sectoral coverage, including forestry having emissions surrender obligations and the opportunity to earn units for emissions removals. Currently, biological emissions from agriculture have reporting obligations without surrender obligations. The Climate Change Response Act 2002 sets the legislative framework for the NZ ETS and incorporates all of New Zealand’s key climate legislation under one Act. </w:t>
      </w:r>
      <w:r w:rsidRPr="4EB22948" w:rsidR="4EB22948">
        <w:t>Legislation to reform the NZ ETS was introduced to Parliament in October 2019 and passed in June 2020.</w:t>
      </w:r>
      <w:r w:rsidRPr="4EB22948" w:rsidR="50B0E8EA">
        <w:rPr>
          <w:rStyle w:val="FootnoteReference"/>
        </w:rPr>
        <w:footnoteReference w:id="43"/>
      </w:r>
    </w:p>
    <w:p w:rsidRPr="00376F97" w:rsidR="00953695" w:rsidP="5A0EDC4F" w:rsidRDefault="00953695" w14:paraId="37E255A5" w14:textId="77777777"/>
    <w:p w:rsidR="7AF3A2DA" w:rsidP="7AF3A2DA" w:rsidRDefault="7AF3A2DA" w14:paraId="39D0BB19" w14:textId="31FD095E">
      <w:pPr>
        <w:rPr>
          <w:b/>
          <w:sz w:val="24"/>
          <w:szCs w:val="24"/>
        </w:rPr>
      </w:pPr>
      <w:r w:rsidRPr="697B21AB">
        <w:rPr>
          <w:b/>
          <w:sz w:val="24"/>
          <w:szCs w:val="24"/>
        </w:rPr>
        <w:t>Factsheet</w:t>
      </w:r>
    </w:p>
    <w:p w:rsidRPr="00376F97" w:rsidR="00D9774A" w:rsidP="5A0EDC4F" w:rsidRDefault="00090DED" w14:paraId="28C940B0" w14:textId="6D24D95A">
      <w:r w:rsidRPr="7DE5B535">
        <w:rPr>
          <w:b/>
        </w:rPr>
        <w:t xml:space="preserve">Year of </w:t>
      </w:r>
      <w:r w:rsidRPr="7DE5B535" w:rsidR="00A237FD">
        <w:rPr>
          <w:b/>
        </w:rPr>
        <w:t>Implementation</w:t>
      </w:r>
      <w:r w:rsidR="00A237FD">
        <w:t>:</w:t>
      </w:r>
      <w:r w:rsidR="00A76539">
        <w:t xml:space="preserve"> </w:t>
      </w:r>
      <w:r w:rsidR="00D9774A">
        <w:t>2008</w:t>
      </w:r>
    </w:p>
    <w:p w:rsidRPr="00A237FD" w:rsidR="00A237FD" w:rsidP="5A0EDC4F" w:rsidRDefault="00A237FD" w14:paraId="0A0EA43E" w14:textId="52749EE1">
      <w:r w:rsidRPr="597B63B7">
        <w:rPr>
          <w:b/>
        </w:rPr>
        <w:t>Policy System/Mechanism(s)</w:t>
      </w:r>
      <w:r>
        <w:t>: Emissions Trading System</w:t>
      </w:r>
    </w:p>
    <w:p w:rsidRPr="00376F97" w:rsidR="00AF629C" w:rsidP="5A0EDC4F" w:rsidRDefault="1F4B61F1" w14:paraId="7FF4A142" w14:textId="5A26A72D">
      <w:r w:rsidRPr="697B21AB">
        <w:rPr>
          <w:b/>
        </w:rPr>
        <w:t xml:space="preserve">GHGs </w:t>
      </w:r>
      <w:r w:rsidRPr="697B21AB" w:rsidR="2D3773A9">
        <w:rPr>
          <w:b/>
        </w:rPr>
        <w:t>c</w:t>
      </w:r>
      <w:r w:rsidRPr="697B21AB" w:rsidR="4298FCE9">
        <w:rPr>
          <w:b/>
        </w:rPr>
        <w:t>overage</w:t>
      </w:r>
      <w:r w:rsidR="553D6134">
        <w:t>:</w:t>
      </w:r>
      <w:r w:rsidR="1690725B">
        <w:t xml:space="preserve"> CO2, CH4, N2O, HFCs, PFCs and SF6. However, </w:t>
      </w:r>
      <w:r w:rsidRPr="5A0EDC4F" w:rsidR="1690725B">
        <w:t xml:space="preserve">nitrous oxide and methane emissions from agriculture are not covered by </w:t>
      </w:r>
      <w:r w:rsidR="1690725B">
        <w:t xml:space="preserve">the NZ ETS emissions price. </w:t>
      </w:r>
    </w:p>
    <w:p w:rsidRPr="00333F3A" w:rsidR="00ED252B" w:rsidP="267DCEC4" w:rsidRDefault="2A8E52B8" w14:paraId="62BE49B0" w14:textId="0824B768">
      <w:r w:rsidRPr="626212CC">
        <w:rPr>
          <w:b/>
          <w:bCs/>
        </w:rPr>
        <w:t>Pricing</w:t>
      </w:r>
      <w:r>
        <w:t xml:space="preserve">: </w:t>
      </w:r>
      <w:r w:rsidR="005F1F33">
        <w:t xml:space="preserve">Latest update on prices (1 January 2022): a rising price corridor has been created; the price at which extra units could be released for sale from the cost containment reserve during NZ ETS auctions will increase from $50 to $70 and will increase by 10 per cent plus inflation each year. The auction price floor will increase from $20 to $30 and increase at 5 per cent plus inflation each year. Further increase in prices may be established in 2023 or later. </w:t>
      </w:r>
      <w:r w:rsidR="267DCEC4">
        <w:t xml:space="preserve">Modelling from the Productivity Commission found that an emissions price of $150–250 per tonne of carbon is needed to achieve net zero emissions by 2050. </w:t>
      </w:r>
    </w:p>
    <w:p w:rsidRPr="00333F3A" w:rsidR="00ED252B" w:rsidP="5A0EDC4F" w:rsidRDefault="009A4336" w14:paraId="2ACDF699" w14:textId="7EE4E0C1">
      <w:r w:rsidRPr="2AD694A2">
        <w:rPr>
          <w:b/>
        </w:rPr>
        <w:t>Price ceiling mechanism</w:t>
      </w:r>
      <w:r>
        <w:t>: participants can purchase unlimited NZUs from the government for immediate surrender (not banking or trading) at a fixed price of NZ$25 per NZU</w:t>
      </w:r>
      <w:r w:rsidR="3C7159A9">
        <w:t>.</w:t>
      </w:r>
    </w:p>
    <w:p w:rsidRPr="00333F3A" w:rsidR="00ED252B" w:rsidP="5A0EDC4F" w:rsidRDefault="6EE59EB1" w14:paraId="4C82ACAA" w14:textId="79F3D85F">
      <w:r w:rsidRPr="4EB22948">
        <w:rPr>
          <w:b/>
          <w:bCs/>
        </w:rPr>
        <w:t>Revenue allocation</w:t>
      </w:r>
      <w:r>
        <w:t>:</w:t>
      </w:r>
      <w:r w:rsidR="0C763CEC">
        <w:t xml:space="preserve"> T</w:t>
      </w:r>
      <w:r w:rsidR="67AA3F69">
        <w:t xml:space="preserve">he government </w:t>
      </w:r>
      <w:r w:rsidR="6FCD1F27">
        <w:t>has been considering</w:t>
      </w:r>
      <w:r w:rsidR="67AA3F69">
        <w:t xml:space="preserve"> options for how to </w:t>
      </w:r>
      <w:r w:rsidR="6FCD1F27">
        <w:t>better use</w:t>
      </w:r>
      <w:r w:rsidR="67AA3F69">
        <w:t xml:space="preserve"> the revenues </w:t>
      </w:r>
      <w:r w:rsidR="6FCD1F27">
        <w:t xml:space="preserve">to also support low-income households and different climate projects. In December 2021, a </w:t>
      </w:r>
      <w:r w:rsidR="1C76FD2D">
        <w:t>Climate</w:t>
      </w:r>
      <w:r w:rsidR="37ED5CB1">
        <w:t xml:space="preserve"> Emergency Response Fund (CERF), made up of $4.5 billion in proceeds from the Emissions</w:t>
      </w:r>
      <w:r w:rsidR="1C76FD2D">
        <w:t xml:space="preserve">, was established to help </w:t>
      </w:r>
      <w:r w:rsidR="4EB22948">
        <w:t>meet New Zealand’s climate objectives, including moving to a “low emissions and climate resilient economy in a way that protects vulnerable communities”.</w:t>
      </w:r>
      <w:r w:rsidR="1C76FD2D">
        <w:t xml:space="preserve"> </w:t>
      </w:r>
      <w:r>
        <w:br/>
      </w:r>
    </w:p>
    <w:p w:rsidR="00ED252B" w:rsidP="007A38DB" w:rsidRDefault="00ED252B" w14:paraId="624AEE81" w14:textId="4F0DF1BE">
      <w:pPr>
        <w:rPr>
          <w:b/>
          <w:color w:val="0064A8"/>
          <w:sz w:val="36"/>
          <w:szCs w:val="36"/>
        </w:rPr>
      </w:pPr>
    </w:p>
    <w:p w:rsidRPr="00637309" w:rsidR="00D826DE" w:rsidP="002F4D17" w:rsidRDefault="506E85CE" w14:paraId="2FA636FC" w14:textId="6FC42241">
      <w:pPr>
        <w:pStyle w:val="ListParagraph"/>
        <w:numPr>
          <w:ilvl w:val="0"/>
          <w:numId w:val="15"/>
        </w:numPr>
        <w:rPr>
          <w:rFonts w:asciiTheme="minorHAnsi" w:hAnsiTheme="minorHAnsi" w:eastAsiaTheme="minorEastAsia" w:cstheme="minorBidi"/>
          <w:b/>
          <w:color w:val="0064A8"/>
          <w:sz w:val="36"/>
          <w:szCs w:val="36"/>
        </w:rPr>
      </w:pPr>
      <w:r w:rsidRPr="24C59DC5">
        <w:rPr>
          <w:b/>
          <w:bCs/>
          <w:color w:val="0064A8"/>
          <w:sz w:val="36"/>
          <w:szCs w:val="36"/>
        </w:rPr>
        <w:t>CORE</w:t>
      </w:r>
      <w:r w:rsidRPr="24C59DC5" w:rsidR="00ED252B">
        <w:rPr>
          <w:b/>
          <w:color w:val="0064A8"/>
          <w:sz w:val="36"/>
          <w:szCs w:val="36"/>
        </w:rPr>
        <w:t xml:space="preserve"> DESIGN FEATURES &amp; PRINCIPLE TEST </w:t>
      </w:r>
    </w:p>
    <w:p w:rsidRPr="000E7B94" w:rsidR="00761342" w:rsidP="5A0EDC4F" w:rsidRDefault="00761342" w14:paraId="23703EA9" w14:textId="77777777"/>
    <w:p w:rsidR="037B86D5" w:rsidP="002F4D17" w:rsidRDefault="037B86D5" w14:paraId="3D44A713" w14:textId="2B5F26F8">
      <w:pPr>
        <w:pStyle w:val="ListParagraph"/>
        <w:numPr>
          <w:ilvl w:val="0"/>
          <w:numId w:val="14"/>
        </w:numPr>
      </w:pPr>
      <w:r w:rsidRPr="0D6FA04B">
        <w:t>The New Zealand Emissions Trading Scheme (ETS)</w:t>
      </w:r>
      <w:r w:rsidRPr="0D6FA04B" w:rsidR="71228000">
        <w:t xml:space="preserve"> </w:t>
      </w:r>
      <w:r w:rsidRPr="0D6FA04B" w:rsidR="7117E199">
        <w:t>works with an emission price that is based on unit supply and demand</w:t>
      </w:r>
      <w:r w:rsidRPr="0D6FA04B" w:rsidR="02F84C8E">
        <w:t xml:space="preserve">. The limit of emissions is defined by the number of tradable emission units in the market, which reduces over time. </w:t>
      </w:r>
      <w:r w:rsidRPr="0D6FA04B" w:rsidR="3CC7DD23">
        <w:t>The government allocates emission units into the market and ETS market participants trade emission units and/or surrender emission units for compliance. Businesses and households a</w:t>
      </w:r>
      <w:r w:rsidRPr="0D6FA04B" w:rsidR="7F85E7F5">
        <w:t xml:space="preserve">lso receive an emission price incentive to choose lower-emission goods, services and activities. </w:t>
      </w:r>
      <w:r w:rsidRPr="0D6FA04B" w:rsidR="2DD7ABC0">
        <w:t>E</w:t>
      </w:r>
      <w:r w:rsidRPr="0D6FA04B" w:rsidR="33BF248F">
        <w:t xml:space="preserve">mission units are supplied only by government for industrial free allocation and removals by forestry and industrial activities, and no emission units are supplied through international offset mechanisms or international trading. </w:t>
      </w:r>
    </w:p>
    <w:p w:rsidR="33BF248F" w:rsidP="002F4D17" w:rsidRDefault="33BF248F" w14:paraId="0F4785E2" w14:textId="635EB390">
      <w:pPr>
        <w:pStyle w:val="ListParagraph"/>
        <w:numPr>
          <w:ilvl w:val="0"/>
          <w:numId w:val="14"/>
        </w:numPr>
        <w:rPr>
          <w:rFonts w:asciiTheme="minorHAnsi" w:hAnsiTheme="minorHAnsi" w:eastAsiaTheme="minorEastAsia" w:cstheme="minorBidi"/>
        </w:rPr>
      </w:pPr>
      <w:r w:rsidRPr="0D6FA04B">
        <w:t>The NZ ETS currently operates as a domestic-only system. (The NZ ETS allowed trading of units to and from the international Kyoto market from 2008 to mid-2015, at which point it de-linked).</w:t>
      </w:r>
      <w:r w:rsidRPr="0D6FA04B" w:rsidR="2FD9D260">
        <w:t xml:space="preserve">  The system applies unit obligations to about 51% of New Zealand’s gross emissions (It covers almost all emissions from fossil fuels, industrial processes and waste).</w:t>
      </w:r>
      <w:r w:rsidRPr="0D6FA04B" w:rsidR="7BB0ED33">
        <w:t xml:space="preserve"> </w:t>
      </w:r>
      <w:r w:rsidRPr="0D6FA04B" w:rsidR="2FD9D260">
        <w:t>New Zealand Units (NZUs) are the primary domestic unit of trade. An NZU represents one metric tonne of carbon dioxide equivalent and can cover both emissions and removals. NZUs have no vintage date and do not expire.</w:t>
      </w:r>
      <w:r w:rsidRPr="0D6FA04B" w:rsidR="1D8FFB12">
        <w:t xml:space="preserve">  </w:t>
      </w:r>
    </w:p>
    <w:p w:rsidR="4E28EE21" w:rsidP="002F4D17" w:rsidRDefault="4E28EE21" w14:paraId="16821B7E" w14:textId="53CD28A4">
      <w:pPr>
        <w:pStyle w:val="ListParagraph"/>
        <w:numPr>
          <w:ilvl w:val="0"/>
          <w:numId w:val="14"/>
        </w:numPr>
        <w:rPr>
          <w:rFonts w:asciiTheme="minorHAnsi" w:hAnsiTheme="minorHAnsi" w:eastAsiaTheme="minorEastAsia" w:cstheme="minorBidi"/>
        </w:rPr>
      </w:pPr>
      <w:r w:rsidRPr="0D6FA04B">
        <w:t>F</w:t>
      </w:r>
      <w:r>
        <w:t xml:space="preserve">ailure to surrender emission units results in a requirement to make good those units alongside a financial penalty of NZ$30 per unit. Interest accrues until the penalty is paid. Failure to comply with data collection, record-keeping, reporting, registration, or notification requirements carries a fine. </w:t>
      </w:r>
      <w:r w:rsidR="2A96ABC6">
        <w:t>P</w:t>
      </w:r>
      <w:r>
        <w:t>roviding false information carries a larger fine and/or a prison term.</w:t>
      </w:r>
      <w:r w:rsidR="5F6DC29C">
        <w:t xml:space="preserve">  </w:t>
      </w:r>
    </w:p>
    <w:p w:rsidRPr="00376F97" w:rsidR="000E7B94" w:rsidP="4EB22948" w:rsidRDefault="4C27B01A" w14:paraId="0B2C7B25" w14:textId="03828501">
      <w:pPr>
        <w:pStyle w:val="ListParagraph"/>
        <w:numPr>
          <w:ilvl w:val="0"/>
          <w:numId w:val="14"/>
        </w:numPr>
        <w:rPr>
          <w:rFonts w:asciiTheme="minorHAnsi" w:hAnsiTheme="minorHAnsi" w:eastAsiaTheme="minorEastAsia" w:cstheme="minorBidi"/>
        </w:rPr>
      </w:pPr>
      <w:r>
        <w:t>Free allocation exist for businesses that are undertaking activities that are both emissions intensive and trade exposed.</w:t>
      </w:r>
    </w:p>
    <w:p w:rsidRPr="00376F97" w:rsidR="00A20E36" w:rsidP="002F4D17" w:rsidRDefault="4403821D" w14:paraId="1F39CF31" w14:textId="53857B6C">
      <w:pPr>
        <w:pStyle w:val="ListParagraph"/>
        <w:numPr>
          <w:ilvl w:val="0"/>
          <w:numId w:val="14"/>
        </w:numPr>
      </w:pPr>
      <w:r>
        <w:t>Forests are treated differently in the NZ ETS depending on if they were planted before 1990 or after 1989. Participation in the NZ ETS for post-1989 forests is voluntary, therefore there is a significant part area of this forest that is not necessarily in the scheme. If registered in the NZ ETS, these forests can earn units for the carbon they store as they grow, but units must be paid back for the loss of carbon on deforestation. Pre-1990 forests cannot earn units but are subject to a mandatory liability to pay units to the Government if they are deforested.</w:t>
      </w:r>
    </w:p>
    <w:p w:rsidRPr="00376F97" w:rsidR="00503025" w:rsidP="002F4D17" w:rsidRDefault="0E83D728" w14:paraId="14C1DECB" w14:textId="3F4F7702">
      <w:pPr>
        <w:pStyle w:val="ListParagraph"/>
        <w:numPr>
          <w:ilvl w:val="0"/>
          <w:numId w:val="14"/>
        </w:numPr>
      </w:pPr>
      <w:r>
        <w:t>Obligations to both report emissions and surrender emission units apply to the following sectors: forestry, stationary energy (electricity and heat), transport, industrial processes, synthetic GHGs and waste.</w:t>
      </w:r>
      <w:r w:rsidR="4F3119F9">
        <w:t xml:space="preserve"> </w:t>
      </w:r>
      <w:r w:rsidR="3D3C8EE7">
        <w:t>Biological emissions from agriculture (</w:t>
      </w:r>
      <w:r w:rsidR="037C84EB">
        <w:t>which account for about 49% of New Zealand’s gross emissions</w:t>
      </w:r>
      <w:r w:rsidR="3D3C8EE7">
        <w:t>) carry reporting obligations only.</w:t>
      </w:r>
    </w:p>
    <w:p w:rsidRPr="00376F97" w:rsidR="000D4A3A" w:rsidP="002F4D17" w:rsidRDefault="1AA8F27E" w14:paraId="2194DD87" w14:textId="0DE2C743">
      <w:pPr>
        <w:pStyle w:val="ListParagraph"/>
        <w:numPr>
          <w:ilvl w:val="0"/>
          <w:numId w:val="14"/>
        </w:numPr>
      </w:pPr>
      <w:r>
        <w:t>In most of the sectors, obligations generally apply at the point of emission</w:t>
      </w:r>
      <w:r w:rsidR="05DBCCA9">
        <w:t xml:space="preserve"> (Energy-sector obligations generally apply upstream of emissions at the point of fuel production or import, but major fuel users can opt in as points of obligation with a corresponding carve-out of the upstream obligation).</w:t>
      </w:r>
    </w:p>
    <w:p w:rsidRPr="00376F97" w:rsidR="001754C6" w:rsidP="002F4D17" w:rsidRDefault="66A4BB2E" w14:paraId="2D6D5396" w14:textId="7548B4DB">
      <w:pPr>
        <w:pStyle w:val="ListParagraph"/>
        <w:numPr>
          <w:ilvl w:val="0"/>
          <w:numId w:val="14"/>
        </w:numPr>
      </w:pPr>
      <w:r>
        <w:t>For a given year, free allocation is awarded provisionally based on production in the previous year and adjusted once actual production has been reported for that year.</w:t>
      </w:r>
      <w:r w:rsidR="345FFE6D">
        <w:t xml:space="preserve"> Highly emissions-intensive producers receive 90% of an allocative baseline as the starting point. Moderately emissions-intensive producers receive 60%.</w:t>
      </w:r>
    </w:p>
    <w:p w:rsidRPr="00376F97" w:rsidR="008605D1" w:rsidP="002F4D17" w:rsidRDefault="339A9043" w14:paraId="3DEEB7E2" w14:textId="2160BDA6">
      <w:pPr>
        <w:pStyle w:val="ListParagraph"/>
        <w:numPr>
          <w:ilvl w:val="0"/>
          <w:numId w:val="14"/>
        </w:numPr>
      </w:pPr>
      <w:r>
        <w:t>The NZ ETS does not allow borrowing of NZUs from future years. However, emissions are reported on a calendar-year basis and compliance units must be surrendered by 31 May in the following year. This enables free allocation recipients to help meet obligations from one year using free allocation received in respect of the following year’s emissions.</w:t>
      </w:r>
    </w:p>
    <w:p w:rsidRPr="00376F97" w:rsidR="00ED252B" w:rsidP="002F4D17" w:rsidRDefault="7ED74C25" w14:paraId="2A892E1B" w14:textId="3D18E587">
      <w:pPr>
        <w:pStyle w:val="ListParagraph"/>
        <w:numPr>
          <w:ilvl w:val="0"/>
          <w:numId w:val="14"/>
        </w:numPr>
      </w:pPr>
      <w:r>
        <w:t>The system pioneered upstream points of obligation in the stationary energy and transport sectors.</w:t>
      </w:r>
    </w:p>
    <w:p w:rsidRPr="00376F97" w:rsidR="001754C6" w:rsidP="002F4D17" w:rsidRDefault="0DEE9DAD" w14:paraId="481B593B" w14:textId="24D5EEBA">
      <w:pPr>
        <w:pStyle w:val="ListParagraph"/>
        <w:numPr>
          <w:ilvl w:val="0"/>
          <w:numId w:val="14"/>
        </w:numPr>
      </w:pPr>
      <w:r>
        <w:t>As a result of global oversupply of Kyoto units exacerbated by the global financial crisis and withdrawal of the US and Canada from the Kyoto Protocol, the prices of international Kyoto units declined from mid-2011 and NZU prices followed suit. When the prospect of future de-linking from the Kyoto market arose in late 2012, NZUs began to command higher prices than international Kyoto units. This means that NZUs takes even more responsibility than Kyoto Protocol assumes, as the NZU prices are now higher.</w:t>
      </w:r>
    </w:p>
    <w:p w:rsidRPr="00376F97" w:rsidR="00C02D29" w:rsidP="002F4D17" w:rsidRDefault="4EF24CD1" w14:paraId="32EFA9EC" w14:textId="4F5712BA">
      <w:pPr>
        <w:pStyle w:val="ListParagraph"/>
        <w:numPr>
          <w:ilvl w:val="0"/>
          <w:numId w:val="14"/>
        </w:numPr>
      </w:pPr>
      <w:r>
        <w:t>Unit transactions under the NZ ETS are managed through the New Zealand Emissions Trading Register (NZETR). Selected information on unit holdings and transactions is reported publicly on an annual basis in accordance with legislative requirements.</w:t>
      </w:r>
    </w:p>
    <w:p w:rsidRPr="00376F97" w:rsidR="00ED252B" w:rsidP="002F4D17" w:rsidRDefault="366EEDCF" w14:paraId="11B4AE57" w14:textId="215A1146">
      <w:pPr>
        <w:pStyle w:val="ListParagraph"/>
        <w:numPr>
          <w:ilvl w:val="0"/>
          <w:numId w:val="14"/>
        </w:numPr>
      </w:pPr>
      <w:r>
        <w:t>Participants follow a “self-assessment” model for emissions monitoring, reporting and verification (MRV). No independent third-party verification is required of emission reports, but the government has the power to conduct audits. Each year, the Environmental Protection Authority selects a sample of NZ ETS participants and free allocation recipients for internal and third-party reviews of compliance.</w:t>
      </w:r>
      <w:r w:rsidR="00BC7C59">
        <w:br/>
      </w:r>
    </w:p>
    <w:p w:rsidRPr="00637309" w:rsidR="00ED252B" w:rsidP="007A38DB" w:rsidRDefault="006C05B7" w14:paraId="7BBC56C5" w14:textId="550AF302">
      <w:r>
        <w:br w:type="page"/>
      </w:r>
    </w:p>
    <w:p w:rsidRPr="00637309" w:rsidR="00ED252B" w:rsidP="002F4D17" w:rsidRDefault="00ED252B" w14:paraId="49187B61" w14:textId="6B97DB11">
      <w:pPr>
        <w:pStyle w:val="ListParagraph"/>
        <w:numPr>
          <w:ilvl w:val="0"/>
          <w:numId w:val="15"/>
        </w:numPr>
        <w:rPr>
          <w:rFonts w:asciiTheme="minorHAnsi" w:hAnsiTheme="minorHAnsi" w:eastAsiaTheme="minorEastAsia" w:cstheme="minorBidi"/>
          <w:b/>
          <w:color w:val="0064A8"/>
          <w:sz w:val="36"/>
          <w:szCs w:val="36"/>
        </w:rPr>
      </w:pPr>
      <w:r w:rsidRPr="53895D2E">
        <w:rPr>
          <w:b/>
          <w:color w:val="0064A8"/>
          <w:sz w:val="36"/>
          <w:szCs w:val="36"/>
        </w:rPr>
        <w:t xml:space="preserve">ASSESSMENT: USEFUL FEATURES / BEST PRACTICES </w:t>
      </w:r>
    </w:p>
    <w:p w:rsidR="53895D2E" w:rsidP="53895D2E" w:rsidRDefault="53895D2E" w14:paraId="09E1C1F3" w14:textId="7C31071C"/>
    <w:p w:rsidRPr="00376F97" w:rsidR="00E9656A" w:rsidP="002F4D17" w:rsidRDefault="00C76AC3" w14:paraId="5C03E30A" w14:textId="24A275FD">
      <w:pPr>
        <w:pStyle w:val="ListParagraph"/>
        <w:numPr>
          <w:ilvl w:val="0"/>
          <w:numId w:val="13"/>
        </w:numPr>
        <w:rPr>
          <w:rFonts w:asciiTheme="minorHAnsi" w:hAnsiTheme="minorHAnsi" w:eastAsiaTheme="minorEastAsia" w:cstheme="minorBidi"/>
        </w:rPr>
      </w:pPr>
      <w:r>
        <w:t>Inclusion of the forestry sector with emission liabilities as well as credits, an ETS world first, was intended to both discourage deforestation and incentivise afforestation.</w:t>
      </w:r>
    </w:p>
    <w:p w:rsidRPr="00376F97" w:rsidR="00E11A7D" w:rsidP="002F4D17" w:rsidRDefault="0005431B" w14:paraId="38531A57" w14:textId="08F616EC">
      <w:pPr>
        <w:pStyle w:val="ListParagraph"/>
        <w:numPr>
          <w:ilvl w:val="0"/>
          <w:numId w:val="13"/>
        </w:numPr>
      </w:pPr>
      <w:r>
        <w:t>Free allocation can help producers adjust more gradually to the cost of emission constraints while they continue to face incentives to reduce emissions.</w:t>
      </w:r>
      <w:r w:rsidR="00965A7A">
        <w:t xml:space="preserve"> Ongoing output-based free allocation to emissions-intensive and </w:t>
      </w:r>
      <w:r w:rsidR="003F7C95">
        <w:t>trade exposed</w:t>
      </w:r>
      <w:r w:rsidR="00965A7A">
        <w:t xml:space="preserve"> industrial producers was intended to support their international competitiveness and prevent leakage of production and emissions offshore.</w:t>
      </w:r>
      <w:r w:rsidR="003F7C95">
        <w:t xml:space="preserve"> Non-trade-exposed producers (such as electricity generators and transport fuel suppliers), which can pass on emission costs to their customers, are not eligible for free allocation.</w:t>
      </w:r>
    </w:p>
    <w:p w:rsidRPr="00376F97" w:rsidR="001640D0" w:rsidP="002F4D17" w:rsidRDefault="00BC37DE" w14:paraId="637917A4" w14:textId="54806AA5">
      <w:pPr>
        <w:pStyle w:val="ListParagraph"/>
        <w:numPr>
          <w:ilvl w:val="0"/>
          <w:numId w:val="13"/>
        </w:numPr>
      </w:pPr>
      <w:r>
        <w:t>E</w:t>
      </w:r>
      <w:r w:rsidR="00302D7D">
        <w:t>nabling unique emission factors offers a fair approach – and a further emission-reduction incentive – for those whose emissions may fall below the industry average.</w:t>
      </w:r>
    </w:p>
    <w:p w:rsidRPr="00376F97" w:rsidR="005A596A" w:rsidP="002F4D17" w:rsidRDefault="001640D0" w14:paraId="07819205" w14:textId="2DA1E43A">
      <w:pPr>
        <w:pStyle w:val="ListParagraph"/>
        <w:numPr>
          <w:ilvl w:val="0"/>
          <w:numId w:val="13"/>
        </w:numPr>
      </w:pPr>
      <w:r>
        <w:t>Applying a unit make-good requirement in addition to a financial penalty for failing to surrender units is intended to safeguard the environmental integrity of the system.</w:t>
      </w:r>
    </w:p>
    <w:p w:rsidRPr="00376F97" w:rsidR="00ED252B" w:rsidP="002F4D17" w:rsidRDefault="005A596A" w14:paraId="2ED70916" w14:textId="5B08B176">
      <w:pPr>
        <w:pStyle w:val="ListParagraph"/>
        <w:numPr>
          <w:ilvl w:val="0"/>
          <w:numId w:val="13"/>
        </w:numPr>
      </w:pPr>
      <w:r>
        <w:t>The separation of administrative and registry functions from policy making functions has helped to distribute effort and decision-making authority across departments and improve transparency</w:t>
      </w:r>
      <w:r w:rsidR="00BF33FF">
        <w:t>.</w:t>
      </w:r>
    </w:p>
    <w:p w:rsidRPr="00376F97" w:rsidR="009F44D1" w:rsidP="002F4D17" w:rsidRDefault="00BF33FF" w14:paraId="6CCD1514" w14:textId="0C169E5D">
      <w:pPr>
        <w:pStyle w:val="ListParagraph"/>
        <w:numPr>
          <w:ilvl w:val="0"/>
          <w:numId w:val="13"/>
        </w:numPr>
      </w:pPr>
      <w:r>
        <w:t xml:space="preserve">The Government has put an overall limit (cap) on the emissions that participants produce. As the NZU supply decreases over time, the demand will increase, causing the price to rise. This makes emissions-intensive technology and </w:t>
      </w:r>
      <w:r w:rsidR="00554429">
        <w:t>behaviour</w:t>
      </w:r>
      <w:r>
        <w:t xml:space="preserve"> more </w:t>
      </w:r>
      <w:r w:rsidR="00E37AF2">
        <w:t>expensive and</w:t>
      </w:r>
      <w:r>
        <w:t xml:space="preserve"> encourages businesses and individuals to find ways to reduce their emissions and increase removals, such as by planting forests.</w:t>
      </w:r>
    </w:p>
    <w:p w:rsidRPr="00376F97" w:rsidR="00ED252B" w:rsidP="002F4D17" w:rsidRDefault="009F44D1" w14:paraId="4B42166C" w14:textId="587864E9">
      <w:pPr>
        <w:pStyle w:val="ListParagraph"/>
        <w:numPr>
          <w:ilvl w:val="0"/>
          <w:numId w:val="13"/>
        </w:numPr>
      </w:pPr>
      <w:r>
        <w:t>Main drawback: the NZ ETS in its current form does not differentiate between carbon removals by forests and gross emissions reductions. If left unchanged, this will drive the relatively low short-run cost abatement option of planting pines, rather than more costly gross emissions reductions that put Aotearoa on a path to net zero that is sustainable over the long term beyond 2050.</w:t>
      </w:r>
      <w:r w:rsidR="00ED252B">
        <w:br/>
      </w:r>
    </w:p>
    <w:p w:rsidRPr="00637309" w:rsidR="00085A2E" w:rsidP="5A0EDC4F" w:rsidRDefault="00085A2E" w14:paraId="1FFA3F07" w14:textId="0B740005"/>
    <w:p w:rsidRPr="00637309" w:rsidR="007901B9" w:rsidP="007A38DB" w:rsidRDefault="007901B9" w14:paraId="5E50AD95" w14:textId="2FBF9590">
      <w:r>
        <w:br w:type="page"/>
      </w:r>
    </w:p>
    <w:p w:rsidRPr="00637309" w:rsidR="00085A2E" w:rsidP="5A0EDC4F" w:rsidRDefault="00085A2E" w14:paraId="63D9913F" w14:textId="77777777"/>
    <w:p w:rsidRPr="00637309" w:rsidR="00466B73" w:rsidP="007A38DB" w:rsidRDefault="00466B73" w14:paraId="45ED05FC" w14:textId="77777777"/>
    <w:p w:rsidRPr="00637309" w:rsidR="00466B73" w:rsidP="002F4D17" w:rsidRDefault="09DB0925" w14:paraId="2CD1E85A" w14:textId="0ACDD48C">
      <w:pPr>
        <w:pStyle w:val="ListParagraph"/>
        <w:numPr>
          <w:ilvl w:val="0"/>
          <w:numId w:val="35"/>
        </w:numPr>
        <w:rPr>
          <w:rFonts w:asciiTheme="minorHAnsi" w:hAnsiTheme="minorHAnsi" w:eastAsiaTheme="minorEastAsia" w:cstheme="minorBidi"/>
          <w:b/>
          <w:color w:val="0064A8"/>
          <w:sz w:val="36"/>
          <w:szCs w:val="36"/>
        </w:rPr>
      </w:pPr>
      <w:r w:rsidRPr="73FE321E">
        <w:rPr>
          <w:b/>
          <w:color w:val="0064A8"/>
          <w:sz w:val="36"/>
          <w:szCs w:val="36"/>
        </w:rPr>
        <w:t>SOUTH AFRICA CARBON TAX</w:t>
      </w:r>
    </w:p>
    <w:p w:rsidRPr="00637309" w:rsidR="00466B73" w:rsidP="007A38DB" w:rsidRDefault="00466B73" w14:paraId="56B62A28" w14:textId="77777777">
      <w:pPr>
        <w:rPr>
          <w:b/>
          <w:color w:val="0064A8"/>
          <w:sz w:val="36"/>
          <w:szCs w:val="36"/>
        </w:rPr>
      </w:pPr>
    </w:p>
    <w:p w:rsidRPr="00637309" w:rsidR="008054F2" w:rsidP="002F4D17" w:rsidRDefault="66FAB819" w14:paraId="164A0E5F" w14:textId="672D1840">
      <w:pPr>
        <w:pStyle w:val="ListParagraph"/>
        <w:numPr>
          <w:ilvl w:val="0"/>
          <w:numId w:val="12"/>
        </w:numPr>
        <w:rPr>
          <w:rFonts w:asciiTheme="minorHAnsi" w:hAnsiTheme="minorHAnsi" w:eastAsiaTheme="minorEastAsia" w:cstheme="minorBidi"/>
          <w:b/>
          <w:color w:val="0064A8"/>
          <w:sz w:val="36"/>
          <w:szCs w:val="36"/>
        </w:rPr>
      </w:pPr>
      <w:r w:rsidRPr="73FE321E">
        <w:rPr>
          <w:b/>
          <w:color w:val="0064A8"/>
          <w:sz w:val="36"/>
          <w:szCs w:val="36"/>
        </w:rPr>
        <w:t>INTRODUCTION &amp; FACTSHEET</w:t>
      </w:r>
    </w:p>
    <w:p w:rsidR="5223F5F4" w:rsidP="5A0EDC4F" w:rsidRDefault="5223F5F4" w14:paraId="65F0D24F" w14:textId="18B1AE80"/>
    <w:p w:rsidR="5223F5F4" w:rsidP="5A0EDC4F" w:rsidRDefault="4D1D75EE" w14:paraId="071F4691" w14:textId="2BB32933">
      <w:r w:rsidRPr="5223F5F4">
        <w:t>In 2009, South Africa made a voluntary commitment to reduce its GHG emissions by 34 percent in 2020 and 42 percent in 2025. As part of its Low Emission Development Strategy developed in 2020 and signatory to the Paris Agreement, it committed to become a net zero emissions economy by 2050</w:t>
      </w:r>
      <w:r w:rsidRPr="22948E64" w:rsidR="5223F5F4">
        <w:rPr>
          <w:vertAlign w:val="superscript"/>
        </w:rPr>
        <w:footnoteReference w:id="44"/>
      </w:r>
      <w:r w:rsidRPr="5223F5F4">
        <w:t>. South Africa presented an updated NDC in September 2021 where it states to “peak, plateau and decline” its GHG emissions, so that its 2025-30 emissions will be in a range from 398 million to 614 million tCO2e, then decline from 2036 onwards.</w:t>
      </w:r>
      <w:r w:rsidRPr="6AB5A0FA" w:rsidR="5223F5F4">
        <w:rPr>
          <w:vertAlign w:val="superscript"/>
        </w:rPr>
        <w:footnoteReference w:id="45"/>
      </w:r>
      <w:r w:rsidRPr="5223F5F4">
        <w:t xml:space="preserve"> Carbon tax, along with recycling of the revenues raised, has been recognised as a key policy instrument to support the achievement of the country’s mitigation goals. </w:t>
      </w:r>
    </w:p>
    <w:p w:rsidR="6B93228A" w:rsidP="5A0EDC4F" w:rsidRDefault="6B93228A" w14:paraId="6350E729" w14:textId="0F2A603A"/>
    <w:p w:rsidRPr="00376F97" w:rsidR="00ED2F52" w:rsidP="5A0EDC4F" w:rsidRDefault="74ABD8A8" w14:paraId="5E124B42" w14:textId="1B078654">
      <w:r w:rsidRPr="5223F5F4">
        <w:t>In 2019, South Africa passed a Carbon Tax Act</w:t>
      </w:r>
      <w:r w:rsidRPr="73320FD8" w:rsidR="005216D3">
        <w:rPr>
          <w:vertAlign w:val="superscript"/>
        </w:rPr>
        <w:footnoteReference w:id="46"/>
      </w:r>
      <w:r w:rsidRPr="5223F5F4">
        <w:t xml:space="preserve"> </w:t>
      </w:r>
      <w:r w:rsidRPr="5223F5F4" w:rsidR="4D1D75EE">
        <w:t>and started pricing GHG emissions in all sectors other than waste and Agriculture, Forestry and Other Land Use (AFOLU) - making it the first African county to introduce a carbon pricing scheme</w:t>
      </w:r>
      <w:r w:rsidRPr="5223F5F4" w:rsidR="5DB79AF4">
        <w:t xml:space="preserve">. </w:t>
      </w:r>
    </w:p>
    <w:p w:rsidR="52E72AA2" w:rsidP="5A0EDC4F" w:rsidRDefault="52E72AA2" w14:paraId="5EC3847F" w14:textId="7CAE6FF5"/>
    <w:p w:rsidR="75D80902" w:rsidP="75D80902" w:rsidRDefault="03206120" w14:paraId="0BA6AAB0" w14:textId="3C66EBF3">
      <w:pPr>
        <w:rPr>
          <w:b/>
          <w:sz w:val="24"/>
          <w:szCs w:val="24"/>
        </w:rPr>
      </w:pPr>
      <w:r w:rsidRPr="03206120">
        <w:rPr>
          <w:b/>
          <w:bCs/>
          <w:sz w:val="24"/>
          <w:szCs w:val="24"/>
        </w:rPr>
        <w:t>Factsheet</w:t>
      </w:r>
    </w:p>
    <w:p w:rsidR="00D46C84" w:rsidP="5A0EDC4F" w:rsidRDefault="2D2F7C51" w14:paraId="2654C1E7" w14:textId="51ABD2F8">
      <w:r w:rsidRPr="03206120">
        <w:rPr>
          <w:b/>
        </w:rPr>
        <w:t>Year of imp</w:t>
      </w:r>
      <w:r w:rsidRPr="03206120" w:rsidR="75409FD0">
        <w:rPr>
          <w:b/>
        </w:rPr>
        <w:t>lementation</w:t>
      </w:r>
      <w:r w:rsidR="75409FD0">
        <w:t>: 2019</w:t>
      </w:r>
    </w:p>
    <w:p w:rsidRPr="00376F97" w:rsidR="007729FD" w:rsidP="5A0EDC4F" w:rsidRDefault="2A74278A" w14:paraId="304BC166" w14:textId="11C391A0">
      <w:r w:rsidRPr="65F766BD">
        <w:rPr>
          <w:b/>
        </w:rPr>
        <w:t>Policy system/mechanism(s)</w:t>
      </w:r>
      <w:r>
        <w:t xml:space="preserve">: </w:t>
      </w:r>
      <w:r w:rsidR="2C915D27">
        <w:t>Levy scheme – carbon tax</w:t>
      </w:r>
    </w:p>
    <w:p w:rsidR="1F4B61F1" w:rsidP="5A0EDC4F" w:rsidRDefault="1F4B61F1" w14:paraId="6B608154" w14:textId="6282DA12">
      <w:r w:rsidRPr="5A43EE95">
        <w:rPr>
          <w:b/>
        </w:rPr>
        <w:t xml:space="preserve">GHGs </w:t>
      </w:r>
      <w:r w:rsidRPr="5A43EE95" w:rsidR="2D3773A9">
        <w:rPr>
          <w:b/>
        </w:rPr>
        <w:t>c</w:t>
      </w:r>
      <w:r w:rsidRPr="5A43EE95" w:rsidR="4298FCE9">
        <w:rPr>
          <w:b/>
        </w:rPr>
        <w:t>overage</w:t>
      </w:r>
      <w:r w:rsidR="747A6646">
        <w:t xml:space="preserve">: </w:t>
      </w:r>
      <w:r w:rsidR="52E72AA2">
        <w:t xml:space="preserve">CO2, </w:t>
      </w:r>
      <w:r w:rsidR="1690725B">
        <w:t>CH4</w:t>
      </w:r>
      <w:r w:rsidR="52E72AA2">
        <w:t>, N2O, PFCs, HFCs, and SF6</w:t>
      </w:r>
    </w:p>
    <w:p w:rsidR="20008217" w:rsidP="5A0EDC4F" w:rsidRDefault="20008217" w14:paraId="17EEE114" w14:textId="5EF9D0C5">
      <w:r w:rsidRPr="5A43EE95">
        <w:rPr>
          <w:b/>
        </w:rPr>
        <w:t>Pricing</w:t>
      </w:r>
      <w:r>
        <w:t xml:space="preserve">: </w:t>
      </w:r>
      <w:r w:rsidR="07EF53B2">
        <w:t>South Africa's 2021 carbon tax rate is R134/tCO2e (US$7/tCO2e)</w:t>
      </w:r>
      <w:r w:rsidR="6BBBB456">
        <w:t xml:space="preserve"> </w:t>
      </w:r>
    </w:p>
    <w:p w:rsidR="371A6830" w:rsidP="5A0EDC4F" w:rsidRDefault="371A6830" w14:paraId="7C4E1D95" w14:textId="4C898AB2">
      <w:r w:rsidRPr="5A43EE95">
        <w:rPr>
          <w:b/>
        </w:rPr>
        <w:t>Revenue allocation</w:t>
      </w:r>
      <w:r>
        <w:t>: R</w:t>
      </w:r>
      <w:r w:rsidR="52E72AA2">
        <w:t>evenue-neutral during the first phase but includes measures to address negative impacts on low-income households.</w:t>
      </w:r>
    </w:p>
    <w:p w:rsidRPr="00637309" w:rsidR="008054F2" w:rsidP="007A38DB" w:rsidRDefault="008054F2" w14:paraId="069DD28C" w14:textId="34A380A4"/>
    <w:p w:rsidRPr="00637309" w:rsidR="008D28E4" w:rsidP="002F4D17" w:rsidRDefault="008D28E4" w14:paraId="15F004BA" w14:textId="19364BE8">
      <w:pPr>
        <w:pStyle w:val="ListParagraph"/>
        <w:numPr>
          <w:ilvl w:val="0"/>
          <w:numId w:val="12"/>
        </w:numPr>
        <w:rPr>
          <w:rFonts w:asciiTheme="minorHAnsi" w:hAnsiTheme="minorHAnsi" w:eastAsiaTheme="minorEastAsia" w:cstheme="minorBidi"/>
          <w:b/>
          <w:color w:val="0064A8"/>
          <w:sz w:val="36"/>
          <w:szCs w:val="36"/>
        </w:rPr>
      </w:pPr>
      <w:r w:rsidRPr="4614078F">
        <w:rPr>
          <w:b/>
          <w:color w:val="0064A8"/>
          <w:sz w:val="36"/>
          <w:szCs w:val="36"/>
        </w:rPr>
        <w:t xml:space="preserve">CORE DESIGN FEATURES &amp; PRINCIPLE TEST </w:t>
      </w:r>
    </w:p>
    <w:p w:rsidRPr="00637309" w:rsidR="00C803D8" w:rsidP="5A0EDC4F" w:rsidRDefault="00C803D8" w14:paraId="1505C982" w14:textId="0528757E"/>
    <w:p w:rsidR="5223F5F4" w:rsidP="4EB22948" w:rsidRDefault="4D1D75EE" w14:paraId="7A3988CC" w14:textId="2B783575">
      <w:pPr>
        <w:pStyle w:val="ListParagraph"/>
        <w:numPr>
          <w:ilvl w:val="0"/>
          <w:numId w:val="11"/>
        </w:numPr>
        <w:rPr>
          <w:rFonts w:asciiTheme="minorHAnsi" w:hAnsiTheme="minorHAnsi" w:eastAsiaTheme="minorEastAsia" w:cstheme="minorBidi"/>
        </w:rPr>
      </w:pPr>
      <w:r w:rsidRPr="52E72AA2">
        <w:t>In May 2013 the National Treasury released its “Carbon Tax Policy Paper: Reducing Greenhouse Gas Emissions and Facilitating the Transition to a Green Economy”</w:t>
      </w:r>
      <w:r w:rsidRPr="1F8A829C" w:rsidR="5223F5F4">
        <w:rPr>
          <w:vertAlign w:val="superscript"/>
        </w:rPr>
        <w:footnoteReference w:id="47"/>
      </w:r>
      <w:r w:rsidRPr="52E72AA2">
        <w:t>, which lays out the proposed design for the carbon tax and various revenue recycling options. Following several years of consultations and numerous price modelling exercises to determine the appropriate carbon price, the Carbon Tax Act was finally signed in 2019 and came i</w:t>
      </w:r>
      <w:r w:rsidRPr="52E72AA2" w:rsidR="1A58A391">
        <w:t>nto effect on 1 June 2019. South Africa’s National Treasury decided to implement a carbon tax instead of an ETS because of the oligopolistic structure of industries (few large emitters) and for cost reasons.</w:t>
      </w:r>
      <w:r w:rsidRPr="52E72AA2">
        <w:t xml:space="preserve"> </w:t>
      </w:r>
    </w:p>
    <w:p w:rsidR="5223F5F4" w:rsidP="002F4D17" w:rsidRDefault="2D71B52A" w14:paraId="4CBFAB02" w14:textId="042D84E1">
      <w:pPr>
        <w:pStyle w:val="ListParagraph"/>
        <w:numPr>
          <w:ilvl w:val="0"/>
          <w:numId w:val="11"/>
        </w:numPr>
      </w:pPr>
      <w:r>
        <w:t>The Carbon Tax Act gives effect to the polluter-pays-principle for large emitters and helps to ensure that firms and consumers take the negative adverse costs (externalities) into account.</w:t>
      </w:r>
      <w:r w:rsidR="75409FD0">
        <w:t xml:space="preserve"> </w:t>
      </w:r>
    </w:p>
    <w:p w:rsidR="5223F5F4" w:rsidP="002F4D17" w:rsidRDefault="2864E269" w14:paraId="4D26B35E" w14:textId="14FBC407">
      <w:pPr>
        <w:pStyle w:val="ListParagraph"/>
        <w:numPr>
          <w:ilvl w:val="0"/>
          <w:numId w:val="11"/>
        </w:numPr>
      </w:pPr>
      <w:r>
        <w:t xml:space="preserve">The mechanism includes a two-phase implementation procedure: First </w:t>
      </w:r>
      <w:r w:rsidR="3BC44B16">
        <w:t>phase from 1 June 2019 to 31 December 2022,</w:t>
      </w:r>
      <w:r w:rsidR="2D71B52A">
        <w:t xml:space="preserve"> when the carbon tax is o</w:t>
      </w:r>
      <w:r w:rsidR="722FB3E6">
        <w:t>n</w:t>
      </w:r>
      <w:r w:rsidR="2D71B52A">
        <w:t>ly applied to emitters</w:t>
      </w:r>
      <w:r w:rsidR="3BC44B16">
        <w:t>, and second phase from 2023 to 2030, according to the original schedule. However,</w:t>
      </w:r>
      <w:r w:rsidR="5223F5F4">
        <w:t xml:space="preserve"> the country recently extended the first phase by three years until 31 December 2025. Until then, taxpayers will continue to enjoy sizeable tax-free allowances.</w:t>
      </w:r>
    </w:p>
    <w:p w:rsidR="5223F5F4" w:rsidP="002F4D17" w:rsidRDefault="52E72AA2" w14:paraId="544FE06E" w14:textId="420C1C5E">
      <w:pPr>
        <w:pStyle w:val="ListParagraph"/>
        <w:numPr>
          <w:ilvl w:val="0"/>
          <w:numId w:val="11"/>
        </w:numPr>
      </w:pPr>
      <w:r>
        <w:t xml:space="preserve">During the first phase of the carbon tax that has now been extended until December 2025, covered entities are eligible for a series of relief measures, which include: </w:t>
      </w:r>
    </w:p>
    <w:p w:rsidRPr="003F37B8" w:rsidR="5223F5F4" w:rsidP="002F4D17" w:rsidRDefault="52E72AA2" w14:paraId="4B4FCA36" w14:textId="5C51FA84">
      <w:pPr>
        <w:pStyle w:val="ListParagraph"/>
        <w:numPr>
          <w:ilvl w:val="1"/>
          <w:numId w:val="11"/>
        </w:numPr>
      </w:pPr>
      <w:r>
        <w:t xml:space="preserve">A basic tax-free allowance of 60% is offered to all emitters; </w:t>
      </w:r>
    </w:p>
    <w:p w:rsidR="5223F5F4" w:rsidP="002F4D17" w:rsidRDefault="52E72AA2" w14:paraId="48D3E73D" w14:textId="5174CC6D">
      <w:pPr>
        <w:pStyle w:val="ListParagraph"/>
        <w:numPr>
          <w:ilvl w:val="1"/>
          <w:numId w:val="11"/>
        </w:numPr>
      </w:pPr>
      <w:r>
        <w:t xml:space="preserve">Entities with process or fugitive emissions are eligible for a further 10%; </w:t>
      </w:r>
    </w:p>
    <w:p w:rsidR="5223F5F4" w:rsidP="002F4D17" w:rsidRDefault="00AF7D1E" w14:paraId="1862CB55" w14:textId="3F730156">
      <w:pPr>
        <w:pStyle w:val="ListParagraph"/>
        <w:numPr>
          <w:ilvl w:val="1"/>
          <w:numId w:val="11"/>
        </w:numPr>
      </w:pPr>
      <w:r>
        <w:t>A</w:t>
      </w:r>
      <w:r w:rsidR="52E72AA2">
        <w:t xml:space="preserve"> variable tax-free allowance for trade-exposed sectors (up to a maximum of 10%); </w:t>
      </w:r>
    </w:p>
    <w:p w:rsidR="5223F5F4" w:rsidP="002F4D17" w:rsidRDefault="52E72AA2" w14:paraId="357C3DBD" w14:textId="1B670036">
      <w:pPr>
        <w:pStyle w:val="ListParagraph"/>
        <w:numPr>
          <w:ilvl w:val="1"/>
          <w:numId w:val="11"/>
        </w:numPr>
      </w:pPr>
      <w:r>
        <w:t>Emitters with above average performance relating to sectoral benchmarks will be eligible for a further 5%; and</w:t>
      </w:r>
    </w:p>
    <w:p w:rsidR="5223F5F4" w:rsidP="002F4D17" w:rsidRDefault="52E72AA2" w14:paraId="69C50AB9" w14:textId="34B55668">
      <w:pPr>
        <w:pStyle w:val="ListParagraph"/>
        <w:numPr>
          <w:ilvl w:val="1"/>
          <w:numId w:val="11"/>
        </w:numPr>
      </w:pPr>
      <w:r>
        <w:t xml:space="preserve">A further 5% can be applied by companies that have developed an annual carbon budget and report it to the government. </w:t>
      </w:r>
    </w:p>
    <w:p w:rsidR="58FB8D73" w:rsidP="58FB8D73" w:rsidRDefault="58FB8D73" w14:paraId="51AE3643" w14:textId="2D47D7EF"/>
    <w:p w:rsidR="5223F5F4" w:rsidP="002F4D17" w:rsidRDefault="52E72AA2" w14:paraId="44F178D7" w14:textId="0FD96DE6">
      <w:pPr>
        <w:pStyle w:val="ListParagraph"/>
        <w:numPr>
          <w:ilvl w:val="0"/>
          <w:numId w:val="10"/>
        </w:numPr>
        <w:rPr>
          <w:rFonts w:asciiTheme="minorHAnsi" w:hAnsiTheme="minorHAnsi" w:eastAsiaTheme="minorEastAsia" w:cstheme="minorBidi"/>
        </w:rPr>
      </w:pPr>
      <w:r>
        <w:t xml:space="preserve">In the second phase of the carbon tax the above allowances, except for the offset allowance, will fall away. </w:t>
      </w:r>
    </w:p>
    <w:p w:rsidR="5223F5F4" w:rsidP="002F4D17" w:rsidRDefault="52E72AA2" w14:paraId="797A8F13" w14:textId="4D84677C">
      <w:pPr>
        <w:pStyle w:val="ListParagraph"/>
        <w:numPr>
          <w:ilvl w:val="0"/>
          <w:numId w:val="10"/>
        </w:numPr>
      </w:pPr>
      <w:r>
        <w:t>As a result of delaying the second phase, some sectors will remain beyond the reach of the carbon tax for now. These include agriculture, forestry and other land use and waste sectors, as well as Eskom, the state-owned power utility. Eskom had factored in the projected cost of the carbon tax in its proposed 21% increase in electricity prices.</w:t>
      </w:r>
    </w:p>
    <w:p w:rsidR="5223F5F4" w:rsidP="002F4D17" w:rsidRDefault="52E72AA2" w14:paraId="7BCD7BA0" w14:textId="1A6F2EA5">
      <w:pPr>
        <w:pStyle w:val="ListParagraph"/>
        <w:numPr>
          <w:ilvl w:val="0"/>
          <w:numId w:val="10"/>
        </w:numPr>
      </w:pPr>
      <w:r>
        <w:t xml:space="preserve">The tax started at R120/tCO2e e (US$6.90/t) and increases each year by 2% plus inflation; accordingly, the tax rate in 2020 was R127/tCO2e coupled with tax-free allowances of 60-95%, a modest rate compared to </w:t>
      </w:r>
      <w:hyperlink r:id="rId19">
        <w:r w:rsidR="6D865CE5">
          <w:t>international standards</w:t>
        </w:r>
      </w:hyperlink>
      <w:r w:rsidR="6D865CE5">
        <w:t xml:space="preserve"> of US$40 to US$80 a ton by 2020. </w:t>
      </w:r>
      <w:r>
        <w:t>After 2022, only increases in line with inflation are expected. A</w:t>
      </w:r>
      <w:r w:rsidR="12CAAB78">
        <w:t>n increase to the carbon tax rate to R144 (about US$9) was recently announced and is effective from 1 January 2022. </w:t>
      </w:r>
      <w:r w:rsidR="01053920">
        <w:t xml:space="preserve"> </w:t>
      </w:r>
      <w:r w:rsidR="622F5F26">
        <w:t>T</w:t>
      </w:r>
      <w:r w:rsidR="30D461DD">
        <w:t xml:space="preserve">he </w:t>
      </w:r>
      <w:r w:rsidR="622F5F26">
        <w:t xml:space="preserve">tax </w:t>
      </w:r>
      <w:r w:rsidR="30D461DD">
        <w:t>rate will increase each year by at least US$1 until it reaches US$20. From 2026, the government intends to escalate the carbon price more rapidly every year to reach at least US$30 by 2030, and US$120 beyond 2050.</w:t>
      </w:r>
    </w:p>
    <w:p w:rsidR="5223F5F4" w:rsidP="002F4D17" w:rsidRDefault="2A780E05" w14:paraId="3CB835AE" w14:textId="0EA78306">
      <w:pPr>
        <w:pStyle w:val="ListParagraph"/>
        <w:numPr>
          <w:ilvl w:val="0"/>
          <w:numId w:val="10"/>
        </w:numPr>
      </w:pPr>
      <w:r w:rsidRPr="52E72AA2">
        <w:t>Burning fossil fuels for electricity production accounts for the </w:t>
      </w:r>
      <w:hyperlink r:id="rId20">
        <w:r w:rsidRPr="52E72AA2">
          <w:t>largest share</w:t>
        </w:r>
      </w:hyperlink>
      <w:r w:rsidRPr="52E72AA2">
        <w:t> of South Africa’s carbon emissions, followed by transport, and the industrial production of materials such as cement. Coal makes up </w:t>
      </w:r>
      <w:hyperlink r:id="rId21">
        <w:r w:rsidRPr="52E72AA2">
          <w:t>75%</w:t>
        </w:r>
      </w:hyperlink>
      <w:r w:rsidRPr="52E72AA2">
        <w:t> of the country’s primary energy supply.</w:t>
      </w:r>
      <w:r w:rsidRPr="5F2F2654" w:rsidR="5223F5F4">
        <w:rPr>
          <w:vertAlign w:val="superscript"/>
        </w:rPr>
        <w:footnoteReference w:id="48"/>
      </w:r>
      <w:r w:rsidRPr="52E72AA2" w:rsidR="1A58A391">
        <w:t xml:space="preserve"> The carbon tax has a broad coverage and applies to most stationary and specific non-stationary GHG sources including: (I) Fossil fuel combustion and electricity generation; (ii) fugitive emissions such as methane emissions from mining; and (iii) industrial processes: cement, iron, steel, glass, ceramics. All activities that emit GHGs above a specified threshold will be liable. In general, the threshold is thermal design capacity of 10MW. The waste and AFOLU sectors are exempt from paying the tax or performing MRV until 2022. From the above, it is quite clear that the aim of the Carbon Tax Act is to include the largest emitters of GHG, which is in line with the “polluter-pays” principle (on which the Act is based).</w:t>
      </w:r>
    </w:p>
    <w:p w:rsidR="5223F5F4" w:rsidP="002F4D17" w:rsidRDefault="48032AFE" w14:paraId="56835C13" w14:textId="2EF2CBD0">
      <w:pPr>
        <w:pStyle w:val="ListParagraph"/>
        <w:numPr>
          <w:ilvl w:val="0"/>
          <w:numId w:val="10"/>
        </w:numPr>
      </w:pPr>
      <w:r>
        <w:t>T</w:t>
      </w:r>
      <w:r w:rsidR="3486CC9A">
        <w:t xml:space="preserve">he carbon tax </w:t>
      </w:r>
      <w:r w:rsidR="2DEE5E0C">
        <w:t>applies</w:t>
      </w:r>
      <w:r w:rsidR="3486CC9A">
        <w:t xml:space="preserve"> as an addition to pre-existing fuel excise taxes. </w:t>
      </w:r>
      <w:r w:rsidR="60F92CE8">
        <w:t xml:space="preserve">Exemptions and offset allowances vary by sector. </w:t>
      </w:r>
      <w:r w:rsidR="291E4518">
        <w:t>Residential transport is exempt from the carbon tax.</w:t>
      </w:r>
    </w:p>
    <w:p w:rsidR="5223F5F4" w:rsidP="002F4D17" w:rsidRDefault="52E72AA2" w14:paraId="0B7C5115" w14:textId="3D08C243">
      <w:pPr>
        <w:pStyle w:val="ListParagraph"/>
        <w:numPr>
          <w:ilvl w:val="0"/>
          <w:numId w:val="10"/>
        </w:numPr>
      </w:pPr>
      <w:r>
        <w:t>Companies that are liable to pay the carbon tax may offset between 5% or 10% of their taxable emissions using credits issued by the Clean Development Mechanism, the Verified Carbon Standard or the Gold Standard. Only credits originating in South Africa and from projects that don’t receive benefits from other government incentives, such as the renewable energy procurement programme or the energy efficiency tax incentive, are eligible. The government will consider developing a national carbon standard and assessing other standards.</w:t>
      </w:r>
    </w:p>
    <w:p w:rsidR="5223F5F4" w:rsidP="002F4D17" w:rsidRDefault="5223F5F4" w14:paraId="2B5308AB" w14:textId="5E1DF7EF">
      <w:pPr>
        <w:pStyle w:val="ListParagraph"/>
        <w:numPr>
          <w:ilvl w:val="0"/>
          <w:numId w:val="10"/>
        </w:numPr>
      </w:pPr>
      <w:r>
        <w:t xml:space="preserve">The carbon tax aims to provide a price signal to producers and consumers of carbon intensive products, creating an incentive to reduce emissions and invest in low and net zero emissions technologies. While providing a price signal to incentivise the transition to a low-carbon economy, the proposed policy is also intended to reduce the risk of negative competitiveness implications and leakage through special provisions for sectors considered to be at risk. It further aims to </w:t>
      </w:r>
      <w:r w:rsidR="000C0022">
        <w:t>pre-empt</w:t>
      </w:r>
      <w:r>
        <w:t xml:space="preserve"> any possible impacts on trade with countries that may implement Border Carbon Adjustments. </w:t>
      </w:r>
    </w:p>
    <w:p w:rsidR="5223F5F4" w:rsidP="002F4D17" w:rsidRDefault="52E72AA2" w14:paraId="629620A4" w14:textId="4FA0A4D9">
      <w:pPr>
        <w:pStyle w:val="ListParagraph"/>
        <w:numPr>
          <w:ilvl w:val="0"/>
          <w:numId w:val="10"/>
        </w:numPr>
      </w:pPr>
      <w:r>
        <w:t>The carbon tax will be revenue-neutral during the first phase but revenue recycling measures to complement the carbon tax regime have been put in place to: (i) address concerns about the impacts of the carbon tax on the competitiveness of firms operating on international markets (</w:t>
      </w:r>
      <w:r w:rsidR="000C0022">
        <w:t>e.g.</w:t>
      </w:r>
      <w:r>
        <w:t>, via tax reductions, tax incentives); (ii) to help address any potential negative impacts on the welfare of poorer households (in particular on the cost of energy and transport). The introduction of the carbon tax will also not have any impact on the price of electricity during the first phase.</w:t>
      </w:r>
    </w:p>
    <w:p w:rsidRPr="007729FD" w:rsidR="007729FD" w:rsidP="002F4D17" w:rsidRDefault="52E72AA2" w14:paraId="64BBCBED" w14:textId="029CB1A9">
      <w:pPr>
        <w:pStyle w:val="ListParagraph"/>
        <w:numPr>
          <w:ilvl w:val="0"/>
          <w:numId w:val="10"/>
        </w:numPr>
      </w:pPr>
      <w:r>
        <w:t>The South African carbon tax is considered an environmental levy, not a tax, as contemplated in Section 54A of the Customs and Excise Act 91 of 1964. Therefore, the administrative actions, as well as the collection and payment of the levy, are also regulated by the Customs and Excise Act. Penalties for non-compliance with the carbon tax would impose a criminal penalty upon conviction and/or an administrative penalty in terms of the Customs and Excise Act.</w:t>
      </w:r>
    </w:p>
    <w:p w:rsidRPr="007729FD" w:rsidR="007729FD" w:rsidP="002F4D17" w:rsidRDefault="5223F5F4" w14:paraId="42F498D4" w14:textId="194ABC5E">
      <w:pPr>
        <w:pStyle w:val="ListParagraph"/>
        <w:numPr>
          <w:ilvl w:val="0"/>
          <w:numId w:val="10"/>
        </w:numPr>
      </w:pPr>
      <w:r>
        <w:t>The carbon tax is collected and administered by South Africa Revenue Service (SARS). Every facility generating GHG emissions above the threshold must be licensed with SARS as customs and excise manufacturing warehouses for environmental levy purposes.</w:t>
      </w:r>
    </w:p>
    <w:p w:rsidR="5223F5F4" w:rsidP="002F4D17" w:rsidRDefault="52E72AA2" w14:paraId="31D2FA9F" w14:textId="2A85DE32">
      <w:pPr>
        <w:pStyle w:val="ListParagraph"/>
        <w:numPr>
          <w:ilvl w:val="0"/>
          <w:numId w:val="10"/>
        </w:numPr>
      </w:pPr>
      <w:r>
        <w:t>The recently announced policy changes also include:</w:t>
      </w:r>
    </w:p>
    <w:p w:rsidR="5223F5F4" w:rsidP="002F4D17" w:rsidRDefault="52E72AA2" w14:paraId="14D4EC21" w14:textId="61FEB477">
      <w:pPr>
        <w:pStyle w:val="ListParagraph"/>
        <w:numPr>
          <w:ilvl w:val="1"/>
          <w:numId w:val="10"/>
        </w:numPr>
      </w:pPr>
      <w:r>
        <w:t xml:space="preserve">A </w:t>
      </w:r>
      <w:hyperlink r:id="rId22">
        <w:r w:rsidRPr="5A0EDC4F">
          <w:rPr>
            <w:rStyle w:val="Hyperlink"/>
          </w:rPr>
          <w:t>tax incentive</w:t>
        </w:r>
      </w:hyperlink>
      <w:r w:rsidR="59B9A4FB">
        <w:t xml:space="preserve"> for energy efficiency to be extended to 31 December 2025. This tax benefit aims to encourage investment into low and net zero emissions technologies;</w:t>
      </w:r>
    </w:p>
    <w:p w:rsidR="5223F5F4" w:rsidP="002F4D17" w:rsidRDefault="52E72AA2" w14:paraId="57DD7C7E" w14:textId="09938590">
      <w:pPr>
        <w:pStyle w:val="ListParagraph"/>
        <w:numPr>
          <w:ilvl w:val="1"/>
          <w:numId w:val="10"/>
        </w:numPr>
      </w:pPr>
      <w:r>
        <w:t>Support measures to buffer electricity prices against the carbon tax until 31 December 2025</w:t>
      </w:r>
      <w:r w:rsidR="59B9A4FB">
        <w:t xml:space="preserve">; and </w:t>
      </w:r>
    </w:p>
    <w:p w:rsidRPr="00637309" w:rsidR="008D28E4" w:rsidP="002F4D17" w:rsidRDefault="52E72AA2" w14:paraId="681EDC5B" w14:textId="19D6C538">
      <w:pPr>
        <w:pStyle w:val="ListParagraph"/>
        <w:numPr>
          <w:ilvl w:val="1"/>
          <w:numId w:val="10"/>
        </w:numPr>
      </w:pPr>
      <w:r>
        <w:t xml:space="preserve">A trade exposure allowance of up to 10 per cent of total GHG emissions for companies that face potential adverse impacts on their competitiveness especially when it comes to exports (the mining sector, for example). </w:t>
      </w:r>
      <w:r w:rsidR="008D28E4">
        <w:br/>
      </w:r>
    </w:p>
    <w:p w:rsidRPr="00637309" w:rsidR="008D28E4" w:rsidP="002F4D17" w:rsidRDefault="008D28E4" w14:paraId="02F87A96" w14:textId="4E7BA4E4">
      <w:pPr>
        <w:pStyle w:val="ListParagraph"/>
        <w:numPr>
          <w:ilvl w:val="0"/>
          <w:numId w:val="12"/>
        </w:numPr>
        <w:rPr>
          <w:rFonts w:asciiTheme="minorHAnsi" w:hAnsiTheme="minorHAnsi" w:eastAsiaTheme="minorEastAsia" w:cstheme="minorBidi"/>
          <w:b/>
          <w:color w:val="0064A8"/>
          <w:sz w:val="36"/>
          <w:szCs w:val="36"/>
        </w:rPr>
      </w:pPr>
      <w:r w:rsidRPr="62935FF1">
        <w:rPr>
          <w:b/>
          <w:color w:val="0064A8"/>
          <w:sz w:val="36"/>
          <w:szCs w:val="36"/>
        </w:rPr>
        <w:t xml:space="preserve">ASSESSMENT: USEFUL FEATURES / BEST PRACTICES </w:t>
      </w:r>
    </w:p>
    <w:p w:rsidRPr="00637309" w:rsidR="008D28E4" w:rsidP="5A0EDC4F" w:rsidRDefault="008D28E4" w14:paraId="7AD455A8" w14:textId="77777777"/>
    <w:p w:rsidR="00A33D7C" w:rsidP="002F4D17" w:rsidRDefault="00F30B24" w14:paraId="6CB420F4" w14:textId="677F54B6">
      <w:pPr>
        <w:pStyle w:val="ListParagraph"/>
        <w:numPr>
          <w:ilvl w:val="0"/>
          <w:numId w:val="9"/>
        </w:numPr>
        <w:rPr>
          <w:rFonts w:asciiTheme="minorHAnsi" w:hAnsiTheme="minorHAnsi" w:eastAsiaTheme="minorEastAsia" w:cstheme="minorBidi"/>
        </w:rPr>
      </w:pPr>
      <w:r>
        <w:t>Relatively modest carbon tax rate ranging from R6 to R48 per tonne of CO2 equivalent emitted, which is a relatively low tax rate to further provide current significant emitters time to transition their operations to cleaner technologies through investments in energy efficiency, renewables and other low carbon measures.</w:t>
      </w:r>
    </w:p>
    <w:p w:rsidRPr="00376F97" w:rsidR="008A16C1" w:rsidP="002F4D17" w:rsidRDefault="00A33D7C" w14:paraId="6221E023" w14:textId="2D449027">
      <w:pPr>
        <w:pStyle w:val="ListParagraph"/>
        <w:numPr>
          <w:ilvl w:val="0"/>
          <w:numId w:val="9"/>
        </w:numPr>
      </w:pPr>
      <w:r>
        <w:t>Carbon tax on electricity will be revenue neutral in the first phase and have no impact on the price of electricity.</w:t>
      </w:r>
    </w:p>
    <w:p w:rsidRPr="00376F97" w:rsidR="008D28E4" w:rsidP="002F4D17" w:rsidRDefault="0008149D" w14:paraId="471306E9" w14:textId="1855DBAF">
      <w:pPr>
        <w:pStyle w:val="ListParagraph"/>
        <w:numPr>
          <w:ilvl w:val="0"/>
          <w:numId w:val="9"/>
        </w:numPr>
      </w:pPr>
      <w:r>
        <w:t>The methodology for determining the sector-based trade exposure allowance was elaborated in close collaboration with private sector. It has been adjusted from a company to a sector-based trade exposure allowance and will also include imports in the revised formula</w:t>
      </w:r>
      <w:r w:rsidR="00BE37BE">
        <w:t>.</w:t>
      </w:r>
    </w:p>
    <w:p w:rsidR="5223F5F4" w:rsidP="002F4D17" w:rsidRDefault="5223F5F4" w14:paraId="6E629BBF" w14:textId="6259D96B">
      <w:pPr>
        <w:pStyle w:val="ListParagraph"/>
        <w:numPr>
          <w:ilvl w:val="0"/>
          <w:numId w:val="9"/>
        </w:numPr>
      </w:pPr>
      <w:r>
        <w:t>The South Africa carbon tax targets primarily the large emitters, making them to change their behaviour while giving them time to transition to cleaner technologies by introducing a low carbon tax rate in the first phase.</w:t>
      </w:r>
    </w:p>
    <w:p w:rsidR="5223F5F4" w:rsidP="002F4D17" w:rsidRDefault="5223F5F4" w14:paraId="7F56DEB8" w14:textId="39814B13">
      <w:pPr>
        <w:pStyle w:val="ListParagraph"/>
        <w:numPr>
          <w:ilvl w:val="0"/>
          <w:numId w:val="9"/>
        </w:numPr>
      </w:pPr>
      <w:r>
        <w:t>To date, the country’s revised NDC targets are still insufficient to limit global warming to 2°C, not to mention the Paris Climate Agreement target of 1.5°C.</w:t>
      </w:r>
    </w:p>
    <w:p w:rsidRPr="00637309" w:rsidR="007901B9" w:rsidRDefault="007901B9" w14:paraId="3ECF7FED" w14:textId="7BE788D6">
      <w:pPr>
        <w:rPr>
          <w:rFonts w:cs="Arial"/>
          <w:b/>
          <w:bCs/>
          <w:sz w:val="36"/>
          <w:szCs w:val="36"/>
        </w:rPr>
      </w:pPr>
      <w:r w:rsidRPr="00637309">
        <w:rPr>
          <w:rFonts w:cs="Arial"/>
          <w:b/>
          <w:bCs/>
          <w:sz w:val="36"/>
          <w:szCs w:val="36"/>
        </w:rPr>
        <w:br w:type="page"/>
      </w:r>
    </w:p>
    <w:p w:rsidR="00085A2E" w:rsidP="00085A2E" w:rsidRDefault="00085A2E" w14:paraId="44CAC31D" w14:textId="77777777">
      <w:pPr>
        <w:spacing w:line="264" w:lineRule="auto"/>
        <w:rPr>
          <w:rFonts w:ascii="Arial" w:hAnsi="Arial" w:cs="Arial"/>
          <w:b/>
          <w:bCs/>
          <w:sz w:val="36"/>
          <w:szCs w:val="36"/>
        </w:rPr>
      </w:pPr>
    </w:p>
    <w:p w:rsidR="00BC6E89" w:rsidP="00ED252B" w:rsidRDefault="00BC6E89" w14:paraId="25959C50" w14:textId="77777777">
      <w:pPr>
        <w:spacing w:line="264" w:lineRule="auto"/>
        <w:rPr>
          <w:rFonts w:ascii="Arial" w:hAnsi="Arial" w:cs="Arial"/>
          <w:b/>
          <w:bCs/>
          <w:sz w:val="36"/>
          <w:szCs w:val="36"/>
        </w:rPr>
      </w:pPr>
    </w:p>
    <w:p w:rsidR="000773AB" w:rsidRDefault="000773AB" w14:paraId="73FDC0CD" w14:textId="77777777">
      <w:pPr>
        <w:pStyle w:val="BodyText"/>
        <w:rPr>
          <w:sz w:val="20"/>
        </w:rPr>
      </w:pPr>
    </w:p>
    <w:p w:rsidR="000773AB" w:rsidRDefault="000773AB" w14:paraId="68DA7F31" w14:textId="77777777">
      <w:pPr>
        <w:pStyle w:val="BodyText"/>
        <w:rPr>
          <w:sz w:val="20"/>
        </w:rPr>
      </w:pPr>
    </w:p>
    <w:p w:rsidR="000773AB" w:rsidRDefault="000773AB" w14:paraId="214E6B6C" w14:textId="77777777">
      <w:pPr>
        <w:pStyle w:val="BodyText"/>
        <w:spacing w:before="10"/>
        <w:rPr>
          <w:sz w:val="18"/>
        </w:rPr>
      </w:pPr>
    </w:p>
    <w:p w:rsidR="000773AB" w:rsidRDefault="00496A1C" w14:paraId="587BC1EF" w14:textId="77777777">
      <w:pPr>
        <w:spacing w:before="116"/>
        <w:ind w:left="113"/>
        <w:rPr>
          <w:rFonts w:ascii="Arial"/>
          <w:b/>
          <w:sz w:val="20"/>
        </w:rPr>
      </w:pPr>
      <w:r>
        <w:rPr>
          <w:rFonts w:ascii="Arial"/>
          <w:b/>
          <w:color w:val="00A88F"/>
          <w:w w:val="105"/>
          <w:sz w:val="20"/>
        </w:rPr>
        <w:t>ABOUT</w:t>
      </w:r>
      <w:r>
        <w:rPr>
          <w:rFonts w:ascii="Arial"/>
          <w:b/>
          <w:color w:val="00A88F"/>
          <w:spacing w:val="-10"/>
          <w:w w:val="105"/>
          <w:sz w:val="20"/>
        </w:rPr>
        <w:t xml:space="preserve"> </w:t>
      </w:r>
      <w:r>
        <w:rPr>
          <w:rFonts w:ascii="Arial"/>
          <w:b/>
          <w:color w:val="00A88F"/>
          <w:w w:val="105"/>
          <w:sz w:val="20"/>
        </w:rPr>
        <w:t>THE</w:t>
      </w:r>
      <w:r>
        <w:rPr>
          <w:rFonts w:ascii="Arial"/>
          <w:b/>
          <w:color w:val="00A88F"/>
          <w:spacing w:val="-10"/>
          <w:w w:val="105"/>
          <w:sz w:val="20"/>
        </w:rPr>
        <w:t xml:space="preserve"> </w:t>
      </w:r>
      <w:r>
        <w:rPr>
          <w:rFonts w:ascii="Arial"/>
          <w:b/>
          <w:color w:val="00A88F"/>
          <w:w w:val="105"/>
          <w:sz w:val="20"/>
        </w:rPr>
        <w:t>INTERNATIONAL</w:t>
      </w:r>
      <w:r>
        <w:rPr>
          <w:rFonts w:ascii="Arial"/>
          <w:b/>
          <w:color w:val="00A88F"/>
          <w:spacing w:val="-10"/>
          <w:w w:val="105"/>
          <w:sz w:val="20"/>
        </w:rPr>
        <w:t xml:space="preserve"> </w:t>
      </w:r>
      <w:r>
        <w:rPr>
          <w:rFonts w:ascii="Arial"/>
          <w:b/>
          <w:color w:val="00A88F"/>
          <w:w w:val="105"/>
          <w:sz w:val="20"/>
        </w:rPr>
        <w:t>CHAMBER</w:t>
      </w:r>
      <w:r>
        <w:rPr>
          <w:rFonts w:ascii="Arial"/>
          <w:b/>
          <w:color w:val="00A88F"/>
          <w:spacing w:val="-10"/>
          <w:w w:val="105"/>
          <w:sz w:val="20"/>
        </w:rPr>
        <w:t xml:space="preserve"> </w:t>
      </w:r>
      <w:r>
        <w:rPr>
          <w:rFonts w:ascii="Arial"/>
          <w:b/>
          <w:color w:val="00A88F"/>
          <w:w w:val="105"/>
          <w:sz w:val="20"/>
        </w:rPr>
        <w:t>OF</w:t>
      </w:r>
      <w:r>
        <w:rPr>
          <w:rFonts w:ascii="Arial"/>
          <w:b/>
          <w:color w:val="00A88F"/>
          <w:spacing w:val="-10"/>
          <w:w w:val="105"/>
          <w:sz w:val="20"/>
        </w:rPr>
        <w:t xml:space="preserve"> </w:t>
      </w:r>
      <w:r>
        <w:rPr>
          <w:rFonts w:ascii="Arial"/>
          <w:b/>
          <w:color w:val="00A88F"/>
          <w:w w:val="105"/>
          <w:sz w:val="20"/>
        </w:rPr>
        <w:t>COMMERCE</w:t>
      </w:r>
      <w:r>
        <w:rPr>
          <w:rFonts w:ascii="Arial"/>
          <w:b/>
          <w:color w:val="00A88F"/>
          <w:spacing w:val="-10"/>
          <w:w w:val="105"/>
          <w:sz w:val="20"/>
        </w:rPr>
        <w:t xml:space="preserve"> </w:t>
      </w:r>
      <w:r>
        <w:rPr>
          <w:rFonts w:ascii="Arial"/>
          <w:b/>
          <w:color w:val="00A88F"/>
          <w:w w:val="105"/>
          <w:sz w:val="20"/>
        </w:rPr>
        <w:t>(ICC)</w:t>
      </w:r>
    </w:p>
    <w:p w:rsidR="000773AB" w:rsidRDefault="00496A1C" w14:paraId="1ECBD467" w14:textId="77777777">
      <w:pPr>
        <w:spacing w:before="122" w:line="285" w:lineRule="auto"/>
        <w:ind w:left="113" w:right="2602"/>
        <w:rPr>
          <w:sz w:val="18"/>
        </w:rPr>
      </w:pPr>
      <w:r>
        <w:rPr>
          <w:spacing w:val="-1"/>
          <w:sz w:val="18"/>
        </w:rPr>
        <w:t>The</w:t>
      </w:r>
      <w:r>
        <w:rPr>
          <w:spacing w:val="-14"/>
          <w:sz w:val="18"/>
        </w:rPr>
        <w:t xml:space="preserve"> </w:t>
      </w:r>
      <w:r>
        <w:rPr>
          <w:spacing w:val="-1"/>
          <w:sz w:val="18"/>
        </w:rPr>
        <w:t>International</w:t>
      </w:r>
      <w:r>
        <w:rPr>
          <w:spacing w:val="-14"/>
          <w:sz w:val="18"/>
        </w:rPr>
        <w:t xml:space="preserve"> </w:t>
      </w:r>
      <w:r>
        <w:rPr>
          <w:spacing w:val="-1"/>
          <w:sz w:val="18"/>
        </w:rPr>
        <w:t>Chamber</w:t>
      </w:r>
      <w:r>
        <w:rPr>
          <w:spacing w:val="-14"/>
          <w:sz w:val="18"/>
        </w:rPr>
        <w:t xml:space="preserve"> </w:t>
      </w:r>
      <w:r>
        <w:rPr>
          <w:spacing w:val="-1"/>
          <w:sz w:val="18"/>
        </w:rPr>
        <w:t>of</w:t>
      </w:r>
      <w:r>
        <w:rPr>
          <w:spacing w:val="-14"/>
          <w:sz w:val="18"/>
        </w:rPr>
        <w:t xml:space="preserve"> </w:t>
      </w:r>
      <w:r>
        <w:rPr>
          <w:spacing w:val="-1"/>
          <w:sz w:val="18"/>
        </w:rPr>
        <w:t>Commerce</w:t>
      </w:r>
      <w:r>
        <w:rPr>
          <w:spacing w:val="-13"/>
          <w:sz w:val="18"/>
        </w:rPr>
        <w:t xml:space="preserve"> </w:t>
      </w:r>
      <w:r>
        <w:rPr>
          <w:spacing w:val="-1"/>
          <w:sz w:val="18"/>
        </w:rPr>
        <w:t>(ICC)</w:t>
      </w:r>
      <w:r>
        <w:rPr>
          <w:spacing w:val="-14"/>
          <w:sz w:val="18"/>
        </w:rPr>
        <w:t xml:space="preserve"> </w:t>
      </w:r>
      <w:r>
        <w:rPr>
          <w:spacing w:val="-1"/>
          <w:sz w:val="18"/>
        </w:rPr>
        <w:t>is</w:t>
      </w:r>
      <w:r>
        <w:rPr>
          <w:spacing w:val="-14"/>
          <w:sz w:val="18"/>
        </w:rPr>
        <w:t xml:space="preserve"> </w:t>
      </w:r>
      <w:r>
        <w:rPr>
          <w:spacing w:val="-1"/>
          <w:sz w:val="18"/>
        </w:rPr>
        <w:t>the</w:t>
      </w:r>
      <w:r>
        <w:rPr>
          <w:spacing w:val="-14"/>
          <w:sz w:val="18"/>
        </w:rPr>
        <w:t xml:space="preserve"> </w:t>
      </w:r>
      <w:r>
        <w:rPr>
          <w:spacing w:val="-1"/>
          <w:sz w:val="18"/>
        </w:rPr>
        <w:t>institutional</w:t>
      </w:r>
      <w:r>
        <w:rPr>
          <w:spacing w:val="-13"/>
          <w:sz w:val="18"/>
        </w:rPr>
        <w:t xml:space="preserve"> </w:t>
      </w:r>
      <w:r>
        <w:rPr>
          <w:spacing w:val="-1"/>
          <w:sz w:val="18"/>
        </w:rPr>
        <w:t>representative</w:t>
      </w:r>
      <w:r>
        <w:rPr>
          <w:spacing w:val="-61"/>
          <w:sz w:val="18"/>
        </w:rPr>
        <w:t xml:space="preserve"> </w:t>
      </w:r>
      <w:r>
        <w:rPr>
          <w:w w:val="95"/>
          <w:sz w:val="18"/>
        </w:rPr>
        <w:t>of</w:t>
      </w:r>
      <w:r>
        <w:rPr>
          <w:spacing w:val="1"/>
          <w:w w:val="95"/>
          <w:sz w:val="18"/>
        </w:rPr>
        <w:t xml:space="preserve"> </w:t>
      </w:r>
      <w:r>
        <w:rPr>
          <w:w w:val="95"/>
          <w:sz w:val="18"/>
        </w:rPr>
        <w:t>more</w:t>
      </w:r>
      <w:r>
        <w:rPr>
          <w:spacing w:val="2"/>
          <w:w w:val="95"/>
          <w:sz w:val="18"/>
        </w:rPr>
        <w:t xml:space="preserve"> </w:t>
      </w:r>
      <w:r>
        <w:rPr>
          <w:w w:val="95"/>
          <w:sz w:val="18"/>
        </w:rPr>
        <w:t>than</w:t>
      </w:r>
      <w:r>
        <w:rPr>
          <w:spacing w:val="2"/>
          <w:w w:val="95"/>
          <w:sz w:val="18"/>
        </w:rPr>
        <w:t xml:space="preserve"> </w:t>
      </w:r>
      <w:r>
        <w:rPr>
          <w:w w:val="95"/>
          <w:sz w:val="18"/>
        </w:rPr>
        <w:t>45</w:t>
      </w:r>
      <w:r>
        <w:rPr>
          <w:spacing w:val="1"/>
          <w:w w:val="95"/>
          <w:sz w:val="18"/>
        </w:rPr>
        <w:t xml:space="preserve"> </w:t>
      </w:r>
      <w:r>
        <w:rPr>
          <w:w w:val="95"/>
          <w:sz w:val="18"/>
        </w:rPr>
        <w:t>million</w:t>
      </w:r>
      <w:r>
        <w:rPr>
          <w:spacing w:val="2"/>
          <w:w w:val="95"/>
          <w:sz w:val="18"/>
        </w:rPr>
        <w:t xml:space="preserve"> </w:t>
      </w:r>
      <w:r>
        <w:rPr>
          <w:w w:val="95"/>
          <w:sz w:val="18"/>
        </w:rPr>
        <w:t>companies</w:t>
      </w:r>
      <w:r>
        <w:rPr>
          <w:spacing w:val="2"/>
          <w:w w:val="95"/>
          <w:sz w:val="18"/>
        </w:rPr>
        <w:t xml:space="preserve"> </w:t>
      </w:r>
      <w:r>
        <w:rPr>
          <w:w w:val="95"/>
          <w:sz w:val="18"/>
        </w:rPr>
        <w:t>in</w:t>
      </w:r>
      <w:r>
        <w:rPr>
          <w:spacing w:val="1"/>
          <w:w w:val="95"/>
          <w:sz w:val="18"/>
        </w:rPr>
        <w:t xml:space="preserve"> </w:t>
      </w:r>
      <w:r>
        <w:rPr>
          <w:w w:val="95"/>
          <w:sz w:val="18"/>
        </w:rPr>
        <w:t>over</w:t>
      </w:r>
      <w:r>
        <w:rPr>
          <w:spacing w:val="2"/>
          <w:w w:val="95"/>
          <w:sz w:val="18"/>
        </w:rPr>
        <w:t xml:space="preserve"> </w:t>
      </w:r>
      <w:r>
        <w:rPr>
          <w:w w:val="95"/>
          <w:sz w:val="18"/>
        </w:rPr>
        <w:t>100</w:t>
      </w:r>
      <w:r>
        <w:rPr>
          <w:spacing w:val="2"/>
          <w:w w:val="95"/>
          <w:sz w:val="18"/>
        </w:rPr>
        <w:t xml:space="preserve"> </w:t>
      </w:r>
      <w:r>
        <w:rPr>
          <w:w w:val="95"/>
          <w:sz w:val="18"/>
        </w:rPr>
        <w:t>countries.</w:t>
      </w:r>
      <w:r>
        <w:rPr>
          <w:spacing w:val="1"/>
          <w:w w:val="95"/>
          <w:sz w:val="18"/>
        </w:rPr>
        <w:t xml:space="preserve"> </w:t>
      </w:r>
      <w:r>
        <w:rPr>
          <w:w w:val="95"/>
          <w:sz w:val="18"/>
        </w:rPr>
        <w:t>ICC’s</w:t>
      </w:r>
      <w:r>
        <w:rPr>
          <w:spacing w:val="2"/>
          <w:w w:val="95"/>
          <w:sz w:val="18"/>
        </w:rPr>
        <w:t xml:space="preserve"> </w:t>
      </w:r>
      <w:r>
        <w:rPr>
          <w:w w:val="95"/>
          <w:sz w:val="18"/>
        </w:rPr>
        <w:t>core</w:t>
      </w:r>
      <w:r>
        <w:rPr>
          <w:spacing w:val="2"/>
          <w:w w:val="95"/>
          <w:sz w:val="18"/>
        </w:rPr>
        <w:t xml:space="preserve"> </w:t>
      </w:r>
      <w:r>
        <w:rPr>
          <w:w w:val="95"/>
          <w:sz w:val="18"/>
        </w:rPr>
        <w:t>mission</w:t>
      </w:r>
      <w:r>
        <w:rPr>
          <w:spacing w:val="2"/>
          <w:w w:val="95"/>
          <w:sz w:val="18"/>
        </w:rPr>
        <w:t xml:space="preserve"> </w:t>
      </w:r>
      <w:r>
        <w:rPr>
          <w:w w:val="95"/>
          <w:sz w:val="18"/>
        </w:rPr>
        <w:t>is</w:t>
      </w:r>
      <w:r>
        <w:rPr>
          <w:spacing w:val="1"/>
          <w:w w:val="95"/>
          <w:sz w:val="18"/>
        </w:rPr>
        <w:t xml:space="preserve"> </w:t>
      </w:r>
      <w:r>
        <w:rPr>
          <w:w w:val="95"/>
          <w:sz w:val="18"/>
        </w:rPr>
        <w:t>to</w:t>
      </w:r>
      <w:r>
        <w:rPr>
          <w:spacing w:val="1"/>
          <w:w w:val="95"/>
          <w:sz w:val="18"/>
        </w:rPr>
        <w:t xml:space="preserve"> </w:t>
      </w:r>
      <w:r>
        <w:rPr>
          <w:w w:val="95"/>
          <w:sz w:val="18"/>
        </w:rPr>
        <w:t>make business work for everyone, every day, everywhere. Through</w:t>
      </w:r>
      <w:r>
        <w:rPr>
          <w:spacing w:val="1"/>
          <w:w w:val="95"/>
          <w:sz w:val="18"/>
        </w:rPr>
        <w:t xml:space="preserve"> </w:t>
      </w:r>
      <w:r>
        <w:rPr>
          <w:w w:val="95"/>
          <w:sz w:val="18"/>
        </w:rPr>
        <w:t>a unique mix</w:t>
      </w:r>
      <w:r>
        <w:rPr>
          <w:spacing w:val="1"/>
          <w:w w:val="95"/>
          <w:sz w:val="18"/>
        </w:rPr>
        <w:t xml:space="preserve"> </w:t>
      </w:r>
      <w:r>
        <w:rPr>
          <w:sz w:val="18"/>
        </w:rPr>
        <w:t>of advocacy, solutions and standard setting, we promote international trade,</w:t>
      </w:r>
      <w:r>
        <w:rPr>
          <w:spacing w:val="1"/>
          <w:sz w:val="18"/>
        </w:rPr>
        <w:t xml:space="preserve"> </w:t>
      </w:r>
      <w:r>
        <w:rPr>
          <w:sz w:val="18"/>
        </w:rPr>
        <w:t>responsible business conduct and a global approach to regulation, in addition</w:t>
      </w:r>
      <w:r>
        <w:rPr>
          <w:spacing w:val="1"/>
          <w:sz w:val="18"/>
        </w:rPr>
        <w:t xml:space="preserve"> </w:t>
      </w:r>
      <w:r>
        <w:rPr>
          <w:sz w:val="18"/>
        </w:rPr>
        <w:t>to providing market-leading dispute resolution services. Our members include</w:t>
      </w:r>
      <w:r>
        <w:rPr>
          <w:spacing w:val="1"/>
          <w:sz w:val="18"/>
        </w:rPr>
        <w:t xml:space="preserve"> </w:t>
      </w:r>
      <w:r>
        <w:rPr>
          <w:sz w:val="18"/>
        </w:rPr>
        <w:t>many of the world’s leading companies, SMEs, business associations and local</w:t>
      </w:r>
      <w:r>
        <w:rPr>
          <w:spacing w:val="1"/>
          <w:sz w:val="18"/>
        </w:rPr>
        <w:t xml:space="preserve"> </w:t>
      </w:r>
      <w:r>
        <w:rPr>
          <w:sz w:val="18"/>
        </w:rPr>
        <w:t>chambers</w:t>
      </w:r>
      <w:r>
        <w:rPr>
          <w:spacing w:val="-6"/>
          <w:sz w:val="18"/>
        </w:rPr>
        <w:t xml:space="preserve"> </w:t>
      </w:r>
      <w:r>
        <w:rPr>
          <w:sz w:val="18"/>
        </w:rPr>
        <w:t>of</w:t>
      </w:r>
      <w:r>
        <w:rPr>
          <w:spacing w:val="-6"/>
          <w:sz w:val="18"/>
        </w:rPr>
        <w:t xml:space="preserve"> </w:t>
      </w:r>
      <w:r>
        <w:rPr>
          <w:sz w:val="18"/>
        </w:rPr>
        <w:t>commerce.</w:t>
      </w:r>
    </w:p>
    <w:p w:rsidR="000773AB" w:rsidRDefault="000773AB" w14:paraId="0CA04073" w14:textId="77777777">
      <w:pPr>
        <w:pStyle w:val="BodyText"/>
        <w:rPr>
          <w:sz w:val="20"/>
        </w:rPr>
      </w:pPr>
    </w:p>
    <w:p w:rsidR="000773AB" w:rsidRDefault="000773AB" w14:paraId="7AD524C3" w14:textId="77777777">
      <w:pPr>
        <w:pStyle w:val="BodyText"/>
        <w:spacing w:before="10"/>
        <w:rPr>
          <w:sz w:val="14"/>
        </w:rPr>
      </w:pPr>
    </w:p>
    <w:p w:rsidRPr="00F64E75" w:rsidR="000773AB" w:rsidRDefault="002022E8" w14:paraId="5DF03464" w14:textId="7F0A214B">
      <w:pPr>
        <w:tabs>
          <w:tab w:val="left" w:pos="5103"/>
        </w:tabs>
        <w:spacing w:before="98" w:line="268" w:lineRule="auto"/>
        <w:ind w:left="3628" w:right="2568"/>
        <w:rPr>
          <w:sz w:val="14"/>
          <w:lang w:val="fr-FR"/>
        </w:rPr>
      </w:pPr>
      <w:r>
        <w:rPr>
          <w:noProof/>
        </w:rPr>
        <mc:AlternateContent>
          <mc:Choice Requires="wps">
            <w:drawing>
              <wp:anchor distT="0" distB="0" distL="114300" distR="114300" simplePos="0" relativeHeight="251658241" behindDoc="0" locked="0" layoutInCell="1" allowOverlap="1" wp14:anchorId="22C85479" wp14:editId="09B4FAE7">
                <wp:simplePos x="0" y="0"/>
                <wp:positionH relativeFrom="page">
                  <wp:posOffset>2742565</wp:posOffset>
                </wp:positionH>
                <wp:positionV relativeFrom="paragraph">
                  <wp:posOffset>47625</wp:posOffset>
                </wp:positionV>
                <wp:extent cx="0" cy="42037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370"/>
                        </a:xfrm>
                        <a:prstGeom prst="line">
                          <a:avLst/>
                        </a:prstGeom>
                        <a:noFill/>
                        <a:ln w="6350">
                          <a:solidFill>
                            <a:srgbClr val="80828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5A3AC1E">
              <v:line id="Line 2" style="position:absolute;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808285" strokeweight=".5pt" from="215.95pt,3.75pt" to="215.95pt,36.85pt" w14:anchorId="3D6AC2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">
                <w10:wrap anchorx="page"/>
              </v:line>
            </w:pict>
          </mc:Fallback>
        </mc:AlternateContent>
      </w:r>
      <w:r w:rsidR="00496A1C">
        <w:rPr>
          <w:noProof/>
        </w:rPr>
        <w:drawing>
          <wp:anchor distT="0" distB="0" distL="0" distR="0" simplePos="0" relativeHeight="251658242" behindDoc="0" locked="0" layoutInCell="1" allowOverlap="1" wp14:anchorId="7A5D706F" wp14:editId="6DAF414A">
            <wp:simplePos x="0" y="0"/>
            <wp:positionH relativeFrom="page">
              <wp:posOffset>744385</wp:posOffset>
            </wp:positionH>
            <wp:positionV relativeFrom="paragraph">
              <wp:posOffset>58690</wp:posOffset>
            </wp:positionV>
            <wp:extent cx="1789939" cy="577424"/>
            <wp:effectExtent l="0" t="0" r="0" b="0"/>
            <wp:wrapNone/>
            <wp:docPr id="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8.png"/>
                    <pic:cNvPicPr/>
                  </pic:nvPicPr>
                  <pic:blipFill>
                    <a:blip r:embed="rId23" cstate="print"/>
                    <a:stretch>
                      <a:fillRect/>
                    </a:stretch>
                  </pic:blipFill>
                  <pic:spPr>
                    <a:xfrm>
                      <a:off x="0" y="0"/>
                      <a:ext cx="1789939" cy="577424"/>
                    </a:xfrm>
                    <a:prstGeom prst="rect">
                      <a:avLst/>
                    </a:prstGeom>
                  </pic:spPr>
                </pic:pic>
              </a:graphicData>
            </a:graphic>
          </wp:anchor>
        </w:drawing>
      </w:r>
      <w:r w:rsidR="00496A1C">
        <w:rPr>
          <w:noProof/>
        </w:rPr>
        <w:drawing>
          <wp:anchor distT="0" distB="0" distL="0" distR="0" simplePos="0" relativeHeight="251658243" behindDoc="1" locked="0" layoutInCell="1" allowOverlap="1" wp14:anchorId="7768B488" wp14:editId="06E2C0F8">
            <wp:simplePos x="0" y="0"/>
            <wp:positionH relativeFrom="page">
              <wp:posOffset>3781701</wp:posOffset>
            </wp:positionH>
            <wp:positionV relativeFrom="paragraph">
              <wp:posOffset>326233</wp:posOffset>
            </wp:positionV>
            <wp:extent cx="82029" cy="66662"/>
            <wp:effectExtent l="0" t="0" r="0" b="0"/>
            <wp:wrapNone/>
            <wp:docPr id="5"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9.png"/>
                    <pic:cNvPicPr/>
                  </pic:nvPicPr>
                  <pic:blipFill>
                    <a:blip r:embed="rId24" cstate="print"/>
                    <a:stretch>
                      <a:fillRect/>
                    </a:stretch>
                  </pic:blipFill>
                  <pic:spPr>
                    <a:xfrm>
                      <a:off x="0" y="0"/>
                      <a:ext cx="82029" cy="66662"/>
                    </a:xfrm>
                    <a:prstGeom prst="rect">
                      <a:avLst/>
                    </a:prstGeom>
                  </pic:spPr>
                </pic:pic>
              </a:graphicData>
            </a:graphic>
          </wp:anchor>
        </w:drawing>
      </w:r>
      <w:r w:rsidRPr="00F64E75" w:rsidR="00496A1C">
        <w:rPr>
          <w:color w:val="363A3C"/>
          <w:spacing w:val="-1"/>
          <w:w w:val="95"/>
          <w:sz w:val="14"/>
          <w:lang w:val="fr-FR"/>
        </w:rPr>
        <w:t>33-43</w:t>
      </w:r>
      <w:r w:rsidRPr="00F64E75" w:rsidR="00496A1C">
        <w:rPr>
          <w:color w:val="363A3C"/>
          <w:spacing w:val="-9"/>
          <w:w w:val="95"/>
          <w:sz w:val="14"/>
          <w:lang w:val="fr-FR"/>
        </w:rPr>
        <w:t xml:space="preserve"> </w:t>
      </w:r>
      <w:r w:rsidRPr="00F64E75" w:rsidR="00496A1C">
        <w:rPr>
          <w:color w:val="363A3C"/>
          <w:spacing w:val="-1"/>
          <w:w w:val="95"/>
          <w:sz w:val="14"/>
          <w:lang w:val="fr-FR"/>
        </w:rPr>
        <w:t>avenue</w:t>
      </w:r>
      <w:r w:rsidRPr="00F64E75" w:rsidR="00496A1C">
        <w:rPr>
          <w:color w:val="363A3C"/>
          <w:spacing w:val="-8"/>
          <w:w w:val="95"/>
          <w:sz w:val="14"/>
          <w:lang w:val="fr-FR"/>
        </w:rPr>
        <w:t xml:space="preserve"> </w:t>
      </w:r>
      <w:r w:rsidRPr="00F64E75" w:rsidR="00496A1C">
        <w:rPr>
          <w:color w:val="363A3C"/>
          <w:spacing w:val="-1"/>
          <w:w w:val="95"/>
          <w:sz w:val="14"/>
          <w:lang w:val="fr-FR"/>
        </w:rPr>
        <w:t>du</w:t>
      </w:r>
      <w:r w:rsidRPr="00F64E75" w:rsidR="00496A1C">
        <w:rPr>
          <w:color w:val="363A3C"/>
          <w:spacing w:val="-9"/>
          <w:w w:val="95"/>
          <w:sz w:val="14"/>
          <w:lang w:val="fr-FR"/>
        </w:rPr>
        <w:t xml:space="preserve"> </w:t>
      </w:r>
      <w:r w:rsidRPr="00F64E75" w:rsidR="00496A1C">
        <w:rPr>
          <w:color w:val="363A3C"/>
          <w:spacing w:val="-1"/>
          <w:w w:val="95"/>
          <w:sz w:val="14"/>
          <w:lang w:val="fr-FR"/>
        </w:rPr>
        <w:t>Président</w:t>
      </w:r>
      <w:r w:rsidRPr="00F64E75" w:rsidR="00496A1C">
        <w:rPr>
          <w:color w:val="363A3C"/>
          <w:spacing w:val="-8"/>
          <w:w w:val="95"/>
          <w:sz w:val="14"/>
          <w:lang w:val="fr-FR"/>
        </w:rPr>
        <w:t xml:space="preserve"> </w:t>
      </w:r>
      <w:r w:rsidRPr="00F64E75" w:rsidR="00496A1C">
        <w:rPr>
          <w:color w:val="363A3C"/>
          <w:spacing w:val="-1"/>
          <w:w w:val="95"/>
          <w:sz w:val="14"/>
          <w:lang w:val="fr-FR"/>
        </w:rPr>
        <w:t>Wilson,</w:t>
      </w:r>
      <w:r w:rsidRPr="00F64E75" w:rsidR="00496A1C">
        <w:rPr>
          <w:color w:val="363A3C"/>
          <w:spacing w:val="-8"/>
          <w:w w:val="95"/>
          <w:sz w:val="14"/>
          <w:lang w:val="fr-FR"/>
        </w:rPr>
        <w:t xml:space="preserve"> </w:t>
      </w:r>
      <w:r w:rsidRPr="00F64E75" w:rsidR="00496A1C">
        <w:rPr>
          <w:color w:val="363A3C"/>
          <w:w w:val="95"/>
          <w:sz w:val="14"/>
          <w:lang w:val="fr-FR"/>
        </w:rPr>
        <w:t>75116</w:t>
      </w:r>
      <w:r w:rsidRPr="00F64E75" w:rsidR="00496A1C">
        <w:rPr>
          <w:color w:val="363A3C"/>
          <w:spacing w:val="-9"/>
          <w:w w:val="95"/>
          <w:sz w:val="14"/>
          <w:lang w:val="fr-FR"/>
        </w:rPr>
        <w:t xml:space="preserve"> </w:t>
      </w:r>
      <w:r w:rsidRPr="00F64E75" w:rsidR="00496A1C">
        <w:rPr>
          <w:color w:val="363A3C"/>
          <w:w w:val="95"/>
          <w:sz w:val="14"/>
          <w:lang w:val="fr-FR"/>
        </w:rPr>
        <w:t>Paris,</w:t>
      </w:r>
      <w:r w:rsidRPr="00F64E75" w:rsidR="00496A1C">
        <w:rPr>
          <w:color w:val="363A3C"/>
          <w:spacing w:val="-8"/>
          <w:w w:val="95"/>
          <w:sz w:val="14"/>
          <w:lang w:val="fr-FR"/>
        </w:rPr>
        <w:t xml:space="preserve"> </w:t>
      </w:r>
      <w:r w:rsidRPr="00F64E75" w:rsidR="00496A1C">
        <w:rPr>
          <w:color w:val="363A3C"/>
          <w:w w:val="95"/>
          <w:sz w:val="14"/>
          <w:lang w:val="fr-FR"/>
        </w:rPr>
        <w:t>France</w:t>
      </w:r>
      <w:r w:rsidRPr="00F64E75" w:rsidR="00496A1C">
        <w:rPr>
          <w:color w:val="363A3C"/>
          <w:spacing w:val="-44"/>
          <w:w w:val="95"/>
          <w:sz w:val="14"/>
          <w:lang w:val="fr-FR"/>
        </w:rPr>
        <w:t xml:space="preserve"> </w:t>
      </w:r>
      <w:r w:rsidRPr="00F64E75" w:rsidR="00496A1C">
        <w:rPr>
          <w:rFonts w:ascii="Arial" w:hAnsi="Arial"/>
          <w:b/>
          <w:color w:val="808285"/>
          <w:w w:val="95"/>
          <w:sz w:val="14"/>
          <w:lang w:val="fr-FR"/>
        </w:rPr>
        <w:t xml:space="preserve">T </w:t>
      </w:r>
      <w:r w:rsidRPr="00F64E75" w:rsidR="00496A1C">
        <w:rPr>
          <w:color w:val="363A3C"/>
          <w:w w:val="95"/>
          <w:sz w:val="14"/>
          <w:lang w:val="fr-FR"/>
        </w:rPr>
        <w:t xml:space="preserve">+33 (0) 1 49 53 28 28 </w:t>
      </w:r>
      <w:r w:rsidRPr="00F64E75" w:rsidR="00496A1C">
        <w:rPr>
          <w:rFonts w:ascii="Arial" w:hAnsi="Arial"/>
          <w:b/>
          <w:color w:val="808285"/>
          <w:w w:val="95"/>
          <w:sz w:val="14"/>
          <w:lang w:val="fr-FR"/>
        </w:rPr>
        <w:t xml:space="preserve">E </w:t>
      </w:r>
      <w:hyperlink r:id="rId25">
        <w:r w:rsidRPr="00F64E75" w:rsidR="00496A1C">
          <w:rPr>
            <w:color w:val="363A3C"/>
            <w:w w:val="95"/>
            <w:sz w:val="14"/>
            <w:lang w:val="fr-FR"/>
          </w:rPr>
          <w:t>icc@iccwbo.org</w:t>
        </w:r>
      </w:hyperlink>
      <w:r w:rsidRPr="00F64E75" w:rsidR="00496A1C">
        <w:rPr>
          <w:color w:val="363A3C"/>
          <w:spacing w:val="1"/>
          <w:w w:val="95"/>
          <w:sz w:val="14"/>
          <w:lang w:val="fr-FR"/>
        </w:rPr>
        <w:t xml:space="preserve"> </w:t>
      </w:r>
      <w:hyperlink r:id="rId26">
        <w:r w:rsidRPr="00F64E75" w:rsidR="00496A1C">
          <w:rPr>
            <w:color w:val="363A3C"/>
            <w:sz w:val="14"/>
            <w:lang w:val="fr-FR"/>
          </w:rPr>
          <w:t>www.iccwbo.org</w:t>
        </w:r>
      </w:hyperlink>
      <w:r w:rsidRPr="00F64E75" w:rsidR="00496A1C">
        <w:rPr>
          <w:color w:val="363A3C"/>
          <w:sz w:val="14"/>
          <w:lang w:val="fr-FR"/>
        </w:rPr>
        <w:tab/>
      </w:r>
      <w:r w:rsidRPr="00F64E75" w:rsidR="00496A1C">
        <w:rPr>
          <w:color w:val="363A3C"/>
          <w:sz w:val="14"/>
          <w:lang w:val="fr-FR"/>
        </w:rPr>
        <w:t>@iccwbo</w:t>
      </w:r>
    </w:p>
    <w:sectPr w:rsidRPr="00F64E75" w:rsidR="000773AB" w:rsidSect="0017318B">
      <w:footerReference w:type="default" r:id="rId27"/>
      <w:pgSz w:w="11910" w:h="16840" w:orient="portrait"/>
      <w:pgMar w:top="1417" w:right="1417" w:bottom="1417" w:left="141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1FE3" w:rsidRDefault="00131FE3" w14:paraId="3A8B2F80" w14:textId="77777777">
      <w:r>
        <w:separator/>
      </w:r>
    </w:p>
  </w:endnote>
  <w:endnote w:type="continuationSeparator" w:id="0">
    <w:p w:rsidR="00131FE3" w:rsidRDefault="00131FE3" w14:paraId="0085EEAE" w14:textId="77777777">
      <w:r>
        <w:continuationSeparator/>
      </w:r>
    </w:p>
  </w:endnote>
  <w:endnote w:type="continuationNotice" w:id="1">
    <w:p w:rsidR="00131FE3" w:rsidRDefault="00131FE3" w14:paraId="136E156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Heading">
    <w:panose1 w:val="00000000000000000000"/>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otham Light">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0773AB" w:rsidRDefault="002022E8" w14:paraId="570CCC64" w14:textId="1C08D9BC">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115A251" wp14:editId="658CE9D1">
              <wp:simplePos x="0" y="0"/>
              <wp:positionH relativeFrom="page">
                <wp:posOffset>2371725</wp:posOffset>
              </wp:positionH>
              <wp:positionV relativeFrom="page">
                <wp:posOffset>10067925</wp:posOffset>
              </wp:positionV>
              <wp:extent cx="3829050" cy="204788"/>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204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3AB" w:rsidRDefault="000A47CD" w14:paraId="0CEC0509" w14:textId="5C778E02">
                          <w:pPr>
                            <w:spacing w:before="20"/>
                            <w:ind w:left="20"/>
                            <w:rPr>
                              <w:sz w:val="16"/>
                            </w:rPr>
                          </w:pPr>
                          <w:hyperlink w:history="1" w:anchor="_bookmark0">
                            <w:r w:rsidR="00F77FC9">
                              <w:rPr>
                                <w:w w:val="95"/>
                                <w:sz w:val="16"/>
                              </w:rPr>
                              <w:t>February</w:t>
                            </w:r>
                            <w:r w:rsidR="00496A1C">
                              <w:rPr>
                                <w:spacing w:val="4"/>
                                <w:w w:val="95"/>
                                <w:sz w:val="16"/>
                              </w:rPr>
                              <w:t xml:space="preserve"> </w:t>
                            </w:r>
                            <w:r w:rsidR="00496A1C">
                              <w:rPr>
                                <w:w w:val="95"/>
                                <w:sz w:val="16"/>
                              </w:rPr>
                              <w:t>202</w:t>
                            </w:r>
                            <w:r w:rsidR="00F77FC9">
                              <w:rPr>
                                <w:w w:val="95"/>
                                <w:sz w:val="16"/>
                              </w:rPr>
                              <w:t>2</w:t>
                            </w:r>
                            <w:r w:rsidR="00496A1C">
                              <w:rPr>
                                <w:spacing w:val="61"/>
                                <w:sz w:val="16"/>
                              </w:rPr>
                              <w:t xml:space="preserve"> </w:t>
                            </w:r>
                            <w:r w:rsidR="00496A1C">
                              <w:rPr>
                                <w:w w:val="95"/>
                                <w:sz w:val="16"/>
                              </w:rPr>
                              <w:t>|</w:t>
                            </w:r>
                            <w:r w:rsidR="00496A1C">
                              <w:rPr>
                                <w:spacing w:val="61"/>
                                <w:sz w:val="16"/>
                              </w:rPr>
                              <w:t xml:space="preserve"> </w:t>
                            </w:r>
                            <w:r w:rsidR="00496A1C">
                              <w:rPr>
                                <w:w w:val="95"/>
                                <w:sz w:val="16"/>
                              </w:rPr>
                              <w:t>ICC</w:t>
                            </w:r>
                            <w:r w:rsidR="00496A1C">
                              <w:rPr>
                                <w:spacing w:val="4"/>
                                <w:w w:val="95"/>
                                <w:sz w:val="16"/>
                              </w:rPr>
                              <w:t xml:space="preserve"> </w:t>
                            </w:r>
                            <w:r w:rsidR="00496A1C">
                              <w:rPr>
                                <w:w w:val="95"/>
                                <w:sz w:val="16"/>
                              </w:rPr>
                              <w:t>CARBON</w:t>
                            </w:r>
                            <w:r w:rsidR="00496A1C">
                              <w:rPr>
                                <w:spacing w:val="5"/>
                                <w:w w:val="95"/>
                                <w:sz w:val="16"/>
                              </w:rPr>
                              <w:t xml:space="preserve"> </w:t>
                            </w:r>
                            <w:r w:rsidR="00496A1C">
                              <w:rPr>
                                <w:w w:val="95"/>
                                <w:sz w:val="16"/>
                              </w:rPr>
                              <w:t>PRICING</w:t>
                            </w:r>
                            <w:r w:rsidR="00496A1C">
                              <w:rPr>
                                <w:spacing w:val="4"/>
                                <w:w w:val="95"/>
                                <w:sz w:val="16"/>
                              </w:rPr>
                              <w:t xml:space="preserve"> </w:t>
                            </w:r>
                            <w:r w:rsidR="00496A1C">
                              <w:rPr>
                                <w:w w:val="95"/>
                                <w:sz w:val="16"/>
                              </w:rPr>
                              <w:t>PRINCIPLES</w:t>
                            </w:r>
                            <w:r w:rsidR="00F77FC9">
                              <w:rPr>
                                <w:w w:val="95"/>
                                <w:sz w:val="16"/>
                              </w:rPr>
                              <w:t>: C</w:t>
                            </w:r>
                            <w:r w:rsidR="006C6B2F">
                              <w:rPr>
                                <w:w w:val="95"/>
                                <w:sz w:val="16"/>
                              </w:rPr>
                              <w:t>ASE STUDIES</w:t>
                            </w:r>
                            <w:r w:rsidR="00496A1C">
                              <w:rPr>
                                <w:spacing w:val="61"/>
                                <w:sz w:val="16"/>
                              </w:rPr>
                              <w:t xml:space="preserve"> </w:t>
                            </w:r>
                            <w:r w:rsidR="00496A1C">
                              <w:rPr>
                                <w:w w:val="95"/>
                                <w:sz w:val="16"/>
                              </w:rPr>
                              <w:t>|</w:t>
                            </w:r>
                            <w:r w:rsidR="00496A1C">
                              <w:rPr>
                                <w:spacing w:val="61"/>
                                <w:sz w:val="16"/>
                              </w:rPr>
                              <w:t xml:space="preserve"> </w:t>
                            </w:r>
                            <w:r w:rsidR="00496A1C">
                              <w:fldChar w:fldCharType="begin"/>
                            </w:r>
                            <w:r w:rsidR="00496A1C">
                              <w:rPr>
                                <w:w w:val="95"/>
                                <w:sz w:val="16"/>
                              </w:rPr>
                              <w:instrText xml:space="preserve"> PAGE </w:instrText>
                            </w:r>
                            <w:r w:rsidR="00496A1C">
                              <w:fldChar w:fldCharType="separate"/>
                            </w:r>
                            <w:r w:rsidR="00DD4418">
                              <w:rPr>
                                <w:noProof/>
                                <w:w w:val="95"/>
                                <w:sz w:val="16"/>
                              </w:rPr>
                              <w:t>5</w:t>
                            </w:r>
                            <w:r w:rsidR="00496A1C">
                              <w:fldChar w:fldCharType="end"/>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0FE978B5">
            <v:shapetype id="_x0000_t202" coordsize="21600,21600" o:spt="202" path="m,l,21600r21600,l21600,xe" w14:anchorId="1115A251">
              <v:stroke joinstyle="miter"/>
              <v:path gradientshapeok="t" o:connecttype="rect"/>
            </v:shapetype>
            <v:shape id="Text Box 1" style="position:absolute;margin-left:186.75pt;margin-top:792.75pt;width:301.5pt;height:16.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">
              <v:textbox inset="0,0,0,0">
                <w:txbxContent>
                  <w:p w:rsidR="000773AB" w:rsidRDefault="00131FE3" w14:paraId="6E8AAB18" w14:textId="5C778E02">
                    <w:pPr>
                      <w:spacing w:before="20"/>
                      <w:ind w:left="20"/>
                      <w:rPr>
                        <w:sz w:val="16"/>
                      </w:rPr>
                    </w:pPr>
                    <w:hyperlink w:history="1" w:anchor="_bookmark0">
                      <w:r w:rsidR="00F77FC9">
                        <w:rPr>
                          <w:w w:val="95"/>
                          <w:sz w:val="16"/>
                        </w:rPr>
                        <w:t>February</w:t>
                      </w:r>
                      <w:r w:rsidR="00496A1C">
                        <w:rPr>
                          <w:spacing w:val="4"/>
                          <w:w w:val="95"/>
                          <w:sz w:val="16"/>
                        </w:rPr>
                        <w:t xml:space="preserve"> </w:t>
                      </w:r>
                      <w:r w:rsidR="00496A1C">
                        <w:rPr>
                          <w:w w:val="95"/>
                          <w:sz w:val="16"/>
                        </w:rPr>
                        <w:t>202</w:t>
                      </w:r>
                      <w:r w:rsidR="00F77FC9">
                        <w:rPr>
                          <w:w w:val="95"/>
                          <w:sz w:val="16"/>
                        </w:rPr>
                        <w:t>2</w:t>
                      </w:r>
                      <w:r w:rsidR="00496A1C">
                        <w:rPr>
                          <w:spacing w:val="61"/>
                          <w:sz w:val="16"/>
                        </w:rPr>
                        <w:t xml:space="preserve"> </w:t>
                      </w:r>
                      <w:r w:rsidR="00496A1C">
                        <w:rPr>
                          <w:w w:val="95"/>
                          <w:sz w:val="16"/>
                        </w:rPr>
                        <w:t>|</w:t>
                      </w:r>
                      <w:r w:rsidR="00496A1C">
                        <w:rPr>
                          <w:spacing w:val="61"/>
                          <w:sz w:val="16"/>
                        </w:rPr>
                        <w:t xml:space="preserve"> </w:t>
                      </w:r>
                      <w:r w:rsidR="00496A1C">
                        <w:rPr>
                          <w:w w:val="95"/>
                          <w:sz w:val="16"/>
                        </w:rPr>
                        <w:t>ICC</w:t>
                      </w:r>
                      <w:r w:rsidR="00496A1C">
                        <w:rPr>
                          <w:spacing w:val="4"/>
                          <w:w w:val="95"/>
                          <w:sz w:val="16"/>
                        </w:rPr>
                        <w:t xml:space="preserve"> </w:t>
                      </w:r>
                      <w:r w:rsidR="00496A1C">
                        <w:rPr>
                          <w:w w:val="95"/>
                          <w:sz w:val="16"/>
                        </w:rPr>
                        <w:t>CARBON</w:t>
                      </w:r>
                      <w:r w:rsidR="00496A1C">
                        <w:rPr>
                          <w:spacing w:val="5"/>
                          <w:w w:val="95"/>
                          <w:sz w:val="16"/>
                        </w:rPr>
                        <w:t xml:space="preserve"> </w:t>
                      </w:r>
                      <w:r w:rsidR="00496A1C">
                        <w:rPr>
                          <w:w w:val="95"/>
                          <w:sz w:val="16"/>
                        </w:rPr>
                        <w:t>PRICING</w:t>
                      </w:r>
                      <w:r w:rsidR="00496A1C">
                        <w:rPr>
                          <w:spacing w:val="4"/>
                          <w:w w:val="95"/>
                          <w:sz w:val="16"/>
                        </w:rPr>
                        <w:t xml:space="preserve"> </w:t>
                      </w:r>
                      <w:r w:rsidR="00496A1C">
                        <w:rPr>
                          <w:w w:val="95"/>
                          <w:sz w:val="16"/>
                        </w:rPr>
                        <w:t>PRINCIPLES</w:t>
                      </w:r>
                      <w:r w:rsidR="00F77FC9">
                        <w:rPr>
                          <w:w w:val="95"/>
                          <w:sz w:val="16"/>
                        </w:rPr>
                        <w:t>: C</w:t>
                      </w:r>
                      <w:r w:rsidR="006C6B2F">
                        <w:rPr>
                          <w:w w:val="95"/>
                          <w:sz w:val="16"/>
                        </w:rPr>
                        <w:t>ASE STUDIES</w:t>
                      </w:r>
                      <w:r w:rsidR="00496A1C">
                        <w:rPr>
                          <w:spacing w:val="61"/>
                          <w:sz w:val="16"/>
                        </w:rPr>
                        <w:t xml:space="preserve"> </w:t>
                      </w:r>
                      <w:r w:rsidR="00496A1C">
                        <w:rPr>
                          <w:w w:val="95"/>
                          <w:sz w:val="16"/>
                        </w:rPr>
                        <w:t>|</w:t>
                      </w:r>
                      <w:r w:rsidR="00496A1C">
                        <w:rPr>
                          <w:spacing w:val="61"/>
                          <w:sz w:val="16"/>
                        </w:rPr>
                        <w:t xml:space="preserve"> </w:t>
                      </w:r>
                      <w:r w:rsidR="00496A1C">
                        <w:fldChar w:fldCharType="begin"/>
                      </w:r>
                      <w:r w:rsidR="00496A1C">
                        <w:rPr>
                          <w:w w:val="95"/>
                          <w:sz w:val="16"/>
                        </w:rPr>
                        <w:instrText xml:space="preserve"> PAGE </w:instrText>
                      </w:r>
                      <w:r w:rsidR="00496A1C">
                        <w:fldChar w:fldCharType="separate"/>
                      </w:r>
                      <w:r w:rsidR="00DD4418">
                        <w:rPr>
                          <w:noProof/>
                          <w:w w:val="95"/>
                          <w:sz w:val="16"/>
                        </w:rPr>
                        <w:t>5</w:t>
                      </w:r>
                      <w:r w:rsidR="00496A1C">
                        <w:fldChar w:fldCharType="end"/>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73AB" w:rsidRDefault="000773AB" w14:paraId="164B8568" w14:textId="7777777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1FE3" w:rsidRDefault="00131FE3" w14:paraId="0B0EE745" w14:textId="77777777">
      <w:r>
        <w:separator/>
      </w:r>
    </w:p>
  </w:footnote>
  <w:footnote w:type="continuationSeparator" w:id="0">
    <w:p w:rsidR="00131FE3" w:rsidRDefault="00131FE3" w14:paraId="6454DD06" w14:textId="77777777">
      <w:r>
        <w:continuationSeparator/>
      </w:r>
    </w:p>
  </w:footnote>
  <w:footnote w:type="continuationNotice" w:id="1">
    <w:p w:rsidR="00131FE3" w:rsidRDefault="00131FE3" w14:paraId="4B28AD0C" w14:textId="77777777"/>
  </w:footnote>
  <w:footnote w:id="2">
    <w:p w:rsidR="006056F1" w:rsidP="006056F1" w:rsidRDefault="006056F1" w14:paraId="7DBBD742" w14:textId="77777777">
      <w:pPr>
        <w:pStyle w:val="FootnoteText"/>
      </w:pPr>
      <w:r>
        <w:rPr>
          <w:rStyle w:val="FootnoteReference"/>
        </w:rPr>
        <w:footnoteRef/>
      </w:r>
      <w:r>
        <w:t xml:space="preserve"> </w:t>
      </w:r>
      <w:r w:rsidRPr="00BE64D3">
        <w:t>https://www.ipcc.ch/assessment-report/ar6/</w:t>
      </w:r>
    </w:p>
  </w:footnote>
  <w:footnote w:id="3">
    <w:p w:rsidRPr="00C339EB" w:rsidR="00BA715D" w:rsidRDefault="000E237E" w14:paraId="366540A2" w14:textId="45BE2B69">
      <w:pPr>
        <w:pStyle w:val="FootnoteText"/>
        <w:rPr>
          <w:sz w:val="16"/>
          <w:szCs w:val="16"/>
        </w:rPr>
      </w:pPr>
      <w:r w:rsidRPr="00C339EB">
        <w:rPr>
          <w:rStyle w:val="FootnoteReference"/>
          <w:sz w:val="16"/>
          <w:szCs w:val="16"/>
        </w:rPr>
        <w:footnoteRef/>
      </w:r>
      <w:r w:rsidRPr="00C339EB">
        <w:rPr>
          <w:sz w:val="16"/>
          <w:szCs w:val="16"/>
        </w:rPr>
        <w:t xml:space="preserve"> </w:t>
      </w:r>
      <w:hyperlink w:history="1" r:id="rId1">
        <w:r w:rsidRPr="00C339EB" w:rsidR="0062001E">
          <w:rPr>
            <w:rStyle w:val="Hyperlink"/>
            <w:sz w:val="16"/>
            <w:szCs w:val="16"/>
          </w:rPr>
          <w:t>OECD Carbon Pricing and COVID-19</w:t>
        </w:r>
      </w:hyperlink>
      <w:r w:rsidRPr="00C339EB" w:rsidR="00BA715D">
        <w:rPr>
          <w:sz w:val="16"/>
          <w:szCs w:val="16"/>
        </w:rPr>
        <w:t xml:space="preserve"> </w:t>
      </w:r>
    </w:p>
  </w:footnote>
  <w:footnote w:id="4">
    <w:p w:rsidRPr="00C339EB" w:rsidR="00026C32" w:rsidRDefault="00026C32" w14:paraId="21F4F40B" w14:textId="3BC255C0">
      <w:pPr>
        <w:pStyle w:val="FootnoteText"/>
        <w:rPr>
          <w:sz w:val="16"/>
          <w:szCs w:val="16"/>
        </w:rPr>
      </w:pPr>
      <w:r w:rsidRPr="00C339EB">
        <w:rPr>
          <w:rStyle w:val="FootnoteReference"/>
          <w:sz w:val="16"/>
          <w:szCs w:val="16"/>
        </w:rPr>
        <w:footnoteRef/>
      </w:r>
      <w:r w:rsidRPr="00C339EB">
        <w:rPr>
          <w:sz w:val="16"/>
          <w:szCs w:val="16"/>
        </w:rPr>
        <w:t xml:space="preserve"> </w:t>
      </w:r>
      <w:hyperlink w:history="1" r:id="rId2">
        <w:r w:rsidRPr="00C339EB" w:rsidR="00C339EB">
          <w:rPr>
            <w:rStyle w:val="Hyperlink"/>
            <w:sz w:val="16"/>
            <w:szCs w:val="16"/>
          </w:rPr>
          <w:t>OECD Framework to Decarbonise the Economy</w:t>
        </w:r>
      </w:hyperlink>
    </w:p>
  </w:footnote>
  <w:footnote w:id="5">
    <w:p w:rsidR="006D1787" w:rsidRDefault="006D1787" w14:paraId="6D02D776" w14:textId="59E64037">
      <w:pPr>
        <w:pStyle w:val="FootnoteText"/>
      </w:pPr>
      <w:r>
        <w:rPr>
          <w:rStyle w:val="FootnoteReference"/>
        </w:rPr>
        <w:footnoteRef/>
      </w:r>
      <w:r>
        <w:t xml:space="preserve"> </w:t>
      </w:r>
      <w:hyperlink w:history="1" r:id="rId3">
        <w:r w:rsidRPr="006D1787">
          <w:rPr>
            <w:rStyle w:val="Hyperlink"/>
            <w:sz w:val="16"/>
            <w:szCs w:val="16"/>
          </w:rPr>
          <w:t>World Bank Group Carbon Pricing Dashboard</w:t>
        </w:r>
      </w:hyperlink>
    </w:p>
  </w:footnote>
  <w:footnote w:id="6">
    <w:p w:rsidRPr="00CB145C" w:rsidR="00CD2416" w:rsidP="00CD2416" w:rsidRDefault="00CD2416" w14:paraId="31CAC203" w14:textId="77777777">
      <w:pPr>
        <w:pStyle w:val="FootnoteText"/>
        <w:rPr>
          <w:rFonts w:ascii="Arial" w:hAnsi="Arial" w:cs="Arial"/>
          <w:sz w:val="16"/>
          <w:szCs w:val="16"/>
          <w:lang w:val="en-CA"/>
        </w:rPr>
      </w:pPr>
      <w:r w:rsidRPr="00CB145C">
        <w:rPr>
          <w:rStyle w:val="FootnoteReference"/>
          <w:rFonts w:ascii="Arial" w:hAnsi="Arial" w:cs="Arial"/>
          <w:sz w:val="16"/>
          <w:szCs w:val="16"/>
        </w:rPr>
        <w:footnoteRef/>
      </w:r>
      <w:r w:rsidRPr="00CB145C">
        <w:rPr>
          <w:rFonts w:ascii="Arial" w:hAnsi="Arial" w:cs="Arial"/>
          <w:sz w:val="16"/>
          <w:szCs w:val="16"/>
        </w:rPr>
        <w:t xml:space="preserve"> Government of Canada, Pan-Canadian Framework on Clean Growth and Climate Change (2016), online: &lt;www.canada.ca/content/dam/themes/environment/documents/weather1/20170125-en.pdf&gt;. [PCF]</w:t>
      </w:r>
    </w:p>
  </w:footnote>
  <w:footnote w:id="7">
    <w:p w:rsidRPr="00CB145C" w:rsidR="00CD2416" w:rsidP="00CD2416" w:rsidRDefault="00CD2416" w14:paraId="4A81BF5C" w14:textId="77777777">
      <w:pPr>
        <w:pStyle w:val="FootnoteText"/>
        <w:rPr>
          <w:rFonts w:ascii="Arial" w:hAnsi="Arial" w:cs="Arial"/>
          <w:sz w:val="16"/>
          <w:szCs w:val="16"/>
          <w:lang w:val="en-CA"/>
        </w:rPr>
      </w:pPr>
      <w:r w:rsidRPr="00CB145C">
        <w:rPr>
          <w:rStyle w:val="FootnoteReference"/>
          <w:rFonts w:ascii="Arial" w:hAnsi="Arial" w:cs="Arial"/>
          <w:sz w:val="16"/>
          <w:szCs w:val="16"/>
        </w:rPr>
        <w:footnoteRef/>
      </w:r>
      <w:r w:rsidRPr="00CB145C">
        <w:rPr>
          <w:rFonts w:ascii="Arial" w:hAnsi="Arial" w:cs="Arial"/>
          <w:sz w:val="16"/>
          <w:szCs w:val="16"/>
        </w:rPr>
        <w:t xml:space="preserve"> </w:t>
      </w:r>
      <w:r w:rsidRPr="00CB145C">
        <w:rPr>
          <w:rFonts w:ascii="Arial" w:hAnsi="Arial" w:cs="Arial"/>
          <w:sz w:val="16"/>
          <w:szCs w:val="16"/>
          <w:lang w:val="en-CA"/>
        </w:rPr>
        <w:t xml:space="preserve">PCF, at 6-7.  </w:t>
      </w:r>
    </w:p>
  </w:footnote>
  <w:footnote w:id="8">
    <w:p w:rsidRPr="00CB145C" w:rsidR="00CD2416" w:rsidP="52E72AA2" w:rsidRDefault="00CD2416" w14:paraId="2223C481" w14:textId="77777777">
      <w:pPr>
        <w:pStyle w:val="FootnoteText"/>
        <w:rPr>
          <w:rFonts w:ascii="Arial" w:hAnsi="Arial" w:cs="Arial"/>
          <w:sz w:val="16"/>
          <w:szCs w:val="16"/>
          <w:lang w:val="en-CA"/>
        </w:rPr>
      </w:pPr>
      <w:r w:rsidRPr="00CB145C">
        <w:rPr>
          <w:rStyle w:val="FootnoteReference"/>
          <w:rFonts w:ascii="Arial" w:hAnsi="Arial" w:cs="Arial"/>
          <w:sz w:val="16"/>
          <w:szCs w:val="16"/>
        </w:rPr>
        <w:footnoteRef/>
      </w:r>
      <w:r w:rsidRPr="00CB145C" w:rsidR="52E72AA2">
        <w:rPr>
          <w:rFonts w:ascii="Arial" w:hAnsi="Arial" w:cs="Arial"/>
          <w:sz w:val="16"/>
          <w:szCs w:val="16"/>
        </w:rPr>
        <w:t xml:space="preserve"> </w:t>
      </w:r>
    </w:p>
    <w:p w:rsidRPr="00CB145C" w:rsidR="00CD2416" w:rsidP="00CD2416" w:rsidRDefault="52E72AA2" w14:paraId="6E971731" w14:textId="77777777">
      <w:pPr>
        <w:pStyle w:val="FootnoteText"/>
        <w:rPr>
          <w:rFonts w:ascii="Arial" w:hAnsi="Arial" w:cs="Arial"/>
          <w:sz w:val="16"/>
          <w:szCs w:val="16"/>
          <w:lang w:val="en-CA"/>
        </w:rPr>
      </w:pPr>
      <w:r w:rsidRPr="52E72AA2">
        <w:rPr>
          <w:rFonts w:ascii="Arial" w:hAnsi="Arial" w:cs="Arial"/>
          <w:i/>
          <w:iCs/>
          <w:sz w:val="16"/>
          <w:szCs w:val="16"/>
        </w:rPr>
        <w:t>References re Greenhouse Gas Pollution Pricing Act</w:t>
      </w:r>
      <w:r w:rsidRPr="00CB145C">
        <w:rPr>
          <w:rFonts w:ascii="Arial" w:hAnsi="Arial" w:cs="Arial"/>
          <w:sz w:val="16"/>
          <w:szCs w:val="16"/>
        </w:rPr>
        <w:t>, 2021 SCC 11.</w:t>
      </w:r>
    </w:p>
  </w:footnote>
  <w:footnote w:id="9">
    <w:p w:rsidRPr="00CB145C" w:rsidR="00DC06C6" w:rsidP="00DC06C6" w:rsidRDefault="00DC06C6" w14:paraId="320DACB4" w14:textId="77777777">
      <w:pPr>
        <w:pStyle w:val="FootnoteText"/>
        <w:rPr>
          <w:rFonts w:ascii="Arial" w:hAnsi="Arial" w:cs="Arial"/>
          <w:sz w:val="16"/>
          <w:szCs w:val="16"/>
          <w:lang w:val="en-CA"/>
        </w:rPr>
      </w:pPr>
      <w:r w:rsidRPr="00CB145C">
        <w:rPr>
          <w:rStyle w:val="FootnoteReference"/>
          <w:rFonts w:ascii="Arial" w:hAnsi="Arial" w:cs="Arial"/>
          <w:sz w:val="16"/>
          <w:szCs w:val="16"/>
        </w:rPr>
        <w:footnoteRef/>
      </w:r>
      <w:r w:rsidRPr="00CB145C" w:rsidR="1A456281">
        <w:rPr>
          <w:rFonts w:ascii="Arial" w:hAnsi="Arial" w:cs="Arial"/>
          <w:sz w:val="16"/>
          <w:szCs w:val="16"/>
        </w:rPr>
        <w:t xml:space="preserve"> </w:t>
      </w:r>
      <w:r w:rsidRPr="1A456281" w:rsidR="1A456281">
        <w:rPr>
          <w:rFonts w:ascii="Arial" w:hAnsi="Arial" w:cs="Arial"/>
          <w:i/>
          <w:iCs/>
          <w:sz w:val="16"/>
          <w:szCs w:val="16"/>
        </w:rPr>
        <w:t>Greenhouse Gas Pollution Pricing Act</w:t>
      </w:r>
      <w:r w:rsidRPr="00CB145C" w:rsidR="1A456281">
        <w:rPr>
          <w:rFonts w:ascii="Arial" w:hAnsi="Arial" w:cs="Arial"/>
          <w:sz w:val="16"/>
          <w:szCs w:val="16"/>
        </w:rPr>
        <w:t>, S.C. 2018, c. 12, s. 186, preamble. [GHG PPA]</w:t>
      </w:r>
    </w:p>
  </w:footnote>
  <w:footnote w:id="10">
    <w:p w:rsidRPr="00CB145C" w:rsidR="00CD2416" w:rsidP="00CD2416" w:rsidRDefault="00CD2416" w14:paraId="3561ACC9" w14:textId="77777777">
      <w:pPr>
        <w:pStyle w:val="FootnoteText"/>
        <w:rPr>
          <w:rFonts w:ascii="Arial" w:hAnsi="Arial" w:cs="Arial"/>
          <w:sz w:val="16"/>
          <w:szCs w:val="16"/>
          <w:lang w:val="en-CA"/>
        </w:rPr>
      </w:pPr>
      <w:r w:rsidRPr="00CB145C">
        <w:rPr>
          <w:rStyle w:val="FootnoteReference"/>
          <w:rFonts w:ascii="Arial" w:hAnsi="Arial" w:cs="Arial"/>
          <w:sz w:val="16"/>
          <w:szCs w:val="16"/>
        </w:rPr>
        <w:footnoteRef/>
      </w:r>
      <w:r w:rsidRPr="00CB145C">
        <w:rPr>
          <w:rFonts w:ascii="Arial" w:hAnsi="Arial" w:cs="Arial"/>
          <w:sz w:val="16"/>
          <w:szCs w:val="16"/>
        </w:rPr>
        <w:t xml:space="preserve"> Government of Canada, Canada’s 2021 Nationally Determined Contribution Under the Paris Agreement (2021), online: &lt;www4.unfccc.int/sites/ndcstaging/PublishedDocuments/Canada%20First/Canada%27s%20Enhanced%20NDC%20Submission1_FINAL%20EN.pdf&gt;.</w:t>
      </w:r>
    </w:p>
  </w:footnote>
  <w:footnote w:id="11">
    <w:p w:rsidRPr="00CB145C" w:rsidR="00CD2416" w:rsidP="00CD2416" w:rsidRDefault="00CD2416" w14:paraId="329C80BC" w14:textId="77777777">
      <w:pPr>
        <w:pStyle w:val="FootnoteText"/>
        <w:rPr>
          <w:rFonts w:ascii="Arial" w:hAnsi="Arial" w:cs="Arial"/>
          <w:sz w:val="16"/>
          <w:szCs w:val="16"/>
          <w:lang w:val="en-CA"/>
        </w:rPr>
      </w:pPr>
      <w:r w:rsidRPr="00CB145C">
        <w:rPr>
          <w:rStyle w:val="FootnoteReference"/>
          <w:rFonts w:ascii="Arial" w:hAnsi="Arial" w:cs="Arial"/>
          <w:sz w:val="16"/>
          <w:szCs w:val="16"/>
        </w:rPr>
        <w:footnoteRef/>
      </w:r>
      <w:r w:rsidRPr="00CB145C">
        <w:rPr>
          <w:rFonts w:ascii="Arial" w:hAnsi="Arial" w:cs="Arial"/>
          <w:sz w:val="16"/>
          <w:szCs w:val="16"/>
        </w:rPr>
        <w:t xml:space="preserve"> GHG PPA, Sec 40-41, 55-63, 68, </w:t>
      </w:r>
    </w:p>
  </w:footnote>
  <w:footnote w:id="12">
    <w:p w:rsidRPr="00CB145C" w:rsidR="00CD2416" w:rsidP="00CD2416" w:rsidRDefault="00CD2416" w14:paraId="390381F1" w14:textId="77777777">
      <w:pPr>
        <w:pStyle w:val="FootnoteText"/>
        <w:rPr>
          <w:rFonts w:ascii="Arial" w:hAnsi="Arial" w:cs="Arial"/>
          <w:sz w:val="16"/>
          <w:szCs w:val="16"/>
          <w:lang w:val="en-CA"/>
        </w:rPr>
      </w:pPr>
      <w:r w:rsidRPr="00CB145C">
        <w:rPr>
          <w:rStyle w:val="FootnoteReference"/>
          <w:rFonts w:ascii="Arial" w:hAnsi="Arial" w:cs="Arial"/>
          <w:sz w:val="16"/>
          <w:szCs w:val="16"/>
        </w:rPr>
        <w:footnoteRef/>
      </w:r>
      <w:r w:rsidRPr="00CB145C">
        <w:rPr>
          <w:rFonts w:ascii="Arial" w:hAnsi="Arial" w:cs="Arial"/>
          <w:sz w:val="16"/>
          <w:szCs w:val="16"/>
        </w:rPr>
        <w:t xml:space="preserve"> GHG PPA, Sec 17-35, 165, 168, Schedule 2; </w:t>
      </w:r>
      <w:r w:rsidRPr="00CB145C">
        <w:rPr>
          <w:rFonts w:ascii="Arial" w:hAnsi="Arial" w:cs="Arial"/>
          <w:i/>
          <w:iCs/>
          <w:sz w:val="16"/>
          <w:szCs w:val="16"/>
        </w:rPr>
        <w:t>Fuel Charge Regulations</w:t>
      </w:r>
      <w:r w:rsidRPr="00CB145C">
        <w:rPr>
          <w:rFonts w:ascii="Arial" w:hAnsi="Arial" w:cs="Arial"/>
          <w:sz w:val="16"/>
          <w:szCs w:val="16"/>
        </w:rPr>
        <w:t xml:space="preserve"> (2018, c. 12, s. 187)</w:t>
      </w:r>
    </w:p>
  </w:footnote>
  <w:footnote w:id="13">
    <w:p w:rsidRPr="00CB145C" w:rsidR="00CD2416" w:rsidP="00CD2416" w:rsidRDefault="00CD2416" w14:paraId="569CC5A1" w14:textId="77777777">
      <w:pPr>
        <w:pStyle w:val="FootnoteText"/>
        <w:rPr>
          <w:rFonts w:ascii="Arial" w:hAnsi="Arial" w:cs="Arial"/>
          <w:sz w:val="16"/>
          <w:szCs w:val="16"/>
          <w:lang w:val="en-CA"/>
        </w:rPr>
      </w:pPr>
      <w:r w:rsidRPr="00CB145C">
        <w:rPr>
          <w:rStyle w:val="FootnoteReference"/>
          <w:rFonts w:ascii="Arial" w:hAnsi="Arial" w:cs="Arial"/>
          <w:sz w:val="16"/>
          <w:szCs w:val="16"/>
        </w:rPr>
        <w:footnoteRef/>
      </w:r>
      <w:r w:rsidRPr="00CB145C">
        <w:rPr>
          <w:rFonts w:ascii="Arial" w:hAnsi="Arial" w:cs="Arial"/>
          <w:sz w:val="16"/>
          <w:szCs w:val="16"/>
        </w:rPr>
        <w:t xml:space="preserve"> GHG PPA, Schedule 2, Table 1-4; Includes: </w:t>
      </w:r>
      <w:r w:rsidRPr="00CB145C">
        <w:rPr>
          <w:rFonts w:ascii="Arial" w:hAnsi="Arial" w:cs="Arial"/>
          <w:sz w:val="16"/>
          <w:szCs w:val="16"/>
          <w:shd w:val="clear" w:color="auto" w:fill="FFFFFF"/>
        </w:rPr>
        <w:t xml:space="preserve">aviation gasoline, aviation turbo fuel, butane, ethane, gas liquids, gasoline, heavy fuel oil, kerosene, light fuel oil, methanol, naphtha, petroleum coke, pentanes plus, propane, coke oven gas, marketable natural gas, non-marketable natural gas, still gas, coke, high heat value coal, low heat value coal, and combustible waste. </w:t>
      </w:r>
      <w:r w:rsidRPr="00CB145C">
        <w:rPr>
          <w:rFonts w:ascii="Arial" w:hAnsi="Arial" w:cs="Arial"/>
          <w:sz w:val="16"/>
          <w:szCs w:val="16"/>
          <w:shd w:val="clear" w:color="auto" w:fill="FFFFFF"/>
        </w:rPr>
        <w:tab/>
      </w:r>
    </w:p>
  </w:footnote>
  <w:footnote w:id="14">
    <w:p w:rsidRPr="00CB145C" w:rsidR="00CD2416" w:rsidP="00CD2416" w:rsidRDefault="00CD2416" w14:paraId="57568B7A" w14:textId="77777777">
      <w:pPr>
        <w:pStyle w:val="FootnoteText"/>
        <w:rPr>
          <w:rFonts w:ascii="Arial" w:hAnsi="Arial" w:cs="Arial"/>
          <w:sz w:val="16"/>
          <w:szCs w:val="16"/>
          <w:lang w:val="en-CA"/>
        </w:rPr>
      </w:pPr>
      <w:r w:rsidRPr="00CB145C">
        <w:rPr>
          <w:rStyle w:val="FootnoteReference"/>
          <w:rFonts w:ascii="Arial" w:hAnsi="Arial" w:cs="Arial"/>
          <w:sz w:val="16"/>
          <w:szCs w:val="16"/>
        </w:rPr>
        <w:footnoteRef/>
      </w:r>
      <w:r w:rsidRPr="00CB145C">
        <w:rPr>
          <w:rFonts w:ascii="Arial" w:hAnsi="Arial" w:cs="Arial"/>
          <w:sz w:val="16"/>
          <w:szCs w:val="16"/>
        </w:rPr>
        <w:t xml:space="preserve"> GHG PPA, Schedule 2, Table 4.</w:t>
      </w:r>
    </w:p>
  </w:footnote>
  <w:footnote w:id="15">
    <w:p w:rsidRPr="00CB145C" w:rsidR="00CD2416" w:rsidP="00CD2416" w:rsidRDefault="00CD2416" w14:paraId="2E31A6EE" w14:textId="77777777">
      <w:pPr>
        <w:pStyle w:val="FootnoteText"/>
        <w:rPr>
          <w:rFonts w:ascii="Arial" w:hAnsi="Arial" w:cs="Arial"/>
          <w:sz w:val="16"/>
          <w:szCs w:val="16"/>
          <w:lang w:val="en-CA"/>
        </w:rPr>
      </w:pPr>
      <w:r w:rsidRPr="00CB145C">
        <w:rPr>
          <w:rStyle w:val="FootnoteReference"/>
          <w:rFonts w:ascii="Arial" w:hAnsi="Arial" w:cs="Arial"/>
          <w:sz w:val="16"/>
          <w:szCs w:val="16"/>
        </w:rPr>
        <w:footnoteRef/>
      </w:r>
      <w:r w:rsidRPr="00CB145C">
        <w:rPr>
          <w:rFonts w:ascii="Arial" w:hAnsi="Arial" w:cs="Arial"/>
          <w:sz w:val="16"/>
          <w:szCs w:val="16"/>
        </w:rPr>
        <w:t xml:space="preserve"> GHG PPA, Sec 168, 171, 173-174; </w:t>
      </w:r>
      <w:r w:rsidRPr="00CB145C">
        <w:rPr>
          <w:rFonts w:ascii="Arial" w:hAnsi="Arial" w:cs="Arial"/>
          <w:i/>
          <w:iCs/>
          <w:sz w:val="16"/>
          <w:szCs w:val="16"/>
        </w:rPr>
        <w:t>Output-Based Pricing System Regulations</w:t>
      </w:r>
      <w:r w:rsidRPr="00CB145C">
        <w:rPr>
          <w:rFonts w:ascii="Arial" w:hAnsi="Arial" w:cs="Arial"/>
          <w:sz w:val="16"/>
          <w:szCs w:val="16"/>
        </w:rPr>
        <w:t xml:space="preserve"> (SOR/2019-266), Sec 8-9.</w:t>
      </w:r>
    </w:p>
  </w:footnote>
  <w:footnote w:id="16">
    <w:p w:rsidRPr="00CB145C" w:rsidR="00CD2416" w:rsidP="00CD2416" w:rsidRDefault="00CD2416" w14:paraId="41DDC99C" w14:textId="77777777">
      <w:pPr>
        <w:pStyle w:val="FootnoteText"/>
        <w:rPr>
          <w:rFonts w:ascii="Arial" w:hAnsi="Arial" w:cs="Arial"/>
          <w:sz w:val="16"/>
          <w:szCs w:val="16"/>
          <w:lang w:val="en-CA"/>
        </w:rPr>
      </w:pPr>
      <w:r w:rsidRPr="00CB145C">
        <w:rPr>
          <w:rStyle w:val="FootnoteReference"/>
          <w:rFonts w:ascii="Arial" w:hAnsi="Arial" w:cs="Arial"/>
          <w:sz w:val="16"/>
          <w:szCs w:val="16"/>
        </w:rPr>
        <w:footnoteRef/>
      </w:r>
      <w:r w:rsidRPr="00CB145C">
        <w:rPr>
          <w:rFonts w:ascii="Arial" w:hAnsi="Arial" w:cs="Arial"/>
          <w:sz w:val="16"/>
          <w:szCs w:val="16"/>
        </w:rPr>
        <w:t xml:space="preserve"> GHG PPA, Sec 179-181, 185. </w:t>
      </w:r>
    </w:p>
  </w:footnote>
  <w:footnote w:id="17">
    <w:p w:rsidRPr="00CB145C" w:rsidR="00CD2416" w:rsidP="00CD2416" w:rsidRDefault="00CD2416" w14:paraId="748C34A5" w14:textId="77777777">
      <w:pPr>
        <w:pStyle w:val="FootnoteText"/>
        <w:rPr>
          <w:rFonts w:ascii="Arial" w:hAnsi="Arial" w:cs="Arial"/>
          <w:sz w:val="16"/>
          <w:szCs w:val="16"/>
          <w:lang w:val="en-CA"/>
        </w:rPr>
      </w:pPr>
      <w:r w:rsidRPr="00CB145C">
        <w:rPr>
          <w:rStyle w:val="FootnoteReference"/>
          <w:rFonts w:ascii="Arial" w:hAnsi="Arial" w:cs="Arial"/>
          <w:sz w:val="16"/>
          <w:szCs w:val="16"/>
        </w:rPr>
        <w:footnoteRef/>
      </w:r>
      <w:r w:rsidRPr="00CB145C">
        <w:rPr>
          <w:rFonts w:ascii="Arial" w:hAnsi="Arial" w:cs="Arial"/>
          <w:sz w:val="16"/>
          <w:szCs w:val="16"/>
        </w:rPr>
        <w:t xml:space="preserve"> GHG PPA, 170, Schedule 3-4. </w:t>
      </w:r>
    </w:p>
  </w:footnote>
  <w:footnote w:id="18">
    <w:p w:rsidRPr="00CB145C" w:rsidR="00CD2416" w:rsidP="00CD2416" w:rsidRDefault="00CD2416" w14:paraId="41CC8904" w14:textId="77777777">
      <w:pPr>
        <w:pStyle w:val="FootnoteText"/>
        <w:rPr>
          <w:rFonts w:ascii="Arial" w:hAnsi="Arial" w:cs="Arial"/>
          <w:sz w:val="16"/>
          <w:szCs w:val="16"/>
          <w:lang w:val="en-CA"/>
        </w:rPr>
      </w:pPr>
      <w:r w:rsidRPr="00CB145C">
        <w:rPr>
          <w:rStyle w:val="FootnoteReference"/>
          <w:rFonts w:ascii="Arial" w:hAnsi="Arial" w:cs="Arial"/>
          <w:sz w:val="16"/>
          <w:szCs w:val="16"/>
        </w:rPr>
        <w:footnoteRef/>
      </w:r>
      <w:r w:rsidRPr="00CB145C">
        <w:rPr>
          <w:rFonts w:ascii="Arial" w:hAnsi="Arial" w:cs="Arial"/>
          <w:i/>
          <w:iCs/>
          <w:sz w:val="16"/>
          <w:szCs w:val="16"/>
        </w:rPr>
        <w:t xml:space="preserve">Carbon Tax, </w:t>
      </w:r>
      <w:r w:rsidRPr="00CB145C">
        <w:rPr>
          <w:rFonts w:ascii="Arial" w:hAnsi="Arial" w:cs="Arial"/>
          <w:sz w:val="16"/>
          <w:szCs w:val="16"/>
        </w:rPr>
        <w:t>SBC 2008, c.40, Schedule 1-2.</w:t>
      </w:r>
    </w:p>
  </w:footnote>
  <w:footnote w:id="19">
    <w:p w:rsidRPr="00CB145C" w:rsidR="00CD2416" w:rsidP="00CD2416" w:rsidRDefault="00CD2416" w14:paraId="5EB127A8" w14:textId="77777777">
      <w:pPr>
        <w:pStyle w:val="FootnoteText"/>
        <w:rPr>
          <w:rFonts w:ascii="Arial" w:hAnsi="Arial" w:cs="Arial"/>
          <w:sz w:val="16"/>
          <w:szCs w:val="16"/>
          <w:lang w:val="en-CA"/>
        </w:rPr>
      </w:pPr>
      <w:r w:rsidRPr="00CB145C">
        <w:rPr>
          <w:rStyle w:val="FootnoteReference"/>
          <w:rFonts w:ascii="Arial" w:hAnsi="Arial" w:cs="Arial"/>
          <w:sz w:val="16"/>
          <w:szCs w:val="16"/>
        </w:rPr>
        <w:footnoteRef/>
      </w:r>
      <w:r w:rsidRPr="00CB145C">
        <w:rPr>
          <w:rFonts w:ascii="Arial" w:hAnsi="Arial" w:cs="Arial"/>
          <w:sz w:val="16"/>
          <w:szCs w:val="16"/>
        </w:rPr>
        <w:t xml:space="preserve"> </w:t>
      </w:r>
      <w:r w:rsidRPr="00CB145C">
        <w:rPr>
          <w:rFonts w:ascii="Arial" w:hAnsi="Arial" w:cs="Arial"/>
          <w:i/>
          <w:iCs/>
          <w:sz w:val="16"/>
          <w:szCs w:val="16"/>
        </w:rPr>
        <w:t>Greenhouse Gas Industrial Reporting and Control Act</w:t>
      </w:r>
      <w:r w:rsidRPr="00CB145C">
        <w:rPr>
          <w:rFonts w:ascii="Arial" w:hAnsi="Arial" w:cs="Arial"/>
          <w:sz w:val="16"/>
          <w:szCs w:val="16"/>
        </w:rPr>
        <w:t xml:space="preserve">, SBC 2014, c.29; </w:t>
      </w:r>
      <w:r w:rsidRPr="00CB145C">
        <w:rPr>
          <w:rFonts w:ascii="Arial" w:hAnsi="Arial" w:cs="Arial"/>
          <w:i/>
          <w:iCs/>
          <w:sz w:val="16"/>
          <w:szCs w:val="16"/>
        </w:rPr>
        <w:t>Greenhouse Gas Emission Reporting Regulation</w:t>
      </w:r>
      <w:r w:rsidRPr="00CB145C">
        <w:rPr>
          <w:rFonts w:ascii="Arial" w:hAnsi="Arial" w:cs="Arial"/>
          <w:sz w:val="16"/>
          <w:szCs w:val="16"/>
        </w:rPr>
        <w:t xml:space="preserve"> (B.C. Reg. 249/2015) [GGERR]; </w:t>
      </w:r>
      <w:r w:rsidRPr="00CB145C">
        <w:rPr>
          <w:rFonts w:ascii="Arial" w:hAnsi="Arial" w:cs="Arial"/>
          <w:i/>
          <w:iCs/>
          <w:sz w:val="16"/>
          <w:szCs w:val="16"/>
        </w:rPr>
        <w:t>Greenhouse Gas Emission Control Regulation</w:t>
      </w:r>
      <w:r w:rsidRPr="00CB145C">
        <w:rPr>
          <w:rFonts w:ascii="Arial" w:hAnsi="Arial" w:cs="Arial"/>
          <w:sz w:val="16"/>
          <w:szCs w:val="16"/>
        </w:rPr>
        <w:t xml:space="preserve"> (</w:t>
      </w:r>
      <w:r w:rsidRPr="00CB145C">
        <w:rPr>
          <w:rFonts w:ascii="Arial" w:hAnsi="Arial" w:cs="Arial"/>
          <w:sz w:val="16"/>
          <w:szCs w:val="16"/>
          <w:shd w:val="clear" w:color="auto" w:fill="FFFFFF"/>
        </w:rPr>
        <w:t>B.C. Reg. 250/2015)</w:t>
      </w:r>
      <w:r w:rsidRPr="00CB145C">
        <w:rPr>
          <w:rFonts w:ascii="Arial" w:hAnsi="Arial" w:cs="Arial"/>
          <w:sz w:val="16"/>
          <w:szCs w:val="16"/>
        </w:rPr>
        <w:t xml:space="preserve">; </w:t>
      </w:r>
      <w:r w:rsidRPr="00CB145C">
        <w:rPr>
          <w:rFonts w:ascii="Arial" w:hAnsi="Arial" w:cs="Arial"/>
          <w:i/>
          <w:iCs/>
          <w:sz w:val="16"/>
          <w:szCs w:val="16"/>
        </w:rPr>
        <w:t>Greenhouse Gas Emission Administrative Penalties and Appeals Regulation</w:t>
      </w:r>
      <w:r w:rsidRPr="00CB145C">
        <w:rPr>
          <w:rFonts w:ascii="Arial" w:hAnsi="Arial" w:cs="Arial"/>
          <w:sz w:val="16"/>
          <w:szCs w:val="16"/>
        </w:rPr>
        <w:t xml:space="preserve"> (</w:t>
      </w:r>
      <w:r w:rsidRPr="00CB145C">
        <w:rPr>
          <w:rFonts w:ascii="Arial" w:hAnsi="Arial" w:eastAsia="Times New Roman" w:cs="Arial"/>
          <w:sz w:val="16"/>
          <w:szCs w:val="16"/>
          <w:lang w:val="en-CA" w:eastAsia="en-CA"/>
        </w:rPr>
        <w:t>B.C. Reg. 248/2015)</w:t>
      </w:r>
      <w:r w:rsidRPr="00CB145C">
        <w:rPr>
          <w:rFonts w:ascii="Arial" w:hAnsi="Arial" w:cs="Arial"/>
          <w:sz w:val="16"/>
          <w:szCs w:val="16"/>
        </w:rPr>
        <w:t xml:space="preserve">; </w:t>
      </w:r>
      <w:r w:rsidRPr="00CB145C">
        <w:rPr>
          <w:rFonts w:ascii="Arial" w:hAnsi="Arial" w:cs="Arial"/>
          <w:i/>
          <w:iCs/>
          <w:sz w:val="16"/>
          <w:szCs w:val="16"/>
        </w:rPr>
        <w:t>Zero-Emission Vehicles Act</w:t>
      </w:r>
      <w:r w:rsidRPr="00CB145C">
        <w:rPr>
          <w:rFonts w:ascii="Arial" w:hAnsi="Arial" w:cs="Arial"/>
          <w:sz w:val="16"/>
          <w:szCs w:val="16"/>
        </w:rPr>
        <w:t xml:space="preserve"> SBC 2019, c 29; </w:t>
      </w:r>
      <w:r w:rsidRPr="00CB145C">
        <w:rPr>
          <w:rFonts w:ascii="Arial" w:hAnsi="Arial" w:cs="Arial"/>
          <w:i/>
          <w:iCs/>
          <w:sz w:val="16"/>
          <w:szCs w:val="16"/>
        </w:rPr>
        <w:t>Greenhouse Gas Reduction (Emissions Standards) Statutes Amendment Act</w:t>
      </w:r>
      <w:r w:rsidRPr="00CB145C">
        <w:rPr>
          <w:rFonts w:ascii="Arial" w:hAnsi="Arial" w:cs="Arial"/>
          <w:sz w:val="16"/>
          <w:szCs w:val="16"/>
        </w:rPr>
        <w:t xml:space="preserve"> (Bill 31, 2008); </w:t>
      </w:r>
      <w:r w:rsidRPr="00CB145C">
        <w:rPr>
          <w:rFonts w:ascii="Arial" w:hAnsi="Arial" w:cs="Arial"/>
          <w:i/>
          <w:iCs/>
          <w:sz w:val="16"/>
          <w:szCs w:val="16"/>
        </w:rPr>
        <w:t xml:space="preserve">Landfill Gas Management Regulation </w:t>
      </w:r>
      <w:r w:rsidRPr="00CB145C">
        <w:rPr>
          <w:rFonts w:ascii="Arial" w:hAnsi="Arial" w:cs="Arial"/>
          <w:sz w:val="16"/>
          <w:szCs w:val="16"/>
        </w:rPr>
        <w:t xml:space="preserve">(B.C. Reg. 391/2008); </w:t>
      </w:r>
      <w:r w:rsidRPr="00CB145C">
        <w:rPr>
          <w:rFonts w:ascii="Arial" w:hAnsi="Arial" w:cs="Arial"/>
          <w:i/>
          <w:iCs/>
          <w:sz w:val="16"/>
          <w:szCs w:val="16"/>
        </w:rPr>
        <w:t xml:space="preserve">Greenhouse Gas Reduction (Renewable and Low Carbon Fuel Requirements) Act, </w:t>
      </w:r>
      <w:r w:rsidRPr="00CB145C">
        <w:rPr>
          <w:rFonts w:ascii="Arial" w:hAnsi="Arial" w:cs="Arial"/>
          <w:sz w:val="16"/>
          <w:szCs w:val="16"/>
        </w:rPr>
        <w:t xml:space="preserve">SBC 2008 c.16; </w:t>
      </w:r>
      <w:r w:rsidRPr="00CB145C">
        <w:rPr>
          <w:rFonts w:ascii="Arial" w:hAnsi="Arial" w:cs="Arial"/>
          <w:i/>
          <w:iCs/>
          <w:sz w:val="16"/>
          <w:szCs w:val="16"/>
        </w:rPr>
        <w:t>Renewable and Low Carbon Fuel Requirements Regulation</w:t>
      </w:r>
      <w:r w:rsidRPr="00CB145C">
        <w:rPr>
          <w:rFonts w:ascii="Arial" w:hAnsi="Arial" w:cs="Arial"/>
          <w:sz w:val="16"/>
          <w:szCs w:val="16"/>
        </w:rPr>
        <w:t xml:space="preserve"> (B.C. Reg. 394/2008); </w:t>
      </w:r>
      <w:r w:rsidRPr="00CB145C">
        <w:rPr>
          <w:rFonts w:ascii="Arial" w:hAnsi="Arial" w:cs="Arial"/>
          <w:i/>
          <w:iCs/>
          <w:sz w:val="16"/>
          <w:szCs w:val="16"/>
        </w:rPr>
        <w:t>Climate Change Accountability Act</w:t>
      </w:r>
      <w:r w:rsidRPr="00CB145C">
        <w:rPr>
          <w:rFonts w:ascii="Arial" w:hAnsi="Arial" w:cs="Arial"/>
          <w:sz w:val="16"/>
          <w:szCs w:val="16"/>
        </w:rPr>
        <w:t xml:space="preserve">, SBC 2007, c.42; </w:t>
      </w:r>
      <w:r w:rsidRPr="00CB145C">
        <w:rPr>
          <w:rFonts w:ascii="Arial" w:hAnsi="Arial" w:cs="Arial"/>
          <w:i/>
          <w:iCs/>
          <w:sz w:val="16"/>
          <w:szCs w:val="16"/>
        </w:rPr>
        <w:t>Clean Energy Act</w:t>
      </w:r>
      <w:r w:rsidRPr="00CB145C">
        <w:rPr>
          <w:rFonts w:ascii="Arial" w:hAnsi="Arial" w:cs="Arial"/>
          <w:sz w:val="16"/>
          <w:szCs w:val="16"/>
        </w:rPr>
        <w:t xml:space="preserve">, SBC 2010, c.22; </w:t>
      </w:r>
      <w:r w:rsidRPr="00CB145C">
        <w:rPr>
          <w:rFonts w:ascii="Arial" w:hAnsi="Arial" w:cs="Arial"/>
          <w:i/>
          <w:iCs/>
          <w:sz w:val="16"/>
          <w:szCs w:val="16"/>
        </w:rPr>
        <w:t>Energy Objectives Regulation</w:t>
      </w:r>
      <w:r w:rsidRPr="00CB145C">
        <w:rPr>
          <w:rFonts w:ascii="Arial" w:hAnsi="Arial" w:cs="Arial"/>
          <w:sz w:val="16"/>
          <w:szCs w:val="16"/>
        </w:rPr>
        <w:t xml:space="preserve"> (B.C. Reg. 234/2012 ); </w:t>
      </w:r>
      <w:r w:rsidRPr="00CB145C">
        <w:rPr>
          <w:rFonts w:ascii="Arial" w:hAnsi="Arial" w:cs="Arial"/>
          <w:i/>
          <w:iCs/>
          <w:sz w:val="16"/>
          <w:szCs w:val="16"/>
        </w:rPr>
        <w:t>Clean or Renewable Resource Regulation</w:t>
      </w:r>
      <w:r w:rsidRPr="00CB145C">
        <w:rPr>
          <w:rFonts w:ascii="Arial" w:hAnsi="Arial" w:cs="Arial"/>
          <w:sz w:val="16"/>
          <w:szCs w:val="16"/>
        </w:rPr>
        <w:t xml:space="preserve"> (B.C. Reg. 291/2010); </w:t>
      </w:r>
      <w:r w:rsidRPr="00CB145C">
        <w:rPr>
          <w:rFonts w:ascii="Arial" w:hAnsi="Arial" w:cs="Arial"/>
          <w:i/>
          <w:iCs/>
          <w:sz w:val="16"/>
          <w:szCs w:val="16"/>
        </w:rPr>
        <w:t>Carbon Neutral Government Regulation</w:t>
      </w:r>
      <w:r w:rsidRPr="00CB145C">
        <w:rPr>
          <w:rFonts w:ascii="Arial" w:hAnsi="Arial" w:cs="Arial"/>
          <w:sz w:val="16"/>
          <w:szCs w:val="16"/>
        </w:rPr>
        <w:t xml:space="preserve">, B.C. Reg. 392/2008; BC, Climate Leadership Plan (2016); BC, Clean BC Strategy (2018); Climate Solutions and Clean Growth Advisory Council (2018).  </w:t>
      </w:r>
    </w:p>
  </w:footnote>
  <w:footnote w:id="20">
    <w:p w:rsidRPr="00CB145C" w:rsidR="00CD2416" w:rsidP="00CD2416" w:rsidRDefault="00CD2416" w14:paraId="4D4B43A1" w14:textId="77777777">
      <w:pPr>
        <w:pStyle w:val="FootnoteText"/>
        <w:rPr>
          <w:rFonts w:ascii="Arial" w:hAnsi="Arial" w:cs="Arial"/>
          <w:sz w:val="16"/>
          <w:szCs w:val="16"/>
          <w:lang w:val="en-CA"/>
        </w:rPr>
      </w:pPr>
      <w:r w:rsidRPr="00CB145C">
        <w:rPr>
          <w:rStyle w:val="FootnoteReference"/>
          <w:rFonts w:ascii="Arial" w:hAnsi="Arial" w:cs="Arial"/>
          <w:sz w:val="16"/>
          <w:szCs w:val="16"/>
        </w:rPr>
        <w:footnoteRef/>
      </w:r>
      <w:r w:rsidRPr="00CB145C">
        <w:rPr>
          <w:rFonts w:ascii="Arial" w:hAnsi="Arial" w:cs="Arial"/>
          <w:sz w:val="16"/>
          <w:szCs w:val="16"/>
        </w:rPr>
        <w:t xml:space="preserve"> </w:t>
      </w:r>
      <w:r w:rsidRPr="00CB145C">
        <w:rPr>
          <w:rFonts w:ascii="Arial" w:hAnsi="Arial" w:cs="Arial"/>
          <w:i/>
          <w:iCs/>
          <w:sz w:val="16"/>
          <w:szCs w:val="16"/>
        </w:rPr>
        <w:t>Climate Change Accountability Act</w:t>
      </w:r>
      <w:r w:rsidRPr="00CB145C">
        <w:rPr>
          <w:rFonts w:ascii="Arial" w:hAnsi="Arial" w:cs="Arial"/>
          <w:sz w:val="16"/>
          <w:szCs w:val="16"/>
        </w:rPr>
        <w:t xml:space="preserve">, SBC 2007, Ch 42, Sec 2-3, 5-6 [CCAA]; </w:t>
      </w:r>
      <w:r w:rsidRPr="00CB145C">
        <w:rPr>
          <w:rFonts w:ascii="Arial" w:hAnsi="Arial" w:cs="Arial"/>
          <w:i/>
          <w:iCs/>
          <w:sz w:val="16"/>
          <w:szCs w:val="16"/>
        </w:rPr>
        <w:t>Carbon Neutral Government Regulation</w:t>
      </w:r>
      <w:r w:rsidRPr="00CB145C">
        <w:rPr>
          <w:rFonts w:ascii="Arial" w:hAnsi="Arial" w:cs="Arial"/>
          <w:sz w:val="16"/>
          <w:szCs w:val="16"/>
        </w:rPr>
        <w:t>, B.C. Reg. 392/2008.</w:t>
      </w:r>
    </w:p>
  </w:footnote>
  <w:footnote w:id="21">
    <w:p w:rsidRPr="00CB145C" w:rsidR="00CD2416" w:rsidP="00CD2416" w:rsidRDefault="00CD2416" w14:paraId="5B6E4B08" w14:textId="77777777">
      <w:pPr>
        <w:pStyle w:val="FootnoteText"/>
        <w:rPr>
          <w:rFonts w:ascii="Arial" w:hAnsi="Arial" w:cs="Arial"/>
          <w:sz w:val="16"/>
          <w:szCs w:val="16"/>
          <w:lang w:val="en-CA"/>
        </w:rPr>
      </w:pPr>
      <w:r w:rsidRPr="00CB145C">
        <w:rPr>
          <w:rStyle w:val="FootnoteReference"/>
          <w:rFonts w:ascii="Arial" w:hAnsi="Arial" w:cs="Arial"/>
          <w:sz w:val="16"/>
          <w:szCs w:val="16"/>
        </w:rPr>
        <w:footnoteRef/>
      </w:r>
      <w:r w:rsidRPr="00CB145C">
        <w:rPr>
          <w:rFonts w:ascii="Arial" w:hAnsi="Arial" w:cs="Arial"/>
          <w:sz w:val="16"/>
          <w:szCs w:val="16"/>
        </w:rPr>
        <w:t xml:space="preserve"> CCAA, Sec 4.2(1-3). </w:t>
      </w:r>
    </w:p>
  </w:footnote>
  <w:footnote w:id="22">
    <w:p w:rsidRPr="00CB145C" w:rsidR="00CD2416" w:rsidP="00CD2416" w:rsidRDefault="00CD2416" w14:paraId="3141600D" w14:textId="77777777">
      <w:pPr>
        <w:pStyle w:val="FootnoteText"/>
        <w:rPr>
          <w:rFonts w:ascii="Arial" w:hAnsi="Arial" w:cs="Arial"/>
          <w:sz w:val="16"/>
          <w:szCs w:val="16"/>
          <w:lang w:val="en-CA"/>
        </w:rPr>
      </w:pPr>
      <w:r w:rsidRPr="00CB145C">
        <w:rPr>
          <w:rStyle w:val="FootnoteReference"/>
          <w:rFonts w:ascii="Arial" w:hAnsi="Arial" w:cs="Arial"/>
          <w:sz w:val="16"/>
          <w:szCs w:val="16"/>
        </w:rPr>
        <w:footnoteRef/>
      </w:r>
      <w:r w:rsidRPr="00CB145C">
        <w:rPr>
          <w:rFonts w:ascii="Arial" w:hAnsi="Arial" w:cs="Arial"/>
          <w:sz w:val="16"/>
          <w:szCs w:val="16"/>
        </w:rPr>
        <w:t xml:space="preserve"> CCAA, Sec 4.2(4).</w:t>
      </w:r>
    </w:p>
  </w:footnote>
  <w:footnote w:id="23">
    <w:p w:rsidRPr="00CB145C" w:rsidR="00CD2416" w:rsidP="00CD2416" w:rsidRDefault="00CD2416" w14:paraId="340EAD03" w14:textId="77777777">
      <w:pPr>
        <w:pStyle w:val="FootnoteText"/>
        <w:rPr>
          <w:rFonts w:ascii="Arial" w:hAnsi="Arial" w:cs="Arial"/>
          <w:sz w:val="16"/>
          <w:szCs w:val="16"/>
          <w:lang w:val="en-CA"/>
        </w:rPr>
      </w:pPr>
      <w:r w:rsidRPr="00CB145C">
        <w:rPr>
          <w:rStyle w:val="FootnoteReference"/>
          <w:rFonts w:ascii="Arial" w:hAnsi="Arial" w:cs="Arial"/>
          <w:sz w:val="16"/>
          <w:szCs w:val="16"/>
        </w:rPr>
        <w:footnoteRef/>
      </w:r>
      <w:r w:rsidRPr="00CB145C">
        <w:rPr>
          <w:rFonts w:ascii="Arial" w:hAnsi="Arial" w:cs="Arial"/>
          <w:sz w:val="16"/>
          <w:szCs w:val="16"/>
        </w:rPr>
        <w:t xml:space="preserve"> CCAA, Sec 4.3, 7.1. </w:t>
      </w:r>
    </w:p>
  </w:footnote>
  <w:footnote w:id="24">
    <w:p w:rsidRPr="00CB145C" w:rsidR="00CD2416" w:rsidP="00CD2416" w:rsidRDefault="00CD2416" w14:paraId="32102136" w14:textId="77777777">
      <w:pPr>
        <w:pStyle w:val="FootnoteText"/>
        <w:rPr>
          <w:rFonts w:ascii="Arial" w:hAnsi="Arial" w:cs="Arial"/>
          <w:sz w:val="16"/>
          <w:szCs w:val="16"/>
          <w:lang w:val="en-CA"/>
        </w:rPr>
      </w:pPr>
      <w:r w:rsidRPr="00CB145C">
        <w:rPr>
          <w:rStyle w:val="FootnoteReference"/>
          <w:rFonts w:ascii="Arial" w:hAnsi="Arial" w:cs="Arial"/>
          <w:sz w:val="16"/>
          <w:szCs w:val="16"/>
        </w:rPr>
        <w:footnoteRef/>
      </w:r>
      <w:r w:rsidRPr="00CB145C">
        <w:rPr>
          <w:rFonts w:ascii="Arial" w:hAnsi="Arial" w:cs="Arial"/>
          <w:sz w:val="16"/>
          <w:szCs w:val="16"/>
        </w:rPr>
        <w:t xml:space="preserve"> GGERR, Sec 8, 27, 29.</w:t>
      </w:r>
    </w:p>
  </w:footnote>
  <w:footnote w:id="25">
    <w:p w:rsidR="00D51FE1" w:rsidP="00D51FE1" w:rsidRDefault="00D51FE1" w14:paraId="41D129CA" w14:textId="77777777">
      <w:pPr>
        <w:ind w:left="-720"/>
        <w:jc w:val="both"/>
        <w:rPr>
          <w:rFonts w:eastAsia="Times New Roman" w:asciiTheme="minorHAnsi" w:hAnsiTheme="minorHAnsi" w:cstheme="minorHAnsi"/>
          <w:sz w:val="16"/>
          <w:szCs w:val="16"/>
        </w:rPr>
      </w:pPr>
      <w:r>
        <w:rPr>
          <w:rStyle w:val="FootnoteReference"/>
          <w:rFonts w:asciiTheme="minorHAnsi" w:hAnsiTheme="minorHAnsi" w:cstheme="minorHAnsi"/>
          <w:sz w:val="16"/>
          <w:szCs w:val="16"/>
        </w:rPr>
        <w:footnoteRef/>
      </w:r>
      <w:r>
        <w:rPr>
          <w:rFonts w:asciiTheme="minorHAnsi" w:hAnsiTheme="minorHAnsi" w:cstheme="minorHAnsi"/>
          <w:sz w:val="16"/>
          <w:szCs w:val="16"/>
        </w:rPr>
        <w:t xml:space="preserve"> The companies in which Shell plc directly and indirectly owns investments are separate legal entities. In this report “Shell”, “Shell Group” and “Group” are sometimes used for convenience where references are made to Shell plc and its subsidiaries in general. Likewise, the words “we”, “us” and “our” are also used to refer to Shell plc and its subsidiaries in general or to those who work for them. These terms are also used where no useful purpose is served by identifying the particular entity or entities. ‘‘Subsidiaries’’, “Shell subsidiaries” and “Shell companies” as used in this report refer to entities over which Shell plc either directly or indirectly has control. Entities and unincorporated arrangements over which Shell has joint control are generally referred to as “joint ventures” and “joint operations”, respectively.  Entities over which Shell has significant influence but neither control nor joint control are referred to as “associates”. The term “Shell interest” is used for convenience to indicate the direct and/or indirect ownership interest held by Shell in an entity or unincorporated joint arrangement, after exclusion of all third-party interest. This report contains forward-looking statements (within the meaning of the U.S. Private Securities Litigation Reform Act of 1995) concerning the financial condition, results of operations and businesses of Shell. All statements other than statements of historical fact are, or may be deemed to be, forward-looking statements. Forward-looking statements are statements of future expectations that are based on management’s current expectations and assumptions and involve known and unknown risks and uncertainties that could cause actual results, performance or events to differ materially from those expressed or implied in these statements. Forward-looking statements include, among other things, statements concerning the potential exposure of Shell to market risks and statements expressing management’s expectations, beliefs, estimates, forecasts, projections and assumptions. These forward-looking statements are identified by their use of terms and phrases such as “aim”, “ambition”, ‘‘anticipate’’, ‘‘believe’’, ‘‘could’’, ‘‘estimate’’, ‘‘expect’’, ‘‘goals’’, ‘‘intend’’, ‘‘may’’, “milestones”, ‘‘objectives’’, ‘‘outlook’’, ‘‘plan’’, ‘‘probably’’, ‘‘project’’, ‘‘risks’’, “schedule”, ‘‘seek’’, ‘‘should’’, ‘‘target’’, ‘‘will’’ and similar terms and phrases. There are a number of factors that could affect the future operations of Shell and could cause those results to differ materially from those expressed in the forward-looking statements included in this [report], including (without limitation): (a) price fluctuations in crude oil and natural gas; (b) changes in demand for Shell’s products; (c) currency fluctuations; (d) drilling and production results; (e) reserves estimates; (f) loss of market share and industry competition; (g) environmental and physical risks; (h) risks associated with the identification of suitable potential acquisition properties and targets, and successful negotiation and completion of such transactions; (i) the risk of doing business in developing countries and countries subject to international sanctions; (j) legislative, judicial, fiscal and regulatory developments including regulatory measures addressing climate change; (k) economic and financial market conditions in various countries and regions; (l) political risks, including the risks of expropriation and renegotiation of the terms of contracts with governmental entities, delays or advancements in the approval of projects and delays in the reimbursement for shared costs; (m) risks associated with the impact of </w:t>
      </w:r>
      <w:r>
        <w:rPr>
          <w:rFonts w:asciiTheme="minorHAnsi" w:hAnsiTheme="minorHAnsi" w:cstheme="minorHAnsi"/>
          <w:sz w:val="16"/>
          <w:szCs w:val="16"/>
          <w:lang w:eastAsia="zh-CN"/>
        </w:rPr>
        <w:t xml:space="preserve">pandemics, such as the COVID-19 (coronavirus) outbreak; </w:t>
      </w:r>
      <w:r>
        <w:rPr>
          <w:rFonts w:asciiTheme="minorHAnsi" w:hAnsiTheme="minorHAnsi" w:cstheme="minorHAnsi"/>
          <w:sz w:val="16"/>
          <w:szCs w:val="16"/>
        </w:rPr>
        <w:t xml:space="preserve">and (n) changes in trading conditions. No assurance is provided that future dividend payments will match or exceed previous dividend payments. All forward-looking statements contained in this report are expressly qualified in their entirety by the cautionary statements contained or referred to in this section. Readers should not place undue reliance on forward-looking statements. Additional risk factors that may affect future results are contained in Shell plc’s Form 20-F for the year ended December 31, 2020 (available at </w:t>
      </w:r>
      <w:hyperlink w:tgtFrame="_parent" w:history="1" r:id="rId4">
        <w:r>
          <w:rPr>
            <w:rStyle w:val="Hyperlink"/>
            <w:rFonts w:asciiTheme="minorHAnsi" w:hAnsiTheme="minorHAnsi" w:cstheme="minorHAnsi"/>
            <w:sz w:val="16"/>
            <w:szCs w:val="16"/>
          </w:rPr>
          <w:t>www.shell.com/investor</w:t>
        </w:r>
      </w:hyperlink>
      <w:r>
        <w:rPr>
          <w:rFonts w:asciiTheme="minorHAnsi" w:hAnsiTheme="minorHAnsi" w:cstheme="minorHAnsi"/>
          <w:sz w:val="16"/>
          <w:szCs w:val="16"/>
        </w:rPr>
        <w:t xml:space="preserve"> and </w:t>
      </w:r>
      <w:hyperlink w:tgtFrame="_parent" w:history="1" r:id="rId5">
        <w:r>
          <w:rPr>
            <w:rStyle w:val="Hyperlink"/>
            <w:rFonts w:asciiTheme="minorHAnsi" w:hAnsiTheme="minorHAnsi" w:cstheme="minorHAnsi"/>
            <w:sz w:val="16"/>
            <w:szCs w:val="16"/>
          </w:rPr>
          <w:t>www.sec.gov</w:t>
        </w:r>
      </w:hyperlink>
      <w:r>
        <w:rPr>
          <w:rFonts w:asciiTheme="minorHAnsi" w:hAnsiTheme="minorHAnsi" w:cstheme="minorHAnsi"/>
          <w:sz w:val="16"/>
          <w:szCs w:val="16"/>
        </w:rPr>
        <w:t>). These risk factors also expressly qualify all forward-looking statements contained in this report and should be considered by the reader.  Each forward-looking statement speaks only as of the date of this report, [</w:t>
      </w:r>
      <w:r>
        <w:rPr>
          <w:rFonts w:asciiTheme="minorHAnsi" w:hAnsiTheme="minorHAnsi" w:cstheme="minorHAnsi"/>
          <w:b/>
          <w:bCs/>
          <w:i/>
          <w:iCs/>
          <w:color w:val="FF0000"/>
          <w:sz w:val="16"/>
          <w:szCs w:val="16"/>
        </w:rPr>
        <w:t>insert date</w:t>
      </w:r>
      <w:r>
        <w:rPr>
          <w:rFonts w:asciiTheme="minorHAnsi" w:hAnsiTheme="minorHAnsi" w:cstheme="minorHAnsi"/>
          <w:b/>
          <w:bCs/>
          <w:color w:val="FF0000"/>
          <w:sz w:val="16"/>
          <w:szCs w:val="16"/>
        </w:rPr>
        <w:t>]</w:t>
      </w:r>
      <w:r>
        <w:rPr>
          <w:rFonts w:asciiTheme="minorHAnsi" w:hAnsiTheme="minorHAnsi" w:cstheme="minorHAnsi"/>
          <w:sz w:val="16"/>
          <w:szCs w:val="16"/>
        </w:rPr>
        <w:t xml:space="preserve">. Neither </w:t>
      </w:r>
      <w:bookmarkStart w:name="OpenAt" w:id="4"/>
      <w:r>
        <w:rPr>
          <w:rFonts w:asciiTheme="minorHAnsi" w:hAnsiTheme="minorHAnsi" w:cstheme="minorHAnsi"/>
          <w:sz w:val="16"/>
          <w:szCs w:val="16"/>
        </w:rPr>
        <w:t>Shell</w:t>
      </w:r>
      <w:bookmarkEnd w:id="4"/>
      <w:r>
        <w:rPr>
          <w:rFonts w:asciiTheme="minorHAnsi" w:hAnsiTheme="minorHAnsi" w:cstheme="minorHAnsi"/>
          <w:sz w:val="16"/>
          <w:szCs w:val="16"/>
        </w:rPr>
        <w:t xml:space="preserve"> plc nor any of its subsidiaries undertake any obligation to publicly update or revise any forward-looking statement as a result of new information, future events or other information. In light of these risks, results could differ materially from those stated, implied or inferred from the forward-looking statements contained in this report. The content of websites referred to in this report does not form part of this report. We may have used certain terms, such as resources, in this report that the United States Securities and Exchange Commission (SEC) strictly prohibits us from including in our filings with the SEC.  Investors are urged to consider closely the disclosure in our Form 20-F, File No 1-32575, available on the SEC website </w:t>
      </w:r>
      <w:hyperlink w:history="1" r:id="rId6">
        <w:r>
          <w:rPr>
            <w:rStyle w:val="Hyperlink"/>
            <w:rFonts w:asciiTheme="minorHAnsi" w:hAnsiTheme="minorHAnsi" w:cstheme="minorHAnsi"/>
            <w:sz w:val="16"/>
            <w:szCs w:val="16"/>
          </w:rPr>
          <w:t>www.sec.gov</w:t>
        </w:r>
      </w:hyperlink>
      <w:r>
        <w:rPr>
          <w:rFonts w:asciiTheme="minorHAnsi" w:hAnsiTheme="minorHAnsi" w:cstheme="minorHAnsi"/>
          <w:sz w:val="16"/>
          <w:szCs w:val="16"/>
        </w:rPr>
        <w:t xml:space="preserve">. Shell’s operating plan, outlook and budgets are forecasted for a ten-year period and are updated every year. They reflect the current economic environment and what we can reasonably expect to see over the next ten years. Accordingly, Shell’s operating plans, outlooks, budgets and pricing assumptions do not reflect our net-zero emissions target. In the future, as society moves towards net-zero emissions, we expect Shell’s operating plans, outlooks, budgets and pricing assumptions to reflect this movement. </w:t>
      </w:r>
    </w:p>
    <w:p w:rsidR="00D51FE1" w:rsidP="00D51FE1" w:rsidRDefault="00D51FE1" w14:paraId="103D0653" w14:textId="77777777">
      <w:pPr>
        <w:pStyle w:val="FootnoteText"/>
        <w:rPr>
          <w:rFonts w:asciiTheme="minorHAnsi" w:hAnsiTheme="minorHAnsi" w:eastAsiaTheme="minorHAnsi" w:cstheme="minorHAnsi"/>
          <w:sz w:val="16"/>
          <w:szCs w:val="16"/>
        </w:rPr>
      </w:pPr>
    </w:p>
  </w:footnote>
  <w:footnote w:id="26">
    <w:p w:rsidR="00685CF7" w:rsidP="00685CF7" w:rsidRDefault="00685CF7" w14:paraId="2C0AA907" w14:textId="77777777">
      <w:pPr>
        <w:pStyle w:val="FootnoteText"/>
        <w:rPr>
          <w:rFonts w:asciiTheme="minorHAnsi" w:hAnsiTheme="minorHAnsi" w:cstheme="minorHAnsi"/>
          <w:sz w:val="16"/>
          <w:szCs w:val="16"/>
        </w:rPr>
      </w:pPr>
      <w:r>
        <w:rPr>
          <w:rStyle w:val="FootnoteReference"/>
          <w:rFonts w:cstheme="minorHAnsi"/>
          <w:sz w:val="16"/>
          <w:szCs w:val="16"/>
        </w:rPr>
        <w:footnoteRef/>
      </w:r>
      <w:r>
        <w:rPr>
          <w:rFonts w:cstheme="minorHAnsi"/>
          <w:sz w:val="16"/>
          <w:szCs w:val="16"/>
        </w:rPr>
        <w:t xml:space="preserve"> </w:t>
      </w:r>
      <w:r>
        <w:rPr>
          <w:rFonts w:eastAsia="Times New Roman" w:cstheme="minorHAnsi"/>
          <w:sz w:val="16"/>
          <w:szCs w:val="16"/>
        </w:rPr>
        <w:t>Shell Canada Energy</w:t>
      </w:r>
    </w:p>
  </w:footnote>
  <w:footnote w:id="27">
    <w:p w:rsidR="00685CF7" w:rsidP="00685CF7" w:rsidRDefault="00685CF7" w14:paraId="30034577" w14:textId="77777777">
      <w:pPr>
        <w:pStyle w:val="FootnoteText"/>
        <w:rPr>
          <w:rFonts w:cstheme="minorHAnsi"/>
          <w:sz w:val="16"/>
          <w:szCs w:val="16"/>
        </w:rPr>
      </w:pPr>
      <w:r>
        <w:rPr>
          <w:rStyle w:val="FootnoteReference"/>
          <w:rFonts w:cstheme="minorHAnsi"/>
          <w:sz w:val="16"/>
          <w:szCs w:val="16"/>
        </w:rPr>
        <w:footnoteRef/>
      </w:r>
      <w:r>
        <w:rPr>
          <w:rFonts w:cstheme="minorHAnsi"/>
          <w:sz w:val="16"/>
          <w:szCs w:val="16"/>
        </w:rPr>
        <w:t xml:space="preserve"> </w:t>
      </w:r>
      <w:r>
        <w:rPr>
          <w:rFonts w:eastAsia="Times New Roman" w:cstheme="minorHAnsi"/>
          <w:sz w:val="16"/>
          <w:szCs w:val="16"/>
        </w:rPr>
        <w:t>Shell Canada Products</w:t>
      </w:r>
    </w:p>
  </w:footnote>
  <w:footnote w:id="28">
    <w:p w:rsidR="00685CF7" w:rsidP="00685CF7" w:rsidRDefault="00685CF7" w14:paraId="088CAA7E" w14:textId="77777777">
      <w:pPr>
        <w:pStyle w:val="FootnoteText"/>
        <w:rPr>
          <w:rFonts w:cstheme="minorHAnsi"/>
          <w:sz w:val="16"/>
          <w:szCs w:val="16"/>
        </w:rPr>
      </w:pPr>
      <w:r>
        <w:rPr>
          <w:rStyle w:val="FootnoteReference"/>
          <w:rFonts w:cstheme="minorHAnsi"/>
          <w:sz w:val="16"/>
          <w:szCs w:val="16"/>
        </w:rPr>
        <w:footnoteRef/>
      </w:r>
      <w:r>
        <w:rPr>
          <w:rFonts w:cstheme="minorHAnsi"/>
          <w:sz w:val="16"/>
          <w:szCs w:val="16"/>
        </w:rPr>
        <w:t xml:space="preserve"> </w:t>
      </w:r>
      <w:r>
        <w:rPr>
          <w:rFonts w:eastAsia="Times New Roman" w:cstheme="minorHAnsi"/>
          <w:sz w:val="16"/>
          <w:szCs w:val="16"/>
        </w:rPr>
        <w:t>Shell Chemicals Canada Ltd</w:t>
      </w:r>
    </w:p>
  </w:footnote>
  <w:footnote w:id="29">
    <w:p w:rsidR="00685CF7" w:rsidP="00685CF7" w:rsidRDefault="00685CF7" w14:paraId="17756976" w14:textId="77777777">
      <w:pPr>
        <w:pStyle w:val="FootnoteText"/>
        <w:rPr>
          <w:rFonts w:cstheme="minorHAnsi"/>
          <w:sz w:val="16"/>
          <w:szCs w:val="16"/>
        </w:rPr>
      </w:pPr>
      <w:r>
        <w:rPr>
          <w:rStyle w:val="FootnoteReference"/>
          <w:rFonts w:cstheme="minorHAnsi"/>
          <w:sz w:val="16"/>
          <w:szCs w:val="16"/>
        </w:rPr>
        <w:footnoteRef/>
      </w:r>
      <w:r>
        <w:rPr>
          <w:rFonts w:cstheme="minorHAnsi"/>
          <w:sz w:val="16"/>
          <w:szCs w:val="16"/>
        </w:rPr>
        <w:t xml:space="preserve"> </w:t>
      </w:r>
      <w:r>
        <w:rPr>
          <w:rFonts w:eastAsia="Times New Roman" w:cstheme="minorHAnsi"/>
          <w:sz w:val="16"/>
          <w:szCs w:val="16"/>
        </w:rPr>
        <w:t>Shell Canada Products</w:t>
      </w:r>
    </w:p>
  </w:footnote>
  <w:footnote w:id="30">
    <w:p w:rsidR="703BBD8A" w:rsidP="703BBD8A" w:rsidRDefault="703BBD8A" w14:paraId="2E4FD5B4" w14:textId="6DFF141E">
      <w:pPr>
        <w:pStyle w:val="FootnoteText"/>
      </w:pPr>
      <w:r w:rsidRPr="703BBD8A">
        <w:rPr>
          <w:rStyle w:val="FootnoteReference"/>
        </w:rPr>
        <w:footnoteRef/>
      </w:r>
      <w:r w:rsidRPr="703BBD8A">
        <w:rPr>
          <w:sz w:val="16"/>
          <w:szCs w:val="16"/>
        </w:rPr>
        <w:t>In July 2021, the Commission adopted a package of proposals to deliver the European Green Deal. The proposals aim to make the EU's climate, energy, land use, transport and taxation policies fit for the task of reducing net GHG emissions by at least 55% by 2030 compared to 1990 levels.</w:t>
      </w:r>
    </w:p>
  </w:footnote>
  <w:footnote w:id="31">
    <w:p w:rsidR="0F0478CA" w:rsidP="0F0478CA" w:rsidRDefault="0F0478CA" w14:paraId="1E54BF49" w14:textId="3AF8D887">
      <w:pPr>
        <w:pStyle w:val="FootnoteText"/>
        <w:rPr>
          <w:sz w:val="16"/>
          <w:szCs w:val="16"/>
        </w:rPr>
      </w:pPr>
      <w:r w:rsidRPr="6335F3E4">
        <w:rPr>
          <w:rStyle w:val="FootnoteReference"/>
          <w:sz w:val="16"/>
          <w:szCs w:val="16"/>
        </w:rPr>
        <w:footnoteRef/>
      </w:r>
      <w:r w:rsidRPr="6335F3E4">
        <w:rPr>
          <w:sz w:val="16"/>
          <w:szCs w:val="16"/>
        </w:rPr>
        <w:t xml:space="preserve"> Both updated targets (2030 and 2050) were enshrined into the European Climate Law on 9 July 2021.</w:t>
      </w:r>
    </w:p>
  </w:footnote>
  <w:footnote w:id="32">
    <w:p w:rsidR="7BD7FBF6" w:rsidP="7BD7FBF6" w:rsidRDefault="7BD7FBF6" w14:paraId="7C17D694" w14:textId="26271A63">
      <w:pPr>
        <w:pStyle w:val="FootnoteText"/>
        <w:rPr>
          <w:sz w:val="16"/>
          <w:szCs w:val="16"/>
        </w:rPr>
      </w:pPr>
      <w:r w:rsidRPr="0201179C">
        <w:rPr>
          <w:rStyle w:val="FootnoteReference"/>
          <w:sz w:val="16"/>
          <w:szCs w:val="16"/>
        </w:rPr>
        <w:footnoteRef/>
      </w:r>
      <w:r w:rsidRPr="0201179C">
        <w:rPr>
          <w:sz w:val="16"/>
          <w:szCs w:val="16"/>
        </w:rPr>
        <w:t xml:space="preserve"> European Parliament (2003) Art. 1, Directive EC/87/2003</w:t>
      </w:r>
    </w:p>
  </w:footnote>
  <w:footnote w:id="33">
    <w:p w:rsidR="3882D29F" w:rsidP="3882D29F" w:rsidRDefault="3882D29F" w14:paraId="596506F7" w14:textId="1696FA4F">
      <w:pPr>
        <w:pStyle w:val="FootnoteText"/>
        <w:rPr>
          <w:sz w:val="16"/>
          <w:szCs w:val="16"/>
        </w:rPr>
      </w:pPr>
      <w:r w:rsidRPr="3882D29F">
        <w:rPr>
          <w:rStyle w:val="FootnoteReference"/>
        </w:rPr>
        <w:footnoteRef/>
      </w:r>
      <w:r w:rsidRPr="6A357C3A">
        <w:rPr>
          <w:sz w:val="16"/>
          <w:szCs w:val="16"/>
        </w:rPr>
        <w:t xml:space="preserve"> See figure 1. Cap reduction applying the linear reduction factor of 2.2% as of 2021 (</w:t>
      </w:r>
      <w:hyperlink r:id="rId7">
        <w:r w:rsidRPr="6A357C3A">
          <w:rPr>
            <w:rStyle w:val="Hyperlink"/>
            <w:sz w:val="16"/>
            <w:szCs w:val="16"/>
          </w:rPr>
          <w:t>https://ec.europa.eu/clima/system/files/2021-10/com_2021_962_en.pdf</w:t>
        </w:r>
      </w:hyperlink>
      <w:r w:rsidRPr="6A357C3A">
        <w:rPr>
          <w:sz w:val="16"/>
          <w:szCs w:val="16"/>
        </w:rPr>
        <w:t>)</w:t>
      </w:r>
    </w:p>
  </w:footnote>
  <w:footnote w:id="34">
    <w:p w:rsidR="0D0E15ED" w:rsidP="0D0E15ED" w:rsidRDefault="0D0E15ED" w14:paraId="3C47F5F4" w14:textId="48C3CA59">
      <w:pPr>
        <w:pStyle w:val="FootnoteText"/>
        <w:rPr>
          <w:sz w:val="16"/>
          <w:szCs w:val="16"/>
        </w:rPr>
      </w:pPr>
      <w:r w:rsidRPr="015A9DC5">
        <w:rPr>
          <w:rStyle w:val="FootnoteReference"/>
          <w:sz w:val="16"/>
          <w:szCs w:val="16"/>
        </w:rPr>
        <w:footnoteRef/>
      </w:r>
      <w:r w:rsidRPr="015A9DC5">
        <w:rPr>
          <w:sz w:val="16"/>
          <w:szCs w:val="16"/>
        </w:rPr>
        <w:t xml:space="preserve"> Development of EU ETS (2005-2020) </w:t>
      </w:r>
      <w:hyperlink r:id="rId8">
        <w:r w:rsidRPr="015A9DC5">
          <w:rPr>
            <w:rStyle w:val="Hyperlink"/>
            <w:sz w:val="16"/>
            <w:szCs w:val="16"/>
          </w:rPr>
          <w:t>https://ec.europa.eu/clima/eu-action/eu-emissions-trading-system-eu-ets/development-eu-ets-2005-2020_en</w:t>
        </w:r>
      </w:hyperlink>
      <w:r w:rsidRPr="015A9DC5">
        <w:rPr>
          <w:sz w:val="16"/>
          <w:szCs w:val="16"/>
        </w:rPr>
        <w:t xml:space="preserve"> and International Carbon Action Partnership (ICAP) EU Emissions Trading System </w:t>
      </w:r>
      <w:hyperlink r:id="rId9">
        <w:r w:rsidRPr="015A9DC5">
          <w:rPr>
            <w:rStyle w:val="Hyperlink"/>
            <w:sz w:val="16"/>
            <w:szCs w:val="16"/>
          </w:rPr>
          <w:t>https://icapcarbonaction.com/en/?option=com_etsmap&amp;task=export&amp;format=pdf&amp;layout=list&amp;systems%5B%5D=43</w:t>
        </w:r>
      </w:hyperlink>
    </w:p>
  </w:footnote>
  <w:footnote w:id="35">
    <w:p w:rsidR="6BD2E032" w:rsidP="6BD2E032" w:rsidRDefault="6BD2E032" w14:paraId="01C79496" w14:textId="0CDC9A55">
      <w:pPr>
        <w:pStyle w:val="FootnoteText"/>
        <w:rPr>
          <w:sz w:val="16"/>
          <w:szCs w:val="16"/>
        </w:rPr>
      </w:pPr>
      <w:r w:rsidRPr="7390DBCC">
        <w:rPr>
          <w:rStyle w:val="FootnoteReference"/>
          <w:sz w:val="16"/>
          <w:szCs w:val="16"/>
        </w:rPr>
        <w:footnoteRef/>
      </w:r>
      <w:r w:rsidRPr="7390DBCC" w:rsidR="2D31A6AD">
        <w:rPr>
          <w:sz w:val="16"/>
          <w:szCs w:val="16"/>
        </w:rPr>
        <w:t xml:space="preserve"> </w:t>
      </w:r>
      <w:r w:rsidRPr="65304838" w:rsidR="2D31A6AD">
        <w:rPr>
          <w:sz w:val="16"/>
          <w:szCs w:val="16"/>
        </w:rPr>
        <w:t xml:space="preserve">Full list of sectors covered: power and heat generation; industrial processes, including oil refineries, coke ovens, iron and steel plants; cement manufacturing; glass; lime; bricks; ceramics; pulp; paper and board; aviation; CCS networks; petrochemicals; ammonia; non-ferrous metals; gypsum; </w:t>
      </w:r>
      <w:r w:rsidRPr="65304838" w:rsidR="00C827FD">
        <w:rPr>
          <w:sz w:val="16"/>
          <w:szCs w:val="16"/>
        </w:rPr>
        <w:t>aluminium</w:t>
      </w:r>
      <w:r w:rsidRPr="65304838" w:rsidR="2D31A6AD">
        <w:rPr>
          <w:sz w:val="16"/>
          <w:szCs w:val="16"/>
        </w:rPr>
        <w:t>; and nitric, adipic and glyoxylic acids.</w:t>
      </w:r>
    </w:p>
  </w:footnote>
  <w:footnote w:id="36">
    <w:p w:rsidR="359DD6D3" w:rsidP="359DD6D3" w:rsidRDefault="39398B2E" w14:paraId="78C9F521" w14:textId="73EFB70C">
      <w:pPr>
        <w:pStyle w:val="FootnoteText"/>
      </w:pPr>
      <w:r w:rsidRPr="39398B2E">
        <w:rPr>
          <w:rStyle w:val="FootnoteReference"/>
        </w:rPr>
        <w:footnoteRef/>
      </w:r>
      <w:r w:rsidRPr="39398B2E">
        <w:t xml:space="preserve"> </w:t>
      </w:r>
      <w:r w:rsidRPr="75427A8B">
        <w:rPr>
          <w:sz w:val="16"/>
          <w:szCs w:val="16"/>
        </w:rPr>
        <w:t xml:space="preserve">See </w:t>
      </w:r>
      <w:hyperlink r:id="rId10">
        <w:r w:rsidRPr="75427A8B">
          <w:rPr>
            <w:rStyle w:val="Hyperlink"/>
            <w:sz w:val="16"/>
            <w:szCs w:val="16"/>
          </w:rPr>
          <w:t>https://ec.europa.eu/clima/eu-action/funding-climate-action/innovation-fund_en</w:t>
        </w:r>
      </w:hyperlink>
      <w:r w:rsidRPr="75427A8B">
        <w:rPr>
          <w:sz w:val="16"/>
          <w:szCs w:val="16"/>
        </w:rPr>
        <w:t xml:space="preserve"> and </w:t>
      </w:r>
      <w:hyperlink r:id="rId11">
        <w:r w:rsidRPr="75427A8B">
          <w:rPr>
            <w:rStyle w:val="Hyperlink"/>
            <w:sz w:val="16"/>
            <w:szCs w:val="16"/>
          </w:rPr>
          <w:t>https://ec.europa.eu/clima/eu-action/funding-climate-action/modernisation-fund_en</w:t>
        </w:r>
      </w:hyperlink>
    </w:p>
    <w:p w:rsidR="39398B2E" w:rsidP="39398B2E" w:rsidRDefault="7B6EBE59" w14:paraId="039932B2" w14:textId="4F5242E6">
      <w:pPr>
        <w:pStyle w:val="FootnoteText"/>
        <w:rPr>
          <w:sz w:val="16"/>
          <w:szCs w:val="16"/>
        </w:rPr>
      </w:pPr>
      <w:r w:rsidRPr="7B6EBE59">
        <w:rPr>
          <w:sz w:val="16"/>
          <w:szCs w:val="16"/>
        </w:rPr>
        <w:t>Since beginning of program: EUR 69.7 billion (USD 80.7 billion) Collected in 2020: EUR 19.2 billion (USD 21.8 billion)</w:t>
      </w:r>
    </w:p>
  </w:footnote>
  <w:footnote w:id="37">
    <w:p w:rsidR="1A456281" w:rsidP="1A456281" w:rsidRDefault="1A456281" w14:paraId="28E2FD42" w14:textId="6C7C733C">
      <w:pPr>
        <w:pStyle w:val="FootnoteText"/>
        <w:rPr>
          <w:sz w:val="16"/>
          <w:szCs w:val="16"/>
        </w:rPr>
      </w:pPr>
      <w:r w:rsidRPr="1A456281">
        <w:rPr>
          <w:rStyle w:val="FootnoteReference"/>
        </w:rPr>
        <w:footnoteRef/>
      </w:r>
      <w:r w:rsidRPr="1A456281">
        <w:t xml:space="preserve"> </w:t>
      </w:r>
      <w:r w:rsidRPr="1A456281">
        <w:rPr>
          <w:sz w:val="16"/>
          <w:szCs w:val="16"/>
        </w:rPr>
        <w:t xml:space="preserve">See </w:t>
      </w:r>
      <w:hyperlink r:id="rId12">
        <w:r w:rsidRPr="1A456281">
          <w:rPr>
            <w:rStyle w:val="Hyperlink"/>
            <w:sz w:val="16"/>
            <w:szCs w:val="16"/>
          </w:rPr>
          <w:t>https://www4.unfccc.int/sites/ndcstaging/PublishedDocuments/Indonesia%20First/Updated%20NDC%20Indonesia%202021%20%20corrected%20version.pdf</w:t>
        </w:r>
      </w:hyperlink>
      <w:r w:rsidRPr="1A456281">
        <w:rPr>
          <w:sz w:val="16"/>
          <w:szCs w:val="16"/>
        </w:rPr>
        <w:t xml:space="preserve"> and </w:t>
      </w:r>
      <w:hyperlink r:id="rId13">
        <w:r w:rsidRPr="1A456281">
          <w:rPr>
            <w:rStyle w:val="Hyperlink"/>
            <w:sz w:val="16"/>
            <w:szCs w:val="16"/>
          </w:rPr>
          <w:t>https://unfccc.int/sites/default/files/resource/Indonesia_LTS-LCCR_2021.pdf</w:t>
        </w:r>
      </w:hyperlink>
      <w:r w:rsidRPr="1A456281">
        <w:rPr>
          <w:sz w:val="16"/>
          <w:szCs w:val="16"/>
        </w:rPr>
        <w:t xml:space="preserve"> </w:t>
      </w:r>
    </w:p>
  </w:footnote>
  <w:footnote w:id="38">
    <w:p w:rsidRPr="00742B01" w:rsidR="00651657" w:rsidP="00651657" w:rsidRDefault="00651657" w14:paraId="1A39F91A" w14:textId="77777777">
      <w:pPr>
        <w:pStyle w:val="FootnoteText"/>
        <w:rPr>
          <w:lang w:val="es-ES"/>
        </w:rPr>
      </w:pPr>
      <w:r>
        <w:rPr>
          <w:rStyle w:val="FootnoteReference"/>
        </w:rPr>
        <w:footnoteRef/>
      </w:r>
      <w:r w:rsidRPr="00742B01">
        <w:rPr>
          <w:lang w:val="es-ES"/>
        </w:rPr>
        <w:t xml:space="preserve"> OECD: </w:t>
      </w:r>
      <w:hyperlink w:history="1" r:id="rId14">
        <w:r w:rsidRPr="00742B01">
          <w:rPr>
            <w:rStyle w:val="Hyperlink"/>
            <w:lang w:val="es-ES"/>
          </w:rPr>
          <w:t>https://www.oecd.org/tax/tax-policy/carbon-pricing-indonesia.pdf</w:t>
        </w:r>
      </w:hyperlink>
    </w:p>
  </w:footnote>
  <w:footnote w:id="39">
    <w:p w:rsidR="52E72AA2" w:rsidP="52E72AA2" w:rsidRDefault="52E72AA2" w14:paraId="53715FFB" w14:textId="6443FE0B">
      <w:pPr>
        <w:pStyle w:val="FootnoteText"/>
        <w:rPr>
          <w:color w:val="4D5156"/>
        </w:rPr>
      </w:pPr>
      <w:r w:rsidRPr="52E72AA2">
        <w:rPr>
          <w:rStyle w:val="FootnoteReference"/>
        </w:rPr>
        <w:footnoteRef/>
      </w:r>
      <w:r w:rsidRPr="52E72AA2">
        <w:t xml:space="preserve"> </w:t>
      </w:r>
      <w:r w:rsidRPr="52E72AA2">
        <w:rPr>
          <w:color w:val="4D5156"/>
          <w:sz w:val="16"/>
          <w:szCs w:val="16"/>
        </w:rPr>
        <w:t xml:space="preserve">UN </w:t>
      </w:r>
      <w:r w:rsidRPr="52E72AA2">
        <w:rPr>
          <w:color w:val="5F6368"/>
          <w:sz w:val="16"/>
          <w:szCs w:val="16"/>
        </w:rPr>
        <w:t>Handbook on carbon taxation</w:t>
      </w:r>
      <w:r w:rsidRPr="52E72AA2">
        <w:rPr>
          <w:color w:val="4D5156"/>
          <w:sz w:val="16"/>
          <w:szCs w:val="16"/>
        </w:rPr>
        <w:t xml:space="preserve"> for developing countries, 2021 </w:t>
      </w:r>
      <w:hyperlink r:id="rId15">
        <w:r w:rsidRPr="52E72AA2">
          <w:rPr>
            <w:rStyle w:val="Hyperlink"/>
            <w:sz w:val="16"/>
            <w:szCs w:val="16"/>
          </w:rPr>
          <w:t>https://www.un.org/development/desa/financing/sites/www.un.org.development.desa.financing/files/2021-10/Carbon%20Taxation.pdf</w:t>
        </w:r>
      </w:hyperlink>
      <w:r w:rsidRPr="52E72AA2">
        <w:rPr>
          <w:color w:val="4D5156"/>
          <w:sz w:val="16"/>
          <w:szCs w:val="16"/>
        </w:rPr>
        <w:t xml:space="preserve"> </w:t>
      </w:r>
    </w:p>
  </w:footnote>
  <w:footnote w:id="40">
    <w:p w:rsidR="52E72AA2" w:rsidP="52E72AA2" w:rsidRDefault="52E72AA2" w14:paraId="6C811C01" w14:textId="681331DA">
      <w:pPr>
        <w:pStyle w:val="FootnoteText"/>
        <w:rPr>
          <w:sz w:val="16"/>
          <w:szCs w:val="16"/>
        </w:rPr>
      </w:pPr>
      <w:r w:rsidRPr="52E72AA2">
        <w:rPr>
          <w:rStyle w:val="FootnoteReference"/>
          <w:sz w:val="16"/>
          <w:szCs w:val="16"/>
        </w:rPr>
        <w:footnoteRef/>
      </w:r>
      <w:r w:rsidRPr="52E72AA2">
        <w:rPr>
          <w:sz w:val="16"/>
          <w:szCs w:val="16"/>
        </w:rPr>
        <w:t xml:space="preserve"> See </w:t>
      </w:r>
      <w:hyperlink r:id="rId16">
        <w:r w:rsidRPr="52E72AA2">
          <w:rPr>
            <w:rStyle w:val="Hyperlink"/>
            <w:sz w:val="16"/>
            <w:szCs w:val="16"/>
          </w:rPr>
          <w:t>https://www.thejakartapost.com/news/2021/10/18/carbon-tax-despite-paltry-rate-has-businesses-on-edge.html</w:t>
        </w:r>
      </w:hyperlink>
      <w:r w:rsidRPr="52E72AA2">
        <w:rPr>
          <w:sz w:val="16"/>
          <w:szCs w:val="16"/>
        </w:rPr>
        <w:t xml:space="preserve"> </w:t>
      </w:r>
    </w:p>
  </w:footnote>
  <w:footnote w:id="41">
    <w:p w:rsidR="64B3D26E" w:rsidP="64B3D26E" w:rsidRDefault="64B3D26E" w14:paraId="4373AFD0" w14:textId="5A104A4C">
      <w:pPr>
        <w:pStyle w:val="FootnoteText"/>
        <w:rPr>
          <w:sz w:val="16"/>
          <w:szCs w:val="16"/>
        </w:rPr>
      </w:pPr>
      <w:r w:rsidRPr="30ADD59A">
        <w:rPr>
          <w:rStyle w:val="FootnoteReference"/>
          <w:sz w:val="16"/>
          <w:szCs w:val="16"/>
        </w:rPr>
        <w:footnoteRef/>
      </w:r>
      <w:r w:rsidRPr="30ADD59A" w:rsidR="15933782">
        <w:rPr>
          <w:sz w:val="16"/>
          <w:szCs w:val="16"/>
        </w:rPr>
        <w:t xml:space="preserve"> See </w:t>
      </w:r>
      <w:hyperlink r:id="rId17">
        <w:r w:rsidRPr="30ADD59A" w:rsidR="15933782">
          <w:rPr>
            <w:rStyle w:val="Hyperlink"/>
            <w:sz w:val="16"/>
            <w:szCs w:val="16"/>
          </w:rPr>
          <w:t>https://environment.govt.nz/acts-and-regulations/acts/climate-change-response-amendment-act-2019/</w:t>
        </w:r>
      </w:hyperlink>
      <w:r w:rsidRPr="30ADD59A" w:rsidR="15933782">
        <w:rPr>
          <w:sz w:val="16"/>
          <w:szCs w:val="16"/>
        </w:rPr>
        <w:t xml:space="preserve"> </w:t>
      </w:r>
    </w:p>
  </w:footnote>
  <w:footnote w:id="42">
    <w:p w:rsidR="065C046C" w:rsidP="065C046C" w:rsidRDefault="065C046C" w14:paraId="3120659B" w14:textId="2B396AAF">
      <w:pPr>
        <w:pStyle w:val="FootnoteText"/>
        <w:rPr>
          <w:sz w:val="16"/>
          <w:szCs w:val="16"/>
        </w:rPr>
      </w:pPr>
      <w:r w:rsidRPr="065C046C">
        <w:rPr>
          <w:rStyle w:val="FootnoteReference"/>
          <w:sz w:val="16"/>
          <w:szCs w:val="16"/>
        </w:rPr>
        <w:footnoteRef/>
      </w:r>
      <w:r w:rsidRPr="065C046C">
        <w:rPr>
          <w:sz w:val="16"/>
          <w:szCs w:val="16"/>
        </w:rPr>
        <w:t xml:space="preserve"> See </w:t>
      </w:r>
      <w:hyperlink r:id="rId18">
        <w:r w:rsidRPr="065C046C">
          <w:rPr>
            <w:rStyle w:val="Hyperlink"/>
            <w:sz w:val="16"/>
            <w:szCs w:val="16"/>
          </w:rPr>
          <w:t>https://www4.unfccc.int/sites/ndcstaging/PublishedDocuments/New%20Zealand%20First/New%20Zealand%20NDC%20November%202021.pdf</w:t>
        </w:r>
      </w:hyperlink>
      <w:r w:rsidRPr="065C046C">
        <w:rPr>
          <w:sz w:val="16"/>
          <w:szCs w:val="16"/>
        </w:rPr>
        <w:t xml:space="preserve"> </w:t>
      </w:r>
    </w:p>
  </w:footnote>
  <w:footnote w:id="43">
    <w:p w:rsidR="4EB22948" w:rsidP="4EB22948" w:rsidRDefault="4EB22948" w14:paraId="5C53597E" w14:textId="4707DEF8">
      <w:pPr>
        <w:pStyle w:val="FootnoteText"/>
        <w:rPr>
          <w:sz w:val="16"/>
          <w:szCs w:val="16"/>
        </w:rPr>
      </w:pPr>
      <w:r w:rsidRPr="4EB22948">
        <w:rPr>
          <w:rStyle w:val="FootnoteReference"/>
          <w:sz w:val="16"/>
          <w:szCs w:val="16"/>
        </w:rPr>
        <w:footnoteRef/>
      </w:r>
      <w:r w:rsidRPr="4EB22948">
        <w:rPr>
          <w:sz w:val="16"/>
          <w:szCs w:val="16"/>
        </w:rPr>
        <w:t xml:space="preserve"> See https://www.mpi.govt.nz/forestry/forestry-in-the-emissions-trading-scheme/updates-and-changes-to-the-ets/</w:t>
      </w:r>
    </w:p>
  </w:footnote>
  <w:footnote w:id="44">
    <w:p w:rsidR="5223F5F4" w:rsidP="5223F5F4" w:rsidRDefault="5223F5F4" w14:paraId="3E886458" w14:textId="39EADAAF">
      <w:pPr>
        <w:pStyle w:val="FootnoteText"/>
        <w:rPr>
          <w:color w:val="333333"/>
        </w:rPr>
      </w:pPr>
      <w:r w:rsidRPr="5223F5F4">
        <w:rPr>
          <w:rStyle w:val="FootnoteReference"/>
        </w:rPr>
        <w:footnoteRef/>
      </w:r>
      <w:r w:rsidRPr="5223F5F4">
        <w:rPr>
          <w:rFonts w:ascii="Arial" w:hAnsi="Arial" w:eastAsia="Arial" w:cs="Arial"/>
          <w:sz w:val="16"/>
          <w:szCs w:val="16"/>
        </w:rPr>
        <w:t xml:space="preserve"> See </w:t>
      </w:r>
      <w:hyperlink r:id="rId19">
        <w:r w:rsidRPr="5223F5F4">
          <w:rPr>
            <w:rStyle w:val="Hyperlink"/>
            <w:rFonts w:ascii="Arial" w:hAnsi="Arial" w:eastAsia="Arial" w:cs="Arial"/>
            <w:sz w:val="16"/>
            <w:szCs w:val="16"/>
          </w:rPr>
          <w:t>South Africa's Low Emission Development Strategy</w:t>
        </w:r>
      </w:hyperlink>
      <w:r w:rsidRPr="5223F5F4">
        <w:rPr>
          <w:rFonts w:ascii="Arial" w:hAnsi="Arial" w:eastAsia="Arial" w:cs="Arial"/>
          <w:color w:val="333333"/>
          <w:sz w:val="16"/>
          <w:szCs w:val="16"/>
        </w:rPr>
        <w:t xml:space="preserve"> 23 September 2020</w:t>
      </w:r>
    </w:p>
  </w:footnote>
  <w:footnote w:id="45">
    <w:p w:rsidR="52E72AA2" w:rsidP="52E72AA2" w:rsidRDefault="52E72AA2" w14:paraId="10EA6AFE" w14:textId="5AD9F0C5">
      <w:pPr>
        <w:pStyle w:val="FootnoteText"/>
        <w:rPr>
          <w:sz w:val="16"/>
          <w:szCs w:val="16"/>
        </w:rPr>
      </w:pPr>
      <w:r w:rsidRPr="52E72AA2">
        <w:rPr>
          <w:rStyle w:val="FootnoteReference"/>
          <w:sz w:val="16"/>
          <w:szCs w:val="16"/>
        </w:rPr>
        <w:footnoteRef/>
      </w:r>
      <w:r w:rsidRPr="52E72AA2">
        <w:rPr>
          <w:sz w:val="16"/>
          <w:szCs w:val="16"/>
        </w:rPr>
        <w:t xml:space="preserve"> See </w:t>
      </w:r>
      <w:hyperlink r:id="rId20">
        <w:r w:rsidRPr="52E72AA2">
          <w:rPr>
            <w:rStyle w:val="Hyperlink"/>
            <w:sz w:val="16"/>
            <w:szCs w:val="16"/>
          </w:rPr>
          <w:t>https://www4.unfccc.int/sites/ndcstaging/PublishedDocuments/South%20Africa%20First/South%20Africa%20updated%20first%20NDC%20September%202021.pdf</w:t>
        </w:r>
      </w:hyperlink>
    </w:p>
    <w:p w:rsidR="52E72AA2" w:rsidP="52E72AA2" w:rsidRDefault="52E72AA2" w14:paraId="58EE4513" w14:textId="6BA90234">
      <w:pPr>
        <w:pStyle w:val="FootnoteText"/>
      </w:pPr>
    </w:p>
  </w:footnote>
  <w:footnote w:id="46">
    <w:p w:rsidR="5223F5F4" w:rsidP="5223F5F4" w:rsidRDefault="5223F5F4" w14:paraId="43B907C9" w14:textId="7B7ABDBB">
      <w:pPr>
        <w:pStyle w:val="FootnoteText"/>
        <w:rPr>
          <w:rFonts w:ascii="Arial" w:hAnsi="Arial" w:eastAsia="Arial" w:cs="Arial"/>
          <w:sz w:val="16"/>
          <w:szCs w:val="16"/>
        </w:rPr>
      </w:pPr>
      <w:r w:rsidRPr="5223F5F4">
        <w:rPr>
          <w:rStyle w:val="FootnoteReference"/>
          <w:rFonts w:ascii="Arial" w:hAnsi="Arial" w:eastAsia="Arial" w:cs="Arial"/>
          <w:sz w:val="16"/>
          <w:szCs w:val="16"/>
        </w:rPr>
        <w:footnoteRef/>
      </w:r>
      <w:r w:rsidRPr="5223F5F4">
        <w:rPr>
          <w:rFonts w:ascii="Arial" w:hAnsi="Arial" w:eastAsia="Arial" w:cs="Arial"/>
          <w:sz w:val="16"/>
          <w:szCs w:val="16"/>
        </w:rPr>
        <w:t xml:space="preserve"> See </w:t>
      </w:r>
      <w:hyperlink r:id="rId21">
        <w:r w:rsidRPr="5223F5F4">
          <w:rPr>
            <w:rStyle w:val="Hyperlink"/>
            <w:rFonts w:ascii="Arial" w:hAnsi="Arial" w:eastAsia="Arial" w:cs="Arial"/>
            <w:sz w:val="16"/>
            <w:szCs w:val="16"/>
          </w:rPr>
          <w:t>https://www.gov.za/documents/carbon-tax-act-15-2019-english-afrikaans-23-may-2019-0000</w:t>
        </w:r>
      </w:hyperlink>
      <w:r w:rsidRPr="5223F5F4">
        <w:rPr>
          <w:rFonts w:ascii="Arial" w:hAnsi="Arial" w:eastAsia="Arial" w:cs="Arial"/>
          <w:sz w:val="16"/>
          <w:szCs w:val="16"/>
        </w:rPr>
        <w:t xml:space="preserve"> </w:t>
      </w:r>
    </w:p>
  </w:footnote>
  <w:footnote w:id="47">
    <w:p w:rsidR="52E72AA2" w:rsidP="52E72AA2" w:rsidRDefault="52E72AA2" w14:paraId="6152245E" w14:textId="7C243AB8">
      <w:pPr>
        <w:pStyle w:val="FootnoteText"/>
        <w:rPr>
          <w:sz w:val="16"/>
          <w:szCs w:val="16"/>
        </w:rPr>
      </w:pPr>
      <w:r w:rsidRPr="52E72AA2">
        <w:rPr>
          <w:rStyle w:val="FootnoteReference"/>
          <w:sz w:val="16"/>
          <w:szCs w:val="16"/>
        </w:rPr>
        <w:footnoteRef/>
      </w:r>
      <w:r w:rsidRPr="52E72AA2">
        <w:rPr>
          <w:sz w:val="16"/>
          <w:szCs w:val="16"/>
        </w:rPr>
        <w:t xml:space="preserve"> </w:t>
      </w:r>
      <w:hyperlink r:id="rId22">
        <w:r w:rsidRPr="52E72AA2">
          <w:rPr>
            <w:rStyle w:val="Hyperlink"/>
            <w:sz w:val="16"/>
            <w:szCs w:val="16"/>
          </w:rPr>
          <w:t>http://www.treasury.gov.za/public%20comments/Carbon%20Tax%20Policy%20Paper%202013.pdf</w:t>
        </w:r>
      </w:hyperlink>
      <w:r w:rsidRPr="52E72AA2">
        <w:rPr>
          <w:sz w:val="16"/>
          <w:szCs w:val="16"/>
        </w:rPr>
        <w:t xml:space="preserve"> </w:t>
      </w:r>
    </w:p>
  </w:footnote>
  <w:footnote w:id="48">
    <w:p w:rsidR="52E72AA2" w:rsidP="52E72AA2" w:rsidRDefault="52E72AA2" w14:paraId="68936023" w14:textId="3A29A8AC">
      <w:pPr>
        <w:pStyle w:val="FootnoteText"/>
        <w:rPr>
          <w:sz w:val="16"/>
          <w:szCs w:val="16"/>
        </w:rPr>
      </w:pPr>
      <w:r w:rsidRPr="52E72AA2">
        <w:rPr>
          <w:rStyle w:val="FootnoteReference"/>
          <w:sz w:val="16"/>
          <w:szCs w:val="16"/>
        </w:rPr>
        <w:footnoteRef/>
      </w:r>
      <w:r w:rsidRPr="52E72AA2">
        <w:rPr>
          <w:sz w:val="16"/>
          <w:szCs w:val="16"/>
        </w:rPr>
        <w:t xml:space="preserve"> See The Conversation, 2022. </w:t>
      </w:r>
      <w:hyperlink r:id="rId23">
        <w:r w:rsidRPr="52E72AA2">
          <w:rPr>
            <w:rStyle w:val="Hyperlink"/>
            <w:sz w:val="16"/>
            <w:szCs w:val="16"/>
          </w:rPr>
          <w:t>https://theconversation.com/south-africas-carbon-tax-rate-goes-up-but-emitters-get-more-time-to-clean-up-177834</w:t>
        </w:r>
      </w:hyperlink>
      <w:r w:rsidRPr="52E72AA2">
        <w:rPr>
          <w:sz w:val="16"/>
          <w:szCs w:val="16"/>
        </w:rPr>
        <w:t xml:space="preserve"> </w:t>
      </w:r>
    </w:p>
  </w:footnote>
</w:footnotes>
</file>

<file path=word/intelligence2.xml><?xml version="1.0" encoding="utf-8"?>
<int2:intelligence xmlns:int2="http://schemas.microsoft.com/office/intelligence/2020/intelligence" xmlns:oel="http://schemas.microsoft.com/office/2019/extlst">
  <int2:observations>
    <int2:textHash int2:hashCode="7FJW8Zrv4FcmkP" int2:id="9gHIkU9V">
      <int2:state int2:value="Rejected" int2:type="LegacyProofing"/>
    </int2:textHash>
    <int2:textHash int2:hashCode="TT3UfZDZBYlEoH" int2:id="iJ3t1ZLs">
      <int2:state int2:value="Rejected" int2:type="LegacyProofing"/>
    </int2:textHash>
    <int2:textHash int2:hashCode="yLGa3PbIwIauAZ" int2:id="zroMZ7Yk">
      <int2:state int2:value="Rejected" int2:type="LegacyProofing"/>
    </int2:textHash>
    <int2:bookmark int2:bookmarkName="_Int_hbdtkAxo" int2:invalidationBookmarkName="" int2:hashCode="OPw0zq9ZPpyRBI" int2:id="JoWGJatH">
      <int2:state int2:value="Rejected" int2:type="LegacyProofing"/>
    </int2:bookmark>
    <int2:bookmark int2:bookmarkName="_Int_Pwa1tngt" int2:invalidationBookmarkName="" int2:hashCode="qrBdY9zv94W3VQ" int2:id="R27c1vzB">
      <int2:state int2:value="Rejected" int2:type="LegacyProofing"/>
    </int2:bookmark>
    <int2:bookmark int2:bookmarkName="_Int_kxUKvrNJ" int2:invalidationBookmarkName="" int2:hashCode="rUlRCiok9AVE6G" int2:id="TLdeCMFI">
      <int2:state int2:value="Rejected" int2:type="LegacyProofing"/>
    </int2:bookmark>
    <int2:bookmark int2:bookmarkName="_Int_HowXyJ8V" int2:invalidationBookmarkName="" int2:hashCode="qrBdY9zv94W3VQ" int2:id="TdlyGt9E">
      <int2:state int2:value="Rejected" int2:type="LegacyProofing"/>
    </int2:bookmark>
    <int2:bookmark int2:bookmarkName="_Int_3iSAoZv5" int2:invalidationBookmarkName="" int2:hashCode="Hl7AA7SkXgmZVG" int2:id="njmL1b0D">
      <int2:state int2:value="Rejected" int2:type="LegacyProofing"/>
    </int2:bookmark>
    <int2:bookmark int2:bookmarkName="_Int_UOfNnJBC" int2:invalidationBookmarkName="" int2:hashCode="tfbmyMe0U73vRz" int2:id="va685ZgK">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11E"/>
    <w:multiLevelType w:val="hybridMultilevel"/>
    <w:tmpl w:val="FFFFFFFF"/>
    <w:lvl w:ilvl="0" w:tplc="11F40BA2">
      <w:start w:val="1"/>
      <w:numFmt w:val="bullet"/>
      <w:lvlText w:val=""/>
      <w:lvlJc w:val="left"/>
      <w:pPr>
        <w:ind w:left="360" w:hanging="360"/>
      </w:pPr>
      <w:rPr>
        <w:rFonts w:hint="default" w:ascii="Symbol" w:hAnsi="Symbol"/>
      </w:rPr>
    </w:lvl>
    <w:lvl w:ilvl="1" w:tplc="A9769654">
      <w:start w:val="1"/>
      <w:numFmt w:val="bullet"/>
      <w:lvlText w:val="o"/>
      <w:lvlJc w:val="left"/>
      <w:pPr>
        <w:ind w:left="1080" w:hanging="360"/>
      </w:pPr>
      <w:rPr>
        <w:rFonts w:hint="default" w:ascii="Courier New" w:hAnsi="Courier New"/>
      </w:rPr>
    </w:lvl>
    <w:lvl w:ilvl="2" w:tplc="9ECC81E6">
      <w:start w:val="1"/>
      <w:numFmt w:val="bullet"/>
      <w:lvlText w:val=""/>
      <w:lvlJc w:val="left"/>
      <w:pPr>
        <w:ind w:left="1800" w:hanging="360"/>
      </w:pPr>
      <w:rPr>
        <w:rFonts w:hint="default" w:ascii="Wingdings" w:hAnsi="Wingdings"/>
      </w:rPr>
    </w:lvl>
    <w:lvl w:ilvl="3" w:tplc="D7CE7DD6">
      <w:start w:val="1"/>
      <w:numFmt w:val="bullet"/>
      <w:lvlText w:val=""/>
      <w:lvlJc w:val="left"/>
      <w:pPr>
        <w:ind w:left="2520" w:hanging="360"/>
      </w:pPr>
      <w:rPr>
        <w:rFonts w:hint="default" w:ascii="Symbol" w:hAnsi="Symbol"/>
      </w:rPr>
    </w:lvl>
    <w:lvl w:ilvl="4" w:tplc="132CC868">
      <w:start w:val="1"/>
      <w:numFmt w:val="bullet"/>
      <w:lvlText w:val="o"/>
      <w:lvlJc w:val="left"/>
      <w:pPr>
        <w:ind w:left="3240" w:hanging="360"/>
      </w:pPr>
      <w:rPr>
        <w:rFonts w:hint="default" w:ascii="Courier New" w:hAnsi="Courier New"/>
      </w:rPr>
    </w:lvl>
    <w:lvl w:ilvl="5" w:tplc="C48494D2">
      <w:start w:val="1"/>
      <w:numFmt w:val="bullet"/>
      <w:lvlText w:val=""/>
      <w:lvlJc w:val="left"/>
      <w:pPr>
        <w:ind w:left="3960" w:hanging="360"/>
      </w:pPr>
      <w:rPr>
        <w:rFonts w:hint="default" w:ascii="Wingdings" w:hAnsi="Wingdings"/>
      </w:rPr>
    </w:lvl>
    <w:lvl w:ilvl="6" w:tplc="DD4686AA">
      <w:start w:val="1"/>
      <w:numFmt w:val="bullet"/>
      <w:lvlText w:val=""/>
      <w:lvlJc w:val="left"/>
      <w:pPr>
        <w:ind w:left="4680" w:hanging="360"/>
      </w:pPr>
      <w:rPr>
        <w:rFonts w:hint="default" w:ascii="Symbol" w:hAnsi="Symbol"/>
      </w:rPr>
    </w:lvl>
    <w:lvl w:ilvl="7" w:tplc="A3F0B7C4">
      <w:start w:val="1"/>
      <w:numFmt w:val="bullet"/>
      <w:lvlText w:val="o"/>
      <w:lvlJc w:val="left"/>
      <w:pPr>
        <w:ind w:left="5400" w:hanging="360"/>
      </w:pPr>
      <w:rPr>
        <w:rFonts w:hint="default" w:ascii="Courier New" w:hAnsi="Courier New"/>
      </w:rPr>
    </w:lvl>
    <w:lvl w:ilvl="8" w:tplc="6164A194">
      <w:start w:val="1"/>
      <w:numFmt w:val="bullet"/>
      <w:lvlText w:val=""/>
      <w:lvlJc w:val="left"/>
      <w:pPr>
        <w:ind w:left="6120" w:hanging="360"/>
      </w:pPr>
      <w:rPr>
        <w:rFonts w:hint="default" w:ascii="Wingdings" w:hAnsi="Wingdings"/>
      </w:rPr>
    </w:lvl>
  </w:abstractNum>
  <w:abstractNum w:abstractNumId="1" w15:restartNumberingAfterBreak="0">
    <w:nsid w:val="047E7E18"/>
    <w:multiLevelType w:val="hybridMultilevel"/>
    <w:tmpl w:val="FFFFFFFF"/>
    <w:lvl w:ilvl="0" w:tplc="47B66500">
      <w:start w:val="1"/>
      <w:numFmt w:val="bullet"/>
      <w:lvlText w:val=""/>
      <w:lvlJc w:val="left"/>
      <w:pPr>
        <w:ind w:left="360" w:hanging="360"/>
      </w:pPr>
      <w:rPr>
        <w:rFonts w:hint="default" w:ascii="Symbol" w:hAnsi="Symbol"/>
      </w:rPr>
    </w:lvl>
    <w:lvl w:ilvl="1" w:tplc="392824EC">
      <w:start w:val="1"/>
      <w:numFmt w:val="bullet"/>
      <w:lvlText w:val="o"/>
      <w:lvlJc w:val="left"/>
      <w:pPr>
        <w:ind w:left="1080" w:hanging="360"/>
      </w:pPr>
      <w:rPr>
        <w:rFonts w:hint="default" w:ascii="Courier New" w:hAnsi="Courier New"/>
      </w:rPr>
    </w:lvl>
    <w:lvl w:ilvl="2" w:tplc="BCF450D4">
      <w:start w:val="1"/>
      <w:numFmt w:val="bullet"/>
      <w:lvlText w:val=""/>
      <w:lvlJc w:val="left"/>
      <w:pPr>
        <w:ind w:left="1800" w:hanging="360"/>
      </w:pPr>
      <w:rPr>
        <w:rFonts w:hint="default" w:ascii="Wingdings" w:hAnsi="Wingdings"/>
      </w:rPr>
    </w:lvl>
    <w:lvl w:ilvl="3" w:tplc="42CC0560">
      <w:start w:val="1"/>
      <w:numFmt w:val="bullet"/>
      <w:lvlText w:val=""/>
      <w:lvlJc w:val="left"/>
      <w:pPr>
        <w:ind w:left="2520" w:hanging="360"/>
      </w:pPr>
      <w:rPr>
        <w:rFonts w:hint="default" w:ascii="Symbol" w:hAnsi="Symbol"/>
      </w:rPr>
    </w:lvl>
    <w:lvl w:ilvl="4" w:tplc="94CE2702">
      <w:start w:val="1"/>
      <w:numFmt w:val="bullet"/>
      <w:lvlText w:val="o"/>
      <w:lvlJc w:val="left"/>
      <w:pPr>
        <w:ind w:left="3240" w:hanging="360"/>
      </w:pPr>
      <w:rPr>
        <w:rFonts w:hint="default" w:ascii="Courier New" w:hAnsi="Courier New"/>
      </w:rPr>
    </w:lvl>
    <w:lvl w:ilvl="5" w:tplc="C6C657D6">
      <w:start w:val="1"/>
      <w:numFmt w:val="bullet"/>
      <w:lvlText w:val=""/>
      <w:lvlJc w:val="left"/>
      <w:pPr>
        <w:ind w:left="3960" w:hanging="360"/>
      </w:pPr>
      <w:rPr>
        <w:rFonts w:hint="default" w:ascii="Wingdings" w:hAnsi="Wingdings"/>
      </w:rPr>
    </w:lvl>
    <w:lvl w:ilvl="6" w:tplc="3F449150">
      <w:start w:val="1"/>
      <w:numFmt w:val="bullet"/>
      <w:lvlText w:val=""/>
      <w:lvlJc w:val="left"/>
      <w:pPr>
        <w:ind w:left="4680" w:hanging="360"/>
      </w:pPr>
      <w:rPr>
        <w:rFonts w:hint="default" w:ascii="Symbol" w:hAnsi="Symbol"/>
      </w:rPr>
    </w:lvl>
    <w:lvl w:ilvl="7" w:tplc="2B501FD0">
      <w:start w:val="1"/>
      <w:numFmt w:val="bullet"/>
      <w:lvlText w:val="o"/>
      <w:lvlJc w:val="left"/>
      <w:pPr>
        <w:ind w:left="5400" w:hanging="360"/>
      </w:pPr>
      <w:rPr>
        <w:rFonts w:hint="default" w:ascii="Courier New" w:hAnsi="Courier New"/>
      </w:rPr>
    </w:lvl>
    <w:lvl w:ilvl="8" w:tplc="DF822724">
      <w:start w:val="1"/>
      <w:numFmt w:val="bullet"/>
      <w:lvlText w:val=""/>
      <w:lvlJc w:val="left"/>
      <w:pPr>
        <w:ind w:left="6120" w:hanging="360"/>
      </w:pPr>
      <w:rPr>
        <w:rFonts w:hint="default" w:ascii="Wingdings" w:hAnsi="Wingdings"/>
      </w:rPr>
    </w:lvl>
  </w:abstractNum>
  <w:abstractNum w:abstractNumId="2" w15:restartNumberingAfterBreak="0">
    <w:nsid w:val="04E97F15"/>
    <w:multiLevelType w:val="hybridMultilevel"/>
    <w:tmpl w:val="FFFFFFFF"/>
    <w:lvl w:ilvl="0" w:tplc="1B9C87EA">
      <w:start w:val="1"/>
      <w:numFmt w:val="bullet"/>
      <w:lvlText w:val=""/>
      <w:lvlJc w:val="left"/>
      <w:pPr>
        <w:ind w:left="360" w:hanging="360"/>
      </w:pPr>
      <w:rPr>
        <w:rFonts w:hint="default" w:ascii="Symbol" w:hAnsi="Symbol"/>
      </w:rPr>
    </w:lvl>
    <w:lvl w:ilvl="1" w:tplc="88B2AD5E">
      <w:start w:val="1"/>
      <w:numFmt w:val="bullet"/>
      <w:lvlText w:val="o"/>
      <w:lvlJc w:val="left"/>
      <w:pPr>
        <w:ind w:left="1080" w:hanging="360"/>
      </w:pPr>
      <w:rPr>
        <w:rFonts w:hint="default" w:ascii="Courier New" w:hAnsi="Courier New"/>
      </w:rPr>
    </w:lvl>
    <w:lvl w:ilvl="2" w:tplc="713A5D06">
      <w:start w:val="1"/>
      <w:numFmt w:val="bullet"/>
      <w:lvlText w:val=""/>
      <w:lvlJc w:val="left"/>
      <w:pPr>
        <w:ind w:left="1800" w:hanging="360"/>
      </w:pPr>
      <w:rPr>
        <w:rFonts w:hint="default" w:ascii="Wingdings" w:hAnsi="Wingdings"/>
      </w:rPr>
    </w:lvl>
    <w:lvl w:ilvl="3" w:tplc="248C737C">
      <w:start w:val="1"/>
      <w:numFmt w:val="bullet"/>
      <w:lvlText w:val=""/>
      <w:lvlJc w:val="left"/>
      <w:pPr>
        <w:ind w:left="2520" w:hanging="360"/>
      </w:pPr>
      <w:rPr>
        <w:rFonts w:hint="default" w:ascii="Symbol" w:hAnsi="Symbol"/>
      </w:rPr>
    </w:lvl>
    <w:lvl w:ilvl="4" w:tplc="E5160EC4">
      <w:start w:val="1"/>
      <w:numFmt w:val="bullet"/>
      <w:lvlText w:val="o"/>
      <w:lvlJc w:val="left"/>
      <w:pPr>
        <w:ind w:left="3240" w:hanging="360"/>
      </w:pPr>
      <w:rPr>
        <w:rFonts w:hint="default" w:ascii="Courier New" w:hAnsi="Courier New"/>
      </w:rPr>
    </w:lvl>
    <w:lvl w:ilvl="5" w:tplc="E58EF960">
      <w:start w:val="1"/>
      <w:numFmt w:val="bullet"/>
      <w:lvlText w:val=""/>
      <w:lvlJc w:val="left"/>
      <w:pPr>
        <w:ind w:left="3960" w:hanging="360"/>
      </w:pPr>
      <w:rPr>
        <w:rFonts w:hint="default" w:ascii="Wingdings" w:hAnsi="Wingdings"/>
      </w:rPr>
    </w:lvl>
    <w:lvl w:ilvl="6" w:tplc="A09E70C6">
      <w:start w:val="1"/>
      <w:numFmt w:val="bullet"/>
      <w:lvlText w:val=""/>
      <w:lvlJc w:val="left"/>
      <w:pPr>
        <w:ind w:left="4680" w:hanging="360"/>
      </w:pPr>
      <w:rPr>
        <w:rFonts w:hint="default" w:ascii="Symbol" w:hAnsi="Symbol"/>
      </w:rPr>
    </w:lvl>
    <w:lvl w:ilvl="7" w:tplc="C97C12CE">
      <w:start w:val="1"/>
      <w:numFmt w:val="bullet"/>
      <w:lvlText w:val="o"/>
      <w:lvlJc w:val="left"/>
      <w:pPr>
        <w:ind w:left="5400" w:hanging="360"/>
      </w:pPr>
      <w:rPr>
        <w:rFonts w:hint="default" w:ascii="Courier New" w:hAnsi="Courier New"/>
      </w:rPr>
    </w:lvl>
    <w:lvl w:ilvl="8" w:tplc="CEC60C02">
      <w:start w:val="1"/>
      <w:numFmt w:val="bullet"/>
      <w:lvlText w:val=""/>
      <w:lvlJc w:val="left"/>
      <w:pPr>
        <w:ind w:left="6120" w:hanging="360"/>
      </w:pPr>
      <w:rPr>
        <w:rFonts w:hint="default" w:ascii="Wingdings" w:hAnsi="Wingdings"/>
      </w:rPr>
    </w:lvl>
  </w:abstractNum>
  <w:abstractNum w:abstractNumId="3" w15:restartNumberingAfterBreak="0">
    <w:nsid w:val="05C51642"/>
    <w:multiLevelType w:val="hybridMultilevel"/>
    <w:tmpl w:val="FFFFFFFF"/>
    <w:lvl w:ilvl="0" w:tplc="4710A3DA">
      <w:start w:val="1"/>
      <w:numFmt w:val="bullet"/>
      <w:lvlText w:val="o"/>
      <w:lvlJc w:val="left"/>
      <w:pPr>
        <w:ind w:left="720" w:hanging="360"/>
      </w:pPr>
      <w:rPr>
        <w:rFonts w:hint="default" w:ascii="Courier New" w:hAnsi="Courier New"/>
      </w:rPr>
    </w:lvl>
    <w:lvl w:ilvl="1" w:tplc="89EC95B0">
      <w:start w:val="1"/>
      <w:numFmt w:val="bullet"/>
      <w:lvlText w:val="o"/>
      <w:lvlJc w:val="left"/>
      <w:pPr>
        <w:ind w:left="1440" w:hanging="360"/>
      </w:pPr>
      <w:rPr>
        <w:rFonts w:hint="default" w:ascii="Courier New" w:hAnsi="Courier New"/>
      </w:rPr>
    </w:lvl>
    <w:lvl w:ilvl="2" w:tplc="29946FE4">
      <w:start w:val="1"/>
      <w:numFmt w:val="bullet"/>
      <w:lvlText w:val=""/>
      <w:lvlJc w:val="left"/>
      <w:pPr>
        <w:ind w:left="2160" w:hanging="360"/>
      </w:pPr>
      <w:rPr>
        <w:rFonts w:hint="default" w:ascii="Wingdings" w:hAnsi="Wingdings"/>
      </w:rPr>
    </w:lvl>
    <w:lvl w:ilvl="3" w:tplc="F0BAD750">
      <w:start w:val="1"/>
      <w:numFmt w:val="bullet"/>
      <w:lvlText w:val=""/>
      <w:lvlJc w:val="left"/>
      <w:pPr>
        <w:ind w:left="2880" w:hanging="360"/>
      </w:pPr>
      <w:rPr>
        <w:rFonts w:hint="default" w:ascii="Symbol" w:hAnsi="Symbol"/>
      </w:rPr>
    </w:lvl>
    <w:lvl w:ilvl="4" w:tplc="AF48ED4C">
      <w:start w:val="1"/>
      <w:numFmt w:val="bullet"/>
      <w:lvlText w:val="o"/>
      <w:lvlJc w:val="left"/>
      <w:pPr>
        <w:ind w:left="3600" w:hanging="360"/>
      </w:pPr>
      <w:rPr>
        <w:rFonts w:hint="default" w:ascii="Courier New" w:hAnsi="Courier New"/>
      </w:rPr>
    </w:lvl>
    <w:lvl w:ilvl="5" w:tplc="FEA48740">
      <w:start w:val="1"/>
      <w:numFmt w:val="bullet"/>
      <w:lvlText w:val=""/>
      <w:lvlJc w:val="left"/>
      <w:pPr>
        <w:ind w:left="4320" w:hanging="360"/>
      </w:pPr>
      <w:rPr>
        <w:rFonts w:hint="default" w:ascii="Wingdings" w:hAnsi="Wingdings"/>
      </w:rPr>
    </w:lvl>
    <w:lvl w:ilvl="6" w:tplc="3FE217DE">
      <w:start w:val="1"/>
      <w:numFmt w:val="bullet"/>
      <w:lvlText w:val=""/>
      <w:lvlJc w:val="left"/>
      <w:pPr>
        <w:ind w:left="5040" w:hanging="360"/>
      </w:pPr>
      <w:rPr>
        <w:rFonts w:hint="default" w:ascii="Symbol" w:hAnsi="Symbol"/>
      </w:rPr>
    </w:lvl>
    <w:lvl w:ilvl="7" w:tplc="218E85E6">
      <w:start w:val="1"/>
      <w:numFmt w:val="bullet"/>
      <w:lvlText w:val="o"/>
      <w:lvlJc w:val="left"/>
      <w:pPr>
        <w:ind w:left="5760" w:hanging="360"/>
      </w:pPr>
      <w:rPr>
        <w:rFonts w:hint="default" w:ascii="Courier New" w:hAnsi="Courier New"/>
      </w:rPr>
    </w:lvl>
    <w:lvl w:ilvl="8" w:tplc="3A58B8A6">
      <w:start w:val="1"/>
      <w:numFmt w:val="bullet"/>
      <w:lvlText w:val=""/>
      <w:lvlJc w:val="left"/>
      <w:pPr>
        <w:ind w:left="6480" w:hanging="360"/>
      </w:pPr>
      <w:rPr>
        <w:rFonts w:hint="default" w:ascii="Wingdings" w:hAnsi="Wingdings"/>
      </w:rPr>
    </w:lvl>
  </w:abstractNum>
  <w:abstractNum w:abstractNumId="4" w15:restartNumberingAfterBreak="0">
    <w:nsid w:val="07200C62"/>
    <w:multiLevelType w:val="hybridMultilevel"/>
    <w:tmpl w:val="FFFFFFFF"/>
    <w:lvl w:ilvl="0" w:tplc="826E4EDA">
      <w:start w:val="1"/>
      <w:numFmt w:val="bullet"/>
      <w:lvlText w:val=""/>
      <w:lvlJc w:val="left"/>
      <w:pPr>
        <w:ind w:left="360" w:hanging="360"/>
      </w:pPr>
      <w:rPr>
        <w:rFonts w:hint="default" w:ascii="Symbol" w:hAnsi="Symbol"/>
      </w:rPr>
    </w:lvl>
    <w:lvl w:ilvl="1" w:tplc="70A048BE">
      <w:start w:val="1"/>
      <w:numFmt w:val="bullet"/>
      <w:lvlText w:val="o"/>
      <w:lvlJc w:val="left"/>
      <w:pPr>
        <w:ind w:left="1080" w:hanging="360"/>
      </w:pPr>
      <w:rPr>
        <w:rFonts w:hint="default" w:ascii="Courier New" w:hAnsi="Courier New"/>
      </w:rPr>
    </w:lvl>
    <w:lvl w:ilvl="2" w:tplc="1332E002">
      <w:start w:val="1"/>
      <w:numFmt w:val="bullet"/>
      <w:lvlText w:val=""/>
      <w:lvlJc w:val="left"/>
      <w:pPr>
        <w:ind w:left="1800" w:hanging="360"/>
      </w:pPr>
      <w:rPr>
        <w:rFonts w:hint="default" w:ascii="Wingdings" w:hAnsi="Wingdings"/>
      </w:rPr>
    </w:lvl>
    <w:lvl w:ilvl="3" w:tplc="56EE55AA">
      <w:start w:val="1"/>
      <w:numFmt w:val="bullet"/>
      <w:lvlText w:val=""/>
      <w:lvlJc w:val="left"/>
      <w:pPr>
        <w:ind w:left="2520" w:hanging="360"/>
      </w:pPr>
      <w:rPr>
        <w:rFonts w:hint="default" w:ascii="Symbol" w:hAnsi="Symbol"/>
      </w:rPr>
    </w:lvl>
    <w:lvl w:ilvl="4" w:tplc="C900A6E0">
      <w:start w:val="1"/>
      <w:numFmt w:val="bullet"/>
      <w:lvlText w:val="o"/>
      <w:lvlJc w:val="left"/>
      <w:pPr>
        <w:ind w:left="3240" w:hanging="360"/>
      </w:pPr>
      <w:rPr>
        <w:rFonts w:hint="default" w:ascii="Courier New" w:hAnsi="Courier New"/>
      </w:rPr>
    </w:lvl>
    <w:lvl w:ilvl="5" w:tplc="7A0EC726">
      <w:start w:val="1"/>
      <w:numFmt w:val="bullet"/>
      <w:lvlText w:val=""/>
      <w:lvlJc w:val="left"/>
      <w:pPr>
        <w:ind w:left="3960" w:hanging="360"/>
      </w:pPr>
      <w:rPr>
        <w:rFonts w:hint="default" w:ascii="Wingdings" w:hAnsi="Wingdings"/>
      </w:rPr>
    </w:lvl>
    <w:lvl w:ilvl="6" w:tplc="8CAC23F0">
      <w:start w:val="1"/>
      <w:numFmt w:val="bullet"/>
      <w:lvlText w:val=""/>
      <w:lvlJc w:val="left"/>
      <w:pPr>
        <w:ind w:left="4680" w:hanging="360"/>
      </w:pPr>
      <w:rPr>
        <w:rFonts w:hint="default" w:ascii="Symbol" w:hAnsi="Symbol"/>
      </w:rPr>
    </w:lvl>
    <w:lvl w:ilvl="7" w:tplc="260036B8">
      <w:start w:val="1"/>
      <w:numFmt w:val="bullet"/>
      <w:lvlText w:val="o"/>
      <w:lvlJc w:val="left"/>
      <w:pPr>
        <w:ind w:left="5400" w:hanging="360"/>
      </w:pPr>
      <w:rPr>
        <w:rFonts w:hint="default" w:ascii="Courier New" w:hAnsi="Courier New"/>
      </w:rPr>
    </w:lvl>
    <w:lvl w:ilvl="8" w:tplc="8D7EC5A2">
      <w:start w:val="1"/>
      <w:numFmt w:val="bullet"/>
      <w:lvlText w:val=""/>
      <w:lvlJc w:val="left"/>
      <w:pPr>
        <w:ind w:left="6120" w:hanging="360"/>
      </w:pPr>
      <w:rPr>
        <w:rFonts w:hint="default" w:ascii="Wingdings" w:hAnsi="Wingdings"/>
      </w:rPr>
    </w:lvl>
  </w:abstractNum>
  <w:abstractNum w:abstractNumId="5" w15:restartNumberingAfterBreak="0">
    <w:nsid w:val="073E74E0"/>
    <w:multiLevelType w:val="hybridMultilevel"/>
    <w:tmpl w:val="E0CA220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3A63DC"/>
    <w:multiLevelType w:val="hybridMultilevel"/>
    <w:tmpl w:val="FFFFFFFF"/>
    <w:lvl w:ilvl="0" w:tplc="8D14C6BC">
      <w:start w:val="1"/>
      <w:numFmt w:val="decimal"/>
      <w:lvlText w:val="%1."/>
      <w:lvlJc w:val="left"/>
      <w:pPr>
        <w:ind w:left="720" w:hanging="360"/>
      </w:pPr>
    </w:lvl>
    <w:lvl w:ilvl="1" w:tplc="98B4C7A2">
      <w:start w:val="1"/>
      <w:numFmt w:val="lowerLetter"/>
      <w:lvlText w:val="%2."/>
      <w:lvlJc w:val="left"/>
      <w:pPr>
        <w:ind w:left="1440" w:hanging="360"/>
      </w:pPr>
    </w:lvl>
    <w:lvl w:ilvl="2" w:tplc="13C8409E">
      <w:start w:val="1"/>
      <w:numFmt w:val="lowerRoman"/>
      <w:lvlText w:val="%3."/>
      <w:lvlJc w:val="right"/>
      <w:pPr>
        <w:ind w:left="2160" w:hanging="180"/>
      </w:pPr>
    </w:lvl>
    <w:lvl w:ilvl="3" w:tplc="4ADE7CBC">
      <w:start w:val="1"/>
      <w:numFmt w:val="decimal"/>
      <w:lvlText w:val="%4."/>
      <w:lvlJc w:val="left"/>
      <w:pPr>
        <w:ind w:left="2880" w:hanging="360"/>
      </w:pPr>
    </w:lvl>
    <w:lvl w:ilvl="4" w:tplc="A63CEBE8">
      <w:start w:val="1"/>
      <w:numFmt w:val="lowerLetter"/>
      <w:lvlText w:val="%5."/>
      <w:lvlJc w:val="left"/>
      <w:pPr>
        <w:ind w:left="3600" w:hanging="360"/>
      </w:pPr>
    </w:lvl>
    <w:lvl w:ilvl="5" w:tplc="C5E69634">
      <w:start w:val="1"/>
      <w:numFmt w:val="lowerRoman"/>
      <w:lvlText w:val="%6."/>
      <w:lvlJc w:val="right"/>
      <w:pPr>
        <w:ind w:left="4320" w:hanging="180"/>
      </w:pPr>
    </w:lvl>
    <w:lvl w:ilvl="6" w:tplc="DA96596A">
      <w:start w:val="1"/>
      <w:numFmt w:val="decimal"/>
      <w:lvlText w:val="%7."/>
      <w:lvlJc w:val="left"/>
      <w:pPr>
        <w:ind w:left="5040" w:hanging="360"/>
      </w:pPr>
    </w:lvl>
    <w:lvl w:ilvl="7" w:tplc="93A497D8">
      <w:start w:val="1"/>
      <w:numFmt w:val="lowerLetter"/>
      <w:lvlText w:val="%8."/>
      <w:lvlJc w:val="left"/>
      <w:pPr>
        <w:ind w:left="5760" w:hanging="360"/>
      </w:pPr>
    </w:lvl>
    <w:lvl w:ilvl="8" w:tplc="B45E3084">
      <w:start w:val="1"/>
      <w:numFmt w:val="lowerRoman"/>
      <w:lvlText w:val="%9."/>
      <w:lvlJc w:val="right"/>
      <w:pPr>
        <w:ind w:left="6480" w:hanging="180"/>
      </w:pPr>
    </w:lvl>
  </w:abstractNum>
  <w:abstractNum w:abstractNumId="7" w15:restartNumberingAfterBreak="0">
    <w:nsid w:val="148D137C"/>
    <w:multiLevelType w:val="hybridMultilevel"/>
    <w:tmpl w:val="FFFFFFFF"/>
    <w:lvl w:ilvl="0" w:tplc="737E33F4">
      <w:start w:val="1"/>
      <w:numFmt w:val="bullet"/>
      <w:lvlText w:val=""/>
      <w:lvlJc w:val="left"/>
      <w:pPr>
        <w:ind w:left="360" w:hanging="360"/>
      </w:pPr>
      <w:rPr>
        <w:rFonts w:hint="default" w:ascii="Symbol" w:hAnsi="Symbol"/>
      </w:rPr>
    </w:lvl>
    <w:lvl w:ilvl="1" w:tplc="60925EBA">
      <w:start w:val="1"/>
      <w:numFmt w:val="bullet"/>
      <w:lvlText w:val="o"/>
      <w:lvlJc w:val="left"/>
      <w:pPr>
        <w:ind w:left="1080" w:hanging="360"/>
      </w:pPr>
      <w:rPr>
        <w:rFonts w:hint="default" w:ascii="Courier New" w:hAnsi="Courier New"/>
      </w:rPr>
    </w:lvl>
    <w:lvl w:ilvl="2" w:tplc="62B650BA">
      <w:start w:val="1"/>
      <w:numFmt w:val="bullet"/>
      <w:lvlText w:val=""/>
      <w:lvlJc w:val="left"/>
      <w:pPr>
        <w:ind w:left="1800" w:hanging="360"/>
      </w:pPr>
      <w:rPr>
        <w:rFonts w:hint="default" w:ascii="Wingdings" w:hAnsi="Wingdings"/>
      </w:rPr>
    </w:lvl>
    <w:lvl w:ilvl="3" w:tplc="7BD2CC50">
      <w:start w:val="1"/>
      <w:numFmt w:val="bullet"/>
      <w:lvlText w:val=""/>
      <w:lvlJc w:val="left"/>
      <w:pPr>
        <w:ind w:left="2520" w:hanging="360"/>
      </w:pPr>
      <w:rPr>
        <w:rFonts w:hint="default" w:ascii="Symbol" w:hAnsi="Symbol"/>
      </w:rPr>
    </w:lvl>
    <w:lvl w:ilvl="4" w:tplc="9772644C">
      <w:start w:val="1"/>
      <w:numFmt w:val="bullet"/>
      <w:lvlText w:val="o"/>
      <w:lvlJc w:val="left"/>
      <w:pPr>
        <w:ind w:left="3240" w:hanging="360"/>
      </w:pPr>
      <w:rPr>
        <w:rFonts w:hint="default" w:ascii="Courier New" w:hAnsi="Courier New"/>
      </w:rPr>
    </w:lvl>
    <w:lvl w:ilvl="5" w:tplc="0F6AD33C">
      <w:start w:val="1"/>
      <w:numFmt w:val="bullet"/>
      <w:lvlText w:val=""/>
      <w:lvlJc w:val="left"/>
      <w:pPr>
        <w:ind w:left="3960" w:hanging="360"/>
      </w:pPr>
      <w:rPr>
        <w:rFonts w:hint="default" w:ascii="Wingdings" w:hAnsi="Wingdings"/>
      </w:rPr>
    </w:lvl>
    <w:lvl w:ilvl="6" w:tplc="227444F2">
      <w:start w:val="1"/>
      <w:numFmt w:val="bullet"/>
      <w:lvlText w:val=""/>
      <w:lvlJc w:val="left"/>
      <w:pPr>
        <w:ind w:left="4680" w:hanging="360"/>
      </w:pPr>
      <w:rPr>
        <w:rFonts w:hint="default" w:ascii="Symbol" w:hAnsi="Symbol"/>
      </w:rPr>
    </w:lvl>
    <w:lvl w:ilvl="7" w:tplc="79AC535A">
      <w:start w:val="1"/>
      <w:numFmt w:val="bullet"/>
      <w:lvlText w:val="o"/>
      <w:lvlJc w:val="left"/>
      <w:pPr>
        <w:ind w:left="5400" w:hanging="360"/>
      </w:pPr>
      <w:rPr>
        <w:rFonts w:hint="default" w:ascii="Courier New" w:hAnsi="Courier New"/>
      </w:rPr>
    </w:lvl>
    <w:lvl w:ilvl="8" w:tplc="39AE3F8E">
      <w:start w:val="1"/>
      <w:numFmt w:val="bullet"/>
      <w:lvlText w:val=""/>
      <w:lvlJc w:val="left"/>
      <w:pPr>
        <w:ind w:left="6120" w:hanging="360"/>
      </w:pPr>
      <w:rPr>
        <w:rFonts w:hint="default" w:ascii="Wingdings" w:hAnsi="Wingdings"/>
      </w:rPr>
    </w:lvl>
  </w:abstractNum>
  <w:abstractNum w:abstractNumId="8" w15:restartNumberingAfterBreak="0">
    <w:nsid w:val="178A2DFD"/>
    <w:multiLevelType w:val="hybridMultilevel"/>
    <w:tmpl w:val="FFFFFFFF"/>
    <w:lvl w:ilvl="0" w:tplc="EEB4166E">
      <w:start w:val="1"/>
      <w:numFmt w:val="bullet"/>
      <w:lvlText w:val="o"/>
      <w:lvlJc w:val="left"/>
      <w:pPr>
        <w:ind w:left="720" w:hanging="360"/>
      </w:pPr>
      <w:rPr>
        <w:rFonts w:hint="default" w:ascii="Courier New" w:hAnsi="Courier New"/>
      </w:rPr>
    </w:lvl>
    <w:lvl w:ilvl="1" w:tplc="FB0E12D8">
      <w:start w:val="1"/>
      <w:numFmt w:val="bullet"/>
      <w:lvlText w:val="o"/>
      <w:lvlJc w:val="left"/>
      <w:pPr>
        <w:ind w:left="1440" w:hanging="360"/>
      </w:pPr>
      <w:rPr>
        <w:rFonts w:hint="default" w:ascii="Courier New" w:hAnsi="Courier New"/>
      </w:rPr>
    </w:lvl>
    <w:lvl w:ilvl="2" w:tplc="66A8B47A">
      <w:start w:val="1"/>
      <w:numFmt w:val="bullet"/>
      <w:lvlText w:val=""/>
      <w:lvlJc w:val="left"/>
      <w:pPr>
        <w:ind w:left="2160" w:hanging="360"/>
      </w:pPr>
      <w:rPr>
        <w:rFonts w:hint="default" w:ascii="Wingdings" w:hAnsi="Wingdings"/>
      </w:rPr>
    </w:lvl>
    <w:lvl w:ilvl="3" w:tplc="4926ADE8">
      <w:start w:val="1"/>
      <w:numFmt w:val="bullet"/>
      <w:lvlText w:val=""/>
      <w:lvlJc w:val="left"/>
      <w:pPr>
        <w:ind w:left="2880" w:hanging="360"/>
      </w:pPr>
      <w:rPr>
        <w:rFonts w:hint="default" w:ascii="Symbol" w:hAnsi="Symbol"/>
      </w:rPr>
    </w:lvl>
    <w:lvl w:ilvl="4" w:tplc="0FDA6EE0">
      <w:start w:val="1"/>
      <w:numFmt w:val="bullet"/>
      <w:lvlText w:val="o"/>
      <w:lvlJc w:val="left"/>
      <w:pPr>
        <w:ind w:left="3600" w:hanging="360"/>
      </w:pPr>
      <w:rPr>
        <w:rFonts w:hint="default" w:ascii="Courier New" w:hAnsi="Courier New"/>
      </w:rPr>
    </w:lvl>
    <w:lvl w:ilvl="5" w:tplc="221026F0">
      <w:start w:val="1"/>
      <w:numFmt w:val="bullet"/>
      <w:lvlText w:val=""/>
      <w:lvlJc w:val="left"/>
      <w:pPr>
        <w:ind w:left="4320" w:hanging="360"/>
      </w:pPr>
      <w:rPr>
        <w:rFonts w:hint="default" w:ascii="Wingdings" w:hAnsi="Wingdings"/>
      </w:rPr>
    </w:lvl>
    <w:lvl w:ilvl="6" w:tplc="270A247A">
      <w:start w:val="1"/>
      <w:numFmt w:val="bullet"/>
      <w:lvlText w:val=""/>
      <w:lvlJc w:val="left"/>
      <w:pPr>
        <w:ind w:left="5040" w:hanging="360"/>
      </w:pPr>
      <w:rPr>
        <w:rFonts w:hint="default" w:ascii="Symbol" w:hAnsi="Symbol"/>
      </w:rPr>
    </w:lvl>
    <w:lvl w:ilvl="7" w:tplc="B9F0C1AE">
      <w:start w:val="1"/>
      <w:numFmt w:val="bullet"/>
      <w:lvlText w:val="o"/>
      <w:lvlJc w:val="left"/>
      <w:pPr>
        <w:ind w:left="5760" w:hanging="360"/>
      </w:pPr>
      <w:rPr>
        <w:rFonts w:hint="default" w:ascii="Courier New" w:hAnsi="Courier New"/>
      </w:rPr>
    </w:lvl>
    <w:lvl w:ilvl="8" w:tplc="BD32DA58">
      <w:start w:val="1"/>
      <w:numFmt w:val="bullet"/>
      <w:lvlText w:val=""/>
      <w:lvlJc w:val="left"/>
      <w:pPr>
        <w:ind w:left="6480" w:hanging="360"/>
      </w:pPr>
      <w:rPr>
        <w:rFonts w:hint="default" w:ascii="Wingdings" w:hAnsi="Wingdings"/>
      </w:rPr>
    </w:lvl>
  </w:abstractNum>
  <w:abstractNum w:abstractNumId="9" w15:restartNumberingAfterBreak="0">
    <w:nsid w:val="17C76162"/>
    <w:multiLevelType w:val="hybridMultilevel"/>
    <w:tmpl w:val="FFFFFFFF"/>
    <w:lvl w:ilvl="0" w:tplc="525E3AA2">
      <w:start w:val="1"/>
      <w:numFmt w:val="bullet"/>
      <w:lvlText w:val=""/>
      <w:lvlJc w:val="left"/>
      <w:pPr>
        <w:ind w:left="360" w:hanging="360"/>
      </w:pPr>
      <w:rPr>
        <w:rFonts w:hint="default" w:ascii="Symbol" w:hAnsi="Symbol"/>
      </w:rPr>
    </w:lvl>
    <w:lvl w:ilvl="1" w:tplc="B36E326E">
      <w:start w:val="1"/>
      <w:numFmt w:val="bullet"/>
      <w:lvlText w:val="o"/>
      <w:lvlJc w:val="left"/>
      <w:pPr>
        <w:ind w:left="1080" w:hanging="360"/>
      </w:pPr>
      <w:rPr>
        <w:rFonts w:hint="default" w:ascii="Courier New" w:hAnsi="Courier New"/>
      </w:rPr>
    </w:lvl>
    <w:lvl w:ilvl="2" w:tplc="08FACF9E">
      <w:start w:val="1"/>
      <w:numFmt w:val="bullet"/>
      <w:lvlText w:val=""/>
      <w:lvlJc w:val="left"/>
      <w:pPr>
        <w:ind w:left="1800" w:hanging="360"/>
      </w:pPr>
      <w:rPr>
        <w:rFonts w:hint="default" w:ascii="Wingdings" w:hAnsi="Wingdings"/>
      </w:rPr>
    </w:lvl>
    <w:lvl w:ilvl="3" w:tplc="96A273FA">
      <w:start w:val="1"/>
      <w:numFmt w:val="bullet"/>
      <w:lvlText w:val=""/>
      <w:lvlJc w:val="left"/>
      <w:pPr>
        <w:ind w:left="2520" w:hanging="360"/>
      </w:pPr>
      <w:rPr>
        <w:rFonts w:hint="default" w:ascii="Symbol" w:hAnsi="Symbol"/>
      </w:rPr>
    </w:lvl>
    <w:lvl w:ilvl="4" w:tplc="AADC3B7A">
      <w:start w:val="1"/>
      <w:numFmt w:val="bullet"/>
      <w:lvlText w:val="o"/>
      <w:lvlJc w:val="left"/>
      <w:pPr>
        <w:ind w:left="3240" w:hanging="360"/>
      </w:pPr>
      <w:rPr>
        <w:rFonts w:hint="default" w:ascii="Courier New" w:hAnsi="Courier New"/>
      </w:rPr>
    </w:lvl>
    <w:lvl w:ilvl="5" w:tplc="079E7700">
      <w:start w:val="1"/>
      <w:numFmt w:val="bullet"/>
      <w:lvlText w:val=""/>
      <w:lvlJc w:val="left"/>
      <w:pPr>
        <w:ind w:left="3960" w:hanging="360"/>
      </w:pPr>
      <w:rPr>
        <w:rFonts w:hint="default" w:ascii="Wingdings" w:hAnsi="Wingdings"/>
      </w:rPr>
    </w:lvl>
    <w:lvl w:ilvl="6" w:tplc="9A16D86E">
      <w:start w:val="1"/>
      <w:numFmt w:val="bullet"/>
      <w:lvlText w:val=""/>
      <w:lvlJc w:val="left"/>
      <w:pPr>
        <w:ind w:left="4680" w:hanging="360"/>
      </w:pPr>
      <w:rPr>
        <w:rFonts w:hint="default" w:ascii="Symbol" w:hAnsi="Symbol"/>
      </w:rPr>
    </w:lvl>
    <w:lvl w:ilvl="7" w:tplc="6FD01B26">
      <w:start w:val="1"/>
      <w:numFmt w:val="bullet"/>
      <w:lvlText w:val="o"/>
      <w:lvlJc w:val="left"/>
      <w:pPr>
        <w:ind w:left="5400" w:hanging="360"/>
      </w:pPr>
      <w:rPr>
        <w:rFonts w:hint="default" w:ascii="Courier New" w:hAnsi="Courier New"/>
      </w:rPr>
    </w:lvl>
    <w:lvl w:ilvl="8" w:tplc="DCF8A46A">
      <w:start w:val="1"/>
      <w:numFmt w:val="bullet"/>
      <w:lvlText w:val=""/>
      <w:lvlJc w:val="left"/>
      <w:pPr>
        <w:ind w:left="6120" w:hanging="360"/>
      </w:pPr>
      <w:rPr>
        <w:rFonts w:hint="default" w:ascii="Wingdings" w:hAnsi="Wingdings"/>
      </w:rPr>
    </w:lvl>
  </w:abstractNum>
  <w:abstractNum w:abstractNumId="10" w15:restartNumberingAfterBreak="0">
    <w:nsid w:val="19103103"/>
    <w:multiLevelType w:val="hybridMultilevel"/>
    <w:tmpl w:val="DC9CD4BA"/>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EF67636"/>
    <w:multiLevelType w:val="hybridMultilevel"/>
    <w:tmpl w:val="FFFFFFFF"/>
    <w:lvl w:ilvl="0" w:tplc="8D80FECE">
      <w:start w:val="1"/>
      <w:numFmt w:val="bullet"/>
      <w:lvlText w:val=""/>
      <w:lvlJc w:val="left"/>
      <w:pPr>
        <w:ind w:left="360" w:hanging="360"/>
      </w:pPr>
      <w:rPr>
        <w:rFonts w:hint="default" w:ascii="Symbol" w:hAnsi="Symbol"/>
      </w:rPr>
    </w:lvl>
    <w:lvl w:ilvl="1" w:tplc="BC769766">
      <w:start w:val="1"/>
      <w:numFmt w:val="bullet"/>
      <w:lvlText w:val="o"/>
      <w:lvlJc w:val="left"/>
      <w:pPr>
        <w:ind w:left="1080" w:hanging="360"/>
      </w:pPr>
      <w:rPr>
        <w:rFonts w:hint="default" w:ascii="Courier New" w:hAnsi="Courier New"/>
      </w:rPr>
    </w:lvl>
    <w:lvl w:ilvl="2" w:tplc="AD528FEC">
      <w:start w:val="1"/>
      <w:numFmt w:val="bullet"/>
      <w:lvlText w:val=""/>
      <w:lvlJc w:val="left"/>
      <w:pPr>
        <w:ind w:left="1800" w:hanging="360"/>
      </w:pPr>
      <w:rPr>
        <w:rFonts w:hint="default" w:ascii="Wingdings" w:hAnsi="Wingdings"/>
      </w:rPr>
    </w:lvl>
    <w:lvl w:ilvl="3" w:tplc="E90060DA">
      <w:start w:val="1"/>
      <w:numFmt w:val="bullet"/>
      <w:lvlText w:val=""/>
      <w:lvlJc w:val="left"/>
      <w:pPr>
        <w:ind w:left="2520" w:hanging="360"/>
      </w:pPr>
      <w:rPr>
        <w:rFonts w:hint="default" w:ascii="Symbol" w:hAnsi="Symbol"/>
      </w:rPr>
    </w:lvl>
    <w:lvl w:ilvl="4" w:tplc="28B4CA72">
      <w:start w:val="1"/>
      <w:numFmt w:val="bullet"/>
      <w:lvlText w:val="o"/>
      <w:lvlJc w:val="left"/>
      <w:pPr>
        <w:ind w:left="3240" w:hanging="360"/>
      </w:pPr>
      <w:rPr>
        <w:rFonts w:hint="default" w:ascii="Courier New" w:hAnsi="Courier New"/>
      </w:rPr>
    </w:lvl>
    <w:lvl w:ilvl="5" w:tplc="19DEDF34">
      <w:start w:val="1"/>
      <w:numFmt w:val="bullet"/>
      <w:lvlText w:val=""/>
      <w:lvlJc w:val="left"/>
      <w:pPr>
        <w:ind w:left="3960" w:hanging="360"/>
      </w:pPr>
      <w:rPr>
        <w:rFonts w:hint="default" w:ascii="Wingdings" w:hAnsi="Wingdings"/>
      </w:rPr>
    </w:lvl>
    <w:lvl w:ilvl="6" w:tplc="639CD7C2">
      <w:start w:val="1"/>
      <w:numFmt w:val="bullet"/>
      <w:lvlText w:val=""/>
      <w:lvlJc w:val="left"/>
      <w:pPr>
        <w:ind w:left="4680" w:hanging="360"/>
      </w:pPr>
      <w:rPr>
        <w:rFonts w:hint="default" w:ascii="Symbol" w:hAnsi="Symbol"/>
      </w:rPr>
    </w:lvl>
    <w:lvl w:ilvl="7" w:tplc="D60ADC3C">
      <w:start w:val="1"/>
      <w:numFmt w:val="bullet"/>
      <w:lvlText w:val="o"/>
      <w:lvlJc w:val="left"/>
      <w:pPr>
        <w:ind w:left="5400" w:hanging="360"/>
      </w:pPr>
      <w:rPr>
        <w:rFonts w:hint="default" w:ascii="Courier New" w:hAnsi="Courier New"/>
      </w:rPr>
    </w:lvl>
    <w:lvl w:ilvl="8" w:tplc="AC4C8BF6">
      <w:start w:val="1"/>
      <w:numFmt w:val="bullet"/>
      <w:lvlText w:val=""/>
      <w:lvlJc w:val="left"/>
      <w:pPr>
        <w:ind w:left="6120" w:hanging="360"/>
      </w:pPr>
      <w:rPr>
        <w:rFonts w:hint="default" w:ascii="Wingdings" w:hAnsi="Wingdings"/>
      </w:rPr>
    </w:lvl>
  </w:abstractNum>
  <w:abstractNum w:abstractNumId="12" w15:restartNumberingAfterBreak="0">
    <w:nsid w:val="1FB47799"/>
    <w:multiLevelType w:val="hybridMultilevel"/>
    <w:tmpl w:val="FFFFFFFF"/>
    <w:lvl w:ilvl="0" w:tplc="EABAA620">
      <w:start w:val="1"/>
      <w:numFmt w:val="bullet"/>
      <w:lvlText w:val="o"/>
      <w:lvlJc w:val="left"/>
      <w:pPr>
        <w:ind w:left="720" w:hanging="360"/>
      </w:pPr>
      <w:rPr>
        <w:rFonts w:hint="default" w:ascii="Courier New" w:hAnsi="Courier New"/>
      </w:rPr>
    </w:lvl>
    <w:lvl w:ilvl="1" w:tplc="8A3222EC">
      <w:start w:val="1"/>
      <w:numFmt w:val="bullet"/>
      <w:lvlText w:val="o"/>
      <w:lvlJc w:val="left"/>
      <w:pPr>
        <w:ind w:left="1440" w:hanging="360"/>
      </w:pPr>
      <w:rPr>
        <w:rFonts w:hint="default" w:ascii="Courier New" w:hAnsi="Courier New"/>
      </w:rPr>
    </w:lvl>
    <w:lvl w:ilvl="2" w:tplc="173835F4">
      <w:start w:val="1"/>
      <w:numFmt w:val="bullet"/>
      <w:lvlText w:val=""/>
      <w:lvlJc w:val="left"/>
      <w:pPr>
        <w:ind w:left="2160" w:hanging="360"/>
      </w:pPr>
      <w:rPr>
        <w:rFonts w:hint="default" w:ascii="Wingdings" w:hAnsi="Wingdings"/>
      </w:rPr>
    </w:lvl>
    <w:lvl w:ilvl="3" w:tplc="1FDE02EE">
      <w:start w:val="1"/>
      <w:numFmt w:val="bullet"/>
      <w:lvlText w:val=""/>
      <w:lvlJc w:val="left"/>
      <w:pPr>
        <w:ind w:left="2880" w:hanging="360"/>
      </w:pPr>
      <w:rPr>
        <w:rFonts w:hint="default" w:ascii="Symbol" w:hAnsi="Symbol"/>
      </w:rPr>
    </w:lvl>
    <w:lvl w:ilvl="4" w:tplc="CEF62C40">
      <w:start w:val="1"/>
      <w:numFmt w:val="bullet"/>
      <w:lvlText w:val="o"/>
      <w:lvlJc w:val="left"/>
      <w:pPr>
        <w:ind w:left="3600" w:hanging="360"/>
      </w:pPr>
      <w:rPr>
        <w:rFonts w:hint="default" w:ascii="Courier New" w:hAnsi="Courier New"/>
      </w:rPr>
    </w:lvl>
    <w:lvl w:ilvl="5" w:tplc="1E8088AC">
      <w:start w:val="1"/>
      <w:numFmt w:val="bullet"/>
      <w:lvlText w:val=""/>
      <w:lvlJc w:val="left"/>
      <w:pPr>
        <w:ind w:left="4320" w:hanging="360"/>
      </w:pPr>
      <w:rPr>
        <w:rFonts w:hint="default" w:ascii="Wingdings" w:hAnsi="Wingdings"/>
      </w:rPr>
    </w:lvl>
    <w:lvl w:ilvl="6" w:tplc="D53E31DA">
      <w:start w:val="1"/>
      <w:numFmt w:val="bullet"/>
      <w:lvlText w:val=""/>
      <w:lvlJc w:val="left"/>
      <w:pPr>
        <w:ind w:left="5040" w:hanging="360"/>
      </w:pPr>
      <w:rPr>
        <w:rFonts w:hint="default" w:ascii="Symbol" w:hAnsi="Symbol"/>
      </w:rPr>
    </w:lvl>
    <w:lvl w:ilvl="7" w:tplc="DAD6CF60">
      <w:start w:val="1"/>
      <w:numFmt w:val="bullet"/>
      <w:lvlText w:val="o"/>
      <w:lvlJc w:val="left"/>
      <w:pPr>
        <w:ind w:left="5760" w:hanging="360"/>
      </w:pPr>
      <w:rPr>
        <w:rFonts w:hint="default" w:ascii="Courier New" w:hAnsi="Courier New"/>
      </w:rPr>
    </w:lvl>
    <w:lvl w:ilvl="8" w:tplc="254E9D02">
      <w:start w:val="1"/>
      <w:numFmt w:val="bullet"/>
      <w:lvlText w:val=""/>
      <w:lvlJc w:val="left"/>
      <w:pPr>
        <w:ind w:left="6480" w:hanging="360"/>
      </w:pPr>
      <w:rPr>
        <w:rFonts w:hint="default" w:ascii="Wingdings" w:hAnsi="Wingdings"/>
      </w:rPr>
    </w:lvl>
  </w:abstractNum>
  <w:abstractNum w:abstractNumId="13" w15:restartNumberingAfterBreak="0">
    <w:nsid w:val="27093E18"/>
    <w:multiLevelType w:val="hybridMultilevel"/>
    <w:tmpl w:val="207ED3C6"/>
    <w:lvl w:ilvl="0" w:tplc="FFBA0856">
      <w:start w:val="1"/>
      <w:numFmt w:val="upperLetter"/>
      <w:lvlText w:val="%1."/>
      <w:lvlJc w:val="left"/>
      <w:pPr>
        <w:ind w:left="720" w:hanging="360"/>
      </w:pPr>
      <w:rPr>
        <w:b w:val="0"/>
        <w:bCs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A245AB8"/>
    <w:multiLevelType w:val="hybridMultilevel"/>
    <w:tmpl w:val="FFFFFFFF"/>
    <w:lvl w:ilvl="0" w:tplc="1BA00F5E">
      <w:start w:val="1"/>
      <w:numFmt w:val="bullet"/>
      <w:lvlText w:val=""/>
      <w:lvlJc w:val="left"/>
      <w:pPr>
        <w:ind w:left="360" w:hanging="360"/>
      </w:pPr>
      <w:rPr>
        <w:rFonts w:hint="default" w:ascii="Symbol" w:hAnsi="Symbol"/>
      </w:rPr>
    </w:lvl>
    <w:lvl w:ilvl="1" w:tplc="0B00653C">
      <w:start w:val="1"/>
      <w:numFmt w:val="bullet"/>
      <w:lvlText w:val="o"/>
      <w:lvlJc w:val="left"/>
      <w:pPr>
        <w:ind w:left="1080" w:hanging="360"/>
      </w:pPr>
      <w:rPr>
        <w:rFonts w:hint="default" w:ascii="Courier New" w:hAnsi="Courier New"/>
      </w:rPr>
    </w:lvl>
    <w:lvl w:ilvl="2" w:tplc="33E069A4">
      <w:start w:val="1"/>
      <w:numFmt w:val="bullet"/>
      <w:lvlText w:val=""/>
      <w:lvlJc w:val="left"/>
      <w:pPr>
        <w:ind w:left="1800" w:hanging="360"/>
      </w:pPr>
      <w:rPr>
        <w:rFonts w:hint="default" w:ascii="Wingdings" w:hAnsi="Wingdings"/>
      </w:rPr>
    </w:lvl>
    <w:lvl w:ilvl="3" w:tplc="0E869938">
      <w:start w:val="1"/>
      <w:numFmt w:val="bullet"/>
      <w:lvlText w:val=""/>
      <w:lvlJc w:val="left"/>
      <w:pPr>
        <w:ind w:left="2520" w:hanging="360"/>
      </w:pPr>
      <w:rPr>
        <w:rFonts w:hint="default" w:ascii="Symbol" w:hAnsi="Symbol"/>
      </w:rPr>
    </w:lvl>
    <w:lvl w:ilvl="4" w:tplc="9DA0A616">
      <w:start w:val="1"/>
      <w:numFmt w:val="bullet"/>
      <w:lvlText w:val="o"/>
      <w:lvlJc w:val="left"/>
      <w:pPr>
        <w:ind w:left="3240" w:hanging="360"/>
      </w:pPr>
      <w:rPr>
        <w:rFonts w:hint="default" w:ascii="Courier New" w:hAnsi="Courier New"/>
      </w:rPr>
    </w:lvl>
    <w:lvl w:ilvl="5" w:tplc="3F7CE4DC">
      <w:start w:val="1"/>
      <w:numFmt w:val="bullet"/>
      <w:lvlText w:val=""/>
      <w:lvlJc w:val="left"/>
      <w:pPr>
        <w:ind w:left="3960" w:hanging="360"/>
      </w:pPr>
      <w:rPr>
        <w:rFonts w:hint="default" w:ascii="Wingdings" w:hAnsi="Wingdings"/>
      </w:rPr>
    </w:lvl>
    <w:lvl w:ilvl="6" w:tplc="9314C8D2">
      <w:start w:val="1"/>
      <w:numFmt w:val="bullet"/>
      <w:lvlText w:val=""/>
      <w:lvlJc w:val="left"/>
      <w:pPr>
        <w:ind w:left="4680" w:hanging="360"/>
      </w:pPr>
      <w:rPr>
        <w:rFonts w:hint="default" w:ascii="Symbol" w:hAnsi="Symbol"/>
      </w:rPr>
    </w:lvl>
    <w:lvl w:ilvl="7" w:tplc="CDEA0DA6">
      <w:start w:val="1"/>
      <w:numFmt w:val="bullet"/>
      <w:lvlText w:val="o"/>
      <w:lvlJc w:val="left"/>
      <w:pPr>
        <w:ind w:left="5400" w:hanging="360"/>
      </w:pPr>
      <w:rPr>
        <w:rFonts w:hint="default" w:ascii="Courier New" w:hAnsi="Courier New"/>
      </w:rPr>
    </w:lvl>
    <w:lvl w:ilvl="8" w:tplc="F516D0B2">
      <w:start w:val="1"/>
      <w:numFmt w:val="bullet"/>
      <w:lvlText w:val=""/>
      <w:lvlJc w:val="left"/>
      <w:pPr>
        <w:ind w:left="6120" w:hanging="360"/>
      </w:pPr>
      <w:rPr>
        <w:rFonts w:hint="default" w:ascii="Wingdings" w:hAnsi="Wingdings"/>
      </w:rPr>
    </w:lvl>
  </w:abstractNum>
  <w:abstractNum w:abstractNumId="15" w15:restartNumberingAfterBreak="0">
    <w:nsid w:val="2D79370E"/>
    <w:multiLevelType w:val="hybridMultilevel"/>
    <w:tmpl w:val="FFFFFFFF"/>
    <w:lvl w:ilvl="0" w:tplc="83446628">
      <w:start w:val="1"/>
      <w:numFmt w:val="bullet"/>
      <w:lvlText w:val=""/>
      <w:lvlJc w:val="left"/>
      <w:pPr>
        <w:ind w:left="360" w:hanging="360"/>
      </w:pPr>
      <w:rPr>
        <w:rFonts w:hint="default" w:ascii="Symbol" w:hAnsi="Symbol"/>
      </w:rPr>
    </w:lvl>
    <w:lvl w:ilvl="1" w:tplc="80329C7A">
      <w:start w:val="1"/>
      <w:numFmt w:val="bullet"/>
      <w:lvlText w:val="o"/>
      <w:lvlJc w:val="left"/>
      <w:pPr>
        <w:ind w:left="1080" w:hanging="360"/>
      </w:pPr>
      <w:rPr>
        <w:rFonts w:hint="default" w:ascii="Courier New" w:hAnsi="Courier New"/>
      </w:rPr>
    </w:lvl>
    <w:lvl w:ilvl="2" w:tplc="8E2E15DC">
      <w:start w:val="1"/>
      <w:numFmt w:val="bullet"/>
      <w:lvlText w:val=""/>
      <w:lvlJc w:val="left"/>
      <w:pPr>
        <w:ind w:left="1800" w:hanging="360"/>
      </w:pPr>
      <w:rPr>
        <w:rFonts w:hint="default" w:ascii="Wingdings" w:hAnsi="Wingdings"/>
      </w:rPr>
    </w:lvl>
    <w:lvl w:ilvl="3" w:tplc="071279AC">
      <w:start w:val="1"/>
      <w:numFmt w:val="bullet"/>
      <w:lvlText w:val=""/>
      <w:lvlJc w:val="left"/>
      <w:pPr>
        <w:ind w:left="2520" w:hanging="360"/>
      </w:pPr>
      <w:rPr>
        <w:rFonts w:hint="default" w:ascii="Symbol" w:hAnsi="Symbol"/>
      </w:rPr>
    </w:lvl>
    <w:lvl w:ilvl="4" w:tplc="1CAEA918">
      <w:start w:val="1"/>
      <w:numFmt w:val="bullet"/>
      <w:lvlText w:val="o"/>
      <w:lvlJc w:val="left"/>
      <w:pPr>
        <w:ind w:left="3240" w:hanging="360"/>
      </w:pPr>
      <w:rPr>
        <w:rFonts w:hint="default" w:ascii="Courier New" w:hAnsi="Courier New"/>
      </w:rPr>
    </w:lvl>
    <w:lvl w:ilvl="5" w:tplc="7F36D222">
      <w:start w:val="1"/>
      <w:numFmt w:val="bullet"/>
      <w:lvlText w:val=""/>
      <w:lvlJc w:val="left"/>
      <w:pPr>
        <w:ind w:left="3960" w:hanging="360"/>
      </w:pPr>
      <w:rPr>
        <w:rFonts w:hint="default" w:ascii="Wingdings" w:hAnsi="Wingdings"/>
      </w:rPr>
    </w:lvl>
    <w:lvl w:ilvl="6" w:tplc="070CC258">
      <w:start w:val="1"/>
      <w:numFmt w:val="bullet"/>
      <w:lvlText w:val=""/>
      <w:lvlJc w:val="left"/>
      <w:pPr>
        <w:ind w:left="4680" w:hanging="360"/>
      </w:pPr>
      <w:rPr>
        <w:rFonts w:hint="default" w:ascii="Symbol" w:hAnsi="Symbol"/>
      </w:rPr>
    </w:lvl>
    <w:lvl w:ilvl="7" w:tplc="21EE0D0C">
      <w:start w:val="1"/>
      <w:numFmt w:val="bullet"/>
      <w:lvlText w:val="o"/>
      <w:lvlJc w:val="left"/>
      <w:pPr>
        <w:ind w:left="5400" w:hanging="360"/>
      </w:pPr>
      <w:rPr>
        <w:rFonts w:hint="default" w:ascii="Courier New" w:hAnsi="Courier New"/>
      </w:rPr>
    </w:lvl>
    <w:lvl w:ilvl="8" w:tplc="F73AFBD4">
      <w:start w:val="1"/>
      <w:numFmt w:val="bullet"/>
      <w:lvlText w:val=""/>
      <w:lvlJc w:val="left"/>
      <w:pPr>
        <w:ind w:left="6120" w:hanging="360"/>
      </w:pPr>
      <w:rPr>
        <w:rFonts w:hint="default" w:ascii="Wingdings" w:hAnsi="Wingdings"/>
      </w:rPr>
    </w:lvl>
  </w:abstractNum>
  <w:abstractNum w:abstractNumId="16" w15:restartNumberingAfterBreak="0">
    <w:nsid w:val="2EEE0F28"/>
    <w:multiLevelType w:val="hybridMultilevel"/>
    <w:tmpl w:val="FFFFFFFF"/>
    <w:lvl w:ilvl="0" w:tplc="41D261DA">
      <w:start w:val="1"/>
      <w:numFmt w:val="bullet"/>
      <w:lvlText w:val="o"/>
      <w:lvlJc w:val="left"/>
      <w:pPr>
        <w:ind w:left="720" w:hanging="360"/>
      </w:pPr>
      <w:rPr>
        <w:rFonts w:hint="default" w:ascii="Courier New" w:hAnsi="Courier New"/>
      </w:rPr>
    </w:lvl>
    <w:lvl w:ilvl="1" w:tplc="59FA2148">
      <w:start w:val="1"/>
      <w:numFmt w:val="bullet"/>
      <w:lvlText w:val="o"/>
      <w:lvlJc w:val="left"/>
      <w:pPr>
        <w:ind w:left="1440" w:hanging="360"/>
      </w:pPr>
      <w:rPr>
        <w:rFonts w:hint="default" w:ascii="Courier New" w:hAnsi="Courier New"/>
      </w:rPr>
    </w:lvl>
    <w:lvl w:ilvl="2" w:tplc="25DA866A">
      <w:start w:val="1"/>
      <w:numFmt w:val="bullet"/>
      <w:lvlText w:val=""/>
      <w:lvlJc w:val="left"/>
      <w:pPr>
        <w:ind w:left="2160" w:hanging="360"/>
      </w:pPr>
      <w:rPr>
        <w:rFonts w:hint="default" w:ascii="Wingdings" w:hAnsi="Wingdings"/>
      </w:rPr>
    </w:lvl>
    <w:lvl w:ilvl="3" w:tplc="33721976">
      <w:start w:val="1"/>
      <w:numFmt w:val="bullet"/>
      <w:lvlText w:val=""/>
      <w:lvlJc w:val="left"/>
      <w:pPr>
        <w:ind w:left="2880" w:hanging="360"/>
      </w:pPr>
      <w:rPr>
        <w:rFonts w:hint="default" w:ascii="Symbol" w:hAnsi="Symbol"/>
      </w:rPr>
    </w:lvl>
    <w:lvl w:ilvl="4" w:tplc="077C6336">
      <w:start w:val="1"/>
      <w:numFmt w:val="bullet"/>
      <w:lvlText w:val="o"/>
      <w:lvlJc w:val="left"/>
      <w:pPr>
        <w:ind w:left="3600" w:hanging="360"/>
      </w:pPr>
      <w:rPr>
        <w:rFonts w:hint="default" w:ascii="Courier New" w:hAnsi="Courier New"/>
      </w:rPr>
    </w:lvl>
    <w:lvl w:ilvl="5" w:tplc="98E05DE0">
      <w:start w:val="1"/>
      <w:numFmt w:val="bullet"/>
      <w:lvlText w:val=""/>
      <w:lvlJc w:val="left"/>
      <w:pPr>
        <w:ind w:left="4320" w:hanging="360"/>
      </w:pPr>
      <w:rPr>
        <w:rFonts w:hint="default" w:ascii="Wingdings" w:hAnsi="Wingdings"/>
      </w:rPr>
    </w:lvl>
    <w:lvl w:ilvl="6" w:tplc="BC06DFB4">
      <w:start w:val="1"/>
      <w:numFmt w:val="bullet"/>
      <w:lvlText w:val=""/>
      <w:lvlJc w:val="left"/>
      <w:pPr>
        <w:ind w:left="5040" w:hanging="360"/>
      </w:pPr>
      <w:rPr>
        <w:rFonts w:hint="default" w:ascii="Symbol" w:hAnsi="Symbol"/>
      </w:rPr>
    </w:lvl>
    <w:lvl w:ilvl="7" w:tplc="A3E89AA4">
      <w:start w:val="1"/>
      <w:numFmt w:val="bullet"/>
      <w:lvlText w:val="o"/>
      <w:lvlJc w:val="left"/>
      <w:pPr>
        <w:ind w:left="5760" w:hanging="360"/>
      </w:pPr>
      <w:rPr>
        <w:rFonts w:hint="default" w:ascii="Courier New" w:hAnsi="Courier New"/>
      </w:rPr>
    </w:lvl>
    <w:lvl w:ilvl="8" w:tplc="0632EA10">
      <w:start w:val="1"/>
      <w:numFmt w:val="bullet"/>
      <w:lvlText w:val=""/>
      <w:lvlJc w:val="left"/>
      <w:pPr>
        <w:ind w:left="6480" w:hanging="360"/>
      </w:pPr>
      <w:rPr>
        <w:rFonts w:hint="default" w:ascii="Wingdings" w:hAnsi="Wingdings"/>
      </w:rPr>
    </w:lvl>
  </w:abstractNum>
  <w:abstractNum w:abstractNumId="17" w15:restartNumberingAfterBreak="0">
    <w:nsid w:val="3E0631EE"/>
    <w:multiLevelType w:val="hybridMultilevel"/>
    <w:tmpl w:val="FFFFFFFF"/>
    <w:lvl w:ilvl="0" w:tplc="8AA42CAA">
      <w:start w:val="1"/>
      <w:numFmt w:val="decimal"/>
      <w:lvlText w:val="%1."/>
      <w:lvlJc w:val="left"/>
      <w:pPr>
        <w:ind w:left="720" w:hanging="360"/>
      </w:pPr>
    </w:lvl>
    <w:lvl w:ilvl="1" w:tplc="DC2C45DA">
      <w:start w:val="1"/>
      <w:numFmt w:val="lowerLetter"/>
      <w:lvlText w:val="%2."/>
      <w:lvlJc w:val="left"/>
      <w:pPr>
        <w:ind w:left="1440" w:hanging="360"/>
      </w:pPr>
    </w:lvl>
    <w:lvl w:ilvl="2" w:tplc="4B92769E">
      <w:start w:val="1"/>
      <w:numFmt w:val="lowerRoman"/>
      <w:lvlText w:val="%3."/>
      <w:lvlJc w:val="right"/>
      <w:pPr>
        <w:ind w:left="2160" w:hanging="180"/>
      </w:pPr>
    </w:lvl>
    <w:lvl w:ilvl="3" w:tplc="0922C660">
      <w:start w:val="1"/>
      <w:numFmt w:val="decimal"/>
      <w:lvlText w:val="%4."/>
      <w:lvlJc w:val="left"/>
      <w:pPr>
        <w:ind w:left="2880" w:hanging="360"/>
      </w:pPr>
    </w:lvl>
    <w:lvl w:ilvl="4" w:tplc="FF20046E">
      <w:start w:val="1"/>
      <w:numFmt w:val="lowerLetter"/>
      <w:lvlText w:val="%5."/>
      <w:lvlJc w:val="left"/>
      <w:pPr>
        <w:ind w:left="3600" w:hanging="360"/>
      </w:pPr>
    </w:lvl>
    <w:lvl w:ilvl="5" w:tplc="696A797E">
      <w:start w:val="1"/>
      <w:numFmt w:val="lowerRoman"/>
      <w:lvlText w:val="%6."/>
      <w:lvlJc w:val="right"/>
      <w:pPr>
        <w:ind w:left="4320" w:hanging="180"/>
      </w:pPr>
    </w:lvl>
    <w:lvl w:ilvl="6" w:tplc="7CE2710E">
      <w:start w:val="1"/>
      <w:numFmt w:val="decimal"/>
      <w:lvlText w:val="%7."/>
      <w:lvlJc w:val="left"/>
      <w:pPr>
        <w:ind w:left="5040" w:hanging="360"/>
      </w:pPr>
    </w:lvl>
    <w:lvl w:ilvl="7" w:tplc="883CD8FE">
      <w:start w:val="1"/>
      <w:numFmt w:val="lowerLetter"/>
      <w:lvlText w:val="%8."/>
      <w:lvlJc w:val="left"/>
      <w:pPr>
        <w:ind w:left="5760" w:hanging="360"/>
      </w:pPr>
    </w:lvl>
    <w:lvl w:ilvl="8" w:tplc="1A94FCA0">
      <w:start w:val="1"/>
      <w:numFmt w:val="lowerRoman"/>
      <w:lvlText w:val="%9."/>
      <w:lvlJc w:val="right"/>
      <w:pPr>
        <w:ind w:left="6480" w:hanging="180"/>
      </w:pPr>
    </w:lvl>
  </w:abstractNum>
  <w:abstractNum w:abstractNumId="18" w15:restartNumberingAfterBreak="0">
    <w:nsid w:val="3FB1217B"/>
    <w:multiLevelType w:val="hybridMultilevel"/>
    <w:tmpl w:val="2530E43A"/>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9" w15:restartNumberingAfterBreak="0">
    <w:nsid w:val="45AE5B18"/>
    <w:multiLevelType w:val="hybridMultilevel"/>
    <w:tmpl w:val="FFFFFFFF"/>
    <w:lvl w:ilvl="0" w:tplc="EF203FD2">
      <w:start w:val="1"/>
      <w:numFmt w:val="bullet"/>
      <w:lvlText w:val=""/>
      <w:lvlJc w:val="left"/>
      <w:pPr>
        <w:ind w:left="360" w:hanging="360"/>
      </w:pPr>
      <w:rPr>
        <w:rFonts w:hint="default" w:ascii="Symbol" w:hAnsi="Symbol"/>
      </w:rPr>
    </w:lvl>
    <w:lvl w:ilvl="1" w:tplc="AE4E9A90">
      <w:start w:val="1"/>
      <w:numFmt w:val="bullet"/>
      <w:lvlText w:val="o"/>
      <w:lvlJc w:val="left"/>
      <w:pPr>
        <w:ind w:left="1080" w:hanging="360"/>
      </w:pPr>
      <w:rPr>
        <w:rFonts w:hint="default" w:ascii="Courier New" w:hAnsi="Courier New"/>
      </w:rPr>
    </w:lvl>
    <w:lvl w:ilvl="2" w:tplc="25466A62">
      <w:start w:val="1"/>
      <w:numFmt w:val="bullet"/>
      <w:lvlText w:val=""/>
      <w:lvlJc w:val="left"/>
      <w:pPr>
        <w:ind w:left="1800" w:hanging="360"/>
      </w:pPr>
      <w:rPr>
        <w:rFonts w:hint="default" w:ascii="Wingdings" w:hAnsi="Wingdings"/>
      </w:rPr>
    </w:lvl>
    <w:lvl w:ilvl="3" w:tplc="B30ED630">
      <w:start w:val="1"/>
      <w:numFmt w:val="bullet"/>
      <w:lvlText w:val=""/>
      <w:lvlJc w:val="left"/>
      <w:pPr>
        <w:ind w:left="2520" w:hanging="360"/>
      </w:pPr>
      <w:rPr>
        <w:rFonts w:hint="default" w:ascii="Symbol" w:hAnsi="Symbol"/>
      </w:rPr>
    </w:lvl>
    <w:lvl w:ilvl="4" w:tplc="994442F0">
      <w:start w:val="1"/>
      <w:numFmt w:val="bullet"/>
      <w:lvlText w:val="o"/>
      <w:lvlJc w:val="left"/>
      <w:pPr>
        <w:ind w:left="3240" w:hanging="360"/>
      </w:pPr>
      <w:rPr>
        <w:rFonts w:hint="default" w:ascii="Courier New" w:hAnsi="Courier New"/>
      </w:rPr>
    </w:lvl>
    <w:lvl w:ilvl="5" w:tplc="54E2CA0C">
      <w:start w:val="1"/>
      <w:numFmt w:val="bullet"/>
      <w:lvlText w:val=""/>
      <w:lvlJc w:val="left"/>
      <w:pPr>
        <w:ind w:left="3960" w:hanging="360"/>
      </w:pPr>
      <w:rPr>
        <w:rFonts w:hint="default" w:ascii="Wingdings" w:hAnsi="Wingdings"/>
      </w:rPr>
    </w:lvl>
    <w:lvl w:ilvl="6" w:tplc="D44CFD5C">
      <w:start w:val="1"/>
      <w:numFmt w:val="bullet"/>
      <w:lvlText w:val=""/>
      <w:lvlJc w:val="left"/>
      <w:pPr>
        <w:ind w:left="4680" w:hanging="360"/>
      </w:pPr>
      <w:rPr>
        <w:rFonts w:hint="default" w:ascii="Symbol" w:hAnsi="Symbol"/>
      </w:rPr>
    </w:lvl>
    <w:lvl w:ilvl="7" w:tplc="58C6FEA0">
      <w:start w:val="1"/>
      <w:numFmt w:val="bullet"/>
      <w:lvlText w:val="o"/>
      <w:lvlJc w:val="left"/>
      <w:pPr>
        <w:ind w:left="5400" w:hanging="360"/>
      </w:pPr>
      <w:rPr>
        <w:rFonts w:hint="default" w:ascii="Courier New" w:hAnsi="Courier New"/>
      </w:rPr>
    </w:lvl>
    <w:lvl w:ilvl="8" w:tplc="C7D61666">
      <w:start w:val="1"/>
      <w:numFmt w:val="bullet"/>
      <w:lvlText w:val=""/>
      <w:lvlJc w:val="left"/>
      <w:pPr>
        <w:ind w:left="6120" w:hanging="360"/>
      </w:pPr>
      <w:rPr>
        <w:rFonts w:hint="default" w:ascii="Wingdings" w:hAnsi="Wingdings"/>
      </w:rPr>
    </w:lvl>
  </w:abstractNum>
  <w:abstractNum w:abstractNumId="20" w15:restartNumberingAfterBreak="0">
    <w:nsid w:val="45C5578C"/>
    <w:multiLevelType w:val="hybridMultilevel"/>
    <w:tmpl w:val="5BC292B6"/>
    <w:lvl w:ilvl="0" w:tplc="F3187DC6">
      <w:start w:val="1"/>
      <w:numFmt w:val="upperLetter"/>
      <w:lvlText w:val="%1."/>
      <w:lvlJc w:val="left"/>
      <w:pPr>
        <w:ind w:left="720" w:hanging="360"/>
      </w:pPr>
      <w:rPr>
        <w:b w:val="0"/>
        <w:bCs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E02592"/>
    <w:multiLevelType w:val="hybridMultilevel"/>
    <w:tmpl w:val="029A1A60"/>
    <w:lvl w:ilvl="0" w:tplc="35FEDDB8">
      <w:start w:val="1"/>
      <w:numFmt w:val="upperRoman"/>
      <w:lvlText w:val="%1."/>
      <w:lvlJc w:val="left"/>
      <w:pPr>
        <w:ind w:left="510" w:hanging="397"/>
      </w:pPr>
      <w:rPr>
        <w:rFonts w:hint="default" w:ascii="Arial" w:hAnsi="Arial" w:eastAsia="Arial" w:cs="Arial"/>
        <w:b/>
        <w:bCs/>
        <w:color w:val="0064A8"/>
        <w:w w:val="111"/>
        <w:sz w:val="36"/>
        <w:szCs w:val="36"/>
        <w:lang w:val="en-US" w:eastAsia="en-US" w:bidi="ar-SA"/>
      </w:rPr>
    </w:lvl>
    <w:lvl w:ilvl="1" w:tplc="55DA0166">
      <w:numFmt w:val="bullet"/>
      <w:lvlText w:val="•"/>
      <w:lvlJc w:val="left"/>
      <w:pPr>
        <w:ind w:left="1454" w:hanging="397"/>
      </w:pPr>
      <w:rPr>
        <w:rFonts w:hint="default"/>
        <w:lang w:val="en-US" w:eastAsia="en-US" w:bidi="ar-SA"/>
      </w:rPr>
    </w:lvl>
    <w:lvl w:ilvl="2" w:tplc="E80A6F60">
      <w:numFmt w:val="bullet"/>
      <w:lvlText w:val="•"/>
      <w:lvlJc w:val="left"/>
      <w:pPr>
        <w:ind w:left="2389" w:hanging="397"/>
      </w:pPr>
      <w:rPr>
        <w:rFonts w:hint="default"/>
        <w:lang w:val="en-US" w:eastAsia="en-US" w:bidi="ar-SA"/>
      </w:rPr>
    </w:lvl>
    <w:lvl w:ilvl="3" w:tplc="0DEEB1D8">
      <w:numFmt w:val="bullet"/>
      <w:lvlText w:val="•"/>
      <w:lvlJc w:val="left"/>
      <w:pPr>
        <w:ind w:left="3323" w:hanging="397"/>
      </w:pPr>
      <w:rPr>
        <w:rFonts w:hint="default"/>
        <w:lang w:val="en-US" w:eastAsia="en-US" w:bidi="ar-SA"/>
      </w:rPr>
    </w:lvl>
    <w:lvl w:ilvl="4" w:tplc="25EC1C5E">
      <w:numFmt w:val="bullet"/>
      <w:lvlText w:val="•"/>
      <w:lvlJc w:val="left"/>
      <w:pPr>
        <w:ind w:left="4258" w:hanging="397"/>
      </w:pPr>
      <w:rPr>
        <w:rFonts w:hint="default"/>
        <w:lang w:val="en-US" w:eastAsia="en-US" w:bidi="ar-SA"/>
      </w:rPr>
    </w:lvl>
    <w:lvl w:ilvl="5" w:tplc="CCAA3692">
      <w:numFmt w:val="bullet"/>
      <w:lvlText w:val="•"/>
      <w:lvlJc w:val="left"/>
      <w:pPr>
        <w:ind w:left="5192" w:hanging="397"/>
      </w:pPr>
      <w:rPr>
        <w:rFonts w:hint="default"/>
        <w:lang w:val="en-US" w:eastAsia="en-US" w:bidi="ar-SA"/>
      </w:rPr>
    </w:lvl>
    <w:lvl w:ilvl="6" w:tplc="CEAC5C2A">
      <w:numFmt w:val="bullet"/>
      <w:lvlText w:val="•"/>
      <w:lvlJc w:val="left"/>
      <w:pPr>
        <w:ind w:left="6127" w:hanging="397"/>
      </w:pPr>
      <w:rPr>
        <w:rFonts w:hint="default"/>
        <w:lang w:val="en-US" w:eastAsia="en-US" w:bidi="ar-SA"/>
      </w:rPr>
    </w:lvl>
    <w:lvl w:ilvl="7" w:tplc="4A96C1A0">
      <w:numFmt w:val="bullet"/>
      <w:lvlText w:val="•"/>
      <w:lvlJc w:val="left"/>
      <w:pPr>
        <w:ind w:left="7061" w:hanging="397"/>
      </w:pPr>
      <w:rPr>
        <w:rFonts w:hint="default"/>
        <w:lang w:val="en-US" w:eastAsia="en-US" w:bidi="ar-SA"/>
      </w:rPr>
    </w:lvl>
    <w:lvl w:ilvl="8" w:tplc="AD52D26E">
      <w:numFmt w:val="bullet"/>
      <w:lvlText w:val="•"/>
      <w:lvlJc w:val="left"/>
      <w:pPr>
        <w:ind w:left="7996" w:hanging="397"/>
      </w:pPr>
      <w:rPr>
        <w:rFonts w:hint="default"/>
        <w:lang w:val="en-US" w:eastAsia="en-US" w:bidi="ar-SA"/>
      </w:rPr>
    </w:lvl>
  </w:abstractNum>
  <w:abstractNum w:abstractNumId="22" w15:restartNumberingAfterBreak="0">
    <w:nsid w:val="5AD313AC"/>
    <w:multiLevelType w:val="hybridMultilevel"/>
    <w:tmpl w:val="FFFFFFFF"/>
    <w:lvl w:ilvl="0" w:tplc="B7EECD10">
      <w:start w:val="1"/>
      <w:numFmt w:val="bullet"/>
      <w:lvlText w:val=""/>
      <w:lvlJc w:val="left"/>
      <w:pPr>
        <w:ind w:left="360" w:hanging="360"/>
      </w:pPr>
      <w:rPr>
        <w:rFonts w:hint="default" w:ascii="Symbol" w:hAnsi="Symbol"/>
      </w:rPr>
    </w:lvl>
    <w:lvl w:ilvl="1" w:tplc="71A67AFE">
      <w:start w:val="1"/>
      <w:numFmt w:val="bullet"/>
      <w:lvlText w:val="o"/>
      <w:lvlJc w:val="left"/>
      <w:pPr>
        <w:ind w:left="1080" w:hanging="360"/>
      </w:pPr>
      <w:rPr>
        <w:rFonts w:hint="default" w:ascii="Courier New" w:hAnsi="Courier New"/>
      </w:rPr>
    </w:lvl>
    <w:lvl w:ilvl="2" w:tplc="EB14F3C8">
      <w:start w:val="1"/>
      <w:numFmt w:val="bullet"/>
      <w:lvlText w:val=""/>
      <w:lvlJc w:val="left"/>
      <w:pPr>
        <w:ind w:left="1800" w:hanging="360"/>
      </w:pPr>
      <w:rPr>
        <w:rFonts w:hint="default" w:ascii="Wingdings" w:hAnsi="Wingdings"/>
      </w:rPr>
    </w:lvl>
    <w:lvl w:ilvl="3" w:tplc="0226B4FE">
      <w:start w:val="1"/>
      <w:numFmt w:val="bullet"/>
      <w:lvlText w:val=""/>
      <w:lvlJc w:val="left"/>
      <w:pPr>
        <w:ind w:left="2520" w:hanging="360"/>
      </w:pPr>
      <w:rPr>
        <w:rFonts w:hint="default" w:ascii="Symbol" w:hAnsi="Symbol"/>
      </w:rPr>
    </w:lvl>
    <w:lvl w:ilvl="4" w:tplc="2120186C">
      <w:start w:val="1"/>
      <w:numFmt w:val="bullet"/>
      <w:lvlText w:val="o"/>
      <w:lvlJc w:val="left"/>
      <w:pPr>
        <w:ind w:left="3240" w:hanging="360"/>
      </w:pPr>
      <w:rPr>
        <w:rFonts w:hint="default" w:ascii="Courier New" w:hAnsi="Courier New"/>
      </w:rPr>
    </w:lvl>
    <w:lvl w:ilvl="5" w:tplc="49825882">
      <w:start w:val="1"/>
      <w:numFmt w:val="bullet"/>
      <w:lvlText w:val=""/>
      <w:lvlJc w:val="left"/>
      <w:pPr>
        <w:ind w:left="3960" w:hanging="360"/>
      </w:pPr>
      <w:rPr>
        <w:rFonts w:hint="default" w:ascii="Wingdings" w:hAnsi="Wingdings"/>
      </w:rPr>
    </w:lvl>
    <w:lvl w:ilvl="6" w:tplc="E7F41946">
      <w:start w:val="1"/>
      <w:numFmt w:val="bullet"/>
      <w:lvlText w:val=""/>
      <w:lvlJc w:val="left"/>
      <w:pPr>
        <w:ind w:left="4680" w:hanging="360"/>
      </w:pPr>
      <w:rPr>
        <w:rFonts w:hint="default" w:ascii="Symbol" w:hAnsi="Symbol"/>
      </w:rPr>
    </w:lvl>
    <w:lvl w:ilvl="7" w:tplc="D848EAE0">
      <w:start w:val="1"/>
      <w:numFmt w:val="bullet"/>
      <w:lvlText w:val="o"/>
      <w:lvlJc w:val="left"/>
      <w:pPr>
        <w:ind w:left="5400" w:hanging="360"/>
      </w:pPr>
      <w:rPr>
        <w:rFonts w:hint="default" w:ascii="Courier New" w:hAnsi="Courier New"/>
      </w:rPr>
    </w:lvl>
    <w:lvl w:ilvl="8" w:tplc="37040006">
      <w:start w:val="1"/>
      <w:numFmt w:val="bullet"/>
      <w:lvlText w:val=""/>
      <w:lvlJc w:val="left"/>
      <w:pPr>
        <w:ind w:left="6120" w:hanging="360"/>
      </w:pPr>
      <w:rPr>
        <w:rFonts w:hint="default" w:ascii="Wingdings" w:hAnsi="Wingdings"/>
      </w:rPr>
    </w:lvl>
  </w:abstractNum>
  <w:abstractNum w:abstractNumId="23" w15:restartNumberingAfterBreak="0">
    <w:nsid w:val="5B0216B6"/>
    <w:multiLevelType w:val="hybridMultilevel"/>
    <w:tmpl w:val="FFFFFFFF"/>
    <w:lvl w:ilvl="0" w:tplc="E8BE624E">
      <w:start w:val="1"/>
      <w:numFmt w:val="decimal"/>
      <w:lvlText w:val="%1."/>
      <w:lvlJc w:val="left"/>
      <w:pPr>
        <w:ind w:left="720" w:hanging="360"/>
      </w:pPr>
    </w:lvl>
    <w:lvl w:ilvl="1" w:tplc="C37E6F5E">
      <w:start w:val="1"/>
      <w:numFmt w:val="lowerLetter"/>
      <w:lvlText w:val="%2."/>
      <w:lvlJc w:val="left"/>
      <w:pPr>
        <w:ind w:left="1440" w:hanging="360"/>
      </w:pPr>
    </w:lvl>
    <w:lvl w:ilvl="2" w:tplc="C5F49E7C">
      <w:start w:val="1"/>
      <w:numFmt w:val="lowerRoman"/>
      <w:lvlText w:val="%3."/>
      <w:lvlJc w:val="right"/>
      <w:pPr>
        <w:ind w:left="2160" w:hanging="180"/>
      </w:pPr>
    </w:lvl>
    <w:lvl w:ilvl="3" w:tplc="8C7CF75A">
      <w:start w:val="1"/>
      <w:numFmt w:val="decimal"/>
      <w:lvlText w:val="%4."/>
      <w:lvlJc w:val="left"/>
      <w:pPr>
        <w:ind w:left="2880" w:hanging="360"/>
      </w:pPr>
    </w:lvl>
    <w:lvl w:ilvl="4" w:tplc="F000EBA6">
      <w:start w:val="1"/>
      <w:numFmt w:val="lowerLetter"/>
      <w:lvlText w:val="%5."/>
      <w:lvlJc w:val="left"/>
      <w:pPr>
        <w:ind w:left="3600" w:hanging="360"/>
      </w:pPr>
    </w:lvl>
    <w:lvl w:ilvl="5" w:tplc="E2686BEA">
      <w:start w:val="1"/>
      <w:numFmt w:val="lowerRoman"/>
      <w:lvlText w:val="%6."/>
      <w:lvlJc w:val="right"/>
      <w:pPr>
        <w:ind w:left="4320" w:hanging="180"/>
      </w:pPr>
    </w:lvl>
    <w:lvl w:ilvl="6" w:tplc="60842112">
      <w:start w:val="1"/>
      <w:numFmt w:val="decimal"/>
      <w:lvlText w:val="%7."/>
      <w:lvlJc w:val="left"/>
      <w:pPr>
        <w:ind w:left="5040" w:hanging="360"/>
      </w:pPr>
    </w:lvl>
    <w:lvl w:ilvl="7" w:tplc="241CA23A">
      <w:start w:val="1"/>
      <w:numFmt w:val="lowerLetter"/>
      <w:lvlText w:val="%8."/>
      <w:lvlJc w:val="left"/>
      <w:pPr>
        <w:ind w:left="5760" w:hanging="360"/>
      </w:pPr>
    </w:lvl>
    <w:lvl w:ilvl="8" w:tplc="F6E8B020">
      <w:start w:val="1"/>
      <w:numFmt w:val="lowerRoman"/>
      <w:lvlText w:val="%9."/>
      <w:lvlJc w:val="right"/>
      <w:pPr>
        <w:ind w:left="6480" w:hanging="180"/>
      </w:pPr>
    </w:lvl>
  </w:abstractNum>
  <w:abstractNum w:abstractNumId="24" w15:restartNumberingAfterBreak="0">
    <w:nsid w:val="5BAC1BBF"/>
    <w:multiLevelType w:val="hybridMultilevel"/>
    <w:tmpl w:val="FFFFFFFF"/>
    <w:lvl w:ilvl="0" w:tplc="5086BBE2">
      <w:start w:val="1"/>
      <w:numFmt w:val="bullet"/>
      <w:lvlText w:val=""/>
      <w:lvlJc w:val="left"/>
      <w:pPr>
        <w:ind w:left="360" w:hanging="360"/>
      </w:pPr>
      <w:rPr>
        <w:rFonts w:hint="default" w:ascii="Symbol" w:hAnsi="Symbol"/>
      </w:rPr>
    </w:lvl>
    <w:lvl w:ilvl="1" w:tplc="6122CCF8">
      <w:start w:val="1"/>
      <w:numFmt w:val="bullet"/>
      <w:lvlText w:val="o"/>
      <w:lvlJc w:val="left"/>
      <w:pPr>
        <w:ind w:left="1080" w:hanging="360"/>
      </w:pPr>
      <w:rPr>
        <w:rFonts w:hint="default" w:ascii="Courier New" w:hAnsi="Courier New"/>
      </w:rPr>
    </w:lvl>
    <w:lvl w:ilvl="2" w:tplc="BF1C3780">
      <w:start w:val="1"/>
      <w:numFmt w:val="bullet"/>
      <w:lvlText w:val=""/>
      <w:lvlJc w:val="left"/>
      <w:pPr>
        <w:ind w:left="1800" w:hanging="360"/>
      </w:pPr>
      <w:rPr>
        <w:rFonts w:hint="default" w:ascii="Wingdings" w:hAnsi="Wingdings"/>
      </w:rPr>
    </w:lvl>
    <w:lvl w:ilvl="3" w:tplc="B8123FF4">
      <w:start w:val="1"/>
      <w:numFmt w:val="bullet"/>
      <w:lvlText w:val=""/>
      <w:lvlJc w:val="left"/>
      <w:pPr>
        <w:ind w:left="2520" w:hanging="360"/>
      </w:pPr>
      <w:rPr>
        <w:rFonts w:hint="default" w:ascii="Symbol" w:hAnsi="Symbol"/>
      </w:rPr>
    </w:lvl>
    <w:lvl w:ilvl="4" w:tplc="CC7C34C0">
      <w:start w:val="1"/>
      <w:numFmt w:val="bullet"/>
      <w:lvlText w:val="o"/>
      <w:lvlJc w:val="left"/>
      <w:pPr>
        <w:ind w:left="3240" w:hanging="360"/>
      </w:pPr>
      <w:rPr>
        <w:rFonts w:hint="default" w:ascii="Courier New" w:hAnsi="Courier New"/>
      </w:rPr>
    </w:lvl>
    <w:lvl w:ilvl="5" w:tplc="2BE080A6">
      <w:start w:val="1"/>
      <w:numFmt w:val="bullet"/>
      <w:lvlText w:val=""/>
      <w:lvlJc w:val="left"/>
      <w:pPr>
        <w:ind w:left="3960" w:hanging="360"/>
      </w:pPr>
      <w:rPr>
        <w:rFonts w:hint="default" w:ascii="Wingdings" w:hAnsi="Wingdings"/>
      </w:rPr>
    </w:lvl>
    <w:lvl w:ilvl="6" w:tplc="CF105578">
      <w:start w:val="1"/>
      <w:numFmt w:val="bullet"/>
      <w:lvlText w:val=""/>
      <w:lvlJc w:val="left"/>
      <w:pPr>
        <w:ind w:left="4680" w:hanging="360"/>
      </w:pPr>
      <w:rPr>
        <w:rFonts w:hint="default" w:ascii="Symbol" w:hAnsi="Symbol"/>
      </w:rPr>
    </w:lvl>
    <w:lvl w:ilvl="7" w:tplc="4F8631BA">
      <w:start w:val="1"/>
      <w:numFmt w:val="bullet"/>
      <w:lvlText w:val="o"/>
      <w:lvlJc w:val="left"/>
      <w:pPr>
        <w:ind w:left="5400" w:hanging="360"/>
      </w:pPr>
      <w:rPr>
        <w:rFonts w:hint="default" w:ascii="Courier New" w:hAnsi="Courier New"/>
      </w:rPr>
    </w:lvl>
    <w:lvl w:ilvl="8" w:tplc="19E48766">
      <w:start w:val="1"/>
      <w:numFmt w:val="bullet"/>
      <w:lvlText w:val=""/>
      <w:lvlJc w:val="left"/>
      <w:pPr>
        <w:ind w:left="6120" w:hanging="360"/>
      </w:pPr>
      <w:rPr>
        <w:rFonts w:hint="default" w:ascii="Wingdings" w:hAnsi="Wingdings"/>
      </w:rPr>
    </w:lvl>
  </w:abstractNum>
  <w:abstractNum w:abstractNumId="25" w15:restartNumberingAfterBreak="0">
    <w:nsid w:val="5BEB7E09"/>
    <w:multiLevelType w:val="hybridMultilevel"/>
    <w:tmpl w:val="C9F2F43E"/>
    <w:lvl w:ilvl="0" w:tplc="81484DEE">
      <w:numFmt w:val="bullet"/>
      <w:lvlText w:val="&gt;"/>
      <w:lvlJc w:val="left"/>
      <w:pPr>
        <w:ind w:left="340" w:hanging="227"/>
      </w:pPr>
      <w:rPr>
        <w:rFonts w:hint="default" w:ascii="Sitka Heading" w:hAnsi="Sitka Heading" w:eastAsia="Sitka Heading" w:cs="Sitka Heading"/>
        <w:b/>
        <w:bCs/>
        <w:color w:val="90C63F"/>
        <w:w w:val="101"/>
        <w:sz w:val="20"/>
        <w:szCs w:val="20"/>
        <w:lang w:val="en-US" w:eastAsia="en-US" w:bidi="ar-SA"/>
      </w:rPr>
    </w:lvl>
    <w:lvl w:ilvl="1" w:tplc="1E8E9DB6">
      <w:numFmt w:val="bullet"/>
      <w:lvlText w:val="•"/>
      <w:lvlJc w:val="left"/>
      <w:pPr>
        <w:ind w:left="1292" w:hanging="227"/>
      </w:pPr>
      <w:rPr>
        <w:rFonts w:hint="default"/>
        <w:lang w:val="en-US" w:eastAsia="en-US" w:bidi="ar-SA"/>
      </w:rPr>
    </w:lvl>
    <w:lvl w:ilvl="2" w:tplc="B874CF98">
      <w:numFmt w:val="bullet"/>
      <w:lvlText w:val="•"/>
      <w:lvlJc w:val="left"/>
      <w:pPr>
        <w:ind w:left="2245" w:hanging="227"/>
      </w:pPr>
      <w:rPr>
        <w:rFonts w:hint="default"/>
        <w:lang w:val="en-US" w:eastAsia="en-US" w:bidi="ar-SA"/>
      </w:rPr>
    </w:lvl>
    <w:lvl w:ilvl="3" w:tplc="B7C226CA">
      <w:numFmt w:val="bullet"/>
      <w:lvlText w:val="•"/>
      <w:lvlJc w:val="left"/>
      <w:pPr>
        <w:ind w:left="3197" w:hanging="227"/>
      </w:pPr>
      <w:rPr>
        <w:rFonts w:hint="default"/>
        <w:lang w:val="en-US" w:eastAsia="en-US" w:bidi="ar-SA"/>
      </w:rPr>
    </w:lvl>
    <w:lvl w:ilvl="4" w:tplc="7B701368">
      <w:numFmt w:val="bullet"/>
      <w:lvlText w:val="•"/>
      <w:lvlJc w:val="left"/>
      <w:pPr>
        <w:ind w:left="4150" w:hanging="227"/>
      </w:pPr>
      <w:rPr>
        <w:rFonts w:hint="default"/>
        <w:lang w:val="en-US" w:eastAsia="en-US" w:bidi="ar-SA"/>
      </w:rPr>
    </w:lvl>
    <w:lvl w:ilvl="5" w:tplc="C14ACB3A">
      <w:numFmt w:val="bullet"/>
      <w:lvlText w:val="•"/>
      <w:lvlJc w:val="left"/>
      <w:pPr>
        <w:ind w:left="5102" w:hanging="227"/>
      </w:pPr>
      <w:rPr>
        <w:rFonts w:hint="default"/>
        <w:lang w:val="en-US" w:eastAsia="en-US" w:bidi="ar-SA"/>
      </w:rPr>
    </w:lvl>
    <w:lvl w:ilvl="6" w:tplc="0B0C31C8">
      <w:numFmt w:val="bullet"/>
      <w:lvlText w:val="•"/>
      <w:lvlJc w:val="left"/>
      <w:pPr>
        <w:ind w:left="6055" w:hanging="227"/>
      </w:pPr>
      <w:rPr>
        <w:rFonts w:hint="default"/>
        <w:lang w:val="en-US" w:eastAsia="en-US" w:bidi="ar-SA"/>
      </w:rPr>
    </w:lvl>
    <w:lvl w:ilvl="7" w:tplc="3CEA2F32">
      <w:numFmt w:val="bullet"/>
      <w:lvlText w:val="•"/>
      <w:lvlJc w:val="left"/>
      <w:pPr>
        <w:ind w:left="7007" w:hanging="227"/>
      </w:pPr>
      <w:rPr>
        <w:rFonts w:hint="default"/>
        <w:lang w:val="en-US" w:eastAsia="en-US" w:bidi="ar-SA"/>
      </w:rPr>
    </w:lvl>
    <w:lvl w:ilvl="8" w:tplc="DEAABFF8">
      <w:numFmt w:val="bullet"/>
      <w:lvlText w:val="•"/>
      <w:lvlJc w:val="left"/>
      <w:pPr>
        <w:ind w:left="7960" w:hanging="227"/>
      </w:pPr>
      <w:rPr>
        <w:rFonts w:hint="default"/>
        <w:lang w:val="en-US" w:eastAsia="en-US" w:bidi="ar-SA"/>
      </w:rPr>
    </w:lvl>
  </w:abstractNum>
  <w:abstractNum w:abstractNumId="26" w15:restartNumberingAfterBreak="0">
    <w:nsid w:val="5FE92C45"/>
    <w:multiLevelType w:val="hybridMultilevel"/>
    <w:tmpl w:val="FFFFFFFF"/>
    <w:lvl w:ilvl="0" w:tplc="3AF06CCA">
      <w:start w:val="1"/>
      <w:numFmt w:val="upperLetter"/>
      <w:lvlText w:val="%1."/>
      <w:lvlJc w:val="left"/>
      <w:pPr>
        <w:ind w:left="360" w:hanging="360"/>
      </w:pPr>
    </w:lvl>
    <w:lvl w:ilvl="1" w:tplc="D9EE0D1C">
      <w:start w:val="1"/>
      <w:numFmt w:val="lowerLetter"/>
      <w:lvlText w:val="%2."/>
      <w:lvlJc w:val="left"/>
      <w:pPr>
        <w:ind w:left="1080" w:hanging="360"/>
      </w:pPr>
    </w:lvl>
    <w:lvl w:ilvl="2" w:tplc="62DE5892">
      <w:start w:val="1"/>
      <w:numFmt w:val="lowerRoman"/>
      <w:lvlText w:val="%3."/>
      <w:lvlJc w:val="right"/>
      <w:pPr>
        <w:ind w:left="1800" w:hanging="180"/>
      </w:pPr>
    </w:lvl>
    <w:lvl w:ilvl="3" w:tplc="2C5412B8">
      <w:start w:val="1"/>
      <w:numFmt w:val="decimal"/>
      <w:lvlText w:val="%4."/>
      <w:lvlJc w:val="left"/>
      <w:pPr>
        <w:ind w:left="2520" w:hanging="360"/>
      </w:pPr>
    </w:lvl>
    <w:lvl w:ilvl="4" w:tplc="5CB857A6">
      <w:start w:val="1"/>
      <w:numFmt w:val="lowerLetter"/>
      <w:lvlText w:val="%5."/>
      <w:lvlJc w:val="left"/>
      <w:pPr>
        <w:ind w:left="3240" w:hanging="360"/>
      </w:pPr>
    </w:lvl>
    <w:lvl w:ilvl="5" w:tplc="F3883520">
      <w:start w:val="1"/>
      <w:numFmt w:val="lowerRoman"/>
      <w:lvlText w:val="%6."/>
      <w:lvlJc w:val="right"/>
      <w:pPr>
        <w:ind w:left="3960" w:hanging="180"/>
      </w:pPr>
    </w:lvl>
    <w:lvl w:ilvl="6" w:tplc="832A4C6E">
      <w:start w:val="1"/>
      <w:numFmt w:val="decimal"/>
      <w:lvlText w:val="%7."/>
      <w:lvlJc w:val="left"/>
      <w:pPr>
        <w:ind w:left="4680" w:hanging="360"/>
      </w:pPr>
    </w:lvl>
    <w:lvl w:ilvl="7" w:tplc="9590548E">
      <w:start w:val="1"/>
      <w:numFmt w:val="lowerLetter"/>
      <w:lvlText w:val="%8."/>
      <w:lvlJc w:val="left"/>
      <w:pPr>
        <w:ind w:left="5400" w:hanging="360"/>
      </w:pPr>
    </w:lvl>
    <w:lvl w:ilvl="8" w:tplc="5CDCE61C">
      <w:start w:val="1"/>
      <w:numFmt w:val="lowerRoman"/>
      <w:lvlText w:val="%9."/>
      <w:lvlJc w:val="right"/>
      <w:pPr>
        <w:ind w:left="6120" w:hanging="180"/>
      </w:pPr>
    </w:lvl>
  </w:abstractNum>
  <w:abstractNum w:abstractNumId="27" w15:restartNumberingAfterBreak="0">
    <w:nsid w:val="61B4082A"/>
    <w:multiLevelType w:val="hybridMultilevel"/>
    <w:tmpl w:val="FFFFFFFF"/>
    <w:lvl w:ilvl="0" w:tplc="E1CE422C">
      <w:start w:val="1"/>
      <w:numFmt w:val="bullet"/>
      <w:lvlText w:val=""/>
      <w:lvlJc w:val="left"/>
      <w:pPr>
        <w:ind w:left="360" w:hanging="360"/>
      </w:pPr>
      <w:rPr>
        <w:rFonts w:hint="default" w:ascii="Symbol" w:hAnsi="Symbol"/>
      </w:rPr>
    </w:lvl>
    <w:lvl w:ilvl="1" w:tplc="FBC0985C">
      <w:start w:val="1"/>
      <w:numFmt w:val="bullet"/>
      <w:lvlText w:val="o"/>
      <w:lvlJc w:val="left"/>
      <w:pPr>
        <w:ind w:left="1080" w:hanging="360"/>
      </w:pPr>
      <w:rPr>
        <w:rFonts w:hint="default" w:ascii="Courier New" w:hAnsi="Courier New"/>
      </w:rPr>
    </w:lvl>
    <w:lvl w:ilvl="2" w:tplc="68CCF80C">
      <w:start w:val="1"/>
      <w:numFmt w:val="bullet"/>
      <w:lvlText w:val=""/>
      <w:lvlJc w:val="left"/>
      <w:pPr>
        <w:ind w:left="1800" w:hanging="360"/>
      </w:pPr>
      <w:rPr>
        <w:rFonts w:hint="default" w:ascii="Wingdings" w:hAnsi="Wingdings"/>
      </w:rPr>
    </w:lvl>
    <w:lvl w:ilvl="3" w:tplc="87BEE64A">
      <w:start w:val="1"/>
      <w:numFmt w:val="bullet"/>
      <w:lvlText w:val=""/>
      <w:lvlJc w:val="left"/>
      <w:pPr>
        <w:ind w:left="2520" w:hanging="360"/>
      </w:pPr>
      <w:rPr>
        <w:rFonts w:hint="default" w:ascii="Symbol" w:hAnsi="Symbol"/>
      </w:rPr>
    </w:lvl>
    <w:lvl w:ilvl="4" w:tplc="32FC6374">
      <w:start w:val="1"/>
      <w:numFmt w:val="bullet"/>
      <w:lvlText w:val="o"/>
      <w:lvlJc w:val="left"/>
      <w:pPr>
        <w:ind w:left="3240" w:hanging="360"/>
      </w:pPr>
      <w:rPr>
        <w:rFonts w:hint="default" w:ascii="Courier New" w:hAnsi="Courier New"/>
      </w:rPr>
    </w:lvl>
    <w:lvl w:ilvl="5" w:tplc="B1164D80">
      <w:start w:val="1"/>
      <w:numFmt w:val="bullet"/>
      <w:lvlText w:val=""/>
      <w:lvlJc w:val="left"/>
      <w:pPr>
        <w:ind w:left="3960" w:hanging="360"/>
      </w:pPr>
      <w:rPr>
        <w:rFonts w:hint="default" w:ascii="Wingdings" w:hAnsi="Wingdings"/>
      </w:rPr>
    </w:lvl>
    <w:lvl w:ilvl="6" w:tplc="7AF2204A">
      <w:start w:val="1"/>
      <w:numFmt w:val="bullet"/>
      <w:lvlText w:val=""/>
      <w:lvlJc w:val="left"/>
      <w:pPr>
        <w:ind w:left="4680" w:hanging="360"/>
      </w:pPr>
      <w:rPr>
        <w:rFonts w:hint="default" w:ascii="Symbol" w:hAnsi="Symbol"/>
      </w:rPr>
    </w:lvl>
    <w:lvl w:ilvl="7" w:tplc="00726768">
      <w:start w:val="1"/>
      <w:numFmt w:val="bullet"/>
      <w:lvlText w:val="o"/>
      <w:lvlJc w:val="left"/>
      <w:pPr>
        <w:ind w:left="5400" w:hanging="360"/>
      </w:pPr>
      <w:rPr>
        <w:rFonts w:hint="default" w:ascii="Courier New" w:hAnsi="Courier New"/>
      </w:rPr>
    </w:lvl>
    <w:lvl w:ilvl="8" w:tplc="6936B9DC">
      <w:start w:val="1"/>
      <w:numFmt w:val="bullet"/>
      <w:lvlText w:val=""/>
      <w:lvlJc w:val="left"/>
      <w:pPr>
        <w:ind w:left="6120" w:hanging="360"/>
      </w:pPr>
      <w:rPr>
        <w:rFonts w:hint="default" w:ascii="Wingdings" w:hAnsi="Wingdings"/>
      </w:rPr>
    </w:lvl>
  </w:abstractNum>
  <w:abstractNum w:abstractNumId="28" w15:restartNumberingAfterBreak="0">
    <w:nsid w:val="66286C82"/>
    <w:multiLevelType w:val="hybridMultilevel"/>
    <w:tmpl w:val="FFFFFFFF"/>
    <w:lvl w:ilvl="0" w:tplc="0C4AE990">
      <w:start w:val="1"/>
      <w:numFmt w:val="bullet"/>
      <w:lvlText w:val=""/>
      <w:lvlJc w:val="left"/>
      <w:pPr>
        <w:ind w:left="360" w:hanging="360"/>
      </w:pPr>
      <w:rPr>
        <w:rFonts w:hint="default" w:ascii="Symbol" w:hAnsi="Symbol"/>
      </w:rPr>
    </w:lvl>
    <w:lvl w:ilvl="1" w:tplc="F724A188">
      <w:start w:val="1"/>
      <w:numFmt w:val="bullet"/>
      <w:lvlText w:val="o"/>
      <w:lvlJc w:val="left"/>
      <w:pPr>
        <w:ind w:left="1080" w:hanging="360"/>
      </w:pPr>
      <w:rPr>
        <w:rFonts w:hint="default" w:ascii="Courier New" w:hAnsi="Courier New"/>
      </w:rPr>
    </w:lvl>
    <w:lvl w:ilvl="2" w:tplc="7A48A68E">
      <w:start w:val="1"/>
      <w:numFmt w:val="bullet"/>
      <w:lvlText w:val=""/>
      <w:lvlJc w:val="left"/>
      <w:pPr>
        <w:ind w:left="1800" w:hanging="360"/>
      </w:pPr>
      <w:rPr>
        <w:rFonts w:hint="default" w:ascii="Wingdings" w:hAnsi="Wingdings"/>
      </w:rPr>
    </w:lvl>
    <w:lvl w:ilvl="3" w:tplc="FF82A760">
      <w:start w:val="1"/>
      <w:numFmt w:val="bullet"/>
      <w:lvlText w:val=""/>
      <w:lvlJc w:val="left"/>
      <w:pPr>
        <w:ind w:left="2520" w:hanging="360"/>
      </w:pPr>
      <w:rPr>
        <w:rFonts w:hint="default" w:ascii="Symbol" w:hAnsi="Symbol"/>
      </w:rPr>
    </w:lvl>
    <w:lvl w:ilvl="4" w:tplc="B490AB10">
      <w:start w:val="1"/>
      <w:numFmt w:val="bullet"/>
      <w:lvlText w:val="o"/>
      <w:lvlJc w:val="left"/>
      <w:pPr>
        <w:ind w:left="3240" w:hanging="360"/>
      </w:pPr>
      <w:rPr>
        <w:rFonts w:hint="default" w:ascii="Courier New" w:hAnsi="Courier New"/>
      </w:rPr>
    </w:lvl>
    <w:lvl w:ilvl="5" w:tplc="2D3EF920">
      <w:start w:val="1"/>
      <w:numFmt w:val="bullet"/>
      <w:lvlText w:val=""/>
      <w:lvlJc w:val="left"/>
      <w:pPr>
        <w:ind w:left="3960" w:hanging="360"/>
      </w:pPr>
      <w:rPr>
        <w:rFonts w:hint="default" w:ascii="Wingdings" w:hAnsi="Wingdings"/>
      </w:rPr>
    </w:lvl>
    <w:lvl w:ilvl="6" w:tplc="E51862EE">
      <w:start w:val="1"/>
      <w:numFmt w:val="bullet"/>
      <w:lvlText w:val=""/>
      <w:lvlJc w:val="left"/>
      <w:pPr>
        <w:ind w:left="4680" w:hanging="360"/>
      </w:pPr>
      <w:rPr>
        <w:rFonts w:hint="default" w:ascii="Symbol" w:hAnsi="Symbol"/>
      </w:rPr>
    </w:lvl>
    <w:lvl w:ilvl="7" w:tplc="B3EC021C">
      <w:start w:val="1"/>
      <w:numFmt w:val="bullet"/>
      <w:lvlText w:val="o"/>
      <w:lvlJc w:val="left"/>
      <w:pPr>
        <w:ind w:left="5400" w:hanging="360"/>
      </w:pPr>
      <w:rPr>
        <w:rFonts w:hint="default" w:ascii="Courier New" w:hAnsi="Courier New"/>
      </w:rPr>
    </w:lvl>
    <w:lvl w:ilvl="8" w:tplc="4B160530">
      <w:start w:val="1"/>
      <w:numFmt w:val="bullet"/>
      <w:lvlText w:val=""/>
      <w:lvlJc w:val="left"/>
      <w:pPr>
        <w:ind w:left="6120" w:hanging="360"/>
      </w:pPr>
      <w:rPr>
        <w:rFonts w:hint="default" w:ascii="Wingdings" w:hAnsi="Wingdings"/>
      </w:rPr>
    </w:lvl>
  </w:abstractNum>
  <w:abstractNum w:abstractNumId="29" w15:restartNumberingAfterBreak="0">
    <w:nsid w:val="6BED2363"/>
    <w:multiLevelType w:val="hybridMultilevel"/>
    <w:tmpl w:val="A5B0CB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CEF612E"/>
    <w:multiLevelType w:val="hybridMultilevel"/>
    <w:tmpl w:val="FFFFFFFF"/>
    <w:lvl w:ilvl="0" w:tplc="B83A1D3A">
      <w:start w:val="1"/>
      <w:numFmt w:val="bullet"/>
      <w:lvlText w:val=""/>
      <w:lvlJc w:val="left"/>
      <w:pPr>
        <w:ind w:left="360" w:hanging="360"/>
      </w:pPr>
      <w:rPr>
        <w:rFonts w:hint="default" w:ascii="Symbol" w:hAnsi="Symbol"/>
      </w:rPr>
    </w:lvl>
    <w:lvl w:ilvl="1" w:tplc="7C5681E6">
      <w:start w:val="1"/>
      <w:numFmt w:val="bullet"/>
      <w:lvlText w:val="o"/>
      <w:lvlJc w:val="left"/>
      <w:pPr>
        <w:ind w:left="1080" w:hanging="360"/>
      </w:pPr>
      <w:rPr>
        <w:rFonts w:hint="default" w:ascii="Courier New" w:hAnsi="Courier New"/>
      </w:rPr>
    </w:lvl>
    <w:lvl w:ilvl="2" w:tplc="F684B7B8">
      <w:start w:val="1"/>
      <w:numFmt w:val="bullet"/>
      <w:lvlText w:val=""/>
      <w:lvlJc w:val="left"/>
      <w:pPr>
        <w:ind w:left="1800" w:hanging="360"/>
      </w:pPr>
      <w:rPr>
        <w:rFonts w:hint="default" w:ascii="Wingdings" w:hAnsi="Wingdings"/>
      </w:rPr>
    </w:lvl>
    <w:lvl w:ilvl="3" w:tplc="B3E630B2">
      <w:start w:val="1"/>
      <w:numFmt w:val="bullet"/>
      <w:lvlText w:val=""/>
      <w:lvlJc w:val="left"/>
      <w:pPr>
        <w:ind w:left="2520" w:hanging="360"/>
      </w:pPr>
      <w:rPr>
        <w:rFonts w:hint="default" w:ascii="Symbol" w:hAnsi="Symbol"/>
      </w:rPr>
    </w:lvl>
    <w:lvl w:ilvl="4" w:tplc="90E04E2C">
      <w:start w:val="1"/>
      <w:numFmt w:val="bullet"/>
      <w:lvlText w:val="o"/>
      <w:lvlJc w:val="left"/>
      <w:pPr>
        <w:ind w:left="3240" w:hanging="360"/>
      </w:pPr>
      <w:rPr>
        <w:rFonts w:hint="default" w:ascii="Courier New" w:hAnsi="Courier New"/>
      </w:rPr>
    </w:lvl>
    <w:lvl w:ilvl="5" w:tplc="6E787DB6">
      <w:start w:val="1"/>
      <w:numFmt w:val="bullet"/>
      <w:lvlText w:val=""/>
      <w:lvlJc w:val="left"/>
      <w:pPr>
        <w:ind w:left="3960" w:hanging="360"/>
      </w:pPr>
      <w:rPr>
        <w:rFonts w:hint="default" w:ascii="Wingdings" w:hAnsi="Wingdings"/>
      </w:rPr>
    </w:lvl>
    <w:lvl w:ilvl="6" w:tplc="567C2E14">
      <w:start w:val="1"/>
      <w:numFmt w:val="bullet"/>
      <w:lvlText w:val=""/>
      <w:lvlJc w:val="left"/>
      <w:pPr>
        <w:ind w:left="4680" w:hanging="360"/>
      </w:pPr>
      <w:rPr>
        <w:rFonts w:hint="default" w:ascii="Symbol" w:hAnsi="Symbol"/>
      </w:rPr>
    </w:lvl>
    <w:lvl w:ilvl="7" w:tplc="3C12D2C0">
      <w:start w:val="1"/>
      <w:numFmt w:val="bullet"/>
      <w:lvlText w:val="o"/>
      <w:lvlJc w:val="left"/>
      <w:pPr>
        <w:ind w:left="5400" w:hanging="360"/>
      </w:pPr>
      <w:rPr>
        <w:rFonts w:hint="default" w:ascii="Courier New" w:hAnsi="Courier New"/>
      </w:rPr>
    </w:lvl>
    <w:lvl w:ilvl="8" w:tplc="8B3041FE">
      <w:start w:val="1"/>
      <w:numFmt w:val="bullet"/>
      <w:lvlText w:val=""/>
      <w:lvlJc w:val="left"/>
      <w:pPr>
        <w:ind w:left="6120" w:hanging="360"/>
      </w:pPr>
      <w:rPr>
        <w:rFonts w:hint="default" w:ascii="Wingdings" w:hAnsi="Wingdings"/>
      </w:rPr>
    </w:lvl>
  </w:abstractNum>
  <w:abstractNum w:abstractNumId="31" w15:restartNumberingAfterBreak="0">
    <w:nsid w:val="760B5AEB"/>
    <w:multiLevelType w:val="hybridMultilevel"/>
    <w:tmpl w:val="FFFFFFFF"/>
    <w:lvl w:ilvl="0" w:tplc="81AE77FC">
      <w:start w:val="1"/>
      <w:numFmt w:val="bullet"/>
      <w:lvlText w:val=""/>
      <w:lvlJc w:val="left"/>
      <w:pPr>
        <w:ind w:left="360" w:hanging="360"/>
      </w:pPr>
      <w:rPr>
        <w:rFonts w:hint="default" w:ascii="Symbol" w:hAnsi="Symbol"/>
      </w:rPr>
    </w:lvl>
    <w:lvl w:ilvl="1" w:tplc="727A4B88">
      <w:start w:val="1"/>
      <w:numFmt w:val="bullet"/>
      <w:lvlText w:val="o"/>
      <w:lvlJc w:val="left"/>
      <w:pPr>
        <w:ind w:left="1080" w:hanging="360"/>
      </w:pPr>
      <w:rPr>
        <w:rFonts w:hint="default" w:ascii="Courier New" w:hAnsi="Courier New"/>
      </w:rPr>
    </w:lvl>
    <w:lvl w:ilvl="2" w:tplc="0506374C">
      <w:start w:val="1"/>
      <w:numFmt w:val="bullet"/>
      <w:lvlText w:val=""/>
      <w:lvlJc w:val="left"/>
      <w:pPr>
        <w:ind w:left="1800" w:hanging="360"/>
      </w:pPr>
      <w:rPr>
        <w:rFonts w:hint="default" w:ascii="Wingdings" w:hAnsi="Wingdings"/>
      </w:rPr>
    </w:lvl>
    <w:lvl w:ilvl="3" w:tplc="D794D764">
      <w:start w:val="1"/>
      <w:numFmt w:val="bullet"/>
      <w:lvlText w:val=""/>
      <w:lvlJc w:val="left"/>
      <w:pPr>
        <w:ind w:left="2520" w:hanging="360"/>
      </w:pPr>
      <w:rPr>
        <w:rFonts w:hint="default" w:ascii="Symbol" w:hAnsi="Symbol"/>
      </w:rPr>
    </w:lvl>
    <w:lvl w:ilvl="4" w:tplc="A6FC8884">
      <w:start w:val="1"/>
      <w:numFmt w:val="bullet"/>
      <w:lvlText w:val="o"/>
      <w:lvlJc w:val="left"/>
      <w:pPr>
        <w:ind w:left="3240" w:hanging="360"/>
      </w:pPr>
      <w:rPr>
        <w:rFonts w:hint="default" w:ascii="Courier New" w:hAnsi="Courier New"/>
      </w:rPr>
    </w:lvl>
    <w:lvl w:ilvl="5" w:tplc="B81A596C">
      <w:start w:val="1"/>
      <w:numFmt w:val="bullet"/>
      <w:lvlText w:val=""/>
      <w:lvlJc w:val="left"/>
      <w:pPr>
        <w:ind w:left="3960" w:hanging="360"/>
      </w:pPr>
      <w:rPr>
        <w:rFonts w:hint="default" w:ascii="Wingdings" w:hAnsi="Wingdings"/>
      </w:rPr>
    </w:lvl>
    <w:lvl w:ilvl="6" w:tplc="0A604160">
      <w:start w:val="1"/>
      <w:numFmt w:val="bullet"/>
      <w:lvlText w:val=""/>
      <w:lvlJc w:val="left"/>
      <w:pPr>
        <w:ind w:left="4680" w:hanging="360"/>
      </w:pPr>
      <w:rPr>
        <w:rFonts w:hint="default" w:ascii="Symbol" w:hAnsi="Symbol"/>
      </w:rPr>
    </w:lvl>
    <w:lvl w:ilvl="7" w:tplc="5E02FEE8">
      <w:start w:val="1"/>
      <w:numFmt w:val="bullet"/>
      <w:lvlText w:val="o"/>
      <w:lvlJc w:val="left"/>
      <w:pPr>
        <w:ind w:left="5400" w:hanging="360"/>
      </w:pPr>
      <w:rPr>
        <w:rFonts w:hint="default" w:ascii="Courier New" w:hAnsi="Courier New"/>
      </w:rPr>
    </w:lvl>
    <w:lvl w:ilvl="8" w:tplc="A43882E0">
      <w:start w:val="1"/>
      <w:numFmt w:val="bullet"/>
      <w:lvlText w:val=""/>
      <w:lvlJc w:val="left"/>
      <w:pPr>
        <w:ind w:left="6120" w:hanging="360"/>
      </w:pPr>
      <w:rPr>
        <w:rFonts w:hint="default" w:ascii="Wingdings" w:hAnsi="Wingdings"/>
      </w:rPr>
    </w:lvl>
  </w:abstractNum>
  <w:abstractNum w:abstractNumId="32" w15:restartNumberingAfterBreak="0">
    <w:nsid w:val="7BDA1AFD"/>
    <w:multiLevelType w:val="hybridMultilevel"/>
    <w:tmpl w:val="FFFFFFFF"/>
    <w:lvl w:ilvl="0" w:tplc="3CDA052C">
      <w:start w:val="1"/>
      <w:numFmt w:val="decimal"/>
      <w:lvlText w:val="%1."/>
      <w:lvlJc w:val="left"/>
      <w:pPr>
        <w:ind w:left="720" w:hanging="360"/>
      </w:pPr>
    </w:lvl>
    <w:lvl w:ilvl="1" w:tplc="E488EC68">
      <w:start w:val="1"/>
      <w:numFmt w:val="lowerLetter"/>
      <w:lvlText w:val="%2."/>
      <w:lvlJc w:val="left"/>
      <w:pPr>
        <w:ind w:left="1440" w:hanging="360"/>
      </w:pPr>
    </w:lvl>
    <w:lvl w:ilvl="2" w:tplc="DB90A60A">
      <w:start w:val="1"/>
      <w:numFmt w:val="lowerRoman"/>
      <w:lvlText w:val="%3."/>
      <w:lvlJc w:val="right"/>
      <w:pPr>
        <w:ind w:left="2160" w:hanging="180"/>
      </w:pPr>
    </w:lvl>
    <w:lvl w:ilvl="3" w:tplc="3D8C6D2E">
      <w:start w:val="1"/>
      <w:numFmt w:val="decimal"/>
      <w:lvlText w:val="%4."/>
      <w:lvlJc w:val="left"/>
      <w:pPr>
        <w:ind w:left="2880" w:hanging="360"/>
      </w:pPr>
    </w:lvl>
    <w:lvl w:ilvl="4" w:tplc="F25693C8">
      <w:start w:val="1"/>
      <w:numFmt w:val="lowerLetter"/>
      <w:lvlText w:val="%5."/>
      <w:lvlJc w:val="left"/>
      <w:pPr>
        <w:ind w:left="3600" w:hanging="360"/>
      </w:pPr>
    </w:lvl>
    <w:lvl w:ilvl="5" w:tplc="E06880D0">
      <w:start w:val="1"/>
      <w:numFmt w:val="lowerRoman"/>
      <w:lvlText w:val="%6."/>
      <w:lvlJc w:val="right"/>
      <w:pPr>
        <w:ind w:left="4320" w:hanging="180"/>
      </w:pPr>
    </w:lvl>
    <w:lvl w:ilvl="6" w:tplc="46B2AA90">
      <w:start w:val="1"/>
      <w:numFmt w:val="decimal"/>
      <w:lvlText w:val="%7."/>
      <w:lvlJc w:val="left"/>
      <w:pPr>
        <w:ind w:left="5040" w:hanging="360"/>
      </w:pPr>
    </w:lvl>
    <w:lvl w:ilvl="7" w:tplc="DAC40B34">
      <w:start w:val="1"/>
      <w:numFmt w:val="lowerLetter"/>
      <w:lvlText w:val="%8."/>
      <w:lvlJc w:val="left"/>
      <w:pPr>
        <w:ind w:left="5760" w:hanging="360"/>
      </w:pPr>
    </w:lvl>
    <w:lvl w:ilvl="8" w:tplc="3F8A0ED0">
      <w:start w:val="1"/>
      <w:numFmt w:val="lowerRoman"/>
      <w:lvlText w:val="%9."/>
      <w:lvlJc w:val="right"/>
      <w:pPr>
        <w:ind w:left="6480" w:hanging="180"/>
      </w:pPr>
    </w:lvl>
  </w:abstractNum>
  <w:abstractNum w:abstractNumId="33" w15:restartNumberingAfterBreak="0">
    <w:nsid w:val="7D2552BB"/>
    <w:multiLevelType w:val="hybridMultilevel"/>
    <w:tmpl w:val="FFFFFFFF"/>
    <w:lvl w:ilvl="0" w:tplc="0F464498">
      <w:start w:val="1"/>
      <w:numFmt w:val="bullet"/>
      <w:lvlText w:val=""/>
      <w:lvlJc w:val="left"/>
      <w:pPr>
        <w:ind w:left="360" w:hanging="360"/>
      </w:pPr>
      <w:rPr>
        <w:rFonts w:hint="default" w:ascii="Symbol" w:hAnsi="Symbol"/>
      </w:rPr>
    </w:lvl>
    <w:lvl w:ilvl="1" w:tplc="120CD3F2">
      <w:start w:val="1"/>
      <w:numFmt w:val="bullet"/>
      <w:lvlText w:val="o"/>
      <w:lvlJc w:val="left"/>
      <w:pPr>
        <w:ind w:left="1080" w:hanging="360"/>
      </w:pPr>
      <w:rPr>
        <w:rFonts w:hint="default" w:ascii="Courier New" w:hAnsi="Courier New"/>
      </w:rPr>
    </w:lvl>
    <w:lvl w:ilvl="2" w:tplc="A3F2E596">
      <w:start w:val="1"/>
      <w:numFmt w:val="bullet"/>
      <w:lvlText w:val=""/>
      <w:lvlJc w:val="left"/>
      <w:pPr>
        <w:ind w:left="1800" w:hanging="360"/>
      </w:pPr>
      <w:rPr>
        <w:rFonts w:hint="default" w:ascii="Wingdings" w:hAnsi="Wingdings"/>
      </w:rPr>
    </w:lvl>
    <w:lvl w:ilvl="3" w:tplc="52BA03C2">
      <w:start w:val="1"/>
      <w:numFmt w:val="bullet"/>
      <w:lvlText w:val=""/>
      <w:lvlJc w:val="left"/>
      <w:pPr>
        <w:ind w:left="2520" w:hanging="360"/>
      </w:pPr>
      <w:rPr>
        <w:rFonts w:hint="default" w:ascii="Symbol" w:hAnsi="Symbol"/>
      </w:rPr>
    </w:lvl>
    <w:lvl w:ilvl="4" w:tplc="7F46122C">
      <w:start w:val="1"/>
      <w:numFmt w:val="bullet"/>
      <w:lvlText w:val="o"/>
      <w:lvlJc w:val="left"/>
      <w:pPr>
        <w:ind w:left="3240" w:hanging="360"/>
      </w:pPr>
      <w:rPr>
        <w:rFonts w:hint="default" w:ascii="Courier New" w:hAnsi="Courier New"/>
      </w:rPr>
    </w:lvl>
    <w:lvl w:ilvl="5" w:tplc="942A99F8">
      <w:start w:val="1"/>
      <w:numFmt w:val="bullet"/>
      <w:lvlText w:val=""/>
      <w:lvlJc w:val="left"/>
      <w:pPr>
        <w:ind w:left="3960" w:hanging="360"/>
      </w:pPr>
      <w:rPr>
        <w:rFonts w:hint="default" w:ascii="Wingdings" w:hAnsi="Wingdings"/>
      </w:rPr>
    </w:lvl>
    <w:lvl w:ilvl="6" w:tplc="462A4698">
      <w:start w:val="1"/>
      <w:numFmt w:val="bullet"/>
      <w:lvlText w:val=""/>
      <w:lvlJc w:val="left"/>
      <w:pPr>
        <w:ind w:left="4680" w:hanging="360"/>
      </w:pPr>
      <w:rPr>
        <w:rFonts w:hint="default" w:ascii="Symbol" w:hAnsi="Symbol"/>
      </w:rPr>
    </w:lvl>
    <w:lvl w:ilvl="7" w:tplc="8CB0C08E">
      <w:start w:val="1"/>
      <w:numFmt w:val="bullet"/>
      <w:lvlText w:val="o"/>
      <w:lvlJc w:val="left"/>
      <w:pPr>
        <w:ind w:left="5400" w:hanging="360"/>
      </w:pPr>
      <w:rPr>
        <w:rFonts w:hint="default" w:ascii="Courier New" w:hAnsi="Courier New"/>
      </w:rPr>
    </w:lvl>
    <w:lvl w:ilvl="8" w:tplc="80781042">
      <w:start w:val="1"/>
      <w:numFmt w:val="bullet"/>
      <w:lvlText w:val=""/>
      <w:lvlJc w:val="left"/>
      <w:pPr>
        <w:ind w:left="6120" w:hanging="360"/>
      </w:pPr>
      <w:rPr>
        <w:rFonts w:hint="default" w:ascii="Wingdings" w:hAnsi="Wingdings"/>
      </w:rPr>
    </w:lvl>
  </w:abstractNum>
  <w:abstractNum w:abstractNumId="34" w15:restartNumberingAfterBreak="0">
    <w:nsid w:val="7EFE283D"/>
    <w:multiLevelType w:val="hybridMultilevel"/>
    <w:tmpl w:val="FFFFFFFF"/>
    <w:lvl w:ilvl="0" w:tplc="D4462A92">
      <w:start w:val="1"/>
      <w:numFmt w:val="decimal"/>
      <w:lvlText w:val="%1."/>
      <w:lvlJc w:val="left"/>
      <w:pPr>
        <w:ind w:left="720" w:hanging="360"/>
      </w:pPr>
    </w:lvl>
    <w:lvl w:ilvl="1" w:tplc="9E3E5234">
      <w:start w:val="1"/>
      <w:numFmt w:val="lowerLetter"/>
      <w:lvlText w:val="%2."/>
      <w:lvlJc w:val="left"/>
      <w:pPr>
        <w:ind w:left="1440" w:hanging="360"/>
      </w:pPr>
    </w:lvl>
    <w:lvl w:ilvl="2" w:tplc="F27040A0">
      <w:start w:val="1"/>
      <w:numFmt w:val="lowerRoman"/>
      <w:lvlText w:val="%3."/>
      <w:lvlJc w:val="right"/>
      <w:pPr>
        <w:ind w:left="2160" w:hanging="180"/>
      </w:pPr>
    </w:lvl>
    <w:lvl w:ilvl="3" w:tplc="9D380BDA">
      <w:start w:val="1"/>
      <w:numFmt w:val="decimal"/>
      <w:lvlText w:val="%4."/>
      <w:lvlJc w:val="left"/>
      <w:pPr>
        <w:ind w:left="2880" w:hanging="360"/>
      </w:pPr>
    </w:lvl>
    <w:lvl w:ilvl="4" w:tplc="F404EDBE">
      <w:start w:val="1"/>
      <w:numFmt w:val="lowerLetter"/>
      <w:lvlText w:val="%5."/>
      <w:lvlJc w:val="left"/>
      <w:pPr>
        <w:ind w:left="3600" w:hanging="360"/>
      </w:pPr>
    </w:lvl>
    <w:lvl w:ilvl="5" w:tplc="245647F2">
      <w:start w:val="1"/>
      <w:numFmt w:val="lowerRoman"/>
      <w:lvlText w:val="%6."/>
      <w:lvlJc w:val="right"/>
      <w:pPr>
        <w:ind w:left="4320" w:hanging="180"/>
      </w:pPr>
    </w:lvl>
    <w:lvl w:ilvl="6" w:tplc="726E4856">
      <w:start w:val="1"/>
      <w:numFmt w:val="decimal"/>
      <w:lvlText w:val="%7."/>
      <w:lvlJc w:val="left"/>
      <w:pPr>
        <w:ind w:left="5040" w:hanging="360"/>
      </w:pPr>
    </w:lvl>
    <w:lvl w:ilvl="7" w:tplc="9070B7BC">
      <w:start w:val="1"/>
      <w:numFmt w:val="lowerLetter"/>
      <w:lvlText w:val="%8."/>
      <w:lvlJc w:val="left"/>
      <w:pPr>
        <w:ind w:left="5760" w:hanging="360"/>
      </w:pPr>
    </w:lvl>
    <w:lvl w:ilvl="8" w:tplc="5C023936">
      <w:start w:val="1"/>
      <w:numFmt w:val="lowerRoman"/>
      <w:lvlText w:val="%9."/>
      <w:lvlJc w:val="right"/>
      <w:pPr>
        <w:ind w:left="6480" w:hanging="180"/>
      </w:pPr>
    </w:lvl>
  </w:abstractNum>
  <w:num w:numId="1">
    <w:abstractNumId w:val="25"/>
  </w:num>
  <w:num w:numId="2">
    <w:abstractNumId w:val="2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4"/>
  </w:num>
  <w:num w:numId="11">
    <w:abstractNumId w:val="33"/>
  </w:num>
  <w:num w:numId="12">
    <w:abstractNumId w:val="32"/>
  </w:num>
  <w:num w:numId="13">
    <w:abstractNumId w:val="19"/>
  </w:num>
  <w:num w:numId="14">
    <w:abstractNumId w:val="28"/>
  </w:num>
  <w:num w:numId="15">
    <w:abstractNumId w:val="17"/>
  </w:num>
  <w:num w:numId="16">
    <w:abstractNumId w:val="7"/>
  </w:num>
  <w:num w:numId="17">
    <w:abstractNumId w:val="24"/>
  </w:num>
  <w:num w:numId="18">
    <w:abstractNumId w:val="34"/>
  </w:num>
  <w:num w:numId="19">
    <w:abstractNumId w:val="9"/>
  </w:num>
  <w:num w:numId="20">
    <w:abstractNumId w:val="1"/>
  </w:num>
  <w:num w:numId="21">
    <w:abstractNumId w:val="0"/>
  </w:num>
  <w:num w:numId="22">
    <w:abstractNumId w:val="16"/>
  </w:num>
  <w:num w:numId="23">
    <w:abstractNumId w:val="31"/>
  </w:num>
  <w:num w:numId="24">
    <w:abstractNumId w:val="8"/>
  </w:num>
  <w:num w:numId="25">
    <w:abstractNumId w:val="3"/>
  </w:num>
  <w:num w:numId="26">
    <w:abstractNumId w:val="12"/>
  </w:num>
  <w:num w:numId="27">
    <w:abstractNumId w:val="30"/>
  </w:num>
  <w:num w:numId="28">
    <w:abstractNumId w:val="15"/>
  </w:num>
  <w:num w:numId="29">
    <w:abstractNumId w:val="4"/>
  </w:num>
  <w:num w:numId="30">
    <w:abstractNumId w:val="2"/>
  </w:num>
  <w:num w:numId="31">
    <w:abstractNumId w:val="6"/>
  </w:num>
  <w:num w:numId="32">
    <w:abstractNumId w:val="27"/>
  </w:num>
  <w:num w:numId="33">
    <w:abstractNumId w:val="23"/>
  </w:num>
  <w:num w:numId="34">
    <w:abstractNumId w:val="11"/>
  </w:num>
  <w:num w:numId="35">
    <w:abstractNumId w:val="26"/>
  </w:num>
  <w:numIdMacAtCleanup w:val="3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3AB"/>
    <w:rsid w:val="00002BA2"/>
    <w:rsid w:val="000072EE"/>
    <w:rsid w:val="00007D9D"/>
    <w:rsid w:val="00011638"/>
    <w:rsid w:val="0001279F"/>
    <w:rsid w:val="00014A5D"/>
    <w:rsid w:val="00017BCB"/>
    <w:rsid w:val="000203FE"/>
    <w:rsid w:val="00020D54"/>
    <w:rsid w:val="00020D9B"/>
    <w:rsid w:val="000210A3"/>
    <w:rsid w:val="00021152"/>
    <w:rsid w:val="00021DA9"/>
    <w:rsid w:val="00022611"/>
    <w:rsid w:val="00023B24"/>
    <w:rsid w:val="00023C5F"/>
    <w:rsid w:val="0002409D"/>
    <w:rsid w:val="00024913"/>
    <w:rsid w:val="00024ABA"/>
    <w:rsid w:val="000252B4"/>
    <w:rsid w:val="000262E2"/>
    <w:rsid w:val="00026C32"/>
    <w:rsid w:val="000271E6"/>
    <w:rsid w:val="00027C93"/>
    <w:rsid w:val="00030F1D"/>
    <w:rsid w:val="00033FE8"/>
    <w:rsid w:val="000357FE"/>
    <w:rsid w:val="00035D5E"/>
    <w:rsid w:val="00035D8C"/>
    <w:rsid w:val="00037D32"/>
    <w:rsid w:val="00037E0E"/>
    <w:rsid w:val="00040ACC"/>
    <w:rsid w:val="000428F8"/>
    <w:rsid w:val="00044E6C"/>
    <w:rsid w:val="00045656"/>
    <w:rsid w:val="00045B25"/>
    <w:rsid w:val="00045C4A"/>
    <w:rsid w:val="00050480"/>
    <w:rsid w:val="00051933"/>
    <w:rsid w:val="00052A5E"/>
    <w:rsid w:val="00052D62"/>
    <w:rsid w:val="0005431B"/>
    <w:rsid w:val="00056DE1"/>
    <w:rsid w:val="00056F90"/>
    <w:rsid w:val="00061B37"/>
    <w:rsid w:val="00064235"/>
    <w:rsid w:val="00065A16"/>
    <w:rsid w:val="00066188"/>
    <w:rsid w:val="000678E2"/>
    <w:rsid w:val="00070AF7"/>
    <w:rsid w:val="0007199B"/>
    <w:rsid w:val="000773AB"/>
    <w:rsid w:val="00077688"/>
    <w:rsid w:val="000777A5"/>
    <w:rsid w:val="0008149D"/>
    <w:rsid w:val="00081F8C"/>
    <w:rsid w:val="000845C8"/>
    <w:rsid w:val="00085A2E"/>
    <w:rsid w:val="00085AF8"/>
    <w:rsid w:val="00085BC7"/>
    <w:rsid w:val="000876DB"/>
    <w:rsid w:val="00090DED"/>
    <w:rsid w:val="00091B47"/>
    <w:rsid w:val="00093F31"/>
    <w:rsid w:val="0009454A"/>
    <w:rsid w:val="000946D8"/>
    <w:rsid w:val="00095134"/>
    <w:rsid w:val="00095837"/>
    <w:rsid w:val="000962F6"/>
    <w:rsid w:val="000A0883"/>
    <w:rsid w:val="000A1349"/>
    <w:rsid w:val="000A135C"/>
    <w:rsid w:val="000A327A"/>
    <w:rsid w:val="000A47CD"/>
    <w:rsid w:val="000A68AF"/>
    <w:rsid w:val="000A7592"/>
    <w:rsid w:val="000B066F"/>
    <w:rsid w:val="000B115A"/>
    <w:rsid w:val="000B303A"/>
    <w:rsid w:val="000B35BA"/>
    <w:rsid w:val="000B43C6"/>
    <w:rsid w:val="000B6B62"/>
    <w:rsid w:val="000C0022"/>
    <w:rsid w:val="000C2D86"/>
    <w:rsid w:val="000C32D0"/>
    <w:rsid w:val="000C33C1"/>
    <w:rsid w:val="000C357E"/>
    <w:rsid w:val="000C4533"/>
    <w:rsid w:val="000C4DDF"/>
    <w:rsid w:val="000C6D71"/>
    <w:rsid w:val="000C6FA2"/>
    <w:rsid w:val="000D1257"/>
    <w:rsid w:val="000D2ABA"/>
    <w:rsid w:val="000D2BEC"/>
    <w:rsid w:val="000D3AE5"/>
    <w:rsid w:val="000D4A3A"/>
    <w:rsid w:val="000D50C7"/>
    <w:rsid w:val="000D7489"/>
    <w:rsid w:val="000D783C"/>
    <w:rsid w:val="000E1087"/>
    <w:rsid w:val="000E1220"/>
    <w:rsid w:val="000E2272"/>
    <w:rsid w:val="000E237E"/>
    <w:rsid w:val="000E248E"/>
    <w:rsid w:val="000E7B94"/>
    <w:rsid w:val="000F6729"/>
    <w:rsid w:val="000F75C7"/>
    <w:rsid w:val="000F7606"/>
    <w:rsid w:val="000F7C3F"/>
    <w:rsid w:val="00100EE8"/>
    <w:rsid w:val="00101BB8"/>
    <w:rsid w:val="00102081"/>
    <w:rsid w:val="00106B9E"/>
    <w:rsid w:val="001108BF"/>
    <w:rsid w:val="00110BCE"/>
    <w:rsid w:val="00111C08"/>
    <w:rsid w:val="001123D8"/>
    <w:rsid w:val="001137A5"/>
    <w:rsid w:val="00113EBC"/>
    <w:rsid w:val="001167E9"/>
    <w:rsid w:val="00117D6F"/>
    <w:rsid w:val="001226C6"/>
    <w:rsid w:val="00123F92"/>
    <w:rsid w:val="001244FF"/>
    <w:rsid w:val="00124E1F"/>
    <w:rsid w:val="0012550F"/>
    <w:rsid w:val="00125E73"/>
    <w:rsid w:val="00125EF5"/>
    <w:rsid w:val="00126A9A"/>
    <w:rsid w:val="001279F4"/>
    <w:rsid w:val="00127D6C"/>
    <w:rsid w:val="00131559"/>
    <w:rsid w:val="00131FE3"/>
    <w:rsid w:val="0013387F"/>
    <w:rsid w:val="00134092"/>
    <w:rsid w:val="00137E80"/>
    <w:rsid w:val="001403DF"/>
    <w:rsid w:val="00140FC4"/>
    <w:rsid w:val="00141922"/>
    <w:rsid w:val="0014552D"/>
    <w:rsid w:val="00146FE6"/>
    <w:rsid w:val="00147525"/>
    <w:rsid w:val="0015001E"/>
    <w:rsid w:val="001539FD"/>
    <w:rsid w:val="00154162"/>
    <w:rsid w:val="00155EA3"/>
    <w:rsid w:val="00156392"/>
    <w:rsid w:val="00157103"/>
    <w:rsid w:val="00161431"/>
    <w:rsid w:val="0016311B"/>
    <w:rsid w:val="001635AB"/>
    <w:rsid w:val="001637DD"/>
    <w:rsid w:val="001640D0"/>
    <w:rsid w:val="001658C5"/>
    <w:rsid w:val="001719C3"/>
    <w:rsid w:val="0017318B"/>
    <w:rsid w:val="001754C6"/>
    <w:rsid w:val="00177725"/>
    <w:rsid w:val="0018095D"/>
    <w:rsid w:val="00181F38"/>
    <w:rsid w:val="001820FC"/>
    <w:rsid w:val="0018364B"/>
    <w:rsid w:val="0018574C"/>
    <w:rsid w:val="00187782"/>
    <w:rsid w:val="00187AF9"/>
    <w:rsid w:val="00187DCA"/>
    <w:rsid w:val="00187F49"/>
    <w:rsid w:val="00190061"/>
    <w:rsid w:val="001912A9"/>
    <w:rsid w:val="00191BC6"/>
    <w:rsid w:val="00195277"/>
    <w:rsid w:val="001965B2"/>
    <w:rsid w:val="00197188"/>
    <w:rsid w:val="00197292"/>
    <w:rsid w:val="001978AA"/>
    <w:rsid w:val="001A2030"/>
    <w:rsid w:val="001A2EDD"/>
    <w:rsid w:val="001A383D"/>
    <w:rsid w:val="001A6E1E"/>
    <w:rsid w:val="001A7A5C"/>
    <w:rsid w:val="001AC0A6"/>
    <w:rsid w:val="001B09ED"/>
    <w:rsid w:val="001B0DB1"/>
    <w:rsid w:val="001B2BD7"/>
    <w:rsid w:val="001B330A"/>
    <w:rsid w:val="001B33E8"/>
    <w:rsid w:val="001B6F70"/>
    <w:rsid w:val="001C374B"/>
    <w:rsid w:val="001C3D88"/>
    <w:rsid w:val="001C4FA5"/>
    <w:rsid w:val="001C6CAA"/>
    <w:rsid w:val="001D256A"/>
    <w:rsid w:val="001D3C46"/>
    <w:rsid w:val="001D3E5B"/>
    <w:rsid w:val="001D47CF"/>
    <w:rsid w:val="001D57C7"/>
    <w:rsid w:val="001D5F0B"/>
    <w:rsid w:val="001D63FD"/>
    <w:rsid w:val="001D75DD"/>
    <w:rsid w:val="001D76FA"/>
    <w:rsid w:val="001E1FCC"/>
    <w:rsid w:val="001E22F9"/>
    <w:rsid w:val="001E2C89"/>
    <w:rsid w:val="001E4445"/>
    <w:rsid w:val="001E67C6"/>
    <w:rsid w:val="001E702B"/>
    <w:rsid w:val="001F2B15"/>
    <w:rsid w:val="001F31A0"/>
    <w:rsid w:val="001F44C1"/>
    <w:rsid w:val="001F5040"/>
    <w:rsid w:val="001F6CBA"/>
    <w:rsid w:val="00200AA4"/>
    <w:rsid w:val="002022E8"/>
    <w:rsid w:val="00202C44"/>
    <w:rsid w:val="0020335A"/>
    <w:rsid w:val="0020430D"/>
    <w:rsid w:val="00204D8A"/>
    <w:rsid w:val="002054F6"/>
    <w:rsid w:val="00206641"/>
    <w:rsid w:val="00207FB7"/>
    <w:rsid w:val="00213B0A"/>
    <w:rsid w:val="00214AC7"/>
    <w:rsid w:val="00217025"/>
    <w:rsid w:val="002176FC"/>
    <w:rsid w:val="0022369C"/>
    <w:rsid w:val="00226285"/>
    <w:rsid w:val="00227246"/>
    <w:rsid w:val="00231788"/>
    <w:rsid w:val="00233057"/>
    <w:rsid w:val="00236B6B"/>
    <w:rsid w:val="002370EA"/>
    <w:rsid w:val="002372D5"/>
    <w:rsid w:val="00243961"/>
    <w:rsid w:val="00243E93"/>
    <w:rsid w:val="00244636"/>
    <w:rsid w:val="002448F3"/>
    <w:rsid w:val="00246E04"/>
    <w:rsid w:val="00247719"/>
    <w:rsid w:val="00247E2F"/>
    <w:rsid w:val="0025129D"/>
    <w:rsid w:val="002533BC"/>
    <w:rsid w:val="00253BE5"/>
    <w:rsid w:val="00257002"/>
    <w:rsid w:val="00261968"/>
    <w:rsid w:val="002647C6"/>
    <w:rsid w:val="00264C82"/>
    <w:rsid w:val="00264DC0"/>
    <w:rsid w:val="002661F8"/>
    <w:rsid w:val="0027093B"/>
    <w:rsid w:val="00272C2F"/>
    <w:rsid w:val="0027301D"/>
    <w:rsid w:val="002763E0"/>
    <w:rsid w:val="0028054C"/>
    <w:rsid w:val="002817DC"/>
    <w:rsid w:val="00281C67"/>
    <w:rsid w:val="00283D38"/>
    <w:rsid w:val="00284EBE"/>
    <w:rsid w:val="002879B9"/>
    <w:rsid w:val="0029044E"/>
    <w:rsid w:val="002907F1"/>
    <w:rsid w:val="00291E32"/>
    <w:rsid w:val="0029220A"/>
    <w:rsid w:val="00292986"/>
    <w:rsid w:val="002934C4"/>
    <w:rsid w:val="00293B4F"/>
    <w:rsid w:val="0029500F"/>
    <w:rsid w:val="00297A03"/>
    <w:rsid w:val="002A0608"/>
    <w:rsid w:val="002A1281"/>
    <w:rsid w:val="002A2E66"/>
    <w:rsid w:val="002A49A6"/>
    <w:rsid w:val="002A75C4"/>
    <w:rsid w:val="002B097D"/>
    <w:rsid w:val="002B2B10"/>
    <w:rsid w:val="002B7243"/>
    <w:rsid w:val="002C12E8"/>
    <w:rsid w:val="002C38DD"/>
    <w:rsid w:val="002C4BEF"/>
    <w:rsid w:val="002C5ADC"/>
    <w:rsid w:val="002D023F"/>
    <w:rsid w:val="002D20FD"/>
    <w:rsid w:val="002D2C94"/>
    <w:rsid w:val="002D3B66"/>
    <w:rsid w:val="002D4949"/>
    <w:rsid w:val="002D54CA"/>
    <w:rsid w:val="002D6020"/>
    <w:rsid w:val="002D642F"/>
    <w:rsid w:val="002D70FF"/>
    <w:rsid w:val="002D7675"/>
    <w:rsid w:val="002E0865"/>
    <w:rsid w:val="002E5BB5"/>
    <w:rsid w:val="002F14B2"/>
    <w:rsid w:val="002F2613"/>
    <w:rsid w:val="002F4B7D"/>
    <w:rsid w:val="002F4D17"/>
    <w:rsid w:val="002F5A1E"/>
    <w:rsid w:val="002F67CC"/>
    <w:rsid w:val="002F72D1"/>
    <w:rsid w:val="00301236"/>
    <w:rsid w:val="00302D7D"/>
    <w:rsid w:val="00306581"/>
    <w:rsid w:val="00307645"/>
    <w:rsid w:val="003101A4"/>
    <w:rsid w:val="0031088E"/>
    <w:rsid w:val="00310C84"/>
    <w:rsid w:val="003120EB"/>
    <w:rsid w:val="00314E8E"/>
    <w:rsid w:val="00315B78"/>
    <w:rsid w:val="00316777"/>
    <w:rsid w:val="003174DF"/>
    <w:rsid w:val="00317ACE"/>
    <w:rsid w:val="00322277"/>
    <w:rsid w:val="003224F7"/>
    <w:rsid w:val="00323B2C"/>
    <w:rsid w:val="003258E0"/>
    <w:rsid w:val="00332314"/>
    <w:rsid w:val="003323D5"/>
    <w:rsid w:val="00333A57"/>
    <w:rsid w:val="00333F3A"/>
    <w:rsid w:val="00335C10"/>
    <w:rsid w:val="00335EC0"/>
    <w:rsid w:val="003361C7"/>
    <w:rsid w:val="00337E9B"/>
    <w:rsid w:val="00341954"/>
    <w:rsid w:val="00341AFD"/>
    <w:rsid w:val="00341E40"/>
    <w:rsid w:val="0034358A"/>
    <w:rsid w:val="00346FCD"/>
    <w:rsid w:val="00347662"/>
    <w:rsid w:val="0035139F"/>
    <w:rsid w:val="00352586"/>
    <w:rsid w:val="00356CBC"/>
    <w:rsid w:val="00361C87"/>
    <w:rsid w:val="00361DFD"/>
    <w:rsid w:val="00362BFB"/>
    <w:rsid w:val="00362C99"/>
    <w:rsid w:val="00363653"/>
    <w:rsid w:val="0036463C"/>
    <w:rsid w:val="0036575C"/>
    <w:rsid w:val="00370B50"/>
    <w:rsid w:val="00372602"/>
    <w:rsid w:val="00376F97"/>
    <w:rsid w:val="00381D59"/>
    <w:rsid w:val="0038509B"/>
    <w:rsid w:val="00386E90"/>
    <w:rsid w:val="003876C0"/>
    <w:rsid w:val="00390F50"/>
    <w:rsid w:val="00393D19"/>
    <w:rsid w:val="00394584"/>
    <w:rsid w:val="003948F3"/>
    <w:rsid w:val="003A23C8"/>
    <w:rsid w:val="003A267E"/>
    <w:rsid w:val="003A2A82"/>
    <w:rsid w:val="003A65EF"/>
    <w:rsid w:val="003A6784"/>
    <w:rsid w:val="003B08B5"/>
    <w:rsid w:val="003B17C5"/>
    <w:rsid w:val="003B2D82"/>
    <w:rsid w:val="003B44E7"/>
    <w:rsid w:val="003B48AF"/>
    <w:rsid w:val="003B51D6"/>
    <w:rsid w:val="003B7327"/>
    <w:rsid w:val="003C6B5B"/>
    <w:rsid w:val="003C74A4"/>
    <w:rsid w:val="003D31B9"/>
    <w:rsid w:val="003D56FC"/>
    <w:rsid w:val="003D5D50"/>
    <w:rsid w:val="003E1500"/>
    <w:rsid w:val="003E3113"/>
    <w:rsid w:val="003E343F"/>
    <w:rsid w:val="003E37C5"/>
    <w:rsid w:val="003E407F"/>
    <w:rsid w:val="003E5378"/>
    <w:rsid w:val="003E53FD"/>
    <w:rsid w:val="003E6BB6"/>
    <w:rsid w:val="003F1B24"/>
    <w:rsid w:val="003F2296"/>
    <w:rsid w:val="003F37B8"/>
    <w:rsid w:val="003F3BA8"/>
    <w:rsid w:val="003F3EC3"/>
    <w:rsid w:val="003F4518"/>
    <w:rsid w:val="003F4825"/>
    <w:rsid w:val="003F7C95"/>
    <w:rsid w:val="00400CBF"/>
    <w:rsid w:val="0040182F"/>
    <w:rsid w:val="00401BFB"/>
    <w:rsid w:val="0040257A"/>
    <w:rsid w:val="004035BF"/>
    <w:rsid w:val="00403FC2"/>
    <w:rsid w:val="004054E9"/>
    <w:rsid w:val="00410148"/>
    <w:rsid w:val="00410B83"/>
    <w:rsid w:val="0041513A"/>
    <w:rsid w:val="00415851"/>
    <w:rsid w:val="00415A80"/>
    <w:rsid w:val="004172C0"/>
    <w:rsid w:val="00422290"/>
    <w:rsid w:val="004233B1"/>
    <w:rsid w:val="00424692"/>
    <w:rsid w:val="00424BD0"/>
    <w:rsid w:val="00426D74"/>
    <w:rsid w:val="004312D2"/>
    <w:rsid w:val="00431B29"/>
    <w:rsid w:val="004329B0"/>
    <w:rsid w:val="00433A87"/>
    <w:rsid w:val="00433D7E"/>
    <w:rsid w:val="0043473D"/>
    <w:rsid w:val="0043567C"/>
    <w:rsid w:val="00435E1B"/>
    <w:rsid w:val="004378FF"/>
    <w:rsid w:val="00441704"/>
    <w:rsid w:val="00441C0D"/>
    <w:rsid w:val="00442CE7"/>
    <w:rsid w:val="004447B1"/>
    <w:rsid w:val="00444AC3"/>
    <w:rsid w:val="00444D88"/>
    <w:rsid w:val="0044532C"/>
    <w:rsid w:val="0044661A"/>
    <w:rsid w:val="0045281C"/>
    <w:rsid w:val="00453666"/>
    <w:rsid w:val="00454764"/>
    <w:rsid w:val="00456D72"/>
    <w:rsid w:val="004617D0"/>
    <w:rsid w:val="00463125"/>
    <w:rsid w:val="00466287"/>
    <w:rsid w:val="00466B73"/>
    <w:rsid w:val="004713D8"/>
    <w:rsid w:val="0047280F"/>
    <w:rsid w:val="00472F8E"/>
    <w:rsid w:val="00473830"/>
    <w:rsid w:val="00473AC5"/>
    <w:rsid w:val="0047421A"/>
    <w:rsid w:val="00476AD7"/>
    <w:rsid w:val="0048055D"/>
    <w:rsid w:val="004862B4"/>
    <w:rsid w:val="004867F5"/>
    <w:rsid w:val="00490E16"/>
    <w:rsid w:val="00491250"/>
    <w:rsid w:val="00491F56"/>
    <w:rsid w:val="0049271E"/>
    <w:rsid w:val="00493EFF"/>
    <w:rsid w:val="0049401F"/>
    <w:rsid w:val="00494D59"/>
    <w:rsid w:val="004952C9"/>
    <w:rsid w:val="0049612D"/>
    <w:rsid w:val="00496A1C"/>
    <w:rsid w:val="004970A5"/>
    <w:rsid w:val="004A2D73"/>
    <w:rsid w:val="004A3761"/>
    <w:rsid w:val="004A3AC1"/>
    <w:rsid w:val="004A6048"/>
    <w:rsid w:val="004B0AC5"/>
    <w:rsid w:val="004B3A85"/>
    <w:rsid w:val="004B5F91"/>
    <w:rsid w:val="004B767A"/>
    <w:rsid w:val="004C0E00"/>
    <w:rsid w:val="004C3AEA"/>
    <w:rsid w:val="004C3BA5"/>
    <w:rsid w:val="004D1AD1"/>
    <w:rsid w:val="004D3F3F"/>
    <w:rsid w:val="004D40C2"/>
    <w:rsid w:val="004D4A63"/>
    <w:rsid w:val="004D5EDC"/>
    <w:rsid w:val="004E32A9"/>
    <w:rsid w:val="004E39EC"/>
    <w:rsid w:val="004E44C9"/>
    <w:rsid w:val="004E46EC"/>
    <w:rsid w:val="004E541B"/>
    <w:rsid w:val="004E6566"/>
    <w:rsid w:val="004E6B5E"/>
    <w:rsid w:val="004E717B"/>
    <w:rsid w:val="004E7DA8"/>
    <w:rsid w:val="004E7DBF"/>
    <w:rsid w:val="004ECB3D"/>
    <w:rsid w:val="004F0D91"/>
    <w:rsid w:val="004F433E"/>
    <w:rsid w:val="004F528C"/>
    <w:rsid w:val="004F5FC3"/>
    <w:rsid w:val="004F6D0A"/>
    <w:rsid w:val="004F713C"/>
    <w:rsid w:val="005000A4"/>
    <w:rsid w:val="0050047B"/>
    <w:rsid w:val="00503025"/>
    <w:rsid w:val="00505127"/>
    <w:rsid w:val="00506235"/>
    <w:rsid w:val="00507EFF"/>
    <w:rsid w:val="00511301"/>
    <w:rsid w:val="0051163A"/>
    <w:rsid w:val="0051178F"/>
    <w:rsid w:val="00511C90"/>
    <w:rsid w:val="00512B5D"/>
    <w:rsid w:val="00516ECC"/>
    <w:rsid w:val="005216D3"/>
    <w:rsid w:val="0052254C"/>
    <w:rsid w:val="00525FD0"/>
    <w:rsid w:val="00526F62"/>
    <w:rsid w:val="00531DC7"/>
    <w:rsid w:val="0053438D"/>
    <w:rsid w:val="00537AB5"/>
    <w:rsid w:val="00541A01"/>
    <w:rsid w:val="00542574"/>
    <w:rsid w:val="00545904"/>
    <w:rsid w:val="005466D8"/>
    <w:rsid w:val="0055142B"/>
    <w:rsid w:val="005540CF"/>
    <w:rsid w:val="00554429"/>
    <w:rsid w:val="0056033D"/>
    <w:rsid w:val="005632AE"/>
    <w:rsid w:val="005660AF"/>
    <w:rsid w:val="005676D9"/>
    <w:rsid w:val="00570945"/>
    <w:rsid w:val="00573C95"/>
    <w:rsid w:val="00586CB4"/>
    <w:rsid w:val="0058717D"/>
    <w:rsid w:val="00587ACB"/>
    <w:rsid w:val="005920F2"/>
    <w:rsid w:val="005956F8"/>
    <w:rsid w:val="005A2F80"/>
    <w:rsid w:val="005A4141"/>
    <w:rsid w:val="005A4268"/>
    <w:rsid w:val="005A501C"/>
    <w:rsid w:val="005A596A"/>
    <w:rsid w:val="005A6339"/>
    <w:rsid w:val="005A67CF"/>
    <w:rsid w:val="005A720A"/>
    <w:rsid w:val="005A7321"/>
    <w:rsid w:val="005A7679"/>
    <w:rsid w:val="005B0DD6"/>
    <w:rsid w:val="005B1CF0"/>
    <w:rsid w:val="005B278D"/>
    <w:rsid w:val="005B2FDE"/>
    <w:rsid w:val="005B59B6"/>
    <w:rsid w:val="005B7EC0"/>
    <w:rsid w:val="005C0B64"/>
    <w:rsid w:val="005C0F13"/>
    <w:rsid w:val="005C23B5"/>
    <w:rsid w:val="005C36BF"/>
    <w:rsid w:val="005C3B15"/>
    <w:rsid w:val="005C41A2"/>
    <w:rsid w:val="005C569E"/>
    <w:rsid w:val="005C7E61"/>
    <w:rsid w:val="005D0362"/>
    <w:rsid w:val="005D108A"/>
    <w:rsid w:val="005D6E5E"/>
    <w:rsid w:val="005D788D"/>
    <w:rsid w:val="005E368B"/>
    <w:rsid w:val="005E3F85"/>
    <w:rsid w:val="005E4E15"/>
    <w:rsid w:val="005E64CE"/>
    <w:rsid w:val="005F09AB"/>
    <w:rsid w:val="005F0A09"/>
    <w:rsid w:val="005F0C69"/>
    <w:rsid w:val="005F101A"/>
    <w:rsid w:val="005F130E"/>
    <w:rsid w:val="005F1DEE"/>
    <w:rsid w:val="005F1F33"/>
    <w:rsid w:val="005F30C1"/>
    <w:rsid w:val="005F4051"/>
    <w:rsid w:val="005F57D7"/>
    <w:rsid w:val="005FE649"/>
    <w:rsid w:val="006021D2"/>
    <w:rsid w:val="00603060"/>
    <w:rsid w:val="0060479D"/>
    <w:rsid w:val="006056F1"/>
    <w:rsid w:val="006064B7"/>
    <w:rsid w:val="00607170"/>
    <w:rsid w:val="006101D6"/>
    <w:rsid w:val="00610C60"/>
    <w:rsid w:val="00611275"/>
    <w:rsid w:val="006113FF"/>
    <w:rsid w:val="006121FA"/>
    <w:rsid w:val="00612204"/>
    <w:rsid w:val="00612F58"/>
    <w:rsid w:val="00616CB8"/>
    <w:rsid w:val="006170BF"/>
    <w:rsid w:val="00617A3B"/>
    <w:rsid w:val="00617BC6"/>
    <w:rsid w:val="0062001E"/>
    <w:rsid w:val="00620C68"/>
    <w:rsid w:val="0062137A"/>
    <w:rsid w:val="006217E0"/>
    <w:rsid w:val="00621DDF"/>
    <w:rsid w:val="00623A21"/>
    <w:rsid w:val="00625000"/>
    <w:rsid w:val="006251DA"/>
    <w:rsid w:val="006276CB"/>
    <w:rsid w:val="00627CDD"/>
    <w:rsid w:val="00631A54"/>
    <w:rsid w:val="00631A72"/>
    <w:rsid w:val="00632C8F"/>
    <w:rsid w:val="00634DCF"/>
    <w:rsid w:val="00634FB9"/>
    <w:rsid w:val="00635ECB"/>
    <w:rsid w:val="00637309"/>
    <w:rsid w:val="00640350"/>
    <w:rsid w:val="006408A2"/>
    <w:rsid w:val="0064122D"/>
    <w:rsid w:val="00642C6F"/>
    <w:rsid w:val="006441C8"/>
    <w:rsid w:val="00644363"/>
    <w:rsid w:val="00644F26"/>
    <w:rsid w:val="00645866"/>
    <w:rsid w:val="006462D8"/>
    <w:rsid w:val="00646DEF"/>
    <w:rsid w:val="00650890"/>
    <w:rsid w:val="00651657"/>
    <w:rsid w:val="00651F0E"/>
    <w:rsid w:val="006578C0"/>
    <w:rsid w:val="00657A92"/>
    <w:rsid w:val="00657C68"/>
    <w:rsid w:val="006605F1"/>
    <w:rsid w:val="006608D0"/>
    <w:rsid w:val="00661A22"/>
    <w:rsid w:val="00663E84"/>
    <w:rsid w:val="0066730F"/>
    <w:rsid w:val="00671D82"/>
    <w:rsid w:val="006722A3"/>
    <w:rsid w:val="00672C37"/>
    <w:rsid w:val="006734A8"/>
    <w:rsid w:val="00674C00"/>
    <w:rsid w:val="00674D05"/>
    <w:rsid w:val="00674F46"/>
    <w:rsid w:val="00676425"/>
    <w:rsid w:val="00677471"/>
    <w:rsid w:val="00681BE5"/>
    <w:rsid w:val="006821FD"/>
    <w:rsid w:val="00682BB8"/>
    <w:rsid w:val="00685CF7"/>
    <w:rsid w:val="0068624A"/>
    <w:rsid w:val="00687158"/>
    <w:rsid w:val="00687CB8"/>
    <w:rsid w:val="00690A39"/>
    <w:rsid w:val="00691F65"/>
    <w:rsid w:val="00692010"/>
    <w:rsid w:val="00692BC0"/>
    <w:rsid w:val="006A02A5"/>
    <w:rsid w:val="006A0E1C"/>
    <w:rsid w:val="006A34A9"/>
    <w:rsid w:val="006A3969"/>
    <w:rsid w:val="006B0794"/>
    <w:rsid w:val="006B38D6"/>
    <w:rsid w:val="006B5CDA"/>
    <w:rsid w:val="006B6B41"/>
    <w:rsid w:val="006C0401"/>
    <w:rsid w:val="006C05B7"/>
    <w:rsid w:val="006C0DB0"/>
    <w:rsid w:val="006C1BC8"/>
    <w:rsid w:val="006C2FB7"/>
    <w:rsid w:val="006C3970"/>
    <w:rsid w:val="006C5FC6"/>
    <w:rsid w:val="006C6B2F"/>
    <w:rsid w:val="006D02D8"/>
    <w:rsid w:val="006D1787"/>
    <w:rsid w:val="006D41B8"/>
    <w:rsid w:val="006D41ED"/>
    <w:rsid w:val="006D49FB"/>
    <w:rsid w:val="006D54DC"/>
    <w:rsid w:val="006D77B9"/>
    <w:rsid w:val="006D7CDE"/>
    <w:rsid w:val="006E2E80"/>
    <w:rsid w:val="006E388C"/>
    <w:rsid w:val="006E46EE"/>
    <w:rsid w:val="006E5420"/>
    <w:rsid w:val="006F4B9D"/>
    <w:rsid w:val="006F771C"/>
    <w:rsid w:val="006F7A68"/>
    <w:rsid w:val="00700ADF"/>
    <w:rsid w:val="007014C9"/>
    <w:rsid w:val="0070177C"/>
    <w:rsid w:val="00702614"/>
    <w:rsid w:val="0070381B"/>
    <w:rsid w:val="00704BD2"/>
    <w:rsid w:val="00705432"/>
    <w:rsid w:val="00707597"/>
    <w:rsid w:val="00707F51"/>
    <w:rsid w:val="00711A5E"/>
    <w:rsid w:val="00711D40"/>
    <w:rsid w:val="007139F3"/>
    <w:rsid w:val="0071785A"/>
    <w:rsid w:val="00721A7F"/>
    <w:rsid w:val="007222C5"/>
    <w:rsid w:val="00722A19"/>
    <w:rsid w:val="00723202"/>
    <w:rsid w:val="00726ECD"/>
    <w:rsid w:val="00730D29"/>
    <w:rsid w:val="0073250D"/>
    <w:rsid w:val="0073277A"/>
    <w:rsid w:val="0073346E"/>
    <w:rsid w:val="007340C9"/>
    <w:rsid w:val="00734447"/>
    <w:rsid w:val="00734971"/>
    <w:rsid w:val="00740B41"/>
    <w:rsid w:val="00740F41"/>
    <w:rsid w:val="0074158E"/>
    <w:rsid w:val="00742B01"/>
    <w:rsid w:val="00744736"/>
    <w:rsid w:val="0074570E"/>
    <w:rsid w:val="00745A8A"/>
    <w:rsid w:val="00745FF2"/>
    <w:rsid w:val="00747E50"/>
    <w:rsid w:val="007502C2"/>
    <w:rsid w:val="00750CD6"/>
    <w:rsid w:val="00751B74"/>
    <w:rsid w:val="00753564"/>
    <w:rsid w:val="00754439"/>
    <w:rsid w:val="007548CB"/>
    <w:rsid w:val="00755D91"/>
    <w:rsid w:val="00757567"/>
    <w:rsid w:val="00761342"/>
    <w:rsid w:val="007620D8"/>
    <w:rsid w:val="00764192"/>
    <w:rsid w:val="00764580"/>
    <w:rsid w:val="007647A5"/>
    <w:rsid w:val="007662A5"/>
    <w:rsid w:val="007669D8"/>
    <w:rsid w:val="007729FD"/>
    <w:rsid w:val="00773C15"/>
    <w:rsid w:val="00774980"/>
    <w:rsid w:val="00776064"/>
    <w:rsid w:val="00780D9D"/>
    <w:rsid w:val="0078292F"/>
    <w:rsid w:val="00782AC2"/>
    <w:rsid w:val="007837A5"/>
    <w:rsid w:val="007901B9"/>
    <w:rsid w:val="007903C6"/>
    <w:rsid w:val="00790AE3"/>
    <w:rsid w:val="007915CB"/>
    <w:rsid w:val="00791601"/>
    <w:rsid w:val="00791E45"/>
    <w:rsid w:val="00792641"/>
    <w:rsid w:val="00792C04"/>
    <w:rsid w:val="00792E80"/>
    <w:rsid w:val="00794704"/>
    <w:rsid w:val="00795CA7"/>
    <w:rsid w:val="00795CBA"/>
    <w:rsid w:val="00796300"/>
    <w:rsid w:val="00797DB1"/>
    <w:rsid w:val="007A38DB"/>
    <w:rsid w:val="007A3EBF"/>
    <w:rsid w:val="007B1236"/>
    <w:rsid w:val="007B17B5"/>
    <w:rsid w:val="007B5760"/>
    <w:rsid w:val="007B6BF8"/>
    <w:rsid w:val="007B71C0"/>
    <w:rsid w:val="007C08A2"/>
    <w:rsid w:val="007C0E58"/>
    <w:rsid w:val="007C1279"/>
    <w:rsid w:val="007C12D9"/>
    <w:rsid w:val="007C15FD"/>
    <w:rsid w:val="007C2539"/>
    <w:rsid w:val="007C3C26"/>
    <w:rsid w:val="007C60BA"/>
    <w:rsid w:val="007C73EE"/>
    <w:rsid w:val="007C7CE7"/>
    <w:rsid w:val="007D0F8F"/>
    <w:rsid w:val="007D26D2"/>
    <w:rsid w:val="007D6B04"/>
    <w:rsid w:val="007E1705"/>
    <w:rsid w:val="007E1CC3"/>
    <w:rsid w:val="007E4CEA"/>
    <w:rsid w:val="007E6EBD"/>
    <w:rsid w:val="007F01E5"/>
    <w:rsid w:val="007F0DAE"/>
    <w:rsid w:val="007F24BA"/>
    <w:rsid w:val="007F7370"/>
    <w:rsid w:val="00801C50"/>
    <w:rsid w:val="00801D2B"/>
    <w:rsid w:val="008049CF"/>
    <w:rsid w:val="008054F2"/>
    <w:rsid w:val="00811E51"/>
    <w:rsid w:val="0081459C"/>
    <w:rsid w:val="008168C9"/>
    <w:rsid w:val="00816AA1"/>
    <w:rsid w:val="00820265"/>
    <w:rsid w:val="00820E89"/>
    <w:rsid w:val="00822A05"/>
    <w:rsid w:val="0082350E"/>
    <w:rsid w:val="008238B3"/>
    <w:rsid w:val="008246C6"/>
    <w:rsid w:val="00824D53"/>
    <w:rsid w:val="008273F4"/>
    <w:rsid w:val="0082781F"/>
    <w:rsid w:val="008345D6"/>
    <w:rsid w:val="00835DC1"/>
    <w:rsid w:val="0083605E"/>
    <w:rsid w:val="0083737B"/>
    <w:rsid w:val="008404B5"/>
    <w:rsid w:val="00842E12"/>
    <w:rsid w:val="0084402E"/>
    <w:rsid w:val="00844A81"/>
    <w:rsid w:val="00844AFC"/>
    <w:rsid w:val="0084564D"/>
    <w:rsid w:val="00845DC8"/>
    <w:rsid w:val="008461E7"/>
    <w:rsid w:val="00851B9D"/>
    <w:rsid w:val="00853CCB"/>
    <w:rsid w:val="00854DBA"/>
    <w:rsid w:val="00855069"/>
    <w:rsid w:val="0085584D"/>
    <w:rsid w:val="00856FB0"/>
    <w:rsid w:val="008605D1"/>
    <w:rsid w:val="008617F3"/>
    <w:rsid w:val="00862099"/>
    <w:rsid w:val="00863A1C"/>
    <w:rsid w:val="008660D3"/>
    <w:rsid w:val="00866B72"/>
    <w:rsid w:val="00866C7B"/>
    <w:rsid w:val="00867FC9"/>
    <w:rsid w:val="00871074"/>
    <w:rsid w:val="00871E5A"/>
    <w:rsid w:val="008726A4"/>
    <w:rsid w:val="00872B39"/>
    <w:rsid w:val="00876217"/>
    <w:rsid w:val="008776E0"/>
    <w:rsid w:val="00881071"/>
    <w:rsid w:val="00881AB1"/>
    <w:rsid w:val="00881C1F"/>
    <w:rsid w:val="00882CB3"/>
    <w:rsid w:val="00882DC9"/>
    <w:rsid w:val="0088419B"/>
    <w:rsid w:val="0088432F"/>
    <w:rsid w:val="0088447F"/>
    <w:rsid w:val="0088688B"/>
    <w:rsid w:val="00886CFD"/>
    <w:rsid w:val="00892677"/>
    <w:rsid w:val="00892C8D"/>
    <w:rsid w:val="0089373D"/>
    <w:rsid w:val="0089460D"/>
    <w:rsid w:val="008949C7"/>
    <w:rsid w:val="00894B04"/>
    <w:rsid w:val="00894C69"/>
    <w:rsid w:val="00894FBD"/>
    <w:rsid w:val="008958A5"/>
    <w:rsid w:val="008A16C1"/>
    <w:rsid w:val="008A3049"/>
    <w:rsid w:val="008A5D3F"/>
    <w:rsid w:val="008A5E8E"/>
    <w:rsid w:val="008A6349"/>
    <w:rsid w:val="008B107E"/>
    <w:rsid w:val="008B1AE9"/>
    <w:rsid w:val="008B2C75"/>
    <w:rsid w:val="008B2D66"/>
    <w:rsid w:val="008B4434"/>
    <w:rsid w:val="008B6C1E"/>
    <w:rsid w:val="008C01B3"/>
    <w:rsid w:val="008C3D35"/>
    <w:rsid w:val="008C5CDE"/>
    <w:rsid w:val="008C76F4"/>
    <w:rsid w:val="008D2387"/>
    <w:rsid w:val="008D28E4"/>
    <w:rsid w:val="008D2914"/>
    <w:rsid w:val="008D2C5C"/>
    <w:rsid w:val="008D49C9"/>
    <w:rsid w:val="008D510E"/>
    <w:rsid w:val="008D7BAC"/>
    <w:rsid w:val="008E080D"/>
    <w:rsid w:val="008E13F1"/>
    <w:rsid w:val="008E1E09"/>
    <w:rsid w:val="008E297B"/>
    <w:rsid w:val="008E35E7"/>
    <w:rsid w:val="008E45E4"/>
    <w:rsid w:val="008E61AD"/>
    <w:rsid w:val="008F3003"/>
    <w:rsid w:val="008F3AA1"/>
    <w:rsid w:val="008F3C08"/>
    <w:rsid w:val="008F425E"/>
    <w:rsid w:val="008F4A14"/>
    <w:rsid w:val="008F6A66"/>
    <w:rsid w:val="00901869"/>
    <w:rsid w:val="009112A8"/>
    <w:rsid w:val="00911397"/>
    <w:rsid w:val="00911610"/>
    <w:rsid w:val="00911D95"/>
    <w:rsid w:val="00913E42"/>
    <w:rsid w:val="009168BF"/>
    <w:rsid w:val="00917C52"/>
    <w:rsid w:val="00922A62"/>
    <w:rsid w:val="009266BE"/>
    <w:rsid w:val="00927927"/>
    <w:rsid w:val="00930F21"/>
    <w:rsid w:val="009311C7"/>
    <w:rsid w:val="009340ED"/>
    <w:rsid w:val="009346A5"/>
    <w:rsid w:val="009347D2"/>
    <w:rsid w:val="0093527A"/>
    <w:rsid w:val="00935BD3"/>
    <w:rsid w:val="009374CD"/>
    <w:rsid w:val="009375BF"/>
    <w:rsid w:val="00940ACE"/>
    <w:rsid w:val="00941C11"/>
    <w:rsid w:val="009425AC"/>
    <w:rsid w:val="00942D36"/>
    <w:rsid w:val="00944A15"/>
    <w:rsid w:val="00950A37"/>
    <w:rsid w:val="009510BC"/>
    <w:rsid w:val="00951B20"/>
    <w:rsid w:val="00953695"/>
    <w:rsid w:val="00956E23"/>
    <w:rsid w:val="00960792"/>
    <w:rsid w:val="00963255"/>
    <w:rsid w:val="0096512B"/>
    <w:rsid w:val="00965597"/>
    <w:rsid w:val="00965A7A"/>
    <w:rsid w:val="00970B06"/>
    <w:rsid w:val="009710FE"/>
    <w:rsid w:val="00971809"/>
    <w:rsid w:val="00972B2C"/>
    <w:rsid w:val="00973372"/>
    <w:rsid w:val="00973D0C"/>
    <w:rsid w:val="009758FE"/>
    <w:rsid w:val="00980F67"/>
    <w:rsid w:val="00982973"/>
    <w:rsid w:val="00982E47"/>
    <w:rsid w:val="00987A11"/>
    <w:rsid w:val="00991689"/>
    <w:rsid w:val="009956FB"/>
    <w:rsid w:val="00997798"/>
    <w:rsid w:val="009A4336"/>
    <w:rsid w:val="009A57D7"/>
    <w:rsid w:val="009A58D3"/>
    <w:rsid w:val="009B03FE"/>
    <w:rsid w:val="009B0735"/>
    <w:rsid w:val="009B0DE9"/>
    <w:rsid w:val="009B11D9"/>
    <w:rsid w:val="009B181E"/>
    <w:rsid w:val="009B1A30"/>
    <w:rsid w:val="009B1D49"/>
    <w:rsid w:val="009B3478"/>
    <w:rsid w:val="009B63BE"/>
    <w:rsid w:val="009B6D78"/>
    <w:rsid w:val="009B6FDE"/>
    <w:rsid w:val="009C137F"/>
    <w:rsid w:val="009C3CC7"/>
    <w:rsid w:val="009C4CC8"/>
    <w:rsid w:val="009C57DE"/>
    <w:rsid w:val="009C6112"/>
    <w:rsid w:val="009C66F7"/>
    <w:rsid w:val="009D4120"/>
    <w:rsid w:val="009D4F8D"/>
    <w:rsid w:val="009E0950"/>
    <w:rsid w:val="009E1EB2"/>
    <w:rsid w:val="009E3BDD"/>
    <w:rsid w:val="009E5147"/>
    <w:rsid w:val="009E6434"/>
    <w:rsid w:val="009E7133"/>
    <w:rsid w:val="009E7837"/>
    <w:rsid w:val="009E7AAC"/>
    <w:rsid w:val="009F1148"/>
    <w:rsid w:val="009F183A"/>
    <w:rsid w:val="009F44D1"/>
    <w:rsid w:val="009F4E99"/>
    <w:rsid w:val="009F5D85"/>
    <w:rsid w:val="009F68D3"/>
    <w:rsid w:val="009F71AB"/>
    <w:rsid w:val="00A00BEF"/>
    <w:rsid w:val="00A01F5F"/>
    <w:rsid w:val="00A01FAF"/>
    <w:rsid w:val="00A03C8C"/>
    <w:rsid w:val="00A074ED"/>
    <w:rsid w:val="00A07D1D"/>
    <w:rsid w:val="00A113E2"/>
    <w:rsid w:val="00A115CD"/>
    <w:rsid w:val="00A1178D"/>
    <w:rsid w:val="00A12796"/>
    <w:rsid w:val="00A14B65"/>
    <w:rsid w:val="00A14EA4"/>
    <w:rsid w:val="00A168AB"/>
    <w:rsid w:val="00A1709A"/>
    <w:rsid w:val="00A17511"/>
    <w:rsid w:val="00A20E36"/>
    <w:rsid w:val="00A21BA3"/>
    <w:rsid w:val="00A22FA5"/>
    <w:rsid w:val="00A237FD"/>
    <w:rsid w:val="00A23AED"/>
    <w:rsid w:val="00A24CAE"/>
    <w:rsid w:val="00A25C86"/>
    <w:rsid w:val="00A33020"/>
    <w:rsid w:val="00A3352E"/>
    <w:rsid w:val="00A33D7C"/>
    <w:rsid w:val="00A34300"/>
    <w:rsid w:val="00A35865"/>
    <w:rsid w:val="00A40310"/>
    <w:rsid w:val="00A41BE3"/>
    <w:rsid w:val="00A43FFF"/>
    <w:rsid w:val="00A441E3"/>
    <w:rsid w:val="00A44C16"/>
    <w:rsid w:val="00A44DC6"/>
    <w:rsid w:val="00A51B02"/>
    <w:rsid w:val="00A52444"/>
    <w:rsid w:val="00A529E3"/>
    <w:rsid w:val="00A55E0D"/>
    <w:rsid w:val="00A5D1E4"/>
    <w:rsid w:val="00A60D63"/>
    <w:rsid w:val="00A61F3E"/>
    <w:rsid w:val="00A64701"/>
    <w:rsid w:val="00A66F62"/>
    <w:rsid w:val="00A67ED8"/>
    <w:rsid w:val="00A71373"/>
    <w:rsid w:val="00A72DC2"/>
    <w:rsid w:val="00A7467B"/>
    <w:rsid w:val="00A74996"/>
    <w:rsid w:val="00A76539"/>
    <w:rsid w:val="00A769B5"/>
    <w:rsid w:val="00A771AC"/>
    <w:rsid w:val="00A80F90"/>
    <w:rsid w:val="00A826D1"/>
    <w:rsid w:val="00A83C9F"/>
    <w:rsid w:val="00A8468C"/>
    <w:rsid w:val="00A84B0C"/>
    <w:rsid w:val="00A852DF"/>
    <w:rsid w:val="00A876D0"/>
    <w:rsid w:val="00A87F98"/>
    <w:rsid w:val="00A90293"/>
    <w:rsid w:val="00A91227"/>
    <w:rsid w:val="00A945B3"/>
    <w:rsid w:val="00A94B9F"/>
    <w:rsid w:val="00A95D07"/>
    <w:rsid w:val="00A97C84"/>
    <w:rsid w:val="00AA03EF"/>
    <w:rsid w:val="00AA0AE3"/>
    <w:rsid w:val="00AA3540"/>
    <w:rsid w:val="00AA446C"/>
    <w:rsid w:val="00AA4C33"/>
    <w:rsid w:val="00AB06F7"/>
    <w:rsid w:val="00AB086E"/>
    <w:rsid w:val="00AB1AA8"/>
    <w:rsid w:val="00AB4B9D"/>
    <w:rsid w:val="00AB5145"/>
    <w:rsid w:val="00AB5B0F"/>
    <w:rsid w:val="00AC0223"/>
    <w:rsid w:val="00AC2304"/>
    <w:rsid w:val="00AC33EE"/>
    <w:rsid w:val="00AC5007"/>
    <w:rsid w:val="00AC5D04"/>
    <w:rsid w:val="00AD062E"/>
    <w:rsid w:val="00AD0C44"/>
    <w:rsid w:val="00AD13D6"/>
    <w:rsid w:val="00AD14A7"/>
    <w:rsid w:val="00AD1F1C"/>
    <w:rsid w:val="00AD22B5"/>
    <w:rsid w:val="00AD2EA3"/>
    <w:rsid w:val="00AD5430"/>
    <w:rsid w:val="00AD54EA"/>
    <w:rsid w:val="00AD572E"/>
    <w:rsid w:val="00AD57EF"/>
    <w:rsid w:val="00AD6708"/>
    <w:rsid w:val="00AD6869"/>
    <w:rsid w:val="00AD7EFF"/>
    <w:rsid w:val="00AE011A"/>
    <w:rsid w:val="00AE3AC7"/>
    <w:rsid w:val="00AE50E6"/>
    <w:rsid w:val="00AE5DD4"/>
    <w:rsid w:val="00AF102D"/>
    <w:rsid w:val="00AF41AC"/>
    <w:rsid w:val="00AF43E0"/>
    <w:rsid w:val="00AF450E"/>
    <w:rsid w:val="00AF629C"/>
    <w:rsid w:val="00AF72F1"/>
    <w:rsid w:val="00AF7D1E"/>
    <w:rsid w:val="00B01C7E"/>
    <w:rsid w:val="00B02E87"/>
    <w:rsid w:val="00B04190"/>
    <w:rsid w:val="00B050B1"/>
    <w:rsid w:val="00B06A84"/>
    <w:rsid w:val="00B102FB"/>
    <w:rsid w:val="00B117A1"/>
    <w:rsid w:val="00B1235A"/>
    <w:rsid w:val="00B1249C"/>
    <w:rsid w:val="00B13745"/>
    <w:rsid w:val="00B14C50"/>
    <w:rsid w:val="00B26011"/>
    <w:rsid w:val="00B26BE0"/>
    <w:rsid w:val="00B2713C"/>
    <w:rsid w:val="00B30527"/>
    <w:rsid w:val="00B30C37"/>
    <w:rsid w:val="00B31042"/>
    <w:rsid w:val="00B31943"/>
    <w:rsid w:val="00B32978"/>
    <w:rsid w:val="00B347D1"/>
    <w:rsid w:val="00B364F4"/>
    <w:rsid w:val="00B37313"/>
    <w:rsid w:val="00B37D5B"/>
    <w:rsid w:val="00B37F7C"/>
    <w:rsid w:val="00B4219F"/>
    <w:rsid w:val="00B42DF9"/>
    <w:rsid w:val="00B42F49"/>
    <w:rsid w:val="00B430CD"/>
    <w:rsid w:val="00B46E4F"/>
    <w:rsid w:val="00B47438"/>
    <w:rsid w:val="00B500BA"/>
    <w:rsid w:val="00B5095F"/>
    <w:rsid w:val="00B5163B"/>
    <w:rsid w:val="00B52D84"/>
    <w:rsid w:val="00B53F05"/>
    <w:rsid w:val="00B54299"/>
    <w:rsid w:val="00B559D0"/>
    <w:rsid w:val="00B606CD"/>
    <w:rsid w:val="00B61F7E"/>
    <w:rsid w:val="00B6306E"/>
    <w:rsid w:val="00B651C3"/>
    <w:rsid w:val="00B6551F"/>
    <w:rsid w:val="00B66B81"/>
    <w:rsid w:val="00B66C56"/>
    <w:rsid w:val="00B67FEB"/>
    <w:rsid w:val="00B724ED"/>
    <w:rsid w:val="00B72B97"/>
    <w:rsid w:val="00B747E6"/>
    <w:rsid w:val="00B74E09"/>
    <w:rsid w:val="00B77E6B"/>
    <w:rsid w:val="00B814F0"/>
    <w:rsid w:val="00B823C6"/>
    <w:rsid w:val="00B8334F"/>
    <w:rsid w:val="00B85C1E"/>
    <w:rsid w:val="00B93090"/>
    <w:rsid w:val="00B93DC8"/>
    <w:rsid w:val="00B9431C"/>
    <w:rsid w:val="00B948E2"/>
    <w:rsid w:val="00B95290"/>
    <w:rsid w:val="00B95C45"/>
    <w:rsid w:val="00B95D75"/>
    <w:rsid w:val="00B97864"/>
    <w:rsid w:val="00BA0F95"/>
    <w:rsid w:val="00BA1681"/>
    <w:rsid w:val="00BA25D9"/>
    <w:rsid w:val="00BA2AC1"/>
    <w:rsid w:val="00BA51A9"/>
    <w:rsid w:val="00BA65E7"/>
    <w:rsid w:val="00BA6F1F"/>
    <w:rsid w:val="00BA715D"/>
    <w:rsid w:val="00BA73AE"/>
    <w:rsid w:val="00BA77EC"/>
    <w:rsid w:val="00BA7A2B"/>
    <w:rsid w:val="00BB1165"/>
    <w:rsid w:val="00BB43F8"/>
    <w:rsid w:val="00BB49C9"/>
    <w:rsid w:val="00BB60C1"/>
    <w:rsid w:val="00BC25EA"/>
    <w:rsid w:val="00BC296C"/>
    <w:rsid w:val="00BC2BBD"/>
    <w:rsid w:val="00BC3015"/>
    <w:rsid w:val="00BC37DE"/>
    <w:rsid w:val="00BC3FC4"/>
    <w:rsid w:val="00BC4E8F"/>
    <w:rsid w:val="00BC600E"/>
    <w:rsid w:val="00BC6151"/>
    <w:rsid w:val="00BC6373"/>
    <w:rsid w:val="00BC653D"/>
    <w:rsid w:val="00BC6AEA"/>
    <w:rsid w:val="00BC6E89"/>
    <w:rsid w:val="00BC7C59"/>
    <w:rsid w:val="00BD0443"/>
    <w:rsid w:val="00BD09C9"/>
    <w:rsid w:val="00BD0BFE"/>
    <w:rsid w:val="00BD15E5"/>
    <w:rsid w:val="00BD2C7F"/>
    <w:rsid w:val="00BD3E2A"/>
    <w:rsid w:val="00BD622F"/>
    <w:rsid w:val="00BD685C"/>
    <w:rsid w:val="00BE116E"/>
    <w:rsid w:val="00BE1656"/>
    <w:rsid w:val="00BE285C"/>
    <w:rsid w:val="00BE37BE"/>
    <w:rsid w:val="00BE38E9"/>
    <w:rsid w:val="00BF018B"/>
    <w:rsid w:val="00BF05C6"/>
    <w:rsid w:val="00BF2DE5"/>
    <w:rsid w:val="00BF33FF"/>
    <w:rsid w:val="00BF609F"/>
    <w:rsid w:val="00C00081"/>
    <w:rsid w:val="00C00377"/>
    <w:rsid w:val="00C0159C"/>
    <w:rsid w:val="00C02D29"/>
    <w:rsid w:val="00C0589F"/>
    <w:rsid w:val="00C1053E"/>
    <w:rsid w:val="00C10BB6"/>
    <w:rsid w:val="00C14770"/>
    <w:rsid w:val="00C1550A"/>
    <w:rsid w:val="00C1578A"/>
    <w:rsid w:val="00C15801"/>
    <w:rsid w:val="00C15EBC"/>
    <w:rsid w:val="00C161AB"/>
    <w:rsid w:val="00C17F02"/>
    <w:rsid w:val="00C20022"/>
    <w:rsid w:val="00C20A84"/>
    <w:rsid w:val="00C20FDE"/>
    <w:rsid w:val="00C2334B"/>
    <w:rsid w:val="00C26EA9"/>
    <w:rsid w:val="00C27836"/>
    <w:rsid w:val="00C339EB"/>
    <w:rsid w:val="00C35E4B"/>
    <w:rsid w:val="00C36378"/>
    <w:rsid w:val="00C376C0"/>
    <w:rsid w:val="00C417F8"/>
    <w:rsid w:val="00C4287A"/>
    <w:rsid w:val="00C43F60"/>
    <w:rsid w:val="00C44F4E"/>
    <w:rsid w:val="00C45FD6"/>
    <w:rsid w:val="00C46FA5"/>
    <w:rsid w:val="00C503C9"/>
    <w:rsid w:val="00C52EC1"/>
    <w:rsid w:val="00C545C6"/>
    <w:rsid w:val="00C5727A"/>
    <w:rsid w:val="00C57B6E"/>
    <w:rsid w:val="00C60383"/>
    <w:rsid w:val="00C605C5"/>
    <w:rsid w:val="00C629FA"/>
    <w:rsid w:val="00C63C34"/>
    <w:rsid w:val="00C63DF3"/>
    <w:rsid w:val="00C642EB"/>
    <w:rsid w:val="00C645F9"/>
    <w:rsid w:val="00C71567"/>
    <w:rsid w:val="00C72928"/>
    <w:rsid w:val="00C73402"/>
    <w:rsid w:val="00C73EBC"/>
    <w:rsid w:val="00C75772"/>
    <w:rsid w:val="00C76AC3"/>
    <w:rsid w:val="00C777FC"/>
    <w:rsid w:val="00C803D8"/>
    <w:rsid w:val="00C80529"/>
    <w:rsid w:val="00C827FD"/>
    <w:rsid w:val="00C8352F"/>
    <w:rsid w:val="00C83F98"/>
    <w:rsid w:val="00C854D2"/>
    <w:rsid w:val="00C857AB"/>
    <w:rsid w:val="00C85A1A"/>
    <w:rsid w:val="00C85B97"/>
    <w:rsid w:val="00C8618D"/>
    <w:rsid w:val="00C867C4"/>
    <w:rsid w:val="00C877E1"/>
    <w:rsid w:val="00C8F7ED"/>
    <w:rsid w:val="00C91682"/>
    <w:rsid w:val="00C92576"/>
    <w:rsid w:val="00C94944"/>
    <w:rsid w:val="00C95FE5"/>
    <w:rsid w:val="00CA08B1"/>
    <w:rsid w:val="00CA0C4C"/>
    <w:rsid w:val="00CA2323"/>
    <w:rsid w:val="00CA6BA0"/>
    <w:rsid w:val="00CA6F42"/>
    <w:rsid w:val="00CB253F"/>
    <w:rsid w:val="00CB3420"/>
    <w:rsid w:val="00CB346D"/>
    <w:rsid w:val="00CC09BD"/>
    <w:rsid w:val="00CC298C"/>
    <w:rsid w:val="00CC3C2B"/>
    <w:rsid w:val="00CC43E0"/>
    <w:rsid w:val="00CC492E"/>
    <w:rsid w:val="00CC598F"/>
    <w:rsid w:val="00CC6CDB"/>
    <w:rsid w:val="00CC7A83"/>
    <w:rsid w:val="00CD0109"/>
    <w:rsid w:val="00CD1557"/>
    <w:rsid w:val="00CD2416"/>
    <w:rsid w:val="00CD35DF"/>
    <w:rsid w:val="00CD4359"/>
    <w:rsid w:val="00CD5FEF"/>
    <w:rsid w:val="00CD6E83"/>
    <w:rsid w:val="00CE3803"/>
    <w:rsid w:val="00CE3F50"/>
    <w:rsid w:val="00CE7ECF"/>
    <w:rsid w:val="00CF141D"/>
    <w:rsid w:val="00CF2456"/>
    <w:rsid w:val="00CF33CF"/>
    <w:rsid w:val="00CF33E8"/>
    <w:rsid w:val="00CF3EE7"/>
    <w:rsid w:val="00CF41F5"/>
    <w:rsid w:val="00CF5885"/>
    <w:rsid w:val="00CF65B4"/>
    <w:rsid w:val="00CF7B67"/>
    <w:rsid w:val="00D00106"/>
    <w:rsid w:val="00D004ED"/>
    <w:rsid w:val="00D00681"/>
    <w:rsid w:val="00D01886"/>
    <w:rsid w:val="00D03B50"/>
    <w:rsid w:val="00D07567"/>
    <w:rsid w:val="00D076D8"/>
    <w:rsid w:val="00D07D4B"/>
    <w:rsid w:val="00D12CBC"/>
    <w:rsid w:val="00D13E4D"/>
    <w:rsid w:val="00D15B5C"/>
    <w:rsid w:val="00D15D8B"/>
    <w:rsid w:val="00D16F2E"/>
    <w:rsid w:val="00D1A7E9"/>
    <w:rsid w:val="00D258F8"/>
    <w:rsid w:val="00D266B1"/>
    <w:rsid w:val="00D26979"/>
    <w:rsid w:val="00D30D3A"/>
    <w:rsid w:val="00D32074"/>
    <w:rsid w:val="00D347C8"/>
    <w:rsid w:val="00D34D9E"/>
    <w:rsid w:val="00D37EFE"/>
    <w:rsid w:val="00D42256"/>
    <w:rsid w:val="00D4233C"/>
    <w:rsid w:val="00D43C8F"/>
    <w:rsid w:val="00D44EA9"/>
    <w:rsid w:val="00D4516B"/>
    <w:rsid w:val="00D4698D"/>
    <w:rsid w:val="00D46C84"/>
    <w:rsid w:val="00D495CB"/>
    <w:rsid w:val="00D51063"/>
    <w:rsid w:val="00D51923"/>
    <w:rsid w:val="00D51CFA"/>
    <w:rsid w:val="00D51FE1"/>
    <w:rsid w:val="00D53BE2"/>
    <w:rsid w:val="00D541E3"/>
    <w:rsid w:val="00D55136"/>
    <w:rsid w:val="00D56CC4"/>
    <w:rsid w:val="00D57F43"/>
    <w:rsid w:val="00D63978"/>
    <w:rsid w:val="00D646F2"/>
    <w:rsid w:val="00D70958"/>
    <w:rsid w:val="00D7204D"/>
    <w:rsid w:val="00D72B1C"/>
    <w:rsid w:val="00D7503C"/>
    <w:rsid w:val="00D76F37"/>
    <w:rsid w:val="00D80A7B"/>
    <w:rsid w:val="00D811CC"/>
    <w:rsid w:val="00D826DE"/>
    <w:rsid w:val="00D829F7"/>
    <w:rsid w:val="00D83B29"/>
    <w:rsid w:val="00D8464E"/>
    <w:rsid w:val="00D848E8"/>
    <w:rsid w:val="00D84DEB"/>
    <w:rsid w:val="00D85007"/>
    <w:rsid w:val="00D86CC5"/>
    <w:rsid w:val="00D878A8"/>
    <w:rsid w:val="00D90EB3"/>
    <w:rsid w:val="00D95667"/>
    <w:rsid w:val="00D96B3F"/>
    <w:rsid w:val="00D9774A"/>
    <w:rsid w:val="00DA033E"/>
    <w:rsid w:val="00DA16A8"/>
    <w:rsid w:val="00DA175E"/>
    <w:rsid w:val="00DA2D4F"/>
    <w:rsid w:val="00DA3536"/>
    <w:rsid w:val="00DA37DD"/>
    <w:rsid w:val="00DA7B1D"/>
    <w:rsid w:val="00DB0957"/>
    <w:rsid w:val="00DB0FC9"/>
    <w:rsid w:val="00DB517F"/>
    <w:rsid w:val="00DB7300"/>
    <w:rsid w:val="00DB7F01"/>
    <w:rsid w:val="00DC01FF"/>
    <w:rsid w:val="00DC05A0"/>
    <w:rsid w:val="00DC06C6"/>
    <w:rsid w:val="00DC16E8"/>
    <w:rsid w:val="00DC1FDB"/>
    <w:rsid w:val="00DC40F6"/>
    <w:rsid w:val="00DC54EB"/>
    <w:rsid w:val="00DC586A"/>
    <w:rsid w:val="00DC5A0C"/>
    <w:rsid w:val="00DC5B50"/>
    <w:rsid w:val="00DC666D"/>
    <w:rsid w:val="00DD0084"/>
    <w:rsid w:val="00DD122E"/>
    <w:rsid w:val="00DD1D10"/>
    <w:rsid w:val="00DD1FDB"/>
    <w:rsid w:val="00DD2890"/>
    <w:rsid w:val="00DD4418"/>
    <w:rsid w:val="00DD494D"/>
    <w:rsid w:val="00DD56BB"/>
    <w:rsid w:val="00DD582A"/>
    <w:rsid w:val="00DE0716"/>
    <w:rsid w:val="00DE12AC"/>
    <w:rsid w:val="00DE1C74"/>
    <w:rsid w:val="00DE50E6"/>
    <w:rsid w:val="00DE5237"/>
    <w:rsid w:val="00DE5F0C"/>
    <w:rsid w:val="00DE65FF"/>
    <w:rsid w:val="00DE7347"/>
    <w:rsid w:val="00DE7D98"/>
    <w:rsid w:val="00DE7F62"/>
    <w:rsid w:val="00DF1805"/>
    <w:rsid w:val="00DF18D3"/>
    <w:rsid w:val="00DF247C"/>
    <w:rsid w:val="00DF3DA3"/>
    <w:rsid w:val="00DF4286"/>
    <w:rsid w:val="00E014E5"/>
    <w:rsid w:val="00E02FA3"/>
    <w:rsid w:val="00E03102"/>
    <w:rsid w:val="00E03242"/>
    <w:rsid w:val="00E0381C"/>
    <w:rsid w:val="00E04365"/>
    <w:rsid w:val="00E052D5"/>
    <w:rsid w:val="00E060D5"/>
    <w:rsid w:val="00E0680B"/>
    <w:rsid w:val="00E069C2"/>
    <w:rsid w:val="00E06EEF"/>
    <w:rsid w:val="00E11A7D"/>
    <w:rsid w:val="00E14BE4"/>
    <w:rsid w:val="00E2442A"/>
    <w:rsid w:val="00E25D36"/>
    <w:rsid w:val="00E26FFE"/>
    <w:rsid w:val="00E302FD"/>
    <w:rsid w:val="00E3070A"/>
    <w:rsid w:val="00E32E9F"/>
    <w:rsid w:val="00E33BFC"/>
    <w:rsid w:val="00E350A7"/>
    <w:rsid w:val="00E362AC"/>
    <w:rsid w:val="00E376F8"/>
    <w:rsid w:val="00E37AF2"/>
    <w:rsid w:val="00E43273"/>
    <w:rsid w:val="00E43DB8"/>
    <w:rsid w:val="00E4450B"/>
    <w:rsid w:val="00E47610"/>
    <w:rsid w:val="00E51EC3"/>
    <w:rsid w:val="00E5447B"/>
    <w:rsid w:val="00E556BB"/>
    <w:rsid w:val="00E61E93"/>
    <w:rsid w:val="00E631BD"/>
    <w:rsid w:val="00E63B8A"/>
    <w:rsid w:val="00E66929"/>
    <w:rsid w:val="00E6DECF"/>
    <w:rsid w:val="00E7212E"/>
    <w:rsid w:val="00E72FF4"/>
    <w:rsid w:val="00E741F5"/>
    <w:rsid w:val="00E751F1"/>
    <w:rsid w:val="00E77728"/>
    <w:rsid w:val="00E8011B"/>
    <w:rsid w:val="00E80C4F"/>
    <w:rsid w:val="00E87605"/>
    <w:rsid w:val="00E90F61"/>
    <w:rsid w:val="00E91E95"/>
    <w:rsid w:val="00E95B36"/>
    <w:rsid w:val="00E963FB"/>
    <w:rsid w:val="00E9656A"/>
    <w:rsid w:val="00E971B4"/>
    <w:rsid w:val="00EA06CD"/>
    <w:rsid w:val="00EA3939"/>
    <w:rsid w:val="00EA3B86"/>
    <w:rsid w:val="00EA683C"/>
    <w:rsid w:val="00EA6FC7"/>
    <w:rsid w:val="00EB0B91"/>
    <w:rsid w:val="00EB0E85"/>
    <w:rsid w:val="00EB22C8"/>
    <w:rsid w:val="00EB2828"/>
    <w:rsid w:val="00EB32B8"/>
    <w:rsid w:val="00EB3DEC"/>
    <w:rsid w:val="00EB5465"/>
    <w:rsid w:val="00EB58BB"/>
    <w:rsid w:val="00EB6975"/>
    <w:rsid w:val="00EB7556"/>
    <w:rsid w:val="00EC19F3"/>
    <w:rsid w:val="00EC1A2C"/>
    <w:rsid w:val="00EC4555"/>
    <w:rsid w:val="00EC5FEC"/>
    <w:rsid w:val="00EC64EC"/>
    <w:rsid w:val="00EC6AB8"/>
    <w:rsid w:val="00EC726E"/>
    <w:rsid w:val="00ED034F"/>
    <w:rsid w:val="00ED252B"/>
    <w:rsid w:val="00ED2F52"/>
    <w:rsid w:val="00EE00C4"/>
    <w:rsid w:val="00EE249F"/>
    <w:rsid w:val="00EE31CE"/>
    <w:rsid w:val="00EE4040"/>
    <w:rsid w:val="00EE6934"/>
    <w:rsid w:val="00EE6A9A"/>
    <w:rsid w:val="00EE7DEF"/>
    <w:rsid w:val="00EF2B82"/>
    <w:rsid w:val="00EF3111"/>
    <w:rsid w:val="00EF3DA2"/>
    <w:rsid w:val="00EF78EC"/>
    <w:rsid w:val="00F014CD"/>
    <w:rsid w:val="00F02053"/>
    <w:rsid w:val="00F029FB"/>
    <w:rsid w:val="00F06950"/>
    <w:rsid w:val="00F07996"/>
    <w:rsid w:val="00F101A7"/>
    <w:rsid w:val="00F14053"/>
    <w:rsid w:val="00F17B3D"/>
    <w:rsid w:val="00F225DC"/>
    <w:rsid w:val="00F232AC"/>
    <w:rsid w:val="00F24804"/>
    <w:rsid w:val="00F24E97"/>
    <w:rsid w:val="00F30B24"/>
    <w:rsid w:val="00F30EA6"/>
    <w:rsid w:val="00F3235B"/>
    <w:rsid w:val="00F3332B"/>
    <w:rsid w:val="00F33924"/>
    <w:rsid w:val="00F342B0"/>
    <w:rsid w:val="00F34751"/>
    <w:rsid w:val="00F35636"/>
    <w:rsid w:val="00F357AA"/>
    <w:rsid w:val="00F371E8"/>
    <w:rsid w:val="00F40B00"/>
    <w:rsid w:val="00F42B27"/>
    <w:rsid w:val="00F4394F"/>
    <w:rsid w:val="00F44A3D"/>
    <w:rsid w:val="00F45DAD"/>
    <w:rsid w:val="00F5287D"/>
    <w:rsid w:val="00F52C01"/>
    <w:rsid w:val="00F574FB"/>
    <w:rsid w:val="00F57814"/>
    <w:rsid w:val="00F62CC6"/>
    <w:rsid w:val="00F63CB5"/>
    <w:rsid w:val="00F64E75"/>
    <w:rsid w:val="00F66806"/>
    <w:rsid w:val="00F710D9"/>
    <w:rsid w:val="00F71846"/>
    <w:rsid w:val="00F72647"/>
    <w:rsid w:val="00F77C0C"/>
    <w:rsid w:val="00F77FC9"/>
    <w:rsid w:val="00F81162"/>
    <w:rsid w:val="00F835AA"/>
    <w:rsid w:val="00F854BE"/>
    <w:rsid w:val="00F86143"/>
    <w:rsid w:val="00F86AA7"/>
    <w:rsid w:val="00F91221"/>
    <w:rsid w:val="00F926DE"/>
    <w:rsid w:val="00F932FC"/>
    <w:rsid w:val="00F93D1D"/>
    <w:rsid w:val="00F953F4"/>
    <w:rsid w:val="00F95CB6"/>
    <w:rsid w:val="00FA047B"/>
    <w:rsid w:val="00FA295B"/>
    <w:rsid w:val="00FA4BF9"/>
    <w:rsid w:val="00FA5097"/>
    <w:rsid w:val="00FA6486"/>
    <w:rsid w:val="00FB02EE"/>
    <w:rsid w:val="00FB0613"/>
    <w:rsid w:val="00FB0DA3"/>
    <w:rsid w:val="00FB0F74"/>
    <w:rsid w:val="00FB7792"/>
    <w:rsid w:val="00FC0885"/>
    <w:rsid w:val="00FC2706"/>
    <w:rsid w:val="00FC329F"/>
    <w:rsid w:val="00FC5932"/>
    <w:rsid w:val="00FC5E82"/>
    <w:rsid w:val="00FD0219"/>
    <w:rsid w:val="00FD19D7"/>
    <w:rsid w:val="00FD2F90"/>
    <w:rsid w:val="00FD36A8"/>
    <w:rsid w:val="00FD438C"/>
    <w:rsid w:val="00FD4BD5"/>
    <w:rsid w:val="00FD71FD"/>
    <w:rsid w:val="00FE2791"/>
    <w:rsid w:val="00FE2C86"/>
    <w:rsid w:val="00FE2E8B"/>
    <w:rsid w:val="00FE3A46"/>
    <w:rsid w:val="00FE4561"/>
    <w:rsid w:val="00FE4EA8"/>
    <w:rsid w:val="00FE4EE5"/>
    <w:rsid w:val="00FE7FFA"/>
    <w:rsid w:val="00FF54DC"/>
    <w:rsid w:val="01053920"/>
    <w:rsid w:val="010DBFDF"/>
    <w:rsid w:val="011697C3"/>
    <w:rsid w:val="011C4F41"/>
    <w:rsid w:val="01332AD1"/>
    <w:rsid w:val="01349B47"/>
    <w:rsid w:val="014B570F"/>
    <w:rsid w:val="015A9DC5"/>
    <w:rsid w:val="017387BE"/>
    <w:rsid w:val="01799236"/>
    <w:rsid w:val="01AF7434"/>
    <w:rsid w:val="01D2E092"/>
    <w:rsid w:val="0201179C"/>
    <w:rsid w:val="022E68AA"/>
    <w:rsid w:val="02420E5F"/>
    <w:rsid w:val="024BEEC6"/>
    <w:rsid w:val="025C9B9F"/>
    <w:rsid w:val="026B84DC"/>
    <w:rsid w:val="02747EE4"/>
    <w:rsid w:val="02813C5C"/>
    <w:rsid w:val="028B2A73"/>
    <w:rsid w:val="028DFB85"/>
    <w:rsid w:val="02AB7ECD"/>
    <w:rsid w:val="02D7E4D7"/>
    <w:rsid w:val="02E0EBFF"/>
    <w:rsid w:val="02F84C8E"/>
    <w:rsid w:val="03124956"/>
    <w:rsid w:val="03206120"/>
    <w:rsid w:val="03365D3A"/>
    <w:rsid w:val="037B86D5"/>
    <w:rsid w:val="037C84EB"/>
    <w:rsid w:val="03866BFF"/>
    <w:rsid w:val="03880BD9"/>
    <w:rsid w:val="038E3CDC"/>
    <w:rsid w:val="039D8FDD"/>
    <w:rsid w:val="03A14CE9"/>
    <w:rsid w:val="03B9D57B"/>
    <w:rsid w:val="03C188BA"/>
    <w:rsid w:val="03FDB065"/>
    <w:rsid w:val="0407553D"/>
    <w:rsid w:val="041B83BE"/>
    <w:rsid w:val="0423CB53"/>
    <w:rsid w:val="0429CBE6"/>
    <w:rsid w:val="0434399C"/>
    <w:rsid w:val="045610BA"/>
    <w:rsid w:val="0479637D"/>
    <w:rsid w:val="047A02EC"/>
    <w:rsid w:val="04822D88"/>
    <w:rsid w:val="048D1A03"/>
    <w:rsid w:val="04CCD4E0"/>
    <w:rsid w:val="04CEBCBE"/>
    <w:rsid w:val="04D9F2E5"/>
    <w:rsid w:val="04DCEC5A"/>
    <w:rsid w:val="04ED5CEB"/>
    <w:rsid w:val="04F0CD12"/>
    <w:rsid w:val="0505247F"/>
    <w:rsid w:val="0528DA30"/>
    <w:rsid w:val="053D1D4A"/>
    <w:rsid w:val="05531F63"/>
    <w:rsid w:val="056DD11F"/>
    <w:rsid w:val="05746101"/>
    <w:rsid w:val="057D17D5"/>
    <w:rsid w:val="058C9D31"/>
    <w:rsid w:val="059B5F9E"/>
    <w:rsid w:val="059D9128"/>
    <w:rsid w:val="05C2D3F5"/>
    <w:rsid w:val="05C88FF1"/>
    <w:rsid w:val="05C996A8"/>
    <w:rsid w:val="05D86907"/>
    <w:rsid w:val="05DBCCA9"/>
    <w:rsid w:val="05F06274"/>
    <w:rsid w:val="05F53024"/>
    <w:rsid w:val="05FAC985"/>
    <w:rsid w:val="05FC5189"/>
    <w:rsid w:val="06027C9D"/>
    <w:rsid w:val="06056689"/>
    <w:rsid w:val="060A8D6B"/>
    <w:rsid w:val="06188CC1"/>
    <w:rsid w:val="0656F616"/>
    <w:rsid w:val="065C046C"/>
    <w:rsid w:val="0679AE42"/>
    <w:rsid w:val="06804F37"/>
    <w:rsid w:val="06BFAC9B"/>
    <w:rsid w:val="06C7FAD5"/>
    <w:rsid w:val="06EBA2B3"/>
    <w:rsid w:val="0702B114"/>
    <w:rsid w:val="072884DE"/>
    <w:rsid w:val="0757AE22"/>
    <w:rsid w:val="075DAA0F"/>
    <w:rsid w:val="075F6E9F"/>
    <w:rsid w:val="07932ED4"/>
    <w:rsid w:val="07A4658E"/>
    <w:rsid w:val="07BE45DE"/>
    <w:rsid w:val="07BF1A0C"/>
    <w:rsid w:val="07CEFEB5"/>
    <w:rsid w:val="07D8EF11"/>
    <w:rsid w:val="07EE21DA"/>
    <w:rsid w:val="07EF53B2"/>
    <w:rsid w:val="0808D65B"/>
    <w:rsid w:val="0847EA0D"/>
    <w:rsid w:val="0868893B"/>
    <w:rsid w:val="0880F1E7"/>
    <w:rsid w:val="0887CDD6"/>
    <w:rsid w:val="088FA383"/>
    <w:rsid w:val="0891F7E8"/>
    <w:rsid w:val="089DB0B1"/>
    <w:rsid w:val="08B5884F"/>
    <w:rsid w:val="08E76CFD"/>
    <w:rsid w:val="08EA1385"/>
    <w:rsid w:val="08EA6255"/>
    <w:rsid w:val="08F1266B"/>
    <w:rsid w:val="08F31809"/>
    <w:rsid w:val="08F93F4F"/>
    <w:rsid w:val="090525A1"/>
    <w:rsid w:val="090A7A26"/>
    <w:rsid w:val="091E56BE"/>
    <w:rsid w:val="09318358"/>
    <w:rsid w:val="093B4A31"/>
    <w:rsid w:val="0960DEBD"/>
    <w:rsid w:val="096A6E23"/>
    <w:rsid w:val="09CA9DA4"/>
    <w:rsid w:val="09DB0925"/>
    <w:rsid w:val="09E9B3D3"/>
    <w:rsid w:val="0A18743A"/>
    <w:rsid w:val="0A368975"/>
    <w:rsid w:val="0A5018BE"/>
    <w:rsid w:val="0A5158B0"/>
    <w:rsid w:val="0A573163"/>
    <w:rsid w:val="0A7D867A"/>
    <w:rsid w:val="0A9891FD"/>
    <w:rsid w:val="0AA0F602"/>
    <w:rsid w:val="0AAE7156"/>
    <w:rsid w:val="0AE94935"/>
    <w:rsid w:val="0AF289A9"/>
    <w:rsid w:val="0AF8D805"/>
    <w:rsid w:val="0B03742C"/>
    <w:rsid w:val="0B1B3AC8"/>
    <w:rsid w:val="0B3CF1C0"/>
    <w:rsid w:val="0B42A229"/>
    <w:rsid w:val="0B6BE466"/>
    <w:rsid w:val="0B6E5510"/>
    <w:rsid w:val="0B7D51E5"/>
    <w:rsid w:val="0B975266"/>
    <w:rsid w:val="0B9879E0"/>
    <w:rsid w:val="0BA6463B"/>
    <w:rsid w:val="0BB49455"/>
    <w:rsid w:val="0BB4EE64"/>
    <w:rsid w:val="0BC4FA4B"/>
    <w:rsid w:val="0BC512BB"/>
    <w:rsid w:val="0BE36B97"/>
    <w:rsid w:val="0BED2911"/>
    <w:rsid w:val="0BEEE4F2"/>
    <w:rsid w:val="0BF04217"/>
    <w:rsid w:val="0BF14D6A"/>
    <w:rsid w:val="0C0D1432"/>
    <w:rsid w:val="0C370387"/>
    <w:rsid w:val="0C3DF798"/>
    <w:rsid w:val="0C51D850"/>
    <w:rsid w:val="0C59C5D6"/>
    <w:rsid w:val="0C5E05C9"/>
    <w:rsid w:val="0C6EE691"/>
    <w:rsid w:val="0C763CEC"/>
    <w:rsid w:val="0C831D3B"/>
    <w:rsid w:val="0C8A876D"/>
    <w:rsid w:val="0C91B701"/>
    <w:rsid w:val="0C9D4BBA"/>
    <w:rsid w:val="0CA61A01"/>
    <w:rsid w:val="0CAAF3DB"/>
    <w:rsid w:val="0CBF539B"/>
    <w:rsid w:val="0CC6379A"/>
    <w:rsid w:val="0CD94939"/>
    <w:rsid w:val="0CE53120"/>
    <w:rsid w:val="0D00892D"/>
    <w:rsid w:val="0D0591EA"/>
    <w:rsid w:val="0D0E15ED"/>
    <w:rsid w:val="0D364E12"/>
    <w:rsid w:val="0D435024"/>
    <w:rsid w:val="0D4943BE"/>
    <w:rsid w:val="0D5B3EF9"/>
    <w:rsid w:val="0D6E0121"/>
    <w:rsid w:val="0D6FA04B"/>
    <w:rsid w:val="0D81935D"/>
    <w:rsid w:val="0D90228B"/>
    <w:rsid w:val="0D9664A1"/>
    <w:rsid w:val="0DB08F98"/>
    <w:rsid w:val="0DB2F810"/>
    <w:rsid w:val="0DB8C51F"/>
    <w:rsid w:val="0DBC11CE"/>
    <w:rsid w:val="0DCCB072"/>
    <w:rsid w:val="0DDB5B90"/>
    <w:rsid w:val="0DE2B1A1"/>
    <w:rsid w:val="0DE825DA"/>
    <w:rsid w:val="0DE89B53"/>
    <w:rsid w:val="0DEB8420"/>
    <w:rsid w:val="0DEE9DAD"/>
    <w:rsid w:val="0E1CEDE8"/>
    <w:rsid w:val="0E2F041B"/>
    <w:rsid w:val="0E40B349"/>
    <w:rsid w:val="0E6207FB"/>
    <w:rsid w:val="0E716953"/>
    <w:rsid w:val="0E7D42DB"/>
    <w:rsid w:val="0E83D728"/>
    <w:rsid w:val="0E9642FF"/>
    <w:rsid w:val="0EC079DD"/>
    <w:rsid w:val="0EC1EA53"/>
    <w:rsid w:val="0EDC40A5"/>
    <w:rsid w:val="0EEDAA30"/>
    <w:rsid w:val="0EF2DCF0"/>
    <w:rsid w:val="0F0478CA"/>
    <w:rsid w:val="0F3D2278"/>
    <w:rsid w:val="0F6880D3"/>
    <w:rsid w:val="0F7D6D70"/>
    <w:rsid w:val="0FCF5D6B"/>
    <w:rsid w:val="0FE1FD25"/>
    <w:rsid w:val="0FEBB160"/>
    <w:rsid w:val="10090DD0"/>
    <w:rsid w:val="105494A1"/>
    <w:rsid w:val="1060137C"/>
    <w:rsid w:val="10A2A1F3"/>
    <w:rsid w:val="10BA5537"/>
    <w:rsid w:val="10C78114"/>
    <w:rsid w:val="10D98959"/>
    <w:rsid w:val="10E00A86"/>
    <w:rsid w:val="10F59EE6"/>
    <w:rsid w:val="1108B395"/>
    <w:rsid w:val="11147AB9"/>
    <w:rsid w:val="111DC18F"/>
    <w:rsid w:val="111E18A6"/>
    <w:rsid w:val="11220D15"/>
    <w:rsid w:val="11250225"/>
    <w:rsid w:val="112BCAA0"/>
    <w:rsid w:val="113817E1"/>
    <w:rsid w:val="115279C6"/>
    <w:rsid w:val="11651CD9"/>
    <w:rsid w:val="116DC81A"/>
    <w:rsid w:val="11790EA4"/>
    <w:rsid w:val="1199A8BD"/>
    <w:rsid w:val="119DBAF4"/>
    <w:rsid w:val="11C593E3"/>
    <w:rsid w:val="11E0F6CB"/>
    <w:rsid w:val="11E1B9E1"/>
    <w:rsid w:val="11F68B25"/>
    <w:rsid w:val="11F7B5F8"/>
    <w:rsid w:val="121587BF"/>
    <w:rsid w:val="1218CAE0"/>
    <w:rsid w:val="12254477"/>
    <w:rsid w:val="123D2BBE"/>
    <w:rsid w:val="124F04A3"/>
    <w:rsid w:val="12576165"/>
    <w:rsid w:val="126875B1"/>
    <w:rsid w:val="127A7A1E"/>
    <w:rsid w:val="129CFA67"/>
    <w:rsid w:val="12A35A7D"/>
    <w:rsid w:val="12A6D590"/>
    <w:rsid w:val="12C2661D"/>
    <w:rsid w:val="12CAAB78"/>
    <w:rsid w:val="12CF604E"/>
    <w:rsid w:val="12F57E7A"/>
    <w:rsid w:val="13039DB3"/>
    <w:rsid w:val="130419EA"/>
    <w:rsid w:val="1304352B"/>
    <w:rsid w:val="1305A184"/>
    <w:rsid w:val="132A6EBE"/>
    <w:rsid w:val="133D7FEE"/>
    <w:rsid w:val="135160A6"/>
    <w:rsid w:val="135D8464"/>
    <w:rsid w:val="1365BE08"/>
    <w:rsid w:val="137DB180"/>
    <w:rsid w:val="137E3FB7"/>
    <w:rsid w:val="1382A9AE"/>
    <w:rsid w:val="1387C91A"/>
    <w:rsid w:val="1389DCF2"/>
    <w:rsid w:val="138DD392"/>
    <w:rsid w:val="139A704A"/>
    <w:rsid w:val="13A2037D"/>
    <w:rsid w:val="13A67DDD"/>
    <w:rsid w:val="13B269B7"/>
    <w:rsid w:val="13CF5B52"/>
    <w:rsid w:val="13E721EE"/>
    <w:rsid w:val="140C31EA"/>
    <w:rsid w:val="14313849"/>
    <w:rsid w:val="14448C21"/>
    <w:rsid w:val="1446EE37"/>
    <w:rsid w:val="144BED97"/>
    <w:rsid w:val="145E35CB"/>
    <w:rsid w:val="146B20FF"/>
    <w:rsid w:val="146E1A77"/>
    <w:rsid w:val="1476DBE0"/>
    <w:rsid w:val="149990A5"/>
    <w:rsid w:val="14B5D3EA"/>
    <w:rsid w:val="14CD03C1"/>
    <w:rsid w:val="14D3A266"/>
    <w:rsid w:val="14EA8C21"/>
    <w:rsid w:val="14F08B06"/>
    <w:rsid w:val="14F26E14"/>
    <w:rsid w:val="153629E1"/>
    <w:rsid w:val="1544EEB3"/>
    <w:rsid w:val="15496405"/>
    <w:rsid w:val="15602292"/>
    <w:rsid w:val="157B3E15"/>
    <w:rsid w:val="157C7BBA"/>
    <w:rsid w:val="15802D83"/>
    <w:rsid w:val="158485E6"/>
    <w:rsid w:val="15850F86"/>
    <w:rsid w:val="15933782"/>
    <w:rsid w:val="159E4F58"/>
    <w:rsid w:val="15B0E158"/>
    <w:rsid w:val="15D82E71"/>
    <w:rsid w:val="162AFFBD"/>
    <w:rsid w:val="162FC51A"/>
    <w:rsid w:val="163308F1"/>
    <w:rsid w:val="1640BD2D"/>
    <w:rsid w:val="1642F92A"/>
    <w:rsid w:val="164CDDF3"/>
    <w:rsid w:val="166F21CB"/>
    <w:rsid w:val="168425E0"/>
    <w:rsid w:val="1690725B"/>
    <w:rsid w:val="16C16DAD"/>
    <w:rsid w:val="16F60D74"/>
    <w:rsid w:val="1705D39F"/>
    <w:rsid w:val="1746308C"/>
    <w:rsid w:val="1746635D"/>
    <w:rsid w:val="1749FB09"/>
    <w:rsid w:val="177E80DE"/>
    <w:rsid w:val="177E8EF9"/>
    <w:rsid w:val="1784D91F"/>
    <w:rsid w:val="17A9B1D4"/>
    <w:rsid w:val="17E24788"/>
    <w:rsid w:val="17F497E9"/>
    <w:rsid w:val="18093DD2"/>
    <w:rsid w:val="1812903B"/>
    <w:rsid w:val="181BD96F"/>
    <w:rsid w:val="182B1B82"/>
    <w:rsid w:val="1831A152"/>
    <w:rsid w:val="184085BF"/>
    <w:rsid w:val="18430EFD"/>
    <w:rsid w:val="1879EF00"/>
    <w:rsid w:val="1887CF7A"/>
    <w:rsid w:val="18B53CB7"/>
    <w:rsid w:val="18C28617"/>
    <w:rsid w:val="18C9A38C"/>
    <w:rsid w:val="18D1CCCD"/>
    <w:rsid w:val="18DBBD29"/>
    <w:rsid w:val="18E14237"/>
    <w:rsid w:val="18EE766A"/>
    <w:rsid w:val="18F70B7D"/>
    <w:rsid w:val="190F7418"/>
    <w:rsid w:val="19413D99"/>
    <w:rsid w:val="1951FD20"/>
    <w:rsid w:val="19BF992E"/>
    <w:rsid w:val="19CCA525"/>
    <w:rsid w:val="19EA36F8"/>
    <w:rsid w:val="19EB54D5"/>
    <w:rsid w:val="1A0B89F1"/>
    <w:rsid w:val="1A456281"/>
    <w:rsid w:val="1A58A391"/>
    <w:rsid w:val="1A69027E"/>
    <w:rsid w:val="1A74B293"/>
    <w:rsid w:val="1A8A46CB"/>
    <w:rsid w:val="1A8FC0F6"/>
    <w:rsid w:val="1A9D9AA0"/>
    <w:rsid w:val="1AA8F27E"/>
    <w:rsid w:val="1AB62FBB"/>
    <w:rsid w:val="1AB6B76A"/>
    <w:rsid w:val="1ABA596A"/>
    <w:rsid w:val="1ACA9822"/>
    <w:rsid w:val="1AFB502D"/>
    <w:rsid w:val="1B18C732"/>
    <w:rsid w:val="1B30F370"/>
    <w:rsid w:val="1B3310A7"/>
    <w:rsid w:val="1B4A9187"/>
    <w:rsid w:val="1B500F1F"/>
    <w:rsid w:val="1B943980"/>
    <w:rsid w:val="1BD5E4F1"/>
    <w:rsid w:val="1BE226F1"/>
    <w:rsid w:val="1BF45352"/>
    <w:rsid w:val="1C0CE4E7"/>
    <w:rsid w:val="1C0D4696"/>
    <w:rsid w:val="1C1F9DD4"/>
    <w:rsid w:val="1C22236D"/>
    <w:rsid w:val="1C2E169F"/>
    <w:rsid w:val="1C36024D"/>
    <w:rsid w:val="1C3D58FE"/>
    <w:rsid w:val="1C475F95"/>
    <w:rsid w:val="1C4FF9C3"/>
    <w:rsid w:val="1C5AD7B3"/>
    <w:rsid w:val="1C5BD617"/>
    <w:rsid w:val="1C602C38"/>
    <w:rsid w:val="1C655042"/>
    <w:rsid w:val="1C76FD2D"/>
    <w:rsid w:val="1CB5B8AB"/>
    <w:rsid w:val="1CC2E488"/>
    <w:rsid w:val="1CEFF26D"/>
    <w:rsid w:val="1CF29E16"/>
    <w:rsid w:val="1D0C6EFE"/>
    <w:rsid w:val="1D1331B1"/>
    <w:rsid w:val="1D22CD5E"/>
    <w:rsid w:val="1D4B5F95"/>
    <w:rsid w:val="1D72170B"/>
    <w:rsid w:val="1D755031"/>
    <w:rsid w:val="1D8FFB12"/>
    <w:rsid w:val="1D93C5B0"/>
    <w:rsid w:val="1D99366B"/>
    <w:rsid w:val="1DAAA8B9"/>
    <w:rsid w:val="1DB048E9"/>
    <w:rsid w:val="1DC761B8"/>
    <w:rsid w:val="1DDE172F"/>
    <w:rsid w:val="1DDF65BD"/>
    <w:rsid w:val="1DDFAD0E"/>
    <w:rsid w:val="1DE56A85"/>
    <w:rsid w:val="1DE8FB57"/>
    <w:rsid w:val="1DF398FB"/>
    <w:rsid w:val="1DF60849"/>
    <w:rsid w:val="1DF7DFC4"/>
    <w:rsid w:val="1E2FF0FF"/>
    <w:rsid w:val="1E3AFF38"/>
    <w:rsid w:val="1E3DE187"/>
    <w:rsid w:val="1E51890C"/>
    <w:rsid w:val="1E5BEBE7"/>
    <w:rsid w:val="1E7422BD"/>
    <w:rsid w:val="1E99C7EC"/>
    <w:rsid w:val="1EB8051D"/>
    <w:rsid w:val="1EC6B140"/>
    <w:rsid w:val="1EC706CA"/>
    <w:rsid w:val="1ECF0563"/>
    <w:rsid w:val="1EE7F6FC"/>
    <w:rsid w:val="1EED1A5B"/>
    <w:rsid w:val="1EF4203F"/>
    <w:rsid w:val="1EFAE455"/>
    <w:rsid w:val="1EFB1726"/>
    <w:rsid w:val="1EFC54CB"/>
    <w:rsid w:val="1F042C26"/>
    <w:rsid w:val="1F0DE76C"/>
    <w:rsid w:val="1F250E40"/>
    <w:rsid w:val="1F2AC0F8"/>
    <w:rsid w:val="1F329601"/>
    <w:rsid w:val="1F3506CC"/>
    <w:rsid w:val="1F3EE342"/>
    <w:rsid w:val="1F414BBA"/>
    <w:rsid w:val="1F488105"/>
    <w:rsid w:val="1F4B61F1"/>
    <w:rsid w:val="1F6D0B97"/>
    <w:rsid w:val="1F778CF0"/>
    <w:rsid w:val="1F8A829C"/>
    <w:rsid w:val="1F8BB9DF"/>
    <w:rsid w:val="1F9FB982"/>
    <w:rsid w:val="1FC4D0F4"/>
    <w:rsid w:val="1FCD68DD"/>
    <w:rsid w:val="20008217"/>
    <w:rsid w:val="208AB124"/>
    <w:rsid w:val="209E2DC0"/>
    <w:rsid w:val="20BBFA56"/>
    <w:rsid w:val="20C83B27"/>
    <w:rsid w:val="20CB01CB"/>
    <w:rsid w:val="20E541F2"/>
    <w:rsid w:val="20F08201"/>
    <w:rsid w:val="20F3071F"/>
    <w:rsid w:val="21027C89"/>
    <w:rsid w:val="21097548"/>
    <w:rsid w:val="21213E29"/>
    <w:rsid w:val="21226284"/>
    <w:rsid w:val="2131CC5B"/>
    <w:rsid w:val="21339D5B"/>
    <w:rsid w:val="2137CB3D"/>
    <w:rsid w:val="2168DF2F"/>
    <w:rsid w:val="216B18F3"/>
    <w:rsid w:val="218929CE"/>
    <w:rsid w:val="2189423E"/>
    <w:rsid w:val="21971231"/>
    <w:rsid w:val="21A16E7C"/>
    <w:rsid w:val="21A250CB"/>
    <w:rsid w:val="21C84593"/>
    <w:rsid w:val="21DFE43E"/>
    <w:rsid w:val="21F89D4F"/>
    <w:rsid w:val="21FE2C07"/>
    <w:rsid w:val="2258F8AC"/>
    <w:rsid w:val="228FB434"/>
    <w:rsid w:val="22948E64"/>
    <w:rsid w:val="229D78BC"/>
    <w:rsid w:val="22B6B649"/>
    <w:rsid w:val="22C1F188"/>
    <w:rsid w:val="2318CBD9"/>
    <w:rsid w:val="233E2D24"/>
    <w:rsid w:val="2354E986"/>
    <w:rsid w:val="236CD6AD"/>
    <w:rsid w:val="238064CC"/>
    <w:rsid w:val="23B58C45"/>
    <w:rsid w:val="23B5C9AB"/>
    <w:rsid w:val="23BB681F"/>
    <w:rsid w:val="23C23392"/>
    <w:rsid w:val="23D0A2F8"/>
    <w:rsid w:val="23FF14E0"/>
    <w:rsid w:val="241F537F"/>
    <w:rsid w:val="241FCE51"/>
    <w:rsid w:val="2431CB1E"/>
    <w:rsid w:val="243A240B"/>
    <w:rsid w:val="243A327B"/>
    <w:rsid w:val="24637F4B"/>
    <w:rsid w:val="2482E5CB"/>
    <w:rsid w:val="2486B14E"/>
    <w:rsid w:val="248CFFAA"/>
    <w:rsid w:val="24A38791"/>
    <w:rsid w:val="24ACB3CC"/>
    <w:rsid w:val="24C02CFC"/>
    <w:rsid w:val="24C36BBE"/>
    <w:rsid w:val="24C59DC5"/>
    <w:rsid w:val="24D52442"/>
    <w:rsid w:val="24D844F5"/>
    <w:rsid w:val="24D90166"/>
    <w:rsid w:val="250B29E7"/>
    <w:rsid w:val="2542B185"/>
    <w:rsid w:val="2551F41B"/>
    <w:rsid w:val="25573880"/>
    <w:rsid w:val="25AEB1A6"/>
    <w:rsid w:val="25D52DFB"/>
    <w:rsid w:val="2615F2E8"/>
    <w:rsid w:val="262BCFD6"/>
    <w:rsid w:val="26315509"/>
    <w:rsid w:val="2632E388"/>
    <w:rsid w:val="2635D8E0"/>
    <w:rsid w:val="2666D68E"/>
    <w:rsid w:val="2675CDE6"/>
    <w:rsid w:val="267DCEC4"/>
    <w:rsid w:val="26A11953"/>
    <w:rsid w:val="26A43A09"/>
    <w:rsid w:val="27091D68"/>
    <w:rsid w:val="27177392"/>
    <w:rsid w:val="272BCAFF"/>
    <w:rsid w:val="272F5691"/>
    <w:rsid w:val="276D99C5"/>
    <w:rsid w:val="27778604"/>
    <w:rsid w:val="2780CDD5"/>
    <w:rsid w:val="27828E30"/>
    <w:rsid w:val="2783AC07"/>
    <w:rsid w:val="27B7FF97"/>
    <w:rsid w:val="27BAB820"/>
    <w:rsid w:val="27BE0A0F"/>
    <w:rsid w:val="27CD4576"/>
    <w:rsid w:val="27EF20F9"/>
    <w:rsid w:val="280DD334"/>
    <w:rsid w:val="2820D2C5"/>
    <w:rsid w:val="28400A6A"/>
    <w:rsid w:val="284E2586"/>
    <w:rsid w:val="2864E269"/>
    <w:rsid w:val="286C0BCA"/>
    <w:rsid w:val="2881B2EA"/>
    <w:rsid w:val="288E6C48"/>
    <w:rsid w:val="28905503"/>
    <w:rsid w:val="28942749"/>
    <w:rsid w:val="28A7EDB9"/>
    <w:rsid w:val="28EFA72F"/>
    <w:rsid w:val="28F29511"/>
    <w:rsid w:val="28F72898"/>
    <w:rsid w:val="2915546E"/>
    <w:rsid w:val="291E4518"/>
    <w:rsid w:val="29568881"/>
    <w:rsid w:val="299A1EED"/>
    <w:rsid w:val="299C737F"/>
    <w:rsid w:val="299DB94D"/>
    <w:rsid w:val="29A9A395"/>
    <w:rsid w:val="29AB251B"/>
    <w:rsid w:val="29BC27A1"/>
    <w:rsid w:val="29CE7CF6"/>
    <w:rsid w:val="29DC2084"/>
    <w:rsid w:val="29F5CC73"/>
    <w:rsid w:val="2A02CC0F"/>
    <w:rsid w:val="2A07E2A6"/>
    <w:rsid w:val="2A148CC9"/>
    <w:rsid w:val="2A208A69"/>
    <w:rsid w:val="2A33D0B1"/>
    <w:rsid w:val="2A3AF633"/>
    <w:rsid w:val="2A45A28E"/>
    <w:rsid w:val="2A45E2AE"/>
    <w:rsid w:val="2A4AD6BF"/>
    <w:rsid w:val="2A4CD995"/>
    <w:rsid w:val="2A74278A"/>
    <w:rsid w:val="2A780E05"/>
    <w:rsid w:val="2A8E52B8"/>
    <w:rsid w:val="2A9540AE"/>
    <w:rsid w:val="2A96ABC6"/>
    <w:rsid w:val="2AA88AA1"/>
    <w:rsid w:val="2AB7D71F"/>
    <w:rsid w:val="2AC42460"/>
    <w:rsid w:val="2AD694A2"/>
    <w:rsid w:val="2B025583"/>
    <w:rsid w:val="2B1F5E1D"/>
    <w:rsid w:val="2B26C1BB"/>
    <w:rsid w:val="2B386CCC"/>
    <w:rsid w:val="2B3B8D40"/>
    <w:rsid w:val="2B5A5695"/>
    <w:rsid w:val="2B6FF7EA"/>
    <w:rsid w:val="2B7E0518"/>
    <w:rsid w:val="2B7EECE4"/>
    <w:rsid w:val="2B899EF2"/>
    <w:rsid w:val="2B92D65C"/>
    <w:rsid w:val="2BCF7086"/>
    <w:rsid w:val="2BE93AF3"/>
    <w:rsid w:val="2BEFC6B8"/>
    <w:rsid w:val="2BFBA56D"/>
    <w:rsid w:val="2C259F9A"/>
    <w:rsid w:val="2C299E5B"/>
    <w:rsid w:val="2C398304"/>
    <w:rsid w:val="2C445B02"/>
    <w:rsid w:val="2C4E1E55"/>
    <w:rsid w:val="2C706CC5"/>
    <w:rsid w:val="2C816F4B"/>
    <w:rsid w:val="2C915D27"/>
    <w:rsid w:val="2CBAE14C"/>
    <w:rsid w:val="2CE8119F"/>
    <w:rsid w:val="2D1FFB9C"/>
    <w:rsid w:val="2D2F7C51"/>
    <w:rsid w:val="2D2FCB15"/>
    <w:rsid w:val="2D31A6AD"/>
    <w:rsid w:val="2D3773A9"/>
    <w:rsid w:val="2D582B2B"/>
    <w:rsid w:val="2D5EA42F"/>
    <w:rsid w:val="2D64F28B"/>
    <w:rsid w:val="2D6CAD40"/>
    <w:rsid w:val="2D71B52A"/>
    <w:rsid w:val="2D9180CE"/>
    <w:rsid w:val="2D9651BE"/>
    <w:rsid w:val="2DA7645C"/>
    <w:rsid w:val="2DAC2774"/>
    <w:rsid w:val="2DB69840"/>
    <w:rsid w:val="2DD061B2"/>
    <w:rsid w:val="2DD7ABC0"/>
    <w:rsid w:val="2DE02B63"/>
    <w:rsid w:val="2DE57308"/>
    <w:rsid w:val="2DEE5E0C"/>
    <w:rsid w:val="2E0637C6"/>
    <w:rsid w:val="2E109344"/>
    <w:rsid w:val="2E2290F1"/>
    <w:rsid w:val="2E2365CF"/>
    <w:rsid w:val="2E24112D"/>
    <w:rsid w:val="2E2D9A0F"/>
    <w:rsid w:val="2E3072C1"/>
    <w:rsid w:val="2E350648"/>
    <w:rsid w:val="2E3B553B"/>
    <w:rsid w:val="2E701773"/>
    <w:rsid w:val="2E7630B9"/>
    <w:rsid w:val="2E94B830"/>
    <w:rsid w:val="2EA9855A"/>
    <w:rsid w:val="2EB50E62"/>
    <w:rsid w:val="2ED06B6E"/>
    <w:rsid w:val="2ED56F2C"/>
    <w:rsid w:val="2ED73CC2"/>
    <w:rsid w:val="2EE57B13"/>
    <w:rsid w:val="2EF2BAD6"/>
    <w:rsid w:val="2EF9D280"/>
    <w:rsid w:val="2F16C41B"/>
    <w:rsid w:val="2F20B05A"/>
    <w:rsid w:val="2F2B3733"/>
    <w:rsid w:val="2F2CD65D"/>
    <w:rsid w:val="2F3C4451"/>
    <w:rsid w:val="2F87DF91"/>
    <w:rsid w:val="2F8B7B13"/>
    <w:rsid w:val="2F923F29"/>
    <w:rsid w:val="2FA32BA4"/>
    <w:rsid w:val="2FAAA7C4"/>
    <w:rsid w:val="2FBFE18E"/>
    <w:rsid w:val="2FD73618"/>
    <w:rsid w:val="2FD7EE56"/>
    <w:rsid w:val="2FD9D260"/>
    <w:rsid w:val="2FF2CF40"/>
    <w:rsid w:val="300770F3"/>
    <w:rsid w:val="3022EFBA"/>
    <w:rsid w:val="302BB55C"/>
    <w:rsid w:val="302EFF92"/>
    <w:rsid w:val="3032A192"/>
    <w:rsid w:val="30374727"/>
    <w:rsid w:val="303D519F"/>
    <w:rsid w:val="308F5F1D"/>
    <w:rsid w:val="309B8C96"/>
    <w:rsid w:val="30A5E814"/>
    <w:rsid w:val="30A7588A"/>
    <w:rsid w:val="30ADD59A"/>
    <w:rsid w:val="30B4C606"/>
    <w:rsid w:val="30D461DD"/>
    <w:rsid w:val="30DEEFF1"/>
    <w:rsid w:val="30E5537D"/>
    <w:rsid w:val="30E89FA1"/>
    <w:rsid w:val="3100A6E6"/>
    <w:rsid w:val="3107EEAA"/>
    <w:rsid w:val="316F03EF"/>
    <w:rsid w:val="317581DC"/>
    <w:rsid w:val="317DC53B"/>
    <w:rsid w:val="3185A7E1"/>
    <w:rsid w:val="318EFBF5"/>
    <w:rsid w:val="3192C950"/>
    <w:rsid w:val="319714D6"/>
    <w:rsid w:val="31B6BD65"/>
    <w:rsid w:val="31BEEC9E"/>
    <w:rsid w:val="31CDCBC6"/>
    <w:rsid w:val="31D557C7"/>
    <w:rsid w:val="31DB7AC8"/>
    <w:rsid w:val="32128FE4"/>
    <w:rsid w:val="323D24EE"/>
    <w:rsid w:val="323FC037"/>
    <w:rsid w:val="3255B9F3"/>
    <w:rsid w:val="325F12D4"/>
    <w:rsid w:val="3270F0B6"/>
    <w:rsid w:val="32713255"/>
    <w:rsid w:val="3279E82E"/>
    <w:rsid w:val="329C4AF1"/>
    <w:rsid w:val="32E46293"/>
    <w:rsid w:val="32F07DFE"/>
    <w:rsid w:val="32FC5C00"/>
    <w:rsid w:val="3307487B"/>
    <w:rsid w:val="330D4760"/>
    <w:rsid w:val="330FAFD8"/>
    <w:rsid w:val="331E83E5"/>
    <w:rsid w:val="3327D8D6"/>
    <w:rsid w:val="3333796F"/>
    <w:rsid w:val="3389FEC9"/>
    <w:rsid w:val="339A9043"/>
    <w:rsid w:val="33AEF145"/>
    <w:rsid w:val="33B41901"/>
    <w:rsid w:val="33BD5CB5"/>
    <w:rsid w:val="33BF248F"/>
    <w:rsid w:val="33D2C8B1"/>
    <w:rsid w:val="33F03423"/>
    <w:rsid w:val="33F28670"/>
    <w:rsid w:val="3419971B"/>
    <w:rsid w:val="34370E20"/>
    <w:rsid w:val="3440178D"/>
    <w:rsid w:val="345739D4"/>
    <w:rsid w:val="345FFE6D"/>
    <w:rsid w:val="3461164A"/>
    <w:rsid w:val="3474231C"/>
    <w:rsid w:val="3486CC9A"/>
    <w:rsid w:val="349FC357"/>
    <w:rsid w:val="34A0EDCD"/>
    <w:rsid w:val="34B0F9B4"/>
    <w:rsid w:val="34D216EF"/>
    <w:rsid w:val="34D6DF8C"/>
    <w:rsid w:val="34EB36F9"/>
    <w:rsid w:val="34EFD0FB"/>
    <w:rsid w:val="34F3D950"/>
    <w:rsid w:val="34FB4B33"/>
    <w:rsid w:val="35146182"/>
    <w:rsid w:val="3533CFE8"/>
    <w:rsid w:val="3544FF2C"/>
    <w:rsid w:val="356EF560"/>
    <w:rsid w:val="358C5E93"/>
    <w:rsid w:val="3599F350"/>
    <w:rsid w:val="359DD6D3"/>
    <w:rsid w:val="35B463E7"/>
    <w:rsid w:val="35BB2330"/>
    <w:rsid w:val="35D9E1D8"/>
    <w:rsid w:val="35F084ED"/>
    <w:rsid w:val="35F30A35"/>
    <w:rsid w:val="36037270"/>
    <w:rsid w:val="36057084"/>
    <w:rsid w:val="36115443"/>
    <w:rsid w:val="364EE0A7"/>
    <w:rsid w:val="366EEDCF"/>
    <w:rsid w:val="367FB14C"/>
    <w:rsid w:val="36A771A6"/>
    <w:rsid w:val="36B7CE1A"/>
    <w:rsid w:val="36C5D7DE"/>
    <w:rsid w:val="36C9397D"/>
    <w:rsid w:val="36D1F911"/>
    <w:rsid w:val="36DA2E98"/>
    <w:rsid w:val="36E30E82"/>
    <w:rsid w:val="36FA3949"/>
    <w:rsid w:val="371A6830"/>
    <w:rsid w:val="371CCC78"/>
    <w:rsid w:val="37383896"/>
    <w:rsid w:val="373BECA4"/>
    <w:rsid w:val="3744A378"/>
    <w:rsid w:val="3747CD9E"/>
    <w:rsid w:val="37663577"/>
    <w:rsid w:val="376F29B4"/>
    <w:rsid w:val="3783FAF8"/>
    <w:rsid w:val="379EE4A5"/>
    <w:rsid w:val="37A4AB39"/>
    <w:rsid w:val="37A6E0E0"/>
    <w:rsid w:val="37AD5DF0"/>
    <w:rsid w:val="37BB384D"/>
    <w:rsid w:val="37E21627"/>
    <w:rsid w:val="37ECEE4F"/>
    <w:rsid w:val="37ED5CB1"/>
    <w:rsid w:val="37FDAA1E"/>
    <w:rsid w:val="3807E9F1"/>
    <w:rsid w:val="38175088"/>
    <w:rsid w:val="38426E3C"/>
    <w:rsid w:val="38559474"/>
    <w:rsid w:val="3861A83F"/>
    <w:rsid w:val="38826268"/>
    <w:rsid w:val="3882D29F"/>
    <w:rsid w:val="389E4C4E"/>
    <w:rsid w:val="38AE9699"/>
    <w:rsid w:val="38E073D9"/>
    <w:rsid w:val="38EA01D6"/>
    <w:rsid w:val="38F0655F"/>
    <w:rsid w:val="38F6FCB7"/>
    <w:rsid w:val="3902F75F"/>
    <w:rsid w:val="3935A885"/>
    <w:rsid w:val="39398B2E"/>
    <w:rsid w:val="39831C1F"/>
    <w:rsid w:val="3988BEB0"/>
    <w:rsid w:val="399EF3FA"/>
    <w:rsid w:val="39C137D2"/>
    <w:rsid w:val="39E64F44"/>
    <w:rsid w:val="39EE6825"/>
    <w:rsid w:val="3A00DA3F"/>
    <w:rsid w:val="3A090826"/>
    <w:rsid w:val="3A3069BC"/>
    <w:rsid w:val="3A457547"/>
    <w:rsid w:val="3A57E9A6"/>
    <w:rsid w:val="3A6BD213"/>
    <w:rsid w:val="3A7AE138"/>
    <w:rsid w:val="3A8F3193"/>
    <w:rsid w:val="3AA0501C"/>
    <w:rsid w:val="3AB671B6"/>
    <w:rsid w:val="3ABF3891"/>
    <w:rsid w:val="3AC3C23E"/>
    <w:rsid w:val="3ACFAB26"/>
    <w:rsid w:val="3AD42882"/>
    <w:rsid w:val="3AE6E4E5"/>
    <w:rsid w:val="3AED5F94"/>
    <w:rsid w:val="3B041A61"/>
    <w:rsid w:val="3B2251CA"/>
    <w:rsid w:val="3B2884A5"/>
    <w:rsid w:val="3B297EEF"/>
    <w:rsid w:val="3B2F6954"/>
    <w:rsid w:val="3B415873"/>
    <w:rsid w:val="3B42953B"/>
    <w:rsid w:val="3B43E74C"/>
    <w:rsid w:val="3B7284D9"/>
    <w:rsid w:val="3B8AAE40"/>
    <w:rsid w:val="3B9170F3"/>
    <w:rsid w:val="3BA5CA5D"/>
    <w:rsid w:val="3BB1FAA9"/>
    <w:rsid w:val="3BBBBC40"/>
    <w:rsid w:val="3BC44B16"/>
    <w:rsid w:val="3BE9F509"/>
    <w:rsid w:val="3C01BBA5"/>
    <w:rsid w:val="3C09FF71"/>
    <w:rsid w:val="3C6BAFCA"/>
    <w:rsid w:val="3C7159A9"/>
    <w:rsid w:val="3C82B546"/>
    <w:rsid w:val="3C8B120B"/>
    <w:rsid w:val="3C93C8DC"/>
    <w:rsid w:val="3CA93293"/>
    <w:rsid w:val="3CC05F72"/>
    <w:rsid w:val="3CC7DD23"/>
    <w:rsid w:val="3CCCC6D1"/>
    <w:rsid w:val="3CD5FD44"/>
    <w:rsid w:val="3CDD28D4"/>
    <w:rsid w:val="3CE8A474"/>
    <w:rsid w:val="3D1340F4"/>
    <w:rsid w:val="3D1CCBAE"/>
    <w:rsid w:val="3D1EF23E"/>
    <w:rsid w:val="3D1F52A4"/>
    <w:rsid w:val="3D1F8E35"/>
    <w:rsid w:val="3D3C8EE7"/>
    <w:rsid w:val="3D3CE64F"/>
    <w:rsid w:val="3D558DE9"/>
    <w:rsid w:val="3D63F769"/>
    <w:rsid w:val="3D6A358D"/>
    <w:rsid w:val="3D76D245"/>
    <w:rsid w:val="3D79BC0A"/>
    <w:rsid w:val="3D7F9F44"/>
    <w:rsid w:val="3D82D10A"/>
    <w:rsid w:val="3D937C32"/>
    <w:rsid w:val="3D984559"/>
    <w:rsid w:val="3DA2852C"/>
    <w:rsid w:val="3DAE4170"/>
    <w:rsid w:val="3DB8C2C9"/>
    <w:rsid w:val="3DBD9D9C"/>
    <w:rsid w:val="3DD0C87C"/>
    <w:rsid w:val="3DE3E4B3"/>
    <w:rsid w:val="3DE98347"/>
    <w:rsid w:val="3DEC0EA7"/>
    <w:rsid w:val="3DED0AC6"/>
    <w:rsid w:val="3DF8E8C8"/>
    <w:rsid w:val="3DFA4ED2"/>
    <w:rsid w:val="3E08CD71"/>
    <w:rsid w:val="3E2A90AF"/>
    <w:rsid w:val="3E38C04B"/>
    <w:rsid w:val="3E75C9B4"/>
    <w:rsid w:val="3E830977"/>
    <w:rsid w:val="3EBB2305"/>
    <w:rsid w:val="3EF7338F"/>
    <w:rsid w:val="3F17A0FC"/>
    <w:rsid w:val="3F2B27F8"/>
    <w:rsid w:val="3F4700D1"/>
    <w:rsid w:val="3F4C3665"/>
    <w:rsid w:val="3FA6F872"/>
    <w:rsid w:val="3FB9626A"/>
    <w:rsid w:val="3FC5E58B"/>
    <w:rsid w:val="3FD9AB92"/>
    <w:rsid w:val="3FE3DB55"/>
    <w:rsid w:val="40131106"/>
    <w:rsid w:val="402C87DF"/>
    <w:rsid w:val="4056F366"/>
    <w:rsid w:val="405E8505"/>
    <w:rsid w:val="4071B19F"/>
    <w:rsid w:val="407201C9"/>
    <w:rsid w:val="40760506"/>
    <w:rsid w:val="407AF4E1"/>
    <w:rsid w:val="408B8287"/>
    <w:rsid w:val="40AE253E"/>
    <w:rsid w:val="40DB6BF2"/>
    <w:rsid w:val="4101D986"/>
    <w:rsid w:val="411412C1"/>
    <w:rsid w:val="411FE3B0"/>
    <w:rsid w:val="41431C67"/>
    <w:rsid w:val="41640627"/>
    <w:rsid w:val="4176C07C"/>
    <w:rsid w:val="41814E1B"/>
    <w:rsid w:val="418E8718"/>
    <w:rsid w:val="41BBB76B"/>
    <w:rsid w:val="41BDB4C1"/>
    <w:rsid w:val="41FF376C"/>
    <w:rsid w:val="4211D567"/>
    <w:rsid w:val="421809D4"/>
    <w:rsid w:val="4238048C"/>
    <w:rsid w:val="423FDDBC"/>
    <w:rsid w:val="427300F7"/>
    <w:rsid w:val="4286C19F"/>
    <w:rsid w:val="428837DD"/>
    <w:rsid w:val="4298FCE9"/>
    <w:rsid w:val="42B864E0"/>
    <w:rsid w:val="42BA5C41"/>
    <w:rsid w:val="42D0F3ED"/>
    <w:rsid w:val="42F1CF89"/>
    <w:rsid w:val="433A7B39"/>
    <w:rsid w:val="43AD54EB"/>
    <w:rsid w:val="43B4D654"/>
    <w:rsid w:val="43BFE72E"/>
    <w:rsid w:val="4403821D"/>
    <w:rsid w:val="4422B3BE"/>
    <w:rsid w:val="44260C0F"/>
    <w:rsid w:val="4434DE6E"/>
    <w:rsid w:val="443757F9"/>
    <w:rsid w:val="4441443B"/>
    <w:rsid w:val="4452D6C0"/>
    <w:rsid w:val="44736076"/>
    <w:rsid w:val="4480FF15"/>
    <w:rsid w:val="448B4305"/>
    <w:rsid w:val="4491CECA"/>
    <w:rsid w:val="449570CA"/>
    <w:rsid w:val="44D050D2"/>
    <w:rsid w:val="44D6C5B9"/>
    <w:rsid w:val="44DB5845"/>
    <w:rsid w:val="4503906A"/>
    <w:rsid w:val="4504FCC3"/>
    <w:rsid w:val="4536D82E"/>
    <w:rsid w:val="4547F834"/>
    <w:rsid w:val="454A8612"/>
    <w:rsid w:val="45D8FDDA"/>
    <w:rsid w:val="45F6EEB6"/>
    <w:rsid w:val="4606FA9D"/>
    <w:rsid w:val="460ACC2E"/>
    <w:rsid w:val="46112EDD"/>
    <w:rsid w:val="4614078F"/>
    <w:rsid w:val="46410511"/>
    <w:rsid w:val="466165DB"/>
    <w:rsid w:val="467DB46B"/>
    <w:rsid w:val="469705DE"/>
    <w:rsid w:val="46C79F6B"/>
    <w:rsid w:val="46C9FD96"/>
    <w:rsid w:val="46EADBA0"/>
    <w:rsid w:val="46F5AE2B"/>
    <w:rsid w:val="4713DE57"/>
    <w:rsid w:val="4740568F"/>
    <w:rsid w:val="476488C0"/>
    <w:rsid w:val="4764D00E"/>
    <w:rsid w:val="479B0CF0"/>
    <w:rsid w:val="47AC865D"/>
    <w:rsid w:val="47B25DEB"/>
    <w:rsid w:val="47BC3B5C"/>
    <w:rsid w:val="47CD9D71"/>
    <w:rsid w:val="47E3AFB3"/>
    <w:rsid w:val="47E5640D"/>
    <w:rsid w:val="47E77E09"/>
    <w:rsid w:val="47FFE34B"/>
    <w:rsid w:val="48032AFE"/>
    <w:rsid w:val="4827C901"/>
    <w:rsid w:val="483A2A75"/>
    <w:rsid w:val="48497E21"/>
    <w:rsid w:val="484F2E8A"/>
    <w:rsid w:val="4850B691"/>
    <w:rsid w:val="4869ADF2"/>
    <w:rsid w:val="48741748"/>
    <w:rsid w:val="487AAEA0"/>
    <w:rsid w:val="48A608DB"/>
    <w:rsid w:val="4900C7AD"/>
    <w:rsid w:val="4914B55E"/>
    <w:rsid w:val="491FB801"/>
    <w:rsid w:val="49274402"/>
    <w:rsid w:val="493F49B5"/>
    <w:rsid w:val="494652D4"/>
    <w:rsid w:val="49615A09"/>
    <w:rsid w:val="49693217"/>
    <w:rsid w:val="497535A9"/>
    <w:rsid w:val="49BCA71E"/>
    <w:rsid w:val="49E77316"/>
    <w:rsid w:val="49ED2015"/>
    <w:rsid w:val="49F32F5A"/>
    <w:rsid w:val="49FC2A9F"/>
    <w:rsid w:val="4A18E40F"/>
    <w:rsid w:val="4A413B49"/>
    <w:rsid w:val="4A416BD5"/>
    <w:rsid w:val="4A5CAC0E"/>
    <w:rsid w:val="4A664E38"/>
    <w:rsid w:val="4A7AE1C9"/>
    <w:rsid w:val="4AB854D4"/>
    <w:rsid w:val="4AC5685E"/>
    <w:rsid w:val="4AE22335"/>
    <w:rsid w:val="4AE9FEAD"/>
    <w:rsid w:val="4B050278"/>
    <w:rsid w:val="4B1C6D57"/>
    <w:rsid w:val="4B4611D5"/>
    <w:rsid w:val="4B4CC22C"/>
    <w:rsid w:val="4B5D5E47"/>
    <w:rsid w:val="4B644BC6"/>
    <w:rsid w:val="4B889E07"/>
    <w:rsid w:val="4B9374E0"/>
    <w:rsid w:val="4BB33556"/>
    <w:rsid w:val="4BB9B0D6"/>
    <w:rsid w:val="4BBE21D1"/>
    <w:rsid w:val="4BCD063E"/>
    <w:rsid w:val="4BE0824F"/>
    <w:rsid w:val="4BEBC25E"/>
    <w:rsid w:val="4C00BC8E"/>
    <w:rsid w:val="4C27B01A"/>
    <w:rsid w:val="4C481062"/>
    <w:rsid w:val="4C4C5620"/>
    <w:rsid w:val="4C4E6486"/>
    <w:rsid w:val="4C4FCA64"/>
    <w:rsid w:val="4C6138BF"/>
    <w:rsid w:val="4C6C2B02"/>
    <w:rsid w:val="4C7652FF"/>
    <w:rsid w:val="4C7C9515"/>
    <w:rsid w:val="4C8F6AF9"/>
    <w:rsid w:val="4CA0D2D9"/>
    <w:rsid w:val="4CAE2B04"/>
    <w:rsid w:val="4CB47B21"/>
    <w:rsid w:val="4CC0B723"/>
    <w:rsid w:val="4CC4D91B"/>
    <w:rsid w:val="4CC8D682"/>
    <w:rsid w:val="4CF6443B"/>
    <w:rsid w:val="4D0B987A"/>
    <w:rsid w:val="4D0F2157"/>
    <w:rsid w:val="4D1D75EE"/>
    <w:rsid w:val="4D246E68"/>
    <w:rsid w:val="4D28E371"/>
    <w:rsid w:val="4D375C74"/>
    <w:rsid w:val="4D3D84B7"/>
    <w:rsid w:val="4D42F5DF"/>
    <w:rsid w:val="4D91B69F"/>
    <w:rsid w:val="4D97F8B5"/>
    <w:rsid w:val="4DAC2B6E"/>
    <w:rsid w:val="4DB7310A"/>
    <w:rsid w:val="4DC4F637"/>
    <w:rsid w:val="4DE756B5"/>
    <w:rsid w:val="4E163A67"/>
    <w:rsid w:val="4E28EE21"/>
    <w:rsid w:val="4E631349"/>
    <w:rsid w:val="4E732AC3"/>
    <w:rsid w:val="4EB22948"/>
    <w:rsid w:val="4EE4EC63"/>
    <w:rsid w:val="4EF24CD1"/>
    <w:rsid w:val="4EF69774"/>
    <w:rsid w:val="4F21868D"/>
    <w:rsid w:val="4F2F358F"/>
    <w:rsid w:val="4F3119F9"/>
    <w:rsid w:val="4F76C7C7"/>
    <w:rsid w:val="4F808135"/>
    <w:rsid w:val="4F8B990B"/>
    <w:rsid w:val="4F97B1F6"/>
    <w:rsid w:val="4F9ECD1B"/>
    <w:rsid w:val="4FA8B1E4"/>
    <w:rsid w:val="4FD679FD"/>
    <w:rsid w:val="4FE82B3B"/>
    <w:rsid w:val="4FED693A"/>
    <w:rsid w:val="4FF8E716"/>
    <w:rsid w:val="501AF5CC"/>
    <w:rsid w:val="501D419E"/>
    <w:rsid w:val="5025F7A3"/>
    <w:rsid w:val="503059BB"/>
    <w:rsid w:val="5053A91A"/>
    <w:rsid w:val="505B848F"/>
    <w:rsid w:val="506E85CE"/>
    <w:rsid w:val="507211A3"/>
    <w:rsid w:val="5074432D"/>
    <w:rsid w:val="5091F896"/>
    <w:rsid w:val="50B0E8EA"/>
    <w:rsid w:val="50E0890D"/>
    <w:rsid w:val="5173D201"/>
    <w:rsid w:val="518F6D84"/>
    <w:rsid w:val="519C59B0"/>
    <w:rsid w:val="51B4531D"/>
    <w:rsid w:val="51CFE714"/>
    <w:rsid w:val="51DF099D"/>
    <w:rsid w:val="51E21BC5"/>
    <w:rsid w:val="51E70108"/>
    <w:rsid w:val="5212811E"/>
    <w:rsid w:val="52222351"/>
    <w:rsid w:val="5223F5F4"/>
    <w:rsid w:val="52269BD5"/>
    <w:rsid w:val="5237911A"/>
    <w:rsid w:val="524C4299"/>
    <w:rsid w:val="5278E609"/>
    <w:rsid w:val="52CB8215"/>
    <w:rsid w:val="52D0F462"/>
    <w:rsid w:val="52DFBB2E"/>
    <w:rsid w:val="52E223A6"/>
    <w:rsid w:val="52E72AA2"/>
    <w:rsid w:val="52F2625E"/>
    <w:rsid w:val="52F6045E"/>
    <w:rsid w:val="52FC816E"/>
    <w:rsid w:val="52FDF1E4"/>
    <w:rsid w:val="53056A18"/>
    <w:rsid w:val="5310081A"/>
    <w:rsid w:val="532C9C63"/>
    <w:rsid w:val="533B9940"/>
    <w:rsid w:val="535C5FAC"/>
    <w:rsid w:val="535E3727"/>
    <w:rsid w:val="536F5FF3"/>
    <w:rsid w:val="5370A0EE"/>
    <w:rsid w:val="537505C1"/>
    <w:rsid w:val="53895D2E"/>
    <w:rsid w:val="538F67A6"/>
    <w:rsid w:val="53DA8666"/>
    <w:rsid w:val="541167FE"/>
    <w:rsid w:val="5425BF6B"/>
    <w:rsid w:val="54427E35"/>
    <w:rsid w:val="54528A1C"/>
    <w:rsid w:val="5452BCED"/>
    <w:rsid w:val="5457824A"/>
    <w:rsid w:val="545CF12D"/>
    <w:rsid w:val="54721C6F"/>
    <w:rsid w:val="547F5288"/>
    <w:rsid w:val="54847FCC"/>
    <w:rsid w:val="5485C0CA"/>
    <w:rsid w:val="548CC761"/>
    <w:rsid w:val="549B5DA6"/>
    <w:rsid w:val="549FE868"/>
    <w:rsid w:val="54CC3942"/>
    <w:rsid w:val="54CF4C2F"/>
    <w:rsid w:val="54D56103"/>
    <w:rsid w:val="54DDE453"/>
    <w:rsid w:val="54E92ADD"/>
    <w:rsid w:val="5500F179"/>
    <w:rsid w:val="5508D36C"/>
    <w:rsid w:val="552D90CF"/>
    <w:rsid w:val="553D6134"/>
    <w:rsid w:val="55976567"/>
    <w:rsid w:val="559C5797"/>
    <w:rsid w:val="55C19356"/>
    <w:rsid w:val="55C19647"/>
    <w:rsid w:val="55FEF0FF"/>
    <w:rsid w:val="5600F485"/>
    <w:rsid w:val="5607FDAC"/>
    <w:rsid w:val="560C3D9F"/>
    <w:rsid w:val="562D0DA8"/>
    <w:rsid w:val="56498471"/>
    <w:rsid w:val="565A8D72"/>
    <w:rsid w:val="56738979"/>
    <w:rsid w:val="569BD053"/>
    <w:rsid w:val="56A01AE1"/>
    <w:rsid w:val="56AE7783"/>
    <w:rsid w:val="56BED2E4"/>
    <w:rsid w:val="56BF70D4"/>
    <w:rsid w:val="57043F8A"/>
    <w:rsid w:val="5734C361"/>
    <w:rsid w:val="57892427"/>
    <w:rsid w:val="579DF56B"/>
    <w:rsid w:val="57B32C51"/>
    <w:rsid w:val="57BE4B9D"/>
    <w:rsid w:val="57CFF6AE"/>
    <w:rsid w:val="57D72483"/>
    <w:rsid w:val="58037560"/>
    <w:rsid w:val="581B3BF9"/>
    <w:rsid w:val="581FA32A"/>
    <w:rsid w:val="5829C82F"/>
    <w:rsid w:val="5841E702"/>
    <w:rsid w:val="5848686E"/>
    <w:rsid w:val="586CDC0C"/>
    <w:rsid w:val="587A0F1B"/>
    <w:rsid w:val="588243EF"/>
    <w:rsid w:val="588481E9"/>
    <w:rsid w:val="58A2A4B9"/>
    <w:rsid w:val="58B0E308"/>
    <w:rsid w:val="58D0E23E"/>
    <w:rsid w:val="58DCC5C3"/>
    <w:rsid w:val="58EFECDA"/>
    <w:rsid w:val="58FB8D73"/>
    <w:rsid w:val="58FC6CEC"/>
    <w:rsid w:val="590679EE"/>
    <w:rsid w:val="590FF957"/>
    <w:rsid w:val="5950690B"/>
    <w:rsid w:val="597B63B7"/>
    <w:rsid w:val="59A9AD82"/>
    <w:rsid w:val="59AF5820"/>
    <w:rsid w:val="59B9A4FB"/>
    <w:rsid w:val="5A0EDC4F"/>
    <w:rsid w:val="5A2358B5"/>
    <w:rsid w:val="5A2BF528"/>
    <w:rsid w:val="5A43EE95"/>
    <w:rsid w:val="5A8FFAE9"/>
    <w:rsid w:val="5AA9D233"/>
    <w:rsid w:val="5AAFE4D4"/>
    <w:rsid w:val="5AC20909"/>
    <w:rsid w:val="5AD286D8"/>
    <w:rsid w:val="5B0682E1"/>
    <w:rsid w:val="5B0F4D0D"/>
    <w:rsid w:val="5B1FA926"/>
    <w:rsid w:val="5B21EDC5"/>
    <w:rsid w:val="5B4FC025"/>
    <w:rsid w:val="5B7BAB5D"/>
    <w:rsid w:val="5B807C4D"/>
    <w:rsid w:val="5B8F817D"/>
    <w:rsid w:val="5B969A22"/>
    <w:rsid w:val="5B9A6020"/>
    <w:rsid w:val="5BB06F27"/>
    <w:rsid w:val="5BB1AFDD"/>
    <w:rsid w:val="5BBC22AB"/>
    <w:rsid w:val="5BD086F5"/>
    <w:rsid w:val="5BDABD0D"/>
    <w:rsid w:val="5BE434FC"/>
    <w:rsid w:val="5BF06255"/>
    <w:rsid w:val="5C00ACA0"/>
    <w:rsid w:val="5C18D7E6"/>
    <w:rsid w:val="5C47EA49"/>
    <w:rsid w:val="5C550D66"/>
    <w:rsid w:val="5C6B23C5"/>
    <w:rsid w:val="5C723B6F"/>
    <w:rsid w:val="5C7DCAF5"/>
    <w:rsid w:val="5C929C39"/>
    <w:rsid w:val="5CBA27B6"/>
    <w:rsid w:val="5D1BDD6F"/>
    <w:rsid w:val="5D22D456"/>
    <w:rsid w:val="5D38654B"/>
    <w:rsid w:val="5D4C7CF1"/>
    <w:rsid w:val="5D5B1862"/>
    <w:rsid w:val="5D694E7C"/>
    <w:rsid w:val="5D70E045"/>
    <w:rsid w:val="5D827FC3"/>
    <w:rsid w:val="5DB79AF4"/>
    <w:rsid w:val="5DBA69C0"/>
    <w:rsid w:val="5DC6AE41"/>
    <w:rsid w:val="5DC776B2"/>
    <w:rsid w:val="5DD21BDF"/>
    <w:rsid w:val="5DD2BDED"/>
    <w:rsid w:val="5DD72A38"/>
    <w:rsid w:val="5DD75B5B"/>
    <w:rsid w:val="5DE1479A"/>
    <w:rsid w:val="5DE2853F"/>
    <w:rsid w:val="5DFBD4DA"/>
    <w:rsid w:val="5E2E4317"/>
    <w:rsid w:val="5E39BA9A"/>
    <w:rsid w:val="5E4C1253"/>
    <w:rsid w:val="5E58EC74"/>
    <w:rsid w:val="5E6AC95B"/>
    <w:rsid w:val="5E767C02"/>
    <w:rsid w:val="5E8F9BBB"/>
    <w:rsid w:val="5EC2635D"/>
    <w:rsid w:val="5EC80833"/>
    <w:rsid w:val="5ECCB860"/>
    <w:rsid w:val="5ED27BB4"/>
    <w:rsid w:val="5ED9A231"/>
    <w:rsid w:val="5EE386FA"/>
    <w:rsid w:val="5EF82DDE"/>
    <w:rsid w:val="5F0E4AB8"/>
    <w:rsid w:val="5F162CAE"/>
    <w:rsid w:val="5F239953"/>
    <w:rsid w:val="5F287DE9"/>
    <w:rsid w:val="5F2F2654"/>
    <w:rsid w:val="5F34EF46"/>
    <w:rsid w:val="5F3B2519"/>
    <w:rsid w:val="5F6DC29C"/>
    <w:rsid w:val="5FFCED44"/>
    <w:rsid w:val="6004304A"/>
    <w:rsid w:val="604D2ABD"/>
    <w:rsid w:val="6052E6B9"/>
    <w:rsid w:val="6057AC16"/>
    <w:rsid w:val="607454B8"/>
    <w:rsid w:val="609333E0"/>
    <w:rsid w:val="609C1208"/>
    <w:rsid w:val="60AD6DA5"/>
    <w:rsid w:val="60BE55E0"/>
    <w:rsid w:val="60E45C7B"/>
    <w:rsid w:val="60EAA9DF"/>
    <w:rsid w:val="60EE021F"/>
    <w:rsid w:val="60F92CE8"/>
    <w:rsid w:val="6117A90C"/>
    <w:rsid w:val="6142E6E4"/>
    <w:rsid w:val="616A12DD"/>
    <w:rsid w:val="618AD652"/>
    <w:rsid w:val="61912F49"/>
    <w:rsid w:val="619500AA"/>
    <w:rsid w:val="619DF33C"/>
    <w:rsid w:val="619F7C3B"/>
    <w:rsid w:val="61A416B4"/>
    <w:rsid w:val="61BCF340"/>
    <w:rsid w:val="61C19DA5"/>
    <w:rsid w:val="61CCD7E9"/>
    <w:rsid w:val="61E9F0C2"/>
    <w:rsid w:val="6203C1AA"/>
    <w:rsid w:val="620CA587"/>
    <w:rsid w:val="621B7D8F"/>
    <w:rsid w:val="622538AA"/>
    <w:rsid w:val="622F5F26"/>
    <w:rsid w:val="6249FE91"/>
    <w:rsid w:val="626212CC"/>
    <w:rsid w:val="627D3DFF"/>
    <w:rsid w:val="62935FF1"/>
    <w:rsid w:val="6298B231"/>
    <w:rsid w:val="62AD30D9"/>
    <w:rsid w:val="62B186F7"/>
    <w:rsid w:val="62C05D73"/>
    <w:rsid w:val="62C9EBFC"/>
    <w:rsid w:val="62E1AFC4"/>
    <w:rsid w:val="62E2A14B"/>
    <w:rsid w:val="62ED5AF5"/>
    <w:rsid w:val="632E0CC8"/>
    <w:rsid w:val="6335F3E4"/>
    <w:rsid w:val="636FDF6D"/>
    <w:rsid w:val="63954CB8"/>
    <w:rsid w:val="6396CA24"/>
    <w:rsid w:val="63994FF5"/>
    <w:rsid w:val="63A72728"/>
    <w:rsid w:val="63BE7569"/>
    <w:rsid w:val="63DD65BD"/>
    <w:rsid w:val="6409EA45"/>
    <w:rsid w:val="6412C12F"/>
    <w:rsid w:val="641FF851"/>
    <w:rsid w:val="64303709"/>
    <w:rsid w:val="6436226C"/>
    <w:rsid w:val="6442A923"/>
    <w:rsid w:val="6461AFA2"/>
    <w:rsid w:val="646F213B"/>
    <w:rsid w:val="647946B0"/>
    <w:rsid w:val="64860FBB"/>
    <w:rsid w:val="64B3D26E"/>
    <w:rsid w:val="64BB5E6F"/>
    <w:rsid w:val="64C731D9"/>
    <w:rsid w:val="64CB010C"/>
    <w:rsid w:val="64CF9936"/>
    <w:rsid w:val="64D04625"/>
    <w:rsid w:val="64D41D0D"/>
    <w:rsid w:val="64FE79C6"/>
    <w:rsid w:val="652D2C55"/>
    <w:rsid w:val="65304838"/>
    <w:rsid w:val="653D8D7B"/>
    <w:rsid w:val="65540206"/>
    <w:rsid w:val="6583F4E0"/>
    <w:rsid w:val="65B26FCE"/>
    <w:rsid w:val="65F766BD"/>
    <w:rsid w:val="6626CCB7"/>
    <w:rsid w:val="66281B58"/>
    <w:rsid w:val="66393439"/>
    <w:rsid w:val="6652A6DC"/>
    <w:rsid w:val="665883B8"/>
    <w:rsid w:val="6673476D"/>
    <w:rsid w:val="66777333"/>
    <w:rsid w:val="668CB150"/>
    <w:rsid w:val="66A4BB2E"/>
    <w:rsid w:val="66AAB0D0"/>
    <w:rsid w:val="66B5DA01"/>
    <w:rsid w:val="66BFF19B"/>
    <w:rsid w:val="66CE28BB"/>
    <w:rsid w:val="66ED54BF"/>
    <w:rsid w:val="66FAB819"/>
    <w:rsid w:val="6717645F"/>
    <w:rsid w:val="6738737F"/>
    <w:rsid w:val="674369DF"/>
    <w:rsid w:val="675FF5D8"/>
    <w:rsid w:val="676CCF85"/>
    <w:rsid w:val="676DDBE1"/>
    <w:rsid w:val="67896E00"/>
    <w:rsid w:val="67AA3F69"/>
    <w:rsid w:val="67B94434"/>
    <w:rsid w:val="67BBFD00"/>
    <w:rsid w:val="67F08C21"/>
    <w:rsid w:val="680AD88E"/>
    <w:rsid w:val="681ACE92"/>
    <w:rsid w:val="682266D9"/>
    <w:rsid w:val="6828DBC0"/>
    <w:rsid w:val="682A592F"/>
    <w:rsid w:val="6832DC23"/>
    <w:rsid w:val="685712CA"/>
    <w:rsid w:val="68870B24"/>
    <w:rsid w:val="688A5EA8"/>
    <w:rsid w:val="689C9C19"/>
    <w:rsid w:val="689CCEEA"/>
    <w:rsid w:val="68A6E684"/>
    <w:rsid w:val="68AF3236"/>
    <w:rsid w:val="68B78EFB"/>
    <w:rsid w:val="68BCAE67"/>
    <w:rsid w:val="68D443E0"/>
    <w:rsid w:val="68EAF104"/>
    <w:rsid w:val="68EBE190"/>
    <w:rsid w:val="6906060C"/>
    <w:rsid w:val="69060C87"/>
    <w:rsid w:val="690BEFC1"/>
    <w:rsid w:val="6925D10C"/>
    <w:rsid w:val="69291DCA"/>
    <w:rsid w:val="69310733"/>
    <w:rsid w:val="6935F7EB"/>
    <w:rsid w:val="694CB7D3"/>
    <w:rsid w:val="6967C240"/>
    <w:rsid w:val="697B21AB"/>
    <w:rsid w:val="69A7EC5C"/>
    <w:rsid w:val="69B0D1E7"/>
    <w:rsid w:val="69B37BE2"/>
    <w:rsid w:val="69C76DAD"/>
    <w:rsid w:val="6A0056B3"/>
    <w:rsid w:val="6A249353"/>
    <w:rsid w:val="6A266855"/>
    <w:rsid w:val="6A28600D"/>
    <w:rsid w:val="6A31AEDF"/>
    <w:rsid w:val="6A357C3A"/>
    <w:rsid w:val="6A56285E"/>
    <w:rsid w:val="6A5C7AD7"/>
    <w:rsid w:val="6A664072"/>
    <w:rsid w:val="6A66AF17"/>
    <w:rsid w:val="6AA2AB4E"/>
    <w:rsid w:val="6AB5A0FA"/>
    <w:rsid w:val="6AB6430A"/>
    <w:rsid w:val="6ACF5FD7"/>
    <w:rsid w:val="6ADBF611"/>
    <w:rsid w:val="6ADE62BF"/>
    <w:rsid w:val="6AFB6CCA"/>
    <w:rsid w:val="6B2F385F"/>
    <w:rsid w:val="6B35C5BA"/>
    <w:rsid w:val="6B3CCC51"/>
    <w:rsid w:val="6B442CF7"/>
    <w:rsid w:val="6B4AB419"/>
    <w:rsid w:val="6B50DFDA"/>
    <w:rsid w:val="6B869013"/>
    <w:rsid w:val="6B93228A"/>
    <w:rsid w:val="6BAD1085"/>
    <w:rsid w:val="6BBBB456"/>
    <w:rsid w:val="6BC32082"/>
    <w:rsid w:val="6BD2E032"/>
    <w:rsid w:val="6C23198E"/>
    <w:rsid w:val="6C280BF4"/>
    <w:rsid w:val="6C403684"/>
    <w:rsid w:val="6C52DDB4"/>
    <w:rsid w:val="6C5CDA56"/>
    <w:rsid w:val="6C6E759E"/>
    <w:rsid w:val="6C990053"/>
    <w:rsid w:val="6D1F6CF4"/>
    <w:rsid w:val="6D27CDAB"/>
    <w:rsid w:val="6D2A0AB8"/>
    <w:rsid w:val="6D3E814B"/>
    <w:rsid w:val="6D483AB9"/>
    <w:rsid w:val="6D5647E7"/>
    <w:rsid w:val="6D7AE8A4"/>
    <w:rsid w:val="6D865CE5"/>
    <w:rsid w:val="6DA6D2BF"/>
    <w:rsid w:val="6DA7E626"/>
    <w:rsid w:val="6DCBAB87"/>
    <w:rsid w:val="6DD5C321"/>
    <w:rsid w:val="6E24F9E3"/>
    <w:rsid w:val="6E3DF7C2"/>
    <w:rsid w:val="6E5330ED"/>
    <w:rsid w:val="6E59B21A"/>
    <w:rsid w:val="6E5A81E3"/>
    <w:rsid w:val="6E676BB4"/>
    <w:rsid w:val="6E718F94"/>
    <w:rsid w:val="6EA3A98A"/>
    <w:rsid w:val="6EDFA3EF"/>
    <w:rsid w:val="6EE095CD"/>
    <w:rsid w:val="6EE59EB1"/>
    <w:rsid w:val="6EF320AD"/>
    <w:rsid w:val="6F1EE974"/>
    <w:rsid w:val="6F329856"/>
    <w:rsid w:val="6F3DD865"/>
    <w:rsid w:val="6F569B20"/>
    <w:rsid w:val="6F60BE4D"/>
    <w:rsid w:val="6F67FAF0"/>
    <w:rsid w:val="6F8EDF2F"/>
    <w:rsid w:val="6FCD1F27"/>
    <w:rsid w:val="6FD0A115"/>
    <w:rsid w:val="6FDA3AA2"/>
    <w:rsid w:val="6FFDAA2A"/>
    <w:rsid w:val="700296C5"/>
    <w:rsid w:val="7012CD2A"/>
    <w:rsid w:val="70353A18"/>
    <w:rsid w:val="703A7FE5"/>
    <w:rsid w:val="703BBD8A"/>
    <w:rsid w:val="704394E5"/>
    <w:rsid w:val="7052322E"/>
    <w:rsid w:val="70677D67"/>
    <w:rsid w:val="706CFAFF"/>
    <w:rsid w:val="707E4C01"/>
    <w:rsid w:val="7085BF68"/>
    <w:rsid w:val="70950BE6"/>
    <w:rsid w:val="70B1F1EE"/>
    <w:rsid w:val="70DC345F"/>
    <w:rsid w:val="70DFCEE9"/>
    <w:rsid w:val="70F27619"/>
    <w:rsid w:val="70F4367D"/>
    <w:rsid w:val="710731CB"/>
    <w:rsid w:val="7117E199"/>
    <w:rsid w:val="7120334C"/>
    <w:rsid w:val="71228000"/>
    <w:rsid w:val="7133FDD9"/>
    <w:rsid w:val="7150E3E1"/>
    <w:rsid w:val="717BE6E0"/>
    <w:rsid w:val="718CA94F"/>
    <w:rsid w:val="719A47CC"/>
    <w:rsid w:val="71AF78E7"/>
    <w:rsid w:val="71DA44DF"/>
    <w:rsid w:val="71DBAEF3"/>
    <w:rsid w:val="71DD0769"/>
    <w:rsid w:val="71DFBC15"/>
    <w:rsid w:val="7205725C"/>
    <w:rsid w:val="720F89F6"/>
    <w:rsid w:val="7220A126"/>
    <w:rsid w:val="7222BE08"/>
    <w:rsid w:val="7229280D"/>
    <w:rsid w:val="722FB3E6"/>
    <w:rsid w:val="726682C5"/>
    <w:rsid w:val="7278CE0E"/>
    <w:rsid w:val="72D2973C"/>
    <w:rsid w:val="72E82357"/>
    <w:rsid w:val="7308789B"/>
    <w:rsid w:val="7308CDCD"/>
    <w:rsid w:val="731455A2"/>
    <w:rsid w:val="73168C44"/>
    <w:rsid w:val="731FDF5D"/>
    <w:rsid w:val="73320FD8"/>
    <w:rsid w:val="73422335"/>
    <w:rsid w:val="735F0D5A"/>
    <w:rsid w:val="736F57A5"/>
    <w:rsid w:val="7371565E"/>
    <w:rsid w:val="73871E41"/>
    <w:rsid w:val="7390DBCC"/>
    <w:rsid w:val="739FC456"/>
    <w:rsid w:val="73CE46BA"/>
    <w:rsid w:val="73FE321E"/>
    <w:rsid w:val="74012829"/>
    <w:rsid w:val="7402FEF1"/>
    <w:rsid w:val="741DB36F"/>
    <w:rsid w:val="742B2FA0"/>
    <w:rsid w:val="742B7F17"/>
    <w:rsid w:val="742FFC73"/>
    <w:rsid w:val="743B6C13"/>
    <w:rsid w:val="74493385"/>
    <w:rsid w:val="74573C96"/>
    <w:rsid w:val="746D32FE"/>
    <w:rsid w:val="7473C88F"/>
    <w:rsid w:val="747A6646"/>
    <w:rsid w:val="74ABD8A8"/>
    <w:rsid w:val="74BAF95B"/>
    <w:rsid w:val="74D1C61D"/>
    <w:rsid w:val="74ED44E4"/>
    <w:rsid w:val="74FFEC14"/>
    <w:rsid w:val="75019C51"/>
    <w:rsid w:val="752254E5"/>
    <w:rsid w:val="752E08D6"/>
    <w:rsid w:val="753ABFD6"/>
    <w:rsid w:val="75409FD0"/>
    <w:rsid w:val="75427A8B"/>
    <w:rsid w:val="7574D5DD"/>
    <w:rsid w:val="757C297E"/>
    <w:rsid w:val="757DA85C"/>
    <w:rsid w:val="7582314E"/>
    <w:rsid w:val="7589A721"/>
    <w:rsid w:val="75C7B1DA"/>
    <w:rsid w:val="75CAFC10"/>
    <w:rsid w:val="75D80902"/>
    <w:rsid w:val="762FA721"/>
    <w:rsid w:val="7656C9BC"/>
    <w:rsid w:val="766CEBAE"/>
    <w:rsid w:val="766E2929"/>
    <w:rsid w:val="768D617E"/>
    <w:rsid w:val="76956578"/>
    <w:rsid w:val="769820F0"/>
    <w:rsid w:val="76A5B8D2"/>
    <w:rsid w:val="76BCDE56"/>
    <w:rsid w:val="76BE2546"/>
    <w:rsid w:val="76FE591D"/>
    <w:rsid w:val="7701A78C"/>
    <w:rsid w:val="774B8498"/>
    <w:rsid w:val="77730CD5"/>
    <w:rsid w:val="7777D572"/>
    <w:rsid w:val="777F20A0"/>
    <w:rsid w:val="77A16085"/>
    <w:rsid w:val="77A4A023"/>
    <w:rsid w:val="77B3B761"/>
    <w:rsid w:val="77D349B1"/>
    <w:rsid w:val="77E04F41"/>
    <w:rsid w:val="77EF93B2"/>
    <w:rsid w:val="77F29A1D"/>
    <w:rsid w:val="78162555"/>
    <w:rsid w:val="78265A4C"/>
    <w:rsid w:val="782C08E3"/>
    <w:rsid w:val="7875B67A"/>
    <w:rsid w:val="7879D524"/>
    <w:rsid w:val="7886FBE9"/>
    <w:rsid w:val="78877F0E"/>
    <w:rsid w:val="789937F7"/>
    <w:rsid w:val="789D1DDB"/>
    <w:rsid w:val="78B8B430"/>
    <w:rsid w:val="78C5E3BD"/>
    <w:rsid w:val="78CA1B5D"/>
    <w:rsid w:val="78F23C4B"/>
    <w:rsid w:val="790EDD36"/>
    <w:rsid w:val="793C5F45"/>
    <w:rsid w:val="799C5B19"/>
    <w:rsid w:val="79A8B3B0"/>
    <w:rsid w:val="79B1736E"/>
    <w:rsid w:val="79C20201"/>
    <w:rsid w:val="79D679D0"/>
    <w:rsid w:val="79D7B0CD"/>
    <w:rsid w:val="79E0D17F"/>
    <w:rsid w:val="79F563A6"/>
    <w:rsid w:val="79F84BF0"/>
    <w:rsid w:val="7A1534D8"/>
    <w:rsid w:val="7A5767DE"/>
    <w:rsid w:val="7AA94F19"/>
    <w:rsid w:val="7AE2FF7B"/>
    <w:rsid w:val="7AE6EDB1"/>
    <w:rsid w:val="7AF3A2DA"/>
    <w:rsid w:val="7AFEDB8C"/>
    <w:rsid w:val="7B0837B0"/>
    <w:rsid w:val="7B213887"/>
    <w:rsid w:val="7B4519DB"/>
    <w:rsid w:val="7B474B65"/>
    <w:rsid w:val="7B6EBE59"/>
    <w:rsid w:val="7B71B931"/>
    <w:rsid w:val="7B72AFA1"/>
    <w:rsid w:val="7B93FD09"/>
    <w:rsid w:val="7BA20A37"/>
    <w:rsid w:val="7BB0ED33"/>
    <w:rsid w:val="7BB6DB7B"/>
    <w:rsid w:val="7BC01BEF"/>
    <w:rsid w:val="7BD7FBF6"/>
    <w:rsid w:val="7BEDF80D"/>
    <w:rsid w:val="7BEF35B2"/>
    <w:rsid w:val="7BF36236"/>
    <w:rsid w:val="7C612A23"/>
    <w:rsid w:val="7C858D77"/>
    <w:rsid w:val="7C966F3A"/>
    <w:rsid w:val="7CD7F1E5"/>
    <w:rsid w:val="7CD87648"/>
    <w:rsid w:val="7CF84C31"/>
    <w:rsid w:val="7D04D496"/>
    <w:rsid w:val="7D5BFA28"/>
    <w:rsid w:val="7D7E0B2F"/>
    <w:rsid w:val="7D7E5AA6"/>
    <w:rsid w:val="7D912DE4"/>
    <w:rsid w:val="7D9954E0"/>
    <w:rsid w:val="7D9E6BF9"/>
    <w:rsid w:val="7DB99B62"/>
    <w:rsid w:val="7DC151E1"/>
    <w:rsid w:val="7DC2EBB4"/>
    <w:rsid w:val="7DC82338"/>
    <w:rsid w:val="7DCD4C89"/>
    <w:rsid w:val="7DE5B535"/>
    <w:rsid w:val="7DEB68AF"/>
    <w:rsid w:val="7E248C7C"/>
    <w:rsid w:val="7E5C4FEE"/>
    <w:rsid w:val="7E864235"/>
    <w:rsid w:val="7E9AEE13"/>
    <w:rsid w:val="7E9F7947"/>
    <w:rsid w:val="7EAC15FF"/>
    <w:rsid w:val="7EC810FB"/>
    <w:rsid w:val="7ED158CC"/>
    <w:rsid w:val="7ED74C25"/>
    <w:rsid w:val="7EDE65BE"/>
    <w:rsid w:val="7EE8B029"/>
    <w:rsid w:val="7EF8CD23"/>
    <w:rsid w:val="7F08D43D"/>
    <w:rsid w:val="7F2D6A8C"/>
    <w:rsid w:val="7F4B7314"/>
    <w:rsid w:val="7F4D3301"/>
    <w:rsid w:val="7F62CE8E"/>
    <w:rsid w:val="7F6FDB80"/>
    <w:rsid w:val="7F71802A"/>
    <w:rsid w:val="7F7AC7FB"/>
    <w:rsid w:val="7F85E7F5"/>
    <w:rsid w:val="7FACB98E"/>
    <w:rsid w:val="7FAF8032"/>
    <w:rsid w:val="7FD24CAF"/>
    <w:rsid w:val="7FFAA59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CE7F1"/>
  <w15:docId w15:val="{971C1266-165A-4D8E-BCF1-2BA9065C45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Verdana" w:hAnsi="Verdana" w:eastAsia="Verdana" w:cs="Verdana"/>
      <w:lang w:val="en-GB"/>
    </w:rPr>
  </w:style>
  <w:style w:type="paragraph" w:styleId="Heading1">
    <w:name w:val="heading 1"/>
    <w:basedOn w:val="Normal"/>
    <w:uiPriority w:val="9"/>
    <w:qFormat/>
    <w:pPr>
      <w:spacing w:before="106"/>
      <w:ind w:left="510" w:hanging="721"/>
      <w:outlineLvl w:val="0"/>
    </w:pPr>
    <w:rPr>
      <w:rFonts w:ascii="Arial" w:hAnsi="Arial" w:eastAsia="Arial" w:cs="Arial"/>
      <w:b/>
      <w:bCs/>
      <w:sz w:val="36"/>
      <w:szCs w:val="36"/>
    </w:rPr>
  </w:style>
  <w:style w:type="paragraph" w:styleId="Heading2">
    <w:name w:val="heading 2"/>
    <w:basedOn w:val="Normal"/>
    <w:uiPriority w:val="9"/>
    <w:unhideWhenUsed/>
    <w:qFormat/>
    <w:pPr>
      <w:ind w:left="2117"/>
      <w:outlineLvl w:val="1"/>
    </w:pPr>
    <w:rPr>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138"/>
      <w:ind w:left="2117" w:right="982"/>
    </w:pPr>
    <w:rPr>
      <w:sz w:val="64"/>
      <w:szCs w:val="64"/>
    </w:rPr>
  </w:style>
  <w:style w:type="paragraph" w:styleId="ListParagraph">
    <w:name w:val="List Paragraph"/>
    <w:basedOn w:val="Normal"/>
    <w:uiPriority w:val="34"/>
    <w:qFormat/>
    <w:pPr>
      <w:spacing w:before="128"/>
      <w:ind w:left="340" w:hanging="281"/>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F77FC9"/>
    <w:pPr>
      <w:tabs>
        <w:tab w:val="center" w:pos="4536"/>
        <w:tab w:val="right" w:pos="9072"/>
      </w:tabs>
    </w:pPr>
  </w:style>
  <w:style w:type="character" w:styleId="HeaderChar" w:customStyle="1">
    <w:name w:val="Header Char"/>
    <w:basedOn w:val="DefaultParagraphFont"/>
    <w:link w:val="Header"/>
    <w:uiPriority w:val="99"/>
    <w:rsid w:val="00F77FC9"/>
    <w:rPr>
      <w:rFonts w:ascii="Verdana" w:hAnsi="Verdana" w:eastAsia="Verdana" w:cs="Verdana"/>
    </w:rPr>
  </w:style>
  <w:style w:type="paragraph" w:styleId="Footer">
    <w:name w:val="footer"/>
    <w:basedOn w:val="Normal"/>
    <w:link w:val="FooterChar"/>
    <w:uiPriority w:val="99"/>
    <w:unhideWhenUsed/>
    <w:rsid w:val="00F77FC9"/>
    <w:pPr>
      <w:tabs>
        <w:tab w:val="center" w:pos="4536"/>
        <w:tab w:val="right" w:pos="9072"/>
      </w:tabs>
    </w:pPr>
  </w:style>
  <w:style w:type="character" w:styleId="FooterChar" w:customStyle="1">
    <w:name w:val="Footer Char"/>
    <w:basedOn w:val="DefaultParagraphFont"/>
    <w:link w:val="Footer"/>
    <w:uiPriority w:val="99"/>
    <w:rsid w:val="00F77FC9"/>
    <w:rPr>
      <w:rFonts w:ascii="Verdana" w:hAnsi="Verdana" w:eastAsia="Verdana" w:cs="Verdana"/>
    </w:rPr>
  </w:style>
  <w:style w:type="character" w:styleId="CommentReference">
    <w:name w:val="annotation reference"/>
    <w:basedOn w:val="DefaultParagraphFont"/>
    <w:uiPriority w:val="99"/>
    <w:semiHidden/>
    <w:unhideWhenUsed/>
    <w:rsid w:val="0018574C"/>
    <w:rPr>
      <w:sz w:val="16"/>
      <w:szCs w:val="16"/>
    </w:rPr>
  </w:style>
  <w:style w:type="paragraph" w:styleId="CommentText">
    <w:name w:val="annotation text"/>
    <w:basedOn w:val="Normal"/>
    <w:link w:val="CommentTextChar"/>
    <w:uiPriority w:val="99"/>
    <w:unhideWhenUsed/>
    <w:rsid w:val="0018574C"/>
    <w:rPr>
      <w:sz w:val="20"/>
      <w:szCs w:val="20"/>
    </w:rPr>
  </w:style>
  <w:style w:type="character" w:styleId="CommentTextChar" w:customStyle="1">
    <w:name w:val="Comment Text Char"/>
    <w:basedOn w:val="DefaultParagraphFont"/>
    <w:link w:val="CommentText"/>
    <w:uiPriority w:val="99"/>
    <w:rsid w:val="0018574C"/>
    <w:rPr>
      <w:rFonts w:ascii="Verdana" w:hAnsi="Verdana" w:eastAsia="Verdana" w:cs="Verdana"/>
      <w:sz w:val="20"/>
      <w:szCs w:val="20"/>
    </w:rPr>
  </w:style>
  <w:style w:type="paragraph" w:styleId="CommentSubject">
    <w:name w:val="annotation subject"/>
    <w:basedOn w:val="CommentText"/>
    <w:next w:val="CommentText"/>
    <w:link w:val="CommentSubjectChar"/>
    <w:uiPriority w:val="99"/>
    <w:semiHidden/>
    <w:unhideWhenUsed/>
    <w:rsid w:val="0018574C"/>
    <w:rPr>
      <w:b/>
      <w:bCs/>
    </w:rPr>
  </w:style>
  <w:style w:type="character" w:styleId="CommentSubjectChar" w:customStyle="1">
    <w:name w:val="Comment Subject Char"/>
    <w:basedOn w:val="CommentTextChar"/>
    <w:link w:val="CommentSubject"/>
    <w:uiPriority w:val="99"/>
    <w:semiHidden/>
    <w:rsid w:val="0018574C"/>
    <w:rPr>
      <w:rFonts w:ascii="Verdana" w:hAnsi="Verdana" w:eastAsia="Verdana" w:cs="Verdana"/>
      <w:b/>
      <w:bCs/>
      <w:sz w:val="20"/>
      <w:szCs w:val="20"/>
    </w:rPr>
  </w:style>
  <w:style w:type="paragraph" w:styleId="Revision">
    <w:name w:val="Revision"/>
    <w:hidden/>
    <w:uiPriority w:val="99"/>
    <w:semiHidden/>
    <w:rsid w:val="0018574C"/>
    <w:pPr>
      <w:widowControl/>
      <w:autoSpaceDE/>
      <w:autoSpaceDN/>
    </w:pPr>
    <w:rPr>
      <w:rFonts w:ascii="Verdana" w:hAnsi="Verdana" w:eastAsia="Verdana" w:cs="Verdana"/>
    </w:rPr>
  </w:style>
  <w:style w:type="character" w:styleId="BodyTextChar" w:customStyle="1">
    <w:name w:val="Body Text Char"/>
    <w:basedOn w:val="DefaultParagraphFont"/>
    <w:link w:val="BodyText"/>
    <w:uiPriority w:val="1"/>
    <w:rsid w:val="00085A2E"/>
    <w:rPr>
      <w:rFonts w:ascii="Verdana" w:hAnsi="Verdana" w:eastAsia="Verdana" w:cs="Verdana"/>
      <w:sz w:val="21"/>
      <w:szCs w:val="21"/>
    </w:rPr>
  </w:style>
  <w:style w:type="paragraph" w:styleId="NormalWeb">
    <w:name w:val="Normal (Web)"/>
    <w:basedOn w:val="Normal"/>
    <w:uiPriority w:val="99"/>
    <w:semiHidden/>
    <w:unhideWhenUsed/>
    <w:rsid w:val="006E46EE"/>
    <w:pPr>
      <w:widowControl/>
      <w:autoSpaceDE/>
      <w:autoSpaceDN/>
      <w:spacing w:before="100" w:beforeAutospacing="1" w:after="100" w:afterAutospacing="1"/>
    </w:pPr>
    <w:rPr>
      <w:rFonts w:ascii="Calibri" w:hAnsi="Calibri" w:cs="Calibri" w:eastAsiaTheme="minorEastAsia"/>
      <w:lang w:eastAsia="zh-CN"/>
    </w:rPr>
  </w:style>
  <w:style w:type="paragraph" w:styleId="txtb" w:customStyle="1">
    <w:name w:val="txtb"/>
    <w:basedOn w:val="Normal"/>
    <w:uiPriority w:val="99"/>
    <w:semiHidden/>
    <w:rsid w:val="003258E0"/>
    <w:pPr>
      <w:widowControl/>
      <w:autoSpaceDE/>
      <w:autoSpaceDN/>
      <w:spacing w:before="100" w:beforeAutospacing="1" w:after="100" w:afterAutospacing="1"/>
    </w:pPr>
    <w:rPr>
      <w:rFonts w:ascii="Calibri" w:hAnsi="Calibri" w:cs="Calibri" w:eastAsiaTheme="minorEastAsia"/>
      <w:lang w:eastAsia="zh-CN"/>
    </w:rPr>
  </w:style>
  <w:style w:type="character" w:styleId="Strong">
    <w:name w:val="Strong"/>
    <w:basedOn w:val="DefaultParagraphFont"/>
    <w:uiPriority w:val="22"/>
    <w:qFormat/>
    <w:rsid w:val="003258E0"/>
    <w:rPr>
      <w:b/>
      <w:bCs/>
    </w:rPr>
  </w:style>
  <w:style w:type="character" w:styleId="carbontooltip" w:customStyle="1">
    <w:name w:val="carbon_tooltip"/>
    <w:basedOn w:val="DefaultParagraphFont"/>
    <w:rsid w:val="00BA77EC"/>
  </w:style>
  <w:style w:type="paragraph" w:styleId="FootnoteText">
    <w:name w:val="footnote text"/>
    <w:basedOn w:val="Normal"/>
    <w:link w:val="FootnoteTextChar"/>
    <w:uiPriority w:val="99"/>
    <w:unhideWhenUsed/>
    <w:rsid w:val="00795CA7"/>
    <w:rPr>
      <w:sz w:val="20"/>
      <w:szCs w:val="20"/>
    </w:rPr>
  </w:style>
  <w:style w:type="character" w:styleId="FootnoteTextChar" w:customStyle="1">
    <w:name w:val="Footnote Text Char"/>
    <w:basedOn w:val="DefaultParagraphFont"/>
    <w:link w:val="FootnoteText"/>
    <w:uiPriority w:val="99"/>
    <w:rsid w:val="00795CA7"/>
    <w:rPr>
      <w:rFonts w:ascii="Verdana" w:hAnsi="Verdana" w:eastAsia="Verdana" w:cs="Verdana"/>
      <w:sz w:val="20"/>
      <w:szCs w:val="20"/>
    </w:rPr>
  </w:style>
  <w:style w:type="character" w:styleId="FootnoteReference">
    <w:name w:val="footnote reference"/>
    <w:basedOn w:val="DefaultParagraphFont"/>
    <w:uiPriority w:val="99"/>
    <w:semiHidden/>
    <w:unhideWhenUsed/>
    <w:rsid w:val="00795CA7"/>
    <w:rPr>
      <w:vertAlign w:val="superscript"/>
    </w:rPr>
  </w:style>
  <w:style w:type="character" w:styleId="Hyperlink">
    <w:name w:val="Hyperlink"/>
    <w:basedOn w:val="DefaultParagraphFont"/>
    <w:uiPriority w:val="99"/>
    <w:unhideWhenUsed/>
    <w:rsid w:val="008B4434"/>
    <w:rPr>
      <w:color w:val="0000FF"/>
      <w:u w:val="single"/>
    </w:rPr>
  </w:style>
  <w:style w:type="character" w:styleId="cf01" w:customStyle="1">
    <w:name w:val="cf01"/>
    <w:basedOn w:val="DefaultParagraphFont"/>
    <w:rsid w:val="003A23C8"/>
    <w:rPr>
      <w:rFonts w:hint="default" w:ascii="Segoe UI" w:hAnsi="Segoe UI" w:cs="Segoe UI"/>
      <w:sz w:val="18"/>
      <w:szCs w:val="18"/>
    </w:rPr>
  </w:style>
  <w:style w:type="character" w:styleId="UnresolvedMention">
    <w:name w:val="Unresolved Mention"/>
    <w:basedOn w:val="DefaultParagraphFont"/>
    <w:uiPriority w:val="99"/>
    <w:semiHidden/>
    <w:unhideWhenUsed/>
    <w:rsid w:val="00742B01"/>
    <w:rPr>
      <w:color w:val="605E5C"/>
      <w:shd w:val="clear" w:color="auto" w:fill="E1DFDD"/>
    </w:rPr>
  </w:style>
  <w:style w:type="character" w:styleId="A0" w:customStyle="1">
    <w:name w:val="A0"/>
    <w:basedOn w:val="DefaultParagraphFont"/>
    <w:uiPriority w:val="99"/>
    <w:rsid w:val="006056F1"/>
    <w:rPr>
      <w:rFonts w:hint="default" w:ascii="Gotham Light" w:hAnsi="Gotham Light"/>
      <w:color w:val="211D1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005">
      <w:bodyDiv w:val="1"/>
      <w:marLeft w:val="0"/>
      <w:marRight w:val="0"/>
      <w:marTop w:val="0"/>
      <w:marBottom w:val="0"/>
      <w:divBdr>
        <w:top w:val="none" w:sz="0" w:space="0" w:color="auto"/>
        <w:left w:val="none" w:sz="0" w:space="0" w:color="auto"/>
        <w:bottom w:val="none" w:sz="0" w:space="0" w:color="auto"/>
        <w:right w:val="none" w:sz="0" w:space="0" w:color="auto"/>
      </w:divBdr>
    </w:div>
    <w:div w:id="72824863">
      <w:bodyDiv w:val="1"/>
      <w:marLeft w:val="0"/>
      <w:marRight w:val="0"/>
      <w:marTop w:val="0"/>
      <w:marBottom w:val="0"/>
      <w:divBdr>
        <w:top w:val="none" w:sz="0" w:space="0" w:color="auto"/>
        <w:left w:val="none" w:sz="0" w:space="0" w:color="auto"/>
        <w:bottom w:val="none" w:sz="0" w:space="0" w:color="auto"/>
        <w:right w:val="none" w:sz="0" w:space="0" w:color="auto"/>
      </w:divBdr>
    </w:div>
    <w:div w:id="238561963">
      <w:bodyDiv w:val="1"/>
      <w:marLeft w:val="0"/>
      <w:marRight w:val="0"/>
      <w:marTop w:val="0"/>
      <w:marBottom w:val="0"/>
      <w:divBdr>
        <w:top w:val="none" w:sz="0" w:space="0" w:color="auto"/>
        <w:left w:val="none" w:sz="0" w:space="0" w:color="auto"/>
        <w:bottom w:val="none" w:sz="0" w:space="0" w:color="auto"/>
        <w:right w:val="none" w:sz="0" w:space="0" w:color="auto"/>
      </w:divBdr>
    </w:div>
    <w:div w:id="585261879">
      <w:bodyDiv w:val="1"/>
      <w:marLeft w:val="0"/>
      <w:marRight w:val="0"/>
      <w:marTop w:val="0"/>
      <w:marBottom w:val="0"/>
      <w:divBdr>
        <w:top w:val="none" w:sz="0" w:space="0" w:color="auto"/>
        <w:left w:val="none" w:sz="0" w:space="0" w:color="auto"/>
        <w:bottom w:val="none" w:sz="0" w:space="0" w:color="auto"/>
        <w:right w:val="none" w:sz="0" w:space="0" w:color="auto"/>
      </w:divBdr>
    </w:div>
    <w:div w:id="708994787">
      <w:bodyDiv w:val="1"/>
      <w:marLeft w:val="0"/>
      <w:marRight w:val="0"/>
      <w:marTop w:val="0"/>
      <w:marBottom w:val="0"/>
      <w:divBdr>
        <w:top w:val="none" w:sz="0" w:space="0" w:color="auto"/>
        <w:left w:val="none" w:sz="0" w:space="0" w:color="auto"/>
        <w:bottom w:val="none" w:sz="0" w:space="0" w:color="auto"/>
        <w:right w:val="none" w:sz="0" w:space="0" w:color="auto"/>
      </w:divBdr>
    </w:div>
    <w:div w:id="1241670089">
      <w:bodyDiv w:val="1"/>
      <w:marLeft w:val="0"/>
      <w:marRight w:val="0"/>
      <w:marTop w:val="0"/>
      <w:marBottom w:val="0"/>
      <w:divBdr>
        <w:top w:val="none" w:sz="0" w:space="0" w:color="auto"/>
        <w:left w:val="none" w:sz="0" w:space="0" w:color="auto"/>
        <w:bottom w:val="none" w:sz="0" w:space="0" w:color="auto"/>
        <w:right w:val="none" w:sz="0" w:space="0" w:color="auto"/>
      </w:divBdr>
    </w:div>
    <w:div w:id="1302149442">
      <w:bodyDiv w:val="1"/>
      <w:marLeft w:val="0"/>
      <w:marRight w:val="0"/>
      <w:marTop w:val="0"/>
      <w:marBottom w:val="0"/>
      <w:divBdr>
        <w:top w:val="none" w:sz="0" w:space="0" w:color="auto"/>
        <w:left w:val="none" w:sz="0" w:space="0" w:color="auto"/>
        <w:bottom w:val="none" w:sz="0" w:space="0" w:color="auto"/>
        <w:right w:val="none" w:sz="0" w:space="0" w:color="auto"/>
      </w:divBdr>
    </w:div>
    <w:div w:id="1376732951">
      <w:bodyDiv w:val="1"/>
      <w:marLeft w:val="0"/>
      <w:marRight w:val="0"/>
      <w:marTop w:val="0"/>
      <w:marBottom w:val="0"/>
      <w:divBdr>
        <w:top w:val="none" w:sz="0" w:space="0" w:color="auto"/>
        <w:left w:val="none" w:sz="0" w:space="0" w:color="auto"/>
        <w:bottom w:val="none" w:sz="0" w:space="0" w:color="auto"/>
        <w:right w:val="none" w:sz="0" w:space="0" w:color="auto"/>
      </w:divBdr>
    </w:div>
    <w:div w:id="1917858305">
      <w:bodyDiv w:val="1"/>
      <w:marLeft w:val="0"/>
      <w:marRight w:val="0"/>
      <w:marTop w:val="0"/>
      <w:marBottom w:val="0"/>
      <w:divBdr>
        <w:top w:val="none" w:sz="0" w:space="0" w:color="auto"/>
        <w:left w:val="none" w:sz="0" w:space="0" w:color="auto"/>
        <w:bottom w:val="none" w:sz="0" w:space="0" w:color="auto"/>
        <w:right w:val="none" w:sz="0" w:space="0" w:color="auto"/>
      </w:divBdr>
    </w:div>
    <w:div w:id="2046710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dgs.un.org/goals/goal13" TargetMode="External" Id="rId13" /><Relationship Type="http://schemas.openxmlformats.org/officeDocument/2006/relationships/image" Target="media/image3.png" Id="rId18" /><Relationship Type="http://schemas.openxmlformats.org/officeDocument/2006/relationships/hyperlink" Target="https://iccwbo.org/" TargetMode="External" Id="rId26" /><Relationship Type="http://schemas.openxmlformats.org/officeDocument/2006/relationships/customXml" Target="../customXml/item3.xml" Id="rId3" /><Relationship Type="http://schemas.openxmlformats.org/officeDocument/2006/relationships/hyperlink" Target="https://www.dmr.gov.za/news-room/post/1946/remarks-by-the-honourable-minister-of-mineral-resources-and-energy-mr-gwede-mantashe-on-the-occasion-of-the-coal-colloqiuim"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image" Target="media/image2.png" Id="rId17" /><Relationship Type="http://schemas.openxmlformats.org/officeDocument/2006/relationships/hyperlink" Target="mailto:icc@iccwbo.org" TargetMode="External" Id="rId25" /><Relationship Type="http://schemas.openxmlformats.org/officeDocument/2006/relationships/customXml" Target="../customXml/item2.xml" Id="rId2" /><Relationship Type="http://schemas.openxmlformats.org/officeDocument/2006/relationships/hyperlink" Target="https://sdgs.un.org/goals/goal9" TargetMode="External" Id="rId16" /><Relationship Type="http://schemas.openxmlformats.org/officeDocument/2006/relationships/hyperlink" Target="https://ourworldindata.org/grapher/ghg-emissions-by-sector?time=latest&amp;country=%7EZAF"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5.png" Id="rId24" /><Relationship Type="http://schemas.openxmlformats.org/officeDocument/2006/relationships/numbering" Target="numbering.xml" Id="rId5" /><Relationship Type="http://schemas.openxmlformats.org/officeDocument/2006/relationships/hyperlink" Target="https://sdgs.un.org/goals/goal8" TargetMode="External" Id="rId15" /><Relationship Type="http://schemas.openxmlformats.org/officeDocument/2006/relationships/image" Target="media/image4.png"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https://static1.squarespace.com/static/54ff9c5ce4b0a53decccfb4c/t/59b7f2409f8dce5316811916/1505227332748/CarbonPricing_FullReport.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dgs.un.org/goals/goal7" TargetMode="External" Id="rId14" /><Relationship Type="http://schemas.openxmlformats.org/officeDocument/2006/relationships/hyperlink" Target="https://www.sars.gov.za/wp-content/uploads/Legal/Notes/LAPD-IntR-IN-2017-01-IN95-Deduction-for-energy-efficiency-savings.pdf" TargetMode="External" Id="rId22" /><Relationship Type="http://schemas.openxmlformats.org/officeDocument/2006/relationships/footer" Target="footer2.xml" Id="rId27" /><Relationship Type="http://schemas.microsoft.com/office/2020/10/relationships/intelligence" Target="intelligence2.xml" Id="rId30" /></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lima/eu-action/eu-emissions-trading-system-eu-ets/development-eu-ets-2005-2020_en" TargetMode="External"/><Relationship Id="rId13" Type="http://schemas.openxmlformats.org/officeDocument/2006/relationships/hyperlink" Target="https://unfccc.int/sites/default/files/resource/Indonesia_LTS-LCCR_2021.pdf" TargetMode="External"/><Relationship Id="rId18" Type="http://schemas.openxmlformats.org/officeDocument/2006/relationships/hyperlink" Target="https://www4.unfccc.int/sites/ndcstaging/PublishedDocuments/New%20Zealand%20First/New%20Zealand%20NDC%20November%202021.pdf" TargetMode="External"/><Relationship Id="rId3" Type="http://schemas.openxmlformats.org/officeDocument/2006/relationships/hyperlink" Target="https://carbonpricingdashboard.worldbank.org/" TargetMode="External"/><Relationship Id="rId21" Type="http://schemas.openxmlformats.org/officeDocument/2006/relationships/hyperlink" Target="https://www.gov.za/documents/carbon-tax-act-15-2019-english-afrikaans-23-may-2019-0000" TargetMode="External"/><Relationship Id="rId7" Type="http://schemas.openxmlformats.org/officeDocument/2006/relationships/hyperlink" Target="https://ec.europa.eu/clima/system/files/2021-10/com_2021_962_en.pdf" TargetMode="External"/><Relationship Id="rId12" Type="http://schemas.openxmlformats.org/officeDocument/2006/relationships/hyperlink" Target="https://www4.unfccc.int/sites/ndcstaging/PublishedDocuments/Indonesia%20First/Updated%20NDC%20Indonesia%202021%20-%20corrected%20version.pdf" TargetMode="External"/><Relationship Id="rId17" Type="http://schemas.openxmlformats.org/officeDocument/2006/relationships/hyperlink" Target="https://environment.govt.nz/acts-and-regulations/acts/climate-change-response-amendment-act-2019/" TargetMode="External"/><Relationship Id="rId2" Type="http://schemas.openxmlformats.org/officeDocument/2006/relationships/hyperlink" Target="https://www.oecd.org/economy/greeneco/framework-to-decarbonise-the-economy/" TargetMode="External"/><Relationship Id="rId16" Type="http://schemas.openxmlformats.org/officeDocument/2006/relationships/hyperlink" Target="https://www.thejakartapost.com/news/2021/10/18/carbon-tax-despite-paltry-rate-has-businesses-on-edge.html" TargetMode="External"/><Relationship Id="rId20" Type="http://schemas.openxmlformats.org/officeDocument/2006/relationships/hyperlink" Target="https://www4.unfccc.int/sites/ndcstaging/PublishedDocuments/South%20Africa%20First/South%20Africa%20updated%20first%20NDC%20September%202021.pdf" TargetMode="External"/><Relationship Id="rId1" Type="http://schemas.openxmlformats.org/officeDocument/2006/relationships/hyperlink" Target="https://www.oecd.org/environment/carbon-pricing-and-covid-19-8f030bcc-en.htm" TargetMode="External"/><Relationship Id="rId6" Type="http://schemas.openxmlformats.org/officeDocument/2006/relationships/hyperlink" Target="http://www.sec.gov" TargetMode="External"/><Relationship Id="rId11" Type="http://schemas.openxmlformats.org/officeDocument/2006/relationships/hyperlink" Target="https://ec.europa.eu/clima/eu-action/funding-climate-action/modernisation-fund_en" TargetMode="External"/><Relationship Id="rId5" Type="http://schemas.openxmlformats.org/officeDocument/2006/relationships/hyperlink" Target="http://www.sec.gov/" TargetMode="External"/><Relationship Id="rId15" Type="http://schemas.openxmlformats.org/officeDocument/2006/relationships/hyperlink" Target="https://www.un.org/development/desa/financing/sites/www.un.org.development.desa.financing/files/2021-10/Carbon%20Taxation.pdf" TargetMode="External"/><Relationship Id="rId23" Type="http://schemas.openxmlformats.org/officeDocument/2006/relationships/hyperlink" Target="https://theconversation.com/south-africas-carbon-tax-rate-goes-up-but-emitters-get-more-time-to-clean-up-177834" TargetMode="External"/><Relationship Id="rId10" Type="http://schemas.openxmlformats.org/officeDocument/2006/relationships/hyperlink" Target="https://ec.europa.eu/clima/eu-action/funding-climate-action/innovation-fund_en" TargetMode="External"/><Relationship Id="rId19" Type="http://schemas.openxmlformats.org/officeDocument/2006/relationships/hyperlink" Target="https://unfccc.int/sites/default/files/resource/South%20Africa%27s%20Low%20Emission%20Development%20Strategy.pdf" TargetMode="External"/><Relationship Id="rId4" Type="http://schemas.openxmlformats.org/officeDocument/2006/relationships/hyperlink" Target="http://www.shell.com/investor" TargetMode="External"/><Relationship Id="rId9" Type="http://schemas.openxmlformats.org/officeDocument/2006/relationships/hyperlink" Target="https://icapcarbonaction.com/en/?option=com_etsmap&amp;task=export&amp;format=pdf&amp;layout=list&amp;systems%5B%5D=43" TargetMode="External"/><Relationship Id="rId14" Type="http://schemas.openxmlformats.org/officeDocument/2006/relationships/hyperlink" Target="https://www.oecd.org/tax/tax-policy/carbon-pricing-indonesia.pdf" TargetMode="External"/><Relationship Id="rId22" Type="http://schemas.openxmlformats.org/officeDocument/2006/relationships/hyperlink" Target="http://www.treasury.gov.za/public%20comments/Carbon%20Tax%20Policy%20Paper%20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cd566fe4f739453c890791ece589dd09 xmlns="6e0672cc-2b49-4aef-a692-9dbb21d7e3f3">
      <Terms xmlns="http://schemas.microsoft.com/office/infopath/2007/PartnerControls"/>
    </cd566fe4f739453c890791ece589dd09>
    <SharedWithUsers xmlns="465ae127-5d1e-48f1-8bba-a4710e9de403">
      <UserInfo>
        <DisplayName>HANNI Sandra</DisplayName>
        <AccountId>1342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E3D1B2D00823408CE8450BC0946B1D" ma:contentTypeVersion="16" ma:contentTypeDescription="Create a new document." ma:contentTypeScope="" ma:versionID="749933ac60cd275838fecaf2a2b42920">
  <xsd:schema xmlns:xsd="http://www.w3.org/2001/XMLSchema" xmlns:xs="http://www.w3.org/2001/XMLSchema" xmlns:p="http://schemas.microsoft.com/office/2006/metadata/properties" xmlns:ns2="6e0672cc-2b49-4aef-a692-9dbb21d7e3f3" xmlns:ns3="465ae127-5d1e-48f1-8bba-a4710e9de403" xmlns:ns4="598f140b-4145-4024-8bcc-6d7083f15a24" xmlns:ns5="42195723-b6d9-4926-97c3-bdd7cf343cf8" targetNamespace="http://schemas.microsoft.com/office/2006/metadata/properties" ma:root="true" ma:fieldsID="7718a048471fcf438c19e0fe88a087e1" ns2:_="" ns3:_="" ns4:_="" ns5:_="">
    <xsd:import namespace="6e0672cc-2b49-4aef-a692-9dbb21d7e3f3"/>
    <xsd:import namespace="465ae127-5d1e-48f1-8bba-a4710e9de403"/>
    <xsd:import namespace="598f140b-4145-4024-8bcc-6d7083f15a24"/>
    <xsd:import namespace="42195723-b6d9-4926-97c3-bdd7cf343cf8"/>
    <xsd:element name="properties">
      <xsd:complexType>
        <xsd:sequence>
          <xsd:element name="documentManagement">
            <xsd:complexType>
              <xsd:all>
                <xsd:element ref="ns2:cd566fe4f739453c890791ece589dd09" minOccurs="0"/>
                <xsd:element ref="ns4:TaxCatchAl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3:SharedWithUsers" minOccurs="0"/>
                <xsd:element ref="ns3:SharedWithDetails"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672cc-2b49-4aef-a692-9dbb21d7e3f3" elementFormDefault="qualified">
    <xsd:import namespace="http://schemas.microsoft.com/office/2006/documentManagement/types"/>
    <xsd:import namespace="http://schemas.microsoft.com/office/infopath/2007/PartnerControls"/>
    <xsd:element name="cd566fe4f739453c890791ece589dd09" ma:index="8" nillable="true" ma:taxonomy="true" ma:internalName="cd566fe4f739453c890791ece589dd09" ma:taxonomyFieldName="Provenance" ma:displayName="Provenance" ma:default="" ma:fieldId="{cd566fe4-f739-453c-8907-91ece589dd09}" ma:sspId="b34d393a-c683-4ae6-92a3-16801d27c9b4" ma:termSetId="9e01a060-767e-4e44-bf53-df9ed62d73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195723-b6d9-4926-97c3-bdd7cf343c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B4E75-F4EC-407A-A59E-9297FE3D0A6A}">
  <ds:schemaRefs>
    <ds:schemaRef ds:uri="http://schemas.microsoft.com/office/2006/metadata/properties"/>
    <ds:schemaRef ds:uri="http://schemas.microsoft.com/office/infopath/2007/PartnerControls"/>
    <ds:schemaRef ds:uri="598f140b-4145-4024-8bcc-6d7083f15a24"/>
    <ds:schemaRef ds:uri="6e0672cc-2b49-4aef-a692-9dbb21d7e3f3"/>
    <ds:schemaRef ds:uri="465ae127-5d1e-48f1-8bba-a4710e9de403"/>
  </ds:schemaRefs>
</ds:datastoreItem>
</file>

<file path=customXml/itemProps2.xml><?xml version="1.0" encoding="utf-8"?>
<ds:datastoreItem xmlns:ds="http://schemas.openxmlformats.org/officeDocument/2006/customXml" ds:itemID="{7BD82C1C-DFA0-4483-A73D-39867716ABBA}">
  <ds:schemaRefs>
    <ds:schemaRef ds:uri="http://schemas.microsoft.com/sharepoint/v3/contenttype/forms"/>
  </ds:schemaRefs>
</ds:datastoreItem>
</file>

<file path=customXml/itemProps3.xml><?xml version="1.0" encoding="utf-8"?>
<ds:datastoreItem xmlns:ds="http://schemas.openxmlformats.org/officeDocument/2006/customXml" ds:itemID="{AA349B27-764E-416C-9B69-DF0B275FB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672cc-2b49-4aef-a692-9dbb21d7e3f3"/>
    <ds:schemaRef ds:uri="465ae127-5d1e-48f1-8bba-a4710e9de403"/>
    <ds:schemaRef ds:uri="598f140b-4145-4024-8bcc-6d7083f15a24"/>
    <ds:schemaRef ds:uri="42195723-b6d9-4926-97c3-bdd7cf343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73A9C9-8C61-4B8A-B975-6A782160EDB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TALARICO Sophie</dc:creator>
  <keywords/>
  <lastModifiedBy>HANNI Sandra</lastModifiedBy>
  <revision>668</revision>
  <lastPrinted>2022-03-17T01:34:00.0000000Z</lastPrinted>
  <dcterms:created xsi:type="dcterms:W3CDTF">2022-03-15T08:48:00.0000000Z</dcterms:created>
  <dcterms:modified xsi:type="dcterms:W3CDTF">2022-03-23T10:19:06.1473252Z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Adobe InDesign 17.0 (Macintosh)</vt:lpwstr>
  </property>
  <property fmtid="{D5CDD505-2E9C-101B-9397-08002B2CF9AE}" pid="4" name="LastSaved">
    <vt:filetime>2022-02-03T00:00:00Z</vt:filetime>
  </property>
  <property fmtid="{D5CDD505-2E9C-101B-9397-08002B2CF9AE}" pid="5" name="ContentTypeId">
    <vt:lpwstr>0x010100C9E3D1B2D00823408CE8450BC0946B1D</vt:lpwstr>
  </property>
  <property fmtid="{D5CDD505-2E9C-101B-9397-08002B2CF9AE}" pid="6" name="Provenance">
    <vt:lpwstr/>
  </property>
</Properties>
</file>