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725CE" w14:textId="45E0EE96" w:rsidR="00F400C4" w:rsidRPr="002518B4" w:rsidRDefault="00D613B9" w:rsidP="00A07FAB">
      <w:pPr>
        <w:pStyle w:val="Rubrik"/>
        <w:jc w:val="center"/>
        <w:rPr>
          <w:sz w:val="28"/>
          <w:szCs w:val="28"/>
        </w:rPr>
      </w:pPr>
      <w:r w:rsidRPr="002518B4">
        <w:rPr>
          <w:sz w:val="28"/>
          <w:szCs w:val="28"/>
        </w:rPr>
        <w:t>ICC comments in response to OECD public consultation document on</w:t>
      </w:r>
      <w:r w:rsidR="003C7FC1">
        <w:rPr>
          <w:sz w:val="28"/>
          <w:szCs w:val="28"/>
        </w:rPr>
        <w:t xml:space="preserve"> the</w:t>
      </w:r>
      <w:r w:rsidRPr="002518B4">
        <w:rPr>
          <w:sz w:val="28"/>
          <w:szCs w:val="28"/>
        </w:rPr>
        <w:t xml:space="preserve"> </w:t>
      </w:r>
      <w:r w:rsidR="008760B7" w:rsidRPr="002518B4">
        <w:rPr>
          <w:i/>
          <w:iCs/>
          <w:sz w:val="28"/>
          <w:szCs w:val="28"/>
        </w:rPr>
        <w:t>Draft Rules for Nexus and Revenue Sourcing</w:t>
      </w:r>
      <w:r w:rsidR="008760B7" w:rsidRPr="002518B4">
        <w:rPr>
          <w:sz w:val="28"/>
          <w:szCs w:val="28"/>
        </w:rPr>
        <w:t xml:space="preserve"> under Pillar One Amount A </w:t>
      </w:r>
    </w:p>
    <w:p w14:paraId="1E60997B" w14:textId="77777777" w:rsidR="00326C7C" w:rsidRDefault="00326C7C" w:rsidP="00F400C4"/>
    <w:p w14:paraId="018EA729" w14:textId="1FD98B26" w:rsidR="00B4743A" w:rsidRPr="007F4122" w:rsidRDefault="002518B4" w:rsidP="00B4743A">
      <w:pPr>
        <w:spacing w:after="0"/>
        <w:contextualSpacing/>
        <w:rPr>
          <w:rFonts w:cs="Arial"/>
          <w:lang w:val="en-GB"/>
        </w:rPr>
      </w:pPr>
      <w:r w:rsidRPr="5EBB8474">
        <w:rPr>
          <w:rFonts w:cs="Arial"/>
          <w:lang w:val="en-GB"/>
        </w:rPr>
        <w:t>The International Chamber of Commerce (ICC),</w:t>
      </w:r>
      <w:r w:rsidR="00BF3826" w:rsidRPr="5EBB8474">
        <w:rPr>
          <w:rFonts w:cs="Arial"/>
          <w:lang w:val="en-GB"/>
        </w:rPr>
        <w:t xml:space="preserve"> as the world business organization speaking with authority on behalf of enterprises from all sectors in every part of the world, appreciates the opportunity to provide</w:t>
      </w:r>
      <w:r w:rsidRPr="5EBB8474">
        <w:rPr>
          <w:rFonts w:cs="Arial"/>
          <w:lang w:val="en-GB"/>
        </w:rPr>
        <w:t xml:space="preserve"> input on the OECD </w:t>
      </w:r>
      <w:hyperlink r:id="rId11">
        <w:r w:rsidRPr="5EBB8474">
          <w:rPr>
            <w:rStyle w:val="Hyperlnk"/>
            <w:rFonts w:cs="Arial"/>
            <w:lang w:val="en-GB"/>
          </w:rPr>
          <w:t>public consultation document</w:t>
        </w:r>
      </w:hyperlink>
      <w:r w:rsidRPr="5EBB8474">
        <w:rPr>
          <w:rFonts w:cs="Arial"/>
          <w:lang w:val="en-GB"/>
        </w:rPr>
        <w:t xml:space="preserve"> on the </w:t>
      </w:r>
      <w:r w:rsidR="003C7FC1" w:rsidRPr="5EBB8474">
        <w:rPr>
          <w:rFonts w:cs="Arial"/>
          <w:lang w:val="en-GB"/>
        </w:rPr>
        <w:t xml:space="preserve">Draft Rules for Nexus and Revenue Sourcing under </w:t>
      </w:r>
      <w:r w:rsidR="00E84EC1" w:rsidRPr="5EBB8474">
        <w:rPr>
          <w:rFonts w:cs="Arial"/>
          <w:lang w:val="en-GB"/>
        </w:rPr>
        <w:t xml:space="preserve">Pillar One Amount A. </w:t>
      </w:r>
      <w:r w:rsidRPr="5EBB8474">
        <w:rPr>
          <w:rFonts w:cs="Arial"/>
          <w:lang w:val="en-GB"/>
        </w:rPr>
        <w:t xml:space="preserve">ICC advocates for a consistent global tax system, founded on the premise that stability, certainty and consistency in global tax principles are essential for business and will foster cross-border trade and investment. </w:t>
      </w:r>
      <w:r w:rsidR="00B4743A" w:rsidRPr="5EBB8474">
        <w:rPr>
          <w:rFonts w:cs="Arial"/>
          <w:lang w:val="en-GB"/>
        </w:rPr>
        <w:t xml:space="preserve">ICC is </w:t>
      </w:r>
      <w:r w:rsidR="00CF5024" w:rsidRPr="5EBB8474">
        <w:rPr>
          <w:rFonts w:cs="Arial"/>
          <w:lang w:val="en-GB"/>
        </w:rPr>
        <w:t xml:space="preserve">also </w:t>
      </w:r>
      <w:r w:rsidR="00B4743A" w:rsidRPr="5EBB8474">
        <w:rPr>
          <w:rFonts w:cs="Arial"/>
          <w:lang w:val="en-GB"/>
        </w:rPr>
        <w:t xml:space="preserve">an established arbitral institution through its International Court of Arbitration and provides other dispute resolution mechanisms through its International Centre for Alternative Dispute Resolution. </w:t>
      </w:r>
    </w:p>
    <w:p w14:paraId="792ACBC2" w14:textId="77777777" w:rsidR="002518B4" w:rsidRDefault="002518B4" w:rsidP="006D3F0F">
      <w:pPr>
        <w:spacing w:after="0"/>
        <w:contextualSpacing/>
        <w:rPr>
          <w:rFonts w:cs="Arial"/>
          <w:b/>
          <w:color w:val="0070C0"/>
          <w:sz w:val="26"/>
          <w:szCs w:val="26"/>
          <w:u w:val="single"/>
          <w:lang w:val="en-GB"/>
        </w:rPr>
      </w:pPr>
    </w:p>
    <w:p w14:paraId="6AC4BD51" w14:textId="36C198F5" w:rsidR="00326C7C" w:rsidRPr="00BC0812" w:rsidRDefault="002518B4" w:rsidP="006D3F0F">
      <w:pPr>
        <w:spacing w:after="0"/>
        <w:contextualSpacing/>
        <w:rPr>
          <w:rFonts w:cs="Arial"/>
          <w:color w:val="0070C0"/>
          <w:sz w:val="26"/>
          <w:szCs w:val="26"/>
          <w:lang w:val="en-GB"/>
        </w:rPr>
      </w:pPr>
      <w:r>
        <w:rPr>
          <w:rFonts w:cs="Arial"/>
          <w:b/>
          <w:color w:val="0070C0"/>
          <w:sz w:val="26"/>
          <w:szCs w:val="26"/>
          <w:u w:val="single"/>
          <w:lang w:val="en-GB"/>
        </w:rPr>
        <w:t xml:space="preserve">General </w:t>
      </w:r>
      <w:r w:rsidR="00A96738">
        <w:rPr>
          <w:rFonts w:cs="Arial"/>
          <w:b/>
          <w:color w:val="0070C0"/>
          <w:sz w:val="26"/>
          <w:szCs w:val="26"/>
          <w:u w:val="single"/>
          <w:lang w:val="en-GB"/>
        </w:rPr>
        <w:t>c</w:t>
      </w:r>
      <w:r>
        <w:rPr>
          <w:rFonts w:cs="Arial"/>
          <w:b/>
          <w:color w:val="0070C0"/>
          <w:sz w:val="26"/>
          <w:szCs w:val="26"/>
          <w:u w:val="single"/>
          <w:lang w:val="en-GB"/>
        </w:rPr>
        <w:t>omments</w:t>
      </w:r>
    </w:p>
    <w:p w14:paraId="3F886535" w14:textId="6FA46991" w:rsidR="00A96738" w:rsidRDefault="00770C28" w:rsidP="006D3F0F">
      <w:pPr>
        <w:spacing w:after="0"/>
        <w:contextualSpacing/>
        <w:rPr>
          <w:rFonts w:cs="Arial"/>
          <w:lang w:val="en-GB"/>
        </w:rPr>
      </w:pPr>
      <w:r w:rsidRPr="5EBB8474">
        <w:rPr>
          <w:rFonts w:cs="Arial"/>
          <w:lang w:val="en-GB"/>
        </w:rPr>
        <w:t xml:space="preserve">ICC </w:t>
      </w:r>
      <w:r w:rsidR="007772AA" w:rsidRPr="5EBB8474">
        <w:rPr>
          <w:rFonts w:cs="Arial"/>
          <w:lang w:val="en-GB"/>
        </w:rPr>
        <w:t xml:space="preserve">appreciates the efforts made to </w:t>
      </w:r>
      <w:r w:rsidR="00115D47" w:rsidRPr="5EBB8474">
        <w:rPr>
          <w:rFonts w:cs="Arial"/>
          <w:lang w:val="en-GB"/>
        </w:rPr>
        <w:t xml:space="preserve">ensure that the </w:t>
      </w:r>
      <w:r w:rsidR="00A96738" w:rsidRPr="5EBB8474">
        <w:rPr>
          <w:rFonts w:cs="Arial"/>
          <w:lang w:val="en-GB"/>
        </w:rPr>
        <w:t xml:space="preserve">revenue sourcing rules have been designed </w:t>
      </w:r>
      <w:r w:rsidR="003D3A98" w:rsidRPr="5EBB8474">
        <w:rPr>
          <w:rFonts w:cs="Arial"/>
          <w:lang w:val="en-GB"/>
        </w:rPr>
        <w:t>with the aim of</w:t>
      </w:r>
      <w:r w:rsidR="00A96738" w:rsidRPr="5EBB8474">
        <w:rPr>
          <w:rFonts w:cs="Arial"/>
          <w:lang w:val="en-GB"/>
        </w:rPr>
        <w:t xml:space="preserve"> accurately identifying the market jurisdiction and the associated revenue, while limiting and simplifying compliance burdens as much as possible. </w:t>
      </w:r>
      <w:r w:rsidR="00226431" w:rsidRPr="5EBB8474">
        <w:rPr>
          <w:rFonts w:cs="Arial"/>
          <w:lang w:val="en-GB"/>
        </w:rPr>
        <w:t>In this regard, ICC welcomes the opportunity to provide input on how the balance between accuracy and operational realities could be better achieved.</w:t>
      </w:r>
    </w:p>
    <w:p w14:paraId="185E30D8" w14:textId="77777777" w:rsidR="00853713" w:rsidRDefault="00853713" w:rsidP="006D3F0F">
      <w:pPr>
        <w:spacing w:after="0"/>
        <w:contextualSpacing/>
        <w:rPr>
          <w:rFonts w:cs="Arial"/>
          <w:lang w:val="en-GB"/>
        </w:rPr>
      </w:pPr>
    </w:p>
    <w:p w14:paraId="2640752D" w14:textId="1AAC5687" w:rsidR="00853713" w:rsidRPr="00A96738" w:rsidRDefault="00853713" w:rsidP="006D3F0F">
      <w:pPr>
        <w:spacing w:after="0"/>
        <w:contextualSpacing/>
        <w:rPr>
          <w:rFonts w:cs="Arial"/>
          <w:lang w:val="en-GB"/>
        </w:rPr>
      </w:pPr>
      <w:r>
        <w:rPr>
          <w:rFonts w:cs="Arial"/>
          <w:lang w:val="en-GB"/>
        </w:rPr>
        <w:t>To this end, ICC provides the following general comments:</w:t>
      </w:r>
    </w:p>
    <w:p w14:paraId="623FA12D" w14:textId="5B8D76E4" w:rsidR="00B354F8" w:rsidRDefault="00A96738" w:rsidP="006D3F0F">
      <w:pPr>
        <w:spacing w:after="0"/>
        <w:contextualSpacing/>
        <w:rPr>
          <w:rFonts w:cs="Arial"/>
          <w:szCs w:val="22"/>
          <w:lang w:val="en-GB"/>
        </w:rPr>
      </w:pPr>
      <w:r w:rsidRPr="00A96738">
        <w:rPr>
          <w:rFonts w:cs="Arial"/>
          <w:szCs w:val="22"/>
          <w:lang w:val="en-GB"/>
        </w:rPr>
        <w:t xml:space="preserve"> </w:t>
      </w:r>
    </w:p>
    <w:p w14:paraId="4DD5F83E" w14:textId="7B71324F" w:rsidR="009A31FE" w:rsidRPr="00C37151" w:rsidRDefault="009A31FE" w:rsidP="00C37151">
      <w:pPr>
        <w:pStyle w:val="Liststycke"/>
        <w:numPr>
          <w:ilvl w:val="0"/>
          <w:numId w:val="45"/>
        </w:numPr>
        <w:spacing w:after="0"/>
        <w:rPr>
          <w:rFonts w:cs="Arial"/>
          <w:lang w:val="en-GB"/>
        </w:rPr>
      </w:pPr>
      <w:r w:rsidRPr="00C37151">
        <w:rPr>
          <w:rFonts w:cs="Arial"/>
          <w:lang w:val="en-GB"/>
        </w:rPr>
        <w:t xml:space="preserve">Similarly, ICC members believe that the </w:t>
      </w:r>
      <w:r w:rsidR="00901B37" w:rsidRPr="00C37151">
        <w:rPr>
          <w:rFonts w:cs="Arial"/>
          <w:lang w:val="en-GB"/>
        </w:rPr>
        <w:t>requirement for MNEs to identify the location of the end user</w:t>
      </w:r>
      <w:r w:rsidR="000F2D91" w:rsidRPr="00C37151">
        <w:rPr>
          <w:rFonts w:cs="Arial"/>
          <w:lang w:val="en-GB"/>
        </w:rPr>
        <w:t xml:space="preserve"> or determine the place of delivery of the finished good, is </w:t>
      </w:r>
      <w:r w:rsidR="00144AE5" w:rsidRPr="00C37151">
        <w:rPr>
          <w:rFonts w:cs="Arial"/>
          <w:lang w:val="en-GB"/>
        </w:rPr>
        <w:t>impractical. This is particularly true for businesses that sell</w:t>
      </w:r>
      <w:r w:rsidR="008C56A6" w:rsidRPr="00C37151">
        <w:rPr>
          <w:rFonts w:cs="Arial"/>
          <w:lang w:val="en-GB"/>
        </w:rPr>
        <w:t xml:space="preserve"> products to intermediaries and do not have </w:t>
      </w:r>
      <w:r w:rsidR="000D475B" w:rsidRPr="00C37151">
        <w:rPr>
          <w:rFonts w:cs="Arial"/>
          <w:lang w:val="en-GB"/>
        </w:rPr>
        <w:t>insight or access to information related to the onward sale and destination</w:t>
      </w:r>
      <w:r w:rsidR="00AB4F1B" w:rsidRPr="00C37151">
        <w:rPr>
          <w:rFonts w:cs="Arial"/>
          <w:lang w:val="en-GB"/>
        </w:rPr>
        <w:t>/location</w:t>
      </w:r>
      <w:r w:rsidR="000D475B" w:rsidRPr="00C37151">
        <w:rPr>
          <w:rFonts w:cs="Arial"/>
          <w:lang w:val="en-GB"/>
        </w:rPr>
        <w:t xml:space="preserve"> of the </w:t>
      </w:r>
      <w:r w:rsidR="0036104D" w:rsidRPr="00C37151">
        <w:rPr>
          <w:rFonts w:cs="Arial"/>
          <w:lang w:val="en-GB"/>
        </w:rPr>
        <w:t>goods to the final consumer.</w:t>
      </w:r>
      <w:r w:rsidR="001817A7" w:rsidRPr="001817A7">
        <w:t xml:space="preserve"> </w:t>
      </w:r>
      <w:r w:rsidR="005C51F8">
        <w:t xml:space="preserve">It is also important to </w:t>
      </w:r>
      <w:r w:rsidR="305C01F3">
        <w:t>recognize</w:t>
      </w:r>
      <w:r w:rsidR="005C51F8">
        <w:t xml:space="preserve"> the challenges </w:t>
      </w:r>
      <w:r w:rsidR="006D7848">
        <w:t>presen</w:t>
      </w:r>
      <w:r w:rsidR="00EC6AC0">
        <w:t xml:space="preserve">ted in attempting to track </w:t>
      </w:r>
      <w:r w:rsidR="00A70D7A">
        <w:t xml:space="preserve">the </w:t>
      </w:r>
      <w:r w:rsidR="00344E7D">
        <w:t xml:space="preserve">jurisdiction of the final consumer, including possible breaches </w:t>
      </w:r>
      <w:r w:rsidR="52EBC1D6">
        <w:t>of</w:t>
      </w:r>
      <w:r w:rsidR="00344E7D">
        <w:t xml:space="preserve"> competition law. </w:t>
      </w:r>
      <w:r w:rsidR="001817A7" w:rsidRPr="00C37151">
        <w:rPr>
          <w:rFonts w:cs="Arial"/>
          <w:lang w:val="en-GB"/>
        </w:rPr>
        <w:t>This would suggest that a methodology using a suitable allocation key would be appropriate</w:t>
      </w:r>
      <w:r w:rsidR="00A669F1" w:rsidRPr="00C37151">
        <w:rPr>
          <w:rFonts w:cs="Arial"/>
          <w:lang w:val="en-GB"/>
        </w:rPr>
        <w:t>,</w:t>
      </w:r>
      <w:r w:rsidR="001817A7" w:rsidRPr="00C37151">
        <w:rPr>
          <w:rFonts w:cs="Arial"/>
          <w:lang w:val="en-GB"/>
        </w:rPr>
        <w:t xml:space="preserve"> and </w:t>
      </w:r>
      <w:r w:rsidR="00A669F1" w:rsidRPr="00C37151">
        <w:rPr>
          <w:rFonts w:cs="Arial"/>
          <w:lang w:val="en-GB"/>
        </w:rPr>
        <w:t xml:space="preserve">that </w:t>
      </w:r>
      <w:r w:rsidR="001817A7" w:rsidRPr="00C37151">
        <w:rPr>
          <w:rFonts w:cs="Arial"/>
          <w:lang w:val="en-GB"/>
        </w:rPr>
        <w:t xml:space="preserve">further work on refining this </w:t>
      </w:r>
      <w:r w:rsidR="000B1C79" w:rsidRPr="00C37151">
        <w:rPr>
          <w:rFonts w:cs="Arial"/>
          <w:lang w:val="en-GB"/>
        </w:rPr>
        <w:t>would be</w:t>
      </w:r>
      <w:r w:rsidR="001817A7" w:rsidRPr="00C37151">
        <w:rPr>
          <w:rFonts w:cs="Arial"/>
          <w:lang w:val="en-GB"/>
        </w:rPr>
        <w:t xml:space="preserve"> needed.</w:t>
      </w:r>
      <w:r w:rsidR="005A3040">
        <w:rPr>
          <w:rFonts w:cs="Arial"/>
          <w:lang w:val="en-GB"/>
        </w:rPr>
        <w:t xml:space="preserve"> ICC members would welcome the opportunity to </w:t>
      </w:r>
      <w:r w:rsidR="005133AB">
        <w:rPr>
          <w:rFonts w:cs="Arial"/>
          <w:lang w:val="en-GB"/>
        </w:rPr>
        <w:t xml:space="preserve">comment on a possible formulaic approach </w:t>
      </w:r>
      <w:r w:rsidR="00FC1258">
        <w:rPr>
          <w:rFonts w:cs="Arial"/>
          <w:lang w:val="en-GB"/>
        </w:rPr>
        <w:t>being explored by</w:t>
      </w:r>
      <w:r w:rsidR="005133AB">
        <w:rPr>
          <w:rFonts w:cs="Arial"/>
          <w:lang w:val="en-GB"/>
        </w:rPr>
        <w:t xml:space="preserve"> </w:t>
      </w:r>
      <w:r w:rsidR="00093BD9">
        <w:rPr>
          <w:rFonts w:cs="Arial"/>
          <w:lang w:val="en-GB"/>
        </w:rPr>
        <w:t>Inclusive Framework to address this issue.</w:t>
      </w:r>
    </w:p>
    <w:p w14:paraId="186FE97C" w14:textId="77777777" w:rsidR="00076B6D" w:rsidRDefault="00076B6D" w:rsidP="006D3F0F">
      <w:pPr>
        <w:spacing w:after="0"/>
        <w:contextualSpacing/>
        <w:rPr>
          <w:rFonts w:cs="Arial"/>
          <w:szCs w:val="22"/>
          <w:lang w:val="en-GB"/>
        </w:rPr>
      </w:pPr>
    </w:p>
    <w:p w14:paraId="286D44CB" w14:textId="27985CE0" w:rsidR="00A8265F" w:rsidRDefault="00A8265F" w:rsidP="00A8265F">
      <w:pPr>
        <w:pStyle w:val="Liststycke"/>
        <w:numPr>
          <w:ilvl w:val="0"/>
          <w:numId w:val="45"/>
        </w:numPr>
        <w:spacing w:after="0"/>
        <w:rPr>
          <w:rFonts w:cs="Arial"/>
          <w:lang w:val="en-GB"/>
        </w:rPr>
      </w:pPr>
      <w:r w:rsidRPr="00C37151">
        <w:rPr>
          <w:rFonts w:cs="Arial"/>
          <w:lang w:val="en-GB"/>
        </w:rPr>
        <w:t>ICC members are of the view that practical difficulties could be foreseen in examining revenues on a transaction-by-transaction basis and introducing an internal control framework to demonstrate that the method is reliable. In this respect, MNEs would likely need to establish new systems to track revenues</w:t>
      </w:r>
      <w:r w:rsidR="25487B6A" w:rsidRPr="1AE2FE19">
        <w:rPr>
          <w:rFonts w:cs="Arial"/>
          <w:lang w:val="en-GB"/>
        </w:rPr>
        <w:t>,</w:t>
      </w:r>
      <w:r w:rsidRPr="00C37151">
        <w:rPr>
          <w:rFonts w:cs="Arial"/>
          <w:lang w:val="en-GB"/>
        </w:rPr>
        <w:t xml:space="preserve"> which would be onerous in terms of administrative complexity as well as additional costs incurred.</w:t>
      </w:r>
      <w:r>
        <w:rPr>
          <w:rFonts w:cs="Arial"/>
          <w:lang w:val="en-GB"/>
        </w:rPr>
        <w:t xml:space="preserve"> </w:t>
      </w:r>
      <w:r w:rsidR="00E61386">
        <w:rPr>
          <w:rFonts w:cs="Arial"/>
          <w:lang w:val="en-GB"/>
        </w:rPr>
        <w:t xml:space="preserve">In view of the </w:t>
      </w:r>
      <w:r w:rsidR="009A270C">
        <w:rPr>
          <w:rFonts w:cs="Arial"/>
          <w:lang w:val="en-GB"/>
        </w:rPr>
        <w:t xml:space="preserve">necessary time and resource investment to </w:t>
      </w:r>
      <w:r w:rsidR="0097411F">
        <w:rPr>
          <w:rFonts w:cs="Arial"/>
          <w:lang w:val="en-GB"/>
        </w:rPr>
        <w:t xml:space="preserve">develop </w:t>
      </w:r>
      <w:r w:rsidR="00EB4D4A">
        <w:rPr>
          <w:rFonts w:cs="Arial"/>
          <w:lang w:val="en-GB"/>
        </w:rPr>
        <w:t xml:space="preserve">the relevant systems, </w:t>
      </w:r>
      <w:r w:rsidR="00A63662">
        <w:rPr>
          <w:rFonts w:cs="Arial"/>
          <w:lang w:val="en-GB"/>
        </w:rPr>
        <w:t xml:space="preserve">there is a strong likelihood that many MNEs </w:t>
      </w:r>
      <w:r w:rsidR="00F221FF">
        <w:rPr>
          <w:rFonts w:cs="Arial"/>
          <w:lang w:val="en-GB"/>
        </w:rPr>
        <w:t>will not be in a position to implement</w:t>
      </w:r>
      <w:r w:rsidR="00C53256">
        <w:rPr>
          <w:rFonts w:cs="Arial"/>
          <w:lang w:val="en-GB"/>
        </w:rPr>
        <w:t xml:space="preserve"> within the timeframe envisaged.</w:t>
      </w:r>
    </w:p>
    <w:p w14:paraId="02F4DB05" w14:textId="77777777" w:rsidR="00A8265F" w:rsidRDefault="00A8265F" w:rsidP="00A8265F">
      <w:pPr>
        <w:pStyle w:val="Liststycke"/>
        <w:spacing w:after="0"/>
        <w:rPr>
          <w:rFonts w:cs="Arial"/>
          <w:lang w:val="en-GB"/>
        </w:rPr>
      </w:pPr>
    </w:p>
    <w:p w14:paraId="0682F5EF" w14:textId="38198704" w:rsidR="00A8265F" w:rsidRPr="00715ACB" w:rsidRDefault="00A8265F" w:rsidP="00A8265F">
      <w:pPr>
        <w:pStyle w:val="Liststycke"/>
        <w:spacing w:after="0"/>
        <w:rPr>
          <w:rFonts w:cs="Arial"/>
          <w:lang w:val="en-GB"/>
        </w:rPr>
      </w:pPr>
      <w:r>
        <w:rPr>
          <w:rFonts w:cs="Arial"/>
          <w:lang w:val="en-GB"/>
        </w:rPr>
        <w:t xml:space="preserve">ICC suggests that in order to counter </w:t>
      </w:r>
      <w:r w:rsidRPr="00715ACB">
        <w:rPr>
          <w:rFonts w:cs="Arial"/>
          <w:lang w:val="en-GB"/>
        </w:rPr>
        <w:t xml:space="preserve">these challenges, the Model Rules should point out that nexus should be established taking into consideration pricing </w:t>
      </w:r>
      <w:r w:rsidRPr="00715ACB">
        <w:rPr>
          <w:rFonts w:cs="Arial"/>
          <w:lang w:val="en-GB"/>
        </w:rPr>
        <w:lastRenderedPageBreak/>
        <w:t>variation between markets</w:t>
      </w:r>
      <w:r>
        <w:rPr>
          <w:rFonts w:cs="Arial"/>
          <w:lang w:val="en-GB"/>
        </w:rPr>
        <w:t xml:space="preserve">, which underpins the stated objective for the </w:t>
      </w:r>
      <w:r w:rsidRPr="00715ACB">
        <w:rPr>
          <w:rFonts w:cs="Arial"/>
          <w:lang w:val="en-GB"/>
        </w:rPr>
        <w:t>transaction</w:t>
      </w:r>
      <w:r w:rsidR="3DE3C83F" w:rsidRPr="2535695C">
        <w:rPr>
          <w:rFonts w:cs="Arial"/>
          <w:lang w:val="en-GB"/>
        </w:rPr>
        <w:t>-</w:t>
      </w:r>
      <w:r w:rsidRPr="00715ACB">
        <w:rPr>
          <w:rFonts w:cs="Arial"/>
          <w:lang w:val="en-GB"/>
        </w:rPr>
        <w:t>by</w:t>
      </w:r>
      <w:r w:rsidR="3DE3C83F" w:rsidRPr="2535695C">
        <w:rPr>
          <w:rFonts w:cs="Arial"/>
          <w:lang w:val="en-GB"/>
        </w:rPr>
        <w:t>-</w:t>
      </w:r>
      <w:r w:rsidRPr="00715ACB">
        <w:rPr>
          <w:rFonts w:cs="Arial"/>
          <w:lang w:val="en-GB"/>
        </w:rPr>
        <w:t xml:space="preserve">transaction rule. The ways to achieve this should be left to the </w:t>
      </w:r>
      <w:r w:rsidRPr="1AE2FE19">
        <w:rPr>
          <w:rFonts w:cs="Arial"/>
          <w:lang w:val="en-GB"/>
        </w:rPr>
        <w:t>MNE</w:t>
      </w:r>
      <w:r w:rsidR="2DAE0FB6" w:rsidRPr="1AE2FE19">
        <w:rPr>
          <w:rFonts w:cs="Arial"/>
          <w:lang w:val="en-GB"/>
        </w:rPr>
        <w:t>s</w:t>
      </w:r>
      <w:r w:rsidRPr="00715ACB">
        <w:rPr>
          <w:rFonts w:cs="Arial"/>
          <w:lang w:val="en-GB"/>
        </w:rPr>
        <w:t xml:space="preserve"> based on the specificities of </w:t>
      </w:r>
      <w:r w:rsidR="6C6B8E40" w:rsidRPr="1AE2FE19">
        <w:rPr>
          <w:rFonts w:cs="Arial"/>
          <w:lang w:val="en-GB"/>
        </w:rPr>
        <w:t>their</w:t>
      </w:r>
      <w:r w:rsidRPr="1AE2FE19">
        <w:rPr>
          <w:rFonts w:cs="Arial"/>
          <w:lang w:val="en-GB"/>
        </w:rPr>
        <w:t xml:space="preserve"> activit</w:t>
      </w:r>
      <w:r w:rsidR="3D057E32" w:rsidRPr="1AE2FE19">
        <w:rPr>
          <w:rFonts w:cs="Arial"/>
          <w:lang w:val="en-GB"/>
        </w:rPr>
        <w:t>ies</w:t>
      </w:r>
      <w:r w:rsidRPr="00715ACB">
        <w:rPr>
          <w:rFonts w:cs="Arial"/>
          <w:lang w:val="en-GB"/>
        </w:rPr>
        <w:t xml:space="preserve">. </w:t>
      </w:r>
    </w:p>
    <w:p w14:paraId="1EE33166" w14:textId="77777777" w:rsidR="00A8265F" w:rsidRDefault="00A8265F" w:rsidP="00A8265F">
      <w:pPr>
        <w:pStyle w:val="Liststycke"/>
        <w:spacing w:after="0"/>
        <w:rPr>
          <w:rFonts w:cs="Arial"/>
          <w:szCs w:val="22"/>
          <w:lang w:val="en-GB"/>
        </w:rPr>
      </w:pPr>
    </w:p>
    <w:p w14:paraId="729B79AA" w14:textId="13272456" w:rsidR="00AD02C8" w:rsidRDefault="00BD73B0" w:rsidP="00AD02C8">
      <w:pPr>
        <w:pStyle w:val="Liststycke"/>
        <w:numPr>
          <w:ilvl w:val="0"/>
          <w:numId w:val="45"/>
        </w:numPr>
        <w:spacing w:after="0"/>
        <w:rPr>
          <w:rFonts w:cs="Arial"/>
          <w:lang w:val="en-GB"/>
        </w:rPr>
      </w:pPr>
      <w:r w:rsidRPr="2535695C">
        <w:rPr>
          <w:rFonts w:cs="Arial"/>
          <w:lang w:val="en-GB"/>
        </w:rPr>
        <w:t>Whil</w:t>
      </w:r>
      <w:r w:rsidR="00C8671F" w:rsidRPr="2535695C">
        <w:rPr>
          <w:rFonts w:cs="Arial"/>
          <w:lang w:val="en-GB"/>
        </w:rPr>
        <w:t>st</w:t>
      </w:r>
      <w:r w:rsidRPr="2535695C">
        <w:rPr>
          <w:rFonts w:cs="Arial"/>
          <w:lang w:val="en-GB"/>
        </w:rPr>
        <w:t xml:space="preserve"> the rules </w:t>
      </w:r>
      <w:r w:rsidR="00C8671F" w:rsidRPr="2535695C">
        <w:rPr>
          <w:rFonts w:cs="Arial"/>
          <w:lang w:val="en-GB"/>
        </w:rPr>
        <w:t>indicate</w:t>
      </w:r>
      <w:r w:rsidRPr="2535695C">
        <w:rPr>
          <w:rFonts w:cs="Arial"/>
          <w:lang w:val="en-GB"/>
        </w:rPr>
        <w:t xml:space="preserve"> that there is no need to retain documents for the transactions itself, </w:t>
      </w:r>
      <w:r w:rsidR="00D04009" w:rsidRPr="2535695C">
        <w:rPr>
          <w:rFonts w:cs="Arial"/>
          <w:lang w:val="en-GB"/>
        </w:rPr>
        <w:t xml:space="preserve">they do </w:t>
      </w:r>
      <w:r w:rsidRPr="2535695C">
        <w:rPr>
          <w:rFonts w:cs="Arial"/>
          <w:lang w:val="en-GB"/>
        </w:rPr>
        <w:t xml:space="preserve">impose “detailed record-keeping requirements”, as well as a “clear, intelligent internal control framework”. </w:t>
      </w:r>
      <w:r w:rsidR="00AB01AF" w:rsidRPr="2535695C">
        <w:rPr>
          <w:rFonts w:cs="Arial"/>
          <w:lang w:val="en-GB"/>
        </w:rPr>
        <w:t xml:space="preserve">ICC members believe that this </w:t>
      </w:r>
      <w:r w:rsidRPr="2535695C">
        <w:rPr>
          <w:rFonts w:cs="Arial"/>
          <w:lang w:val="en-GB"/>
        </w:rPr>
        <w:t xml:space="preserve">does not </w:t>
      </w:r>
      <w:r w:rsidR="00286336" w:rsidRPr="2535695C">
        <w:rPr>
          <w:rFonts w:cs="Arial"/>
          <w:lang w:val="en-GB"/>
        </w:rPr>
        <w:t>provide simplicity</w:t>
      </w:r>
      <w:r w:rsidR="00D511B2" w:rsidRPr="2535695C">
        <w:rPr>
          <w:rFonts w:cs="Arial"/>
          <w:lang w:val="en-GB"/>
        </w:rPr>
        <w:t>, particularly</w:t>
      </w:r>
      <w:r w:rsidR="00D259DC" w:rsidRPr="2535695C">
        <w:rPr>
          <w:rFonts w:cs="Arial"/>
          <w:lang w:val="en-GB"/>
        </w:rPr>
        <w:t xml:space="preserve"> given that</w:t>
      </w:r>
      <w:r w:rsidRPr="2535695C">
        <w:rPr>
          <w:rFonts w:cs="Arial"/>
          <w:lang w:val="en-GB"/>
        </w:rPr>
        <w:t xml:space="preserve"> for the allocation of revenues, itemisation/transaction-by-transaction analysis </w:t>
      </w:r>
      <w:r w:rsidR="00371F2F" w:rsidRPr="2535695C">
        <w:rPr>
          <w:rFonts w:cs="Arial"/>
          <w:lang w:val="en-GB"/>
        </w:rPr>
        <w:t xml:space="preserve">is </w:t>
      </w:r>
      <w:r w:rsidR="00651228" w:rsidRPr="2535695C">
        <w:rPr>
          <w:rFonts w:cs="Arial"/>
          <w:lang w:val="en-GB"/>
        </w:rPr>
        <w:t xml:space="preserve">nevertheless </w:t>
      </w:r>
      <w:r w:rsidR="00371F2F" w:rsidRPr="2535695C">
        <w:rPr>
          <w:rFonts w:cs="Arial"/>
          <w:lang w:val="en-GB"/>
        </w:rPr>
        <w:t>required</w:t>
      </w:r>
      <w:r w:rsidRPr="2535695C">
        <w:rPr>
          <w:rFonts w:cs="Arial"/>
          <w:lang w:val="en-GB"/>
        </w:rPr>
        <w:t xml:space="preserve">. </w:t>
      </w:r>
    </w:p>
    <w:p w14:paraId="3A1E1E64" w14:textId="77777777" w:rsidR="00AD02C8" w:rsidRDefault="00AD02C8" w:rsidP="00AD02C8">
      <w:pPr>
        <w:pStyle w:val="Liststycke"/>
        <w:spacing w:after="0"/>
        <w:rPr>
          <w:rFonts w:cs="Arial"/>
          <w:szCs w:val="22"/>
          <w:lang w:val="en-GB"/>
        </w:rPr>
      </w:pPr>
    </w:p>
    <w:p w14:paraId="5EF78F2A" w14:textId="18196503" w:rsidR="00DC2E59" w:rsidRPr="00AD02C8" w:rsidRDefault="00DC2E59" w:rsidP="00AD02C8">
      <w:pPr>
        <w:pStyle w:val="Liststycke"/>
        <w:numPr>
          <w:ilvl w:val="0"/>
          <w:numId w:val="45"/>
        </w:numPr>
        <w:spacing w:after="0"/>
        <w:rPr>
          <w:rFonts w:cs="Arial"/>
          <w:lang w:val="en-GB"/>
        </w:rPr>
      </w:pPr>
      <w:r w:rsidRPr="00AD02C8">
        <w:rPr>
          <w:rFonts w:cs="Arial"/>
          <w:lang w:val="en-GB"/>
        </w:rPr>
        <w:t>Allocating global profits based on market</w:t>
      </w:r>
      <w:r w:rsidR="0F1F9E6B" w:rsidRPr="1AE2FE19">
        <w:rPr>
          <w:rFonts w:cs="Arial"/>
          <w:lang w:val="en-GB"/>
        </w:rPr>
        <w:t>-</w:t>
      </w:r>
      <w:r w:rsidRPr="00AD02C8">
        <w:rPr>
          <w:rFonts w:cs="Arial"/>
          <w:lang w:val="en-GB"/>
        </w:rPr>
        <w:t xml:space="preserve">related revenues results not only in </w:t>
      </w:r>
      <w:r w:rsidR="00C815A1">
        <w:rPr>
          <w:rFonts w:cs="Arial"/>
          <w:lang w:val="en-GB"/>
        </w:rPr>
        <w:t>disregarding</w:t>
      </w:r>
      <w:r w:rsidRPr="00AD02C8">
        <w:rPr>
          <w:rFonts w:cs="Arial"/>
          <w:lang w:val="en-GB"/>
        </w:rPr>
        <w:t xml:space="preserve"> the product mix differences </w:t>
      </w:r>
      <w:r w:rsidR="00CA0CDE">
        <w:rPr>
          <w:rFonts w:cs="Arial"/>
          <w:lang w:val="en-GB"/>
        </w:rPr>
        <w:t>between</w:t>
      </w:r>
      <w:r w:rsidRPr="00AD02C8">
        <w:rPr>
          <w:rFonts w:cs="Arial"/>
          <w:lang w:val="en-GB"/>
        </w:rPr>
        <w:t xml:space="preserve"> markets/regions</w:t>
      </w:r>
      <w:r w:rsidR="02F0D795" w:rsidRPr="1AE2FE19">
        <w:rPr>
          <w:rFonts w:cs="Arial"/>
          <w:lang w:val="en-GB"/>
        </w:rPr>
        <w:t>,</w:t>
      </w:r>
      <w:r w:rsidRPr="00AD02C8">
        <w:rPr>
          <w:rFonts w:cs="Arial"/>
          <w:lang w:val="en-GB"/>
        </w:rPr>
        <w:t xml:space="preserve"> but also </w:t>
      </w:r>
      <w:r w:rsidR="3B14F292" w:rsidRPr="1AE2FE19">
        <w:rPr>
          <w:rFonts w:cs="Arial"/>
          <w:lang w:val="en-GB"/>
        </w:rPr>
        <w:t xml:space="preserve">in </w:t>
      </w:r>
      <w:r w:rsidRPr="00AD02C8">
        <w:rPr>
          <w:rFonts w:cs="Arial"/>
          <w:lang w:val="en-GB"/>
        </w:rPr>
        <w:t>the</w:t>
      </w:r>
      <w:r w:rsidR="0016357F" w:rsidRPr="2535695C">
        <w:rPr>
          <w:rFonts w:cs="Arial"/>
          <w:lang w:val="en-GB"/>
        </w:rPr>
        <w:t xml:space="preserve"> product </w:t>
      </w:r>
      <w:r w:rsidR="00B865F2" w:rsidRPr="2535695C">
        <w:rPr>
          <w:rFonts w:cs="Arial"/>
          <w:lang w:val="en-GB"/>
        </w:rPr>
        <w:t>lifecycle</w:t>
      </w:r>
      <w:r w:rsidR="00751B89" w:rsidRPr="2535695C">
        <w:rPr>
          <w:rFonts w:cs="Arial"/>
          <w:lang w:val="en-GB"/>
        </w:rPr>
        <w:t xml:space="preserve"> </w:t>
      </w:r>
      <w:r w:rsidR="00901416" w:rsidRPr="2535695C">
        <w:rPr>
          <w:rFonts w:cs="Arial"/>
          <w:lang w:val="en-GB"/>
        </w:rPr>
        <w:t xml:space="preserve">for products in different markets. </w:t>
      </w:r>
      <w:r w:rsidRPr="00AD02C8">
        <w:rPr>
          <w:rFonts w:cs="Arial"/>
          <w:lang w:val="en-GB"/>
        </w:rPr>
        <w:t xml:space="preserve">The proposed revenue sourcing rules bring significant distortions </w:t>
      </w:r>
      <w:r w:rsidR="00B865F2" w:rsidRPr="2535695C">
        <w:rPr>
          <w:rFonts w:cs="Arial"/>
          <w:lang w:val="en-GB"/>
        </w:rPr>
        <w:t>regarding</w:t>
      </w:r>
      <w:r w:rsidRPr="00AD02C8">
        <w:rPr>
          <w:rFonts w:cs="Arial"/>
          <w:lang w:val="en-GB"/>
        </w:rPr>
        <w:t xml:space="preserve"> the appropriate distribution of Amount A</w:t>
      </w:r>
      <w:r w:rsidR="00CB7F58">
        <w:rPr>
          <w:rFonts w:cs="Arial"/>
          <w:lang w:val="en-GB"/>
        </w:rPr>
        <w:t>,</w:t>
      </w:r>
      <w:r w:rsidRPr="00AD02C8">
        <w:rPr>
          <w:rFonts w:cs="Arial"/>
          <w:lang w:val="en-GB"/>
        </w:rPr>
        <w:t xml:space="preserve"> due to the departure from </w:t>
      </w:r>
      <w:r w:rsidR="00FC61D9" w:rsidRPr="2535695C">
        <w:rPr>
          <w:rFonts w:cs="Arial"/>
          <w:lang w:val="en-GB"/>
        </w:rPr>
        <w:t xml:space="preserve">existing </w:t>
      </w:r>
      <w:r w:rsidRPr="00AD02C8">
        <w:rPr>
          <w:rFonts w:cs="Arial"/>
          <w:lang w:val="en-GB"/>
        </w:rPr>
        <w:t>business</w:t>
      </w:r>
      <w:r w:rsidR="00FC61D9" w:rsidRPr="2535695C">
        <w:rPr>
          <w:rFonts w:cs="Arial"/>
          <w:lang w:val="en-GB"/>
        </w:rPr>
        <w:t xml:space="preserve"> processes</w:t>
      </w:r>
      <w:r w:rsidR="0001124C" w:rsidRPr="2535695C">
        <w:rPr>
          <w:rFonts w:cs="Arial"/>
          <w:lang w:val="en-GB"/>
        </w:rPr>
        <w:t xml:space="preserve"> </w:t>
      </w:r>
      <w:r w:rsidR="005F2EFE" w:rsidRPr="2535695C">
        <w:rPr>
          <w:rFonts w:cs="Arial"/>
          <w:lang w:val="en-GB"/>
        </w:rPr>
        <w:t xml:space="preserve">and </w:t>
      </w:r>
      <w:r w:rsidR="00A83229">
        <w:rPr>
          <w:rFonts w:cs="Arial"/>
          <w:lang w:val="en-GB"/>
        </w:rPr>
        <w:t xml:space="preserve">the creation of </w:t>
      </w:r>
      <w:r w:rsidR="005F2EFE" w:rsidRPr="2535695C">
        <w:rPr>
          <w:rFonts w:cs="Arial"/>
          <w:lang w:val="en-GB"/>
        </w:rPr>
        <w:t>new reporting obligations.</w:t>
      </w:r>
      <w:r w:rsidR="00FC61D9" w:rsidRPr="2535695C">
        <w:rPr>
          <w:rFonts w:cs="Arial"/>
          <w:lang w:val="en-GB"/>
        </w:rPr>
        <w:t xml:space="preserve">  </w:t>
      </w:r>
      <w:r w:rsidRPr="00AD02C8">
        <w:rPr>
          <w:rFonts w:cs="Arial"/>
          <w:lang w:val="en-GB"/>
        </w:rPr>
        <w:t xml:space="preserve"> </w:t>
      </w:r>
    </w:p>
    <w:p w14:paraId="615FEA2D" w14:textId="5D5F80E2" w:rsidR="005510B2" w:rsidRDefault="005510B2" w:rsidP="003D4AA2">
      <w:pPr>
        <w:pStyle w:val="Liststycke"/>
        <w:spacing w:after="0"/>
        <w:rPr>
          <w:rFonts w:cs="Arial"/>
          <w:lang w:val="en-GB"/>
        </w:rPr>
      </w:pPr>
    </w:p>
    <w:p w14:paraId="237B50B5" w14:textId="5E39BD1E" w:rsidR="007F325D" w:rsidRDefault="00DC2E59" w:rsidP="003D4AA2">
      <w:pPr>
        <w:pStyle w:val="Liststycke"/>
        <w:spacing w:after="0"/>
        <w:rPr>
          <w:rFonts w:cs="Arial"/>
          <w:lang w:val="en-GB"/>
        </w:rPr>
      </w:pPr>
      <w:r w:rsidRPr="1AE2FE19">
        <w:rPr>
          <w:rFonts w:cs="Arial"/>
          <w:lang w:val="en-GB"/>
        </w:rPr>
        <w:t>The OECD model rules offer allocations keys where no direct allocation to market jurisdiction is possible.</w:t>
      </w:r>
      <w:r w:rsidR="00B629BC" w:rsidRPr="1AE2FE19">
        <w:rPr>
          <w:rFonts w:cs="Arial"/>
          <w:lang w:val="en-GB"/>
        </w:rPr>
        <w:t xml:space="preserve"> </w:t>
      </w:r>
      <w:r w:rsidR="003E578E" w:rsidRPr="1AE2FE19">
        <w:rPr>
          <w:rFonts w:cs="Arial"/>
          <w:lang w:val="en-GB"/>
        </w:rPr>
        <w:t>Where</w:t>
      </w:r>
      <w:r w:rsidRPr="1AE2FE19">
        <w:rPr>
          <w:rFonts w:cs="Arial"/>
          <w:lang w:val="en-GB"/>
        </w:rPr>
        <w:t xml:space="preserve"> not all categories are relevant for MNEs, </w:t>
      </w:r>
      <w:r w:rsidR="001C11C7" w:rsidRPr="1AE2FE19">
        <w:rPr>
          <w:rFonts w:cs="Arial"/>
          <w:lang w:val="en-GB"/>
        </w:rPr>
        <w:t>a</w:t>
      </w:r>
      <w:r w:rsidRPr="1AE2FE19">
        <w:rPr>
          <w:rFonts w:cs="Arial"/>
          <w:lang w:val="en-GB"/>
        </w:rPr>
        <w:t xml:space="preserve"> group may still </w:t>
      </w:r>
      <w:r w:rsidR="000756D4" w:rsidRPr="1AE2FE19">
        <w:rPr>
          <w:rFonts w:cs="Arial"/>
          <w:lang w:val="en-GB"/>
        </w:rPr>
        <w:t>need</w:t>
      </w:r>
      <w:r w:rsidRPr="1AE2FE19">
        <w:rPr>
          <w:rFonts w:cs="Arial"/>
          <w:lang w:val="en-GB"/>
        </w:rPr>
        <w:t xml:space="preserve"> to apply several sets of rules to cover all transactions </w:t>
      </w:r>
      <w:r w:rsidR="00B375E7" w:rsidRPr="1AE2FE19">
        <w:rPr>
          <w:rFonts w:cs="Arial"/>
          <w:lang w:val="en-GB"/>
        </w:rPr>
        <w:t xml:space="preserve">in order </w:t>
      </w:r>
      <w:r w:rsidRPr="1AE2FE19">
        <w:rPr>
          <w:rFonts w:cs="Arial"/>
          <w:lang w:val="en-GB"/>
        </w:rPr>
        <w:t xml:space="preserve">to determine the best reliable indicator. </w:t>
      </w:r>
      <w:r w:rsidR="00905DCE" w:rsidRPr="1AE2FE19">
        <w:rPr>
          <w:rFonts w:cs="Arial"/>
          <w:lang w:val="en-GB"/>
        </w:rPr>
        <w:t xml:space="preserve">ICC believes that </w:t>
      </w:r>
      <w:r w:rsidR="0032162B" w:rsidRPr="1AE2FE19">
        <w:rPr>
          <w:rFonts w:cs="Arial"/>
          <w:lang w:val="en-GB"/>
        </w:rPr>
        <w:t xml:space="preserve">a more practicable approach would be preferable to avoid </w:t>
      </w:r>
      <w:r w:rsidR="004D428B" w:rsidRPr="1AE2FE19">
        <w:rPr>
          <w:rFonts w:cs="Arial"/>
          <w:lang w:val="en-GB"/>
        </w:rPr>
        <w:t xml:space="preserve">unnecessary administrative burden and to establish a fair balance between </w:t>
      </w:r>
      <w:r w:rsidRPr="1AE2FE19">
        <w:rPr>
          <w:rFonts w:cs="Arial"/>
          <w:lang w:val="en-GB"/>
        </w:rPr>
        <w:t xml:space="preserve">accuracy and operational realities. </w:t>
      </w:r>
      <w:r w:rsidR="009B024E" w:rsidRPr="1AE2FE19">
        <w:rPr>
          <w:rFonts w:cs="Arial"/>
          <w:lang w:val="en-GB"/>
        </w:rPr>
        <w:t xml:space="preserve">It would be useful to consider, for </w:t>
      </w:r>
      <w:r w:rsidRPr="1AE2FE19">
        <w:rPr>
          <w:rFonts w:cs="Arial"/>
          <w:lang w:val="en-GB"/>
        </w:rPr>
        <w:t>example</w:t>
      </w:r>
      <w:r w:rsidR="009B024E" w:rsidRPr="1AE2FE19">
        <w:rPr>
          <w:rFonts w:cs="Arial"/>
          <w:lang w:val="en-GB"/>
        </w:rPr>
        <w:t>,</w:t>
      </w:r>
      <w:r w:rsidRPr="1AE2FE19">
        <w:rPr>
          <w:rFonts w:cs="Arial"/>
          <w:lang w:val="en-GB"/>
        </w:rPr>
        <w:t xml:space="preserve"> taking into account the nature of distribution agreements</w:t>
      </w:r>
      <w:r w:rsidR="004C16CC" w:rsidRPr="1AE2FE19">
        <w:rPr>
          <w:rFonts w:cs="Arial"/>
          <w:lang w:val="en-GB"/>
        </w:rPr>
        <w:t xml:space="preserve"> and </w:t>
      </w:r>
      <w:r w:rsidRPr="1AE2FE19">
        <w:rPr>
          <w:rFonts w:cs="Arial"/>
          <w:lang w:val="en-GB"/>
        </w:rPr>
        <w:t xml:space="preserve">allowing </w:t>
      </w:r>
      <w:r w:rsidRPr="008A3A99">
        <w:rPr>
          <w:rFonts w:cs="Arial"/>
          <w:color w:val="auto"/>
          <w:lang w:val="en-GB"/>
        </w:rPr>
        <w:t xml:space="preserve">certain de minimis </w:t>
      </w:r>
      <w:r w:rsidRPr="1AE2FE19">
        <w:rPr>
          <w:rFonts w:cs="Arial"/>
          <w:lang w:val="en-GB"/>
        </w:rPr>
        <w:t xml:space="preserve">transactions to be sourced in the same way as the main transactions </w:t>
      </w:r>
      <w:r w:rsidR="00F15564" w:rsidRPr="1AE2FE19">
        <w:rPr>
          <w:rFonts w:cs="Arial"/>
          <w:lang w:val="en-GB"/>
        </w:rPr>
        <w:t xml:space="preserve">in order </w:t>
      </w:r>
      <w:r w:rsidRPr="1AE2FE19">
        <w:rPr>
          <w:rFonts w:cs="Arial"/>
          <w:lang w:val="en-GB"/>
        </w:rPr>
        <w:t>to limit the</w:t>
      </w:r>
      <w:r w:rsidR="00C02C32" w:rsidRPr="1AE2FE19">
        <w:rPr>
          <w:rFonts w:cs="Arial"/>
          <w:lang w:val="en-GB"/>
        </w:rPr>
        <w:t xml:space="preserve"> application of </w:t>
      </w:r>
      <w:r w:rsidRPr="1AE2FE19">
        <w:rPr>
          <w:rFonts w:cs="Arial"/>
          <w:lang w:val="en-GB"/>
        </w:rPr>
        <w:t>different rules.</w:t>
      </w:r>
    </w:p>
    <w:p w14:paraId="4CD3E986" w14:textId="77777777" w:rsidR="007F325D" w:rsidRPr="007F325D" w:rsidRDefault="007F325D" w:rsidP="007F325D">
      <w:pPr>
        <w:pStyle w:val="Liststycke"/>
        <w:rPr>
          <w:rFonts w:cs="Arial"/>
          <w:szCs w:val="22"/>
          <w:lang w:val="en-GB"/>
        </w:rPr>
      </w:pPr>
    </w:p>
    <w:p w14:paraId="1F2F72D2" w14:textId="6D063DBC" w:rsidR="00F35D3A" w:rsidRPr="00C37151" w:rsidRDefault="00F35D3A" w:rsidP="00BD73B0">
      <w:pPr>
        <w:pStyle w:val="Liststycke"/>
        <w:numPr>
          <w:ilvl w:val="0"/>
          <w:numId w:val="45"/>
        </w:numPr>
        <w:spacing w:after="0"/>
        <w:rPr>
          <w:rFonts w:cs="Arial"/>
          <w:szCs w:val="22"/>
          <w:lang w:val="en-GB"/>
        </w:rPr>
      </w:pPr>
      <w:r w:rsidRPr="00C37151">
        <w:rPr>
          <w:rFonts w:cs="Arial"/>
          <w:szCs w:val="22"/>
          <w:lang w:val="en-GB"/>
        </w:rPr>
        <w:t xml:space="preserve">ICC members also hold that due to </w:t>
      </w:r>
      <w:r w:rsidR="007A7D9F" w:rsidRPr="00C37151">
        <w:rPr>
          <w:rFonts w:cs="Arial"/>
          <w:szCs w:val="22"/>
          <w:lang w:val="en-GB"/>
        </w:rPr>
        <w:t>concerns</w:t>
      </w:r>
      <w:r w:rsidR="00DD2C59" w:rsidRPr="00C37151">
        <w:rPr>
          <w:rFonts w:cs="Arial"/>
          <w:szCs w:val="22"/>
          <w:lang w:val="en-GB"/>
        </w:rPr>
        <w:t xml:space="preserve"> regarding</w:t>
      </w:r>
      <w:r w:rsidR="007A7D9F" w:rsidRPr="00C37151">
        <w:rPr>
          <w:rFonts w:cs="Arial"/>
          <w:szCs w:val="22"/>
          <w:lang w:val="en-GB"/>
        </w:rPr>
        <w:t xml:space="preserve"> </w:t>
      </w:r>
      <w:r w:rsidRPr="00C37151">
        <w:rPr>
          <w:rFonts w:cs="Arial"/>
          <w:szCs w:val="22"/>
          <w:lang w:val="en-GB"/>
        </w:rPr>
        <w:t>the sensitivity of the revenue sourcing data</w:t>
      </w:r>
      <w:r w:rsidR="00FF51C7" w:rsidRPr="00C37151">
        <w:rPr>
          <w:rFonts w:cs="Arial"/>
          <w:szCs w:val="22"/>
          <w:lang w:val="en-GB"/>
        </w:rPr>
        <w:t xml:space="preserve"> and </w:t>
      </w:r>
      <w:r w:rsidR="00DD2C59" w:rsidRPr="00C37151">
        <w:rPr>
          <w:rFonts w:cs="Arial"/>
          <w:szCs w:val="22"/>
          <w:lang w:val="en-GB"/>
        </w:rPr>
        <w:t>potential</w:t>
      </w:r>
      <w:r w:rsidR="003E4D93" w:rsidRPr="00C37151">
        <w:rPr>
          <w:rFonts w:cs="Arial"/>
          <w:szCs w:val="22"/>
          <w:lang w:val="en-GB"/>
        </w:rPr>
        <w:t xml:space="preserve"> competition risks, </w:t>
      </w:r>
      <w:r w:rsidR="00241080" w:rsidRPr="00C37151">
        <w:rPr>
          <w:rFonts w:cs="Arial"/>
          <w:szCs w:val="22"/>
          <w:lang w:val="en-GB"/>
        </w:rPr>
        <w:t>the return</w:t>
      </w:r>
      <w:r w:rsidR="00123C2D" w:rsidRPr="00C37151">
        <w:rPr>
          <w:rFonts w:cs="Arial"/>
          <w:szCs w:val="22"/>
          <w:lang w:val="en-GB"/>
        </w:rPr>
        <w:t xml:space="preserve"> [which depicts the revenue allocated to each market jurisdiction], </w:t>
      </w:r>
      <w:r w:rsidRPr="00C37151">
        <w:rPr>
          <w:rFonts w:cs="Arial"/>
          <w:szCs w:val="22"/>
          <w:lang w:val="en-GB"/>
        </w:rPr>
        <w:t>should not be exchanged with any jurisdiction.</w:t>
      </w:r>
    </w:p>
    <w:p w14:paraId="2960D7AB" w14:textId="77777777" w:rsidR="00F35D3A" w:rsidRDefault="00F35D3A" w:rsidP="006D3F0F">
      <w:pPr>
        <w:spacing w:after="0"/>
        <w:contextualSpacing/>
        <w:rPr>
          <w:rFonts w:cs="Arial"/>
          <w:szCs w:val="22"/>
          <w:lang w:val="en-GB"/>
        </w:rPr>
      </w:pPr>
    </w:p>
    <w:p w14:paraId="4C3173C7" w14:textId="665C68E4" w:rsidR="00B354F8" w:rsidRDefault="00C7178D" w:rsidP="00282B87">
      <w:pPr>
        <w:pStyle w:val="Liststycke"/>
        <w:numPr>
          <w:ilvl w:val="0"/>
          <w:numId w:val="45"/>
        </w:numPr>
        <w:spacing w:after="0"/>
        <w:rPr>
          <w:rFonts w:cs="Arial"/>
          <w:lang w:val="en-GB"/>
        </w:rPr>
      </w:pPr>
      <w:r w:rsidRPr="1AE2FE19">
        <w:rPr>
          <w:rFonts w:cs="Arial"/>
          <w:lang w:val="en-GB"/>
        </w:rPr>
        <w:t xml:space="preserve">It would also be useful to consider </w:t>
      </w:r>
      <w:r w:rsidR="00653054" w:rsidRPr="1AE2FE19">
        <w:rPr>
          <w:rFonts w:cs="Arial"/>
          <w:lang w:val="en-GB"/>
        </w:rPr>
        <w:t xml:space="preserve">the </w:t>
      </w:r>
      <w:r w:rsidR="000A7DB9" w:rsidRPr="1AE2FE19">
        <w:rPr>
          <w:rFonts w:cs="Arial"/>
          <w:lang w:val="en-GB"/>
        </w:rPr>
        <w:t xml:space="preserve">related complexity </w:t>
      </w:r>
      <w:r w:rsidR="00B80680" w:rsidRPr="1AE2FE19">
        <w:rPr>
          <w:rFonts w:cs="Arial"/>
          <w:lang w:val="en-GB"/>
        </w:rPr>
        <w:t xml:space="preserve">for particular industries </w:t>
      </w:r>
      <w:r w:rsidR="00E03766" w:rsidRPr="1AE2FE19">
        <w:rPr>
          <w:rFonts w:cs="Arial"/>
          <w:lang w:val="en-GB"/>
        </w:rPr>
        <w:t xml:space="preserve">in </w:t>
      </w:r>
      <w:r w:rsidR="000A7DB9" w:rsidRPr="1AE2FE19">
        <w:rPr>
          <w:rFonts w:cs="Arial"/>
          <w:lang w:val="en-GB"/>
        </w:rPr>
        <w:t>determining the source for revenues with respect to intellectual property or research and development payments</w:t>
      </w:r>
      <w:r w:rsidR="004A5657" w:rsidRPr="1AE2FE19">
        <w:rPr>
          <w:rFonts w:cs="Arial"/>
          <w:lang w:val="en-GB"/>
        </w:rPr>
        <w:t>/milestones in product development</w:t>
      </w:r>
      <w:r w:rsidR="00A15620" w:rsidRPr="1AE2FE19">
        <w:rPr>
          <w:rFonts w:cs="Arial"/>
          <w:lang w:val="en-GB"/>
        </w:rPr>
        <w:t xml:space="preserve">. Clarification on how to determine the source of such payments </w:t>
      </w:r>
      <w:r w:rsidR="009A4611" w:rsidRPr="1AE2FE19">
        <w:rPr>
          <w:rFonts w:cs="Arial"/>
          <w:lang w:val="en-GB"/>
        </w:rPr>
        <w:t>would be</w:t>
      </w:r>
      <w:r w:rsidR="00A15620" w:rsidRPr="1AE2FE19">
        <w:rPr>
          <w:rFonts w:cs="Arial"/>
          <w:lang w:val="en-GB"/>
        </w:rPr>
        <w:t xml:space="preserve"> needed.  </w:t>
      </w:r>
    </w:p>
    <w:p w14:paraId="6FC2F1BE" w14:textId="77777777" w:rsidR="00FD04E4" w:rsidRPr="00FD04E4" w:rsidRDefault="00FD04E4" w:rsidP="00FD04E4">
      <w:pPr>
        <w:pStyle w:val="Liststycke"/>
        <w:rPr>
          <w:rFonts w:cs="Arial"/>
          <w:szCs w:val="22"/>
          <w:lang w:val="en-GB"/>
        </w:rPr>
      </w:pPr>
    </w:p>
    <w:p w14:paraId="16D7CC02" w14:textId="5E65C6F6" w:rsidR="007F4122" w:rsidRPr="00C37151" w:rsidRDefault="002F0081" w:rsidP="00C37151">
      <w:pPr>
        <w:pStyle w:val="Liststycke"/>
        <w:numPr>
          <w:ilvl w:val="0"/>
          <w:numId w:val="45"/>
        </w:numPr>
        <w:spacing w:after="0"/>
        <w:rPr>
          <w:rFonts w:cs="Arial"/>
          <w:szCs w:val="22"/>
          <w:lang w:val="en-GB"/>
        </w:rPr>
      </w:pPr>
      <w:r w:rsidRPr="00C37151">
        <w:rPr>
          <w:rFonts w:cs="Arial"/>
          <w:szCs w:val="22"/>
          <w:lang w:val="en-GB"/>
        </w:rPr>
        <w:t>ICC also</w:t>
      </w:r>
      <w:r w:rsidR="00C037B1" w:rsidRPr="00C37151">
        <w:rPr>
          <w:rFonts w:cs="Arial"/>
          <w:szCs w:val="22"/>
          <w:lang w:val="en-GB"/>
        </w:rPr>
        <w:t xml:space="preserve"> respectfully</w:t>
      </w:r>
      <w:r w:rsidRPr="00C37151">
        <w:rPr>
          <w:rFonts w:cs="Arial"/>
          <w:szCs w:val="22"/>
          <w:lang w:val="en-GB"/>
        </w:rPr>
        <w:t xml:space="preserve"> notes that t</w:t>
      </w:r>
      <w:r w:rsidR="00B354F8" w:rsidRPr="00C37151">
        <w:rPr>
          <w:rFonts w:cs="Arial"/>
          <w:szCs w:val="22"/>
          <w:lang w:val="en-GB"/>
        </w:rPr>
        <w:t xml:space="preserve">he proposed rules </w:t>
      </w:r>
      <w:r w:rsidR="00C037B1" w:rsidRPr="00C37151">
        <w:rPr>
          <w:rFonts w:cs="Arial"/>
          <w:szCs w:val="22"/>
          <w:lang w:val="en-GB"/>
        </w:rPr>
        <w:t>in their current</w:t>
      </w:r>
      <w:r w:rsidR="00276918" w:rsidRPr="00C37151">
        <w:rPr>
          <w:rFonts w:cs="Arial"/>
          <w:szCs w:val="22"/>
          <w:lang w:val="en-GB"/>
        </w:rPr>
        <w:t xml:space="preserve"> form</w:t>
      </w:r>
      <w:r w:rsidR="00C037B1" w:rsidRPr="00C37151">
        <w:rPr>
          <w:rFonts w:cs="Arial"/>
          <w:szCs w:val="22"/>
          <w:lang w:val="en-GB"/>
        </w:rPr>
        <w:t xml:space="preserve"> </w:t>
      </w:r>
      <w:r w:rsidR="00B354F8" w:rsidRPr="00C37151">
        <w:rPr>
          <w:rFonts w:cs="Arial"/>
          <w:szCs w:val="22"/>
          <w:lang w:val="en-GB"/>
        </w:rPr>
        <w:t>do not</w:t>
      </w:r>
      <w:r w:rsidR="00C037B1" w:rsidRPr="00C37151">
        <w:rPr>
          <w:rFonts w:cs="Arial"/>
          <w:szCs w:val="22"/>
          <w:lang w:val="en-GB"/>
        </w:rPr>
        <w:t xml:space="preserve"> appear to provide </w:t>
      </w:r>
      <w:r w:rsidR="00043E30" w:rsidRPr="00C37151">
        <w:rPr>
          <w:rFonts w:cs="Arial"/>
          <w:szCs w:val="22"/>
          <w:lang w:val="en-GB"/>
        </w:rPr>
        <w:t xml:space="preserve">sufficient </w:t>
      </w:r>
      <w:r w:rsidR="00C037B1" w:rsidRPr="00C37151">
        <w:rPr>
          <w:rFonts w:cs="Arial"/>
          <w:szCs w:val="22"/>
          <w:lang w:val="en-GB"/>
        </w:rPr>
        <w:t>simplification and clarity and could</w:t>
      </w:r>
      <w:r w:rsidR="009A31FE" w:rsidRPr="00C37151">
        <w:rPr>
          <w:rFonts w:cs="Arial"/>
          <w:szCs w:val="22"/>
          <w:lang w:val="en-GB"/>
        </w:rPr>
        <w:t>,</w:t>
      </w:r>
      <w:r w:rsidR="00C037B1" w:rsidRPr="00C37151">
        <w:rPr>
          <w:rFonts w:cs="Arial"/>
          <w:szCs w:val="22"/>
          <w:lang w:val="en-GB"/>
        </w:rPr>
        <w:t xml:space="preserve"> therefore</w:t>
      </w:r>
      <w:r w:rsidR="009A31FE" w:rsidRPr="00C37151">
        <w:rPr>
          <w:rFonts w:cs="Arial"/>
          <w:szCs w:val="22"/>
          <w:lang w:val="en-GB"/>
        </w:rPr>
        <w:t>,</w:t>
      </w:r>
      <w:r w:rsidR="00C037B1" w:rsidRPr="00C37151">
        <w:rPr>
          <w:rFonts w:cs="Arial"/>
          <w:szCs w:val="22"/>
          <w:lang w:val="en-GB"/>
        </w:rPr>
        <w:t xml:space="preserve"> lead to an increase in tax disputes. </w:t>
      </w:r>
      <w:r w:rsidR="00CF3126" w:rsidRPr="00C37151">
        <w:rPr>
          <w:rFonts w:cs="Arial"/>
          <w:szCs w:val="22"/>
          <w:lang w:val="en-GB"/>
        </w:rPr>
        <w:t xml:space="preserve">In this respect, ICC reiterates the </w:t>
      </w:r>
      <w:r w:rsidR="00A26B8C" w:rsidRPr="00C37151">
        <w:rPr>
          <w:rFonts w:cs="Arial"/>
          <w:szCs w:val="22"/>
          <w:lang w:val="en-GB"/>
        </w:rPr>
        <w:t xml:space="preserve">importance of </w:t>
      </w:r>
      <w:r w:rsidR="00BB1EB9" w:rsidRPr="00C37151">
        <w:rPr>
          <w:rFonts w:cs="Arial"/>
          <w:szCs w:val="22"/>
          <w:lang w:val="en-GB"/>
        </w:rPr>
        <w:t xml:space="preserve">robust </w:t>
      </w:r>
      <w:r w:rsidR="00A26B8C" w:rsidRPr="00C37151">
        <w:rPr>
          <w:rFonts w:cs="Arial"/>
          <w:szCs w:val="22"/>
          <w:lang w:val="en-GB"/>
        </w:rPr>
        <w:t xml:space="preserve">dispute avoidance and </w:t>
      </w:r>
      <w:r w:rsidR="00BB1EB9" w:rsidRPr="00C37151">
        <w:rPr>
          <w:rFonts w:cs="Arial"/>
          <w:szCs w:val="22"/>
          <w:lang w:val="en-GB"/>
        </w:rPr>
        <w:t xml:space="preserve">dispute resolution mechanisms in </w:t>
      </w:r>
      <w:r w:rsidR="008A5826" w:rsidRPr="00C37151">
        <w:rPr>
          <w:rFonts w:cs="Arial"/>
          <w:szCs w:val="22"/>
          <w:lang w:val="en-GB"/>
        </w:rPr>
        <w:t xml:space="preserve">place for jurisdictions that adopt the OECD guidance.  </w:t>
      </w:r>
    </w:p>
    <w:p w14:paraId="0E852EEB" w14:textId="14AA46D8" w:rsidR="00D22066" w:rsidRDefault="00D22066">
      <w:pPr>
        <w:spacing w:after="0"/>
        <w:rPr>
          <w:rFonts w:cs="Arial"/>
          <w:b/>
          <w:color w:val="0070C0"/>
          <w:sz w:val="26"/>
          <w:szCs w:val="26"/>
          <w:u w:val="single"/>
          <w:lang w:val="en-GB"/>
        </w:rPr>
      </w:pPr>
    </w:p>
    <w:p w14:paraId="4407B394" w14:textId="10DD95DA" w:rsidR="00326C7C" w:rsidRPr="00A733FA" w:rsidRDefault="00326C7C" w:rsidP="006D3F0F">
      <w:pPr>
        <w:spacing w:after="0"/>
        <w:contextualSpacing/>
        <w:rPr>
          <w:rFonts w:cs="Arial"/>
          <w:b/>
          <w:bCs/>
          <w:color w:val="0070C0"/>
          <w:sz w:val="26"/>
          <w:szCs w:val="26"/>
          <w:u w:val="single"/>
          <w:lang w:val="en-GB"/>
        </w:rPr>
      </w:pPr>
      <w:r w:rsidRPr="00A733FA">
        <w:rPr>
          <w:rFonts w:cs="Arial"/>
          <w:b/>
          <w:color w:val="0070C0"/>
          <w:sz w:val="26"/>
          <w:szCs w:val="26"/>
          <w:u w:val="single"/>
          <w:lang w:val="en-GB"/>
        </w:rPr>
        <w:t xml:space="preserve">Specific </w:t>
      </w:r>
      <w:r w:rsidR="00A96738">
        <w:rPr>
          <w:rFonts w:cs="Arial"/>
          <w:b/>
          <w:color w:val="0070C0"/>
          <w:sz w:val="26"/>
          <w:szCs w:val="26"/>
          <w:u w:val="single"/>
          <w:lang w:val="en-GB"/>
        </w:rPr>
        <w:t>comments</w:t>
      </w:r>
      <w:r w:rsidRPr="00A733FA">
        <w:rPr>
          <w:rFonts w:cs="Arial"/>
          <w:b/>
          <w:bCs/>
          <w:color w:val="0070C0"/>
          <w:sz w:val="26"/>
          <w:szCs w:val="26"/>
          <w:u w:val="single"/>
          <w:lang w:val="en-GB"/>
        </w:rPr>
        <w:t>:</w:t>
      </w:r>
    </w:p>
    <w:p w14:paraId="76811246" w14:textId="75100030" w:rsidR="00326C7C" w:rsidRDefault="00326C7C" w:rsidP="006D3F0F">
      <w:pPr>
        <w:spacing w:after="0"/>
        <w:contextualSpacing/>
        <w:rPr>
          <w:rFonts w:cs="Arial"/>
          <w:szCs w:val="22"/>
          <w:lang w:val="en-GB"/>
        </w:rPr>
      </w:pPr>
    </w:p>
    <w:p w14:paraId="7FEDE435" w14:textId="56E93EA0" w:rsidR="005F584D" w:rsidRPr="005F584D" w:rsidRDefault="63BDCDA7" w:rsidP="006D3F0F">
      <w:pPr>
        <w:pStyle w:val="Liststycke"/>
        <w:numPr>
          <w:ilvl w:val="0"/>
          <w:numId w:val="44"/>
        </w:numPr>
        <w:spacing w:after="0"/>
        <w:rPr>
          <w:rFonts w:ascii="Arial" w:eastAsia="Arial" w:hAnsi="Arial" w:cs="Arial"/>
          <w:szCs w:val="22"/>
          <w:lang w:val="en-GB"/>
        </w:rPr>
      </w:pPr>
      <w:r w:rsidRPr="4C671B14">
        <w:rPr>
          <w:rFonts w:cs="Arial"/>
          <w:lang w:val="en-GB"/>
        </w:rPr>
        <w:t xml:space="preserve">Para 9 clarifies that “Revenues derived from a transaction for the licensing, sale or other alienation of Intangible Property (a.) arise in [a Jurisdiction] when: </w:t>
      </w:r>
    </w:p>
    <w:p w14:paraId="6458B80B" w14:textId="77777777" w:rsidR="005F584D" w:rsidRPr="005F584D" w:rsidRDefault="005F584D" w:rsidP="0009080B">
      <w:pPr>
        <w:spacing w:after="0"/>
        <w:ind w:left="720"/>
        <w:contextualSpacing/>
        <w:rPr>
          <w:rFonts w:cs="Arial"/>
          <w:szCs w:val="22"/>
          <w:lang w:val="en-GB"/>
        </w:rPr>
      </w:pPr>
      <w:r w:rsidRPr="005F584D">
        <w:rPr>
          <w:rFonts w:cs="Arial"/>
          <w:szCs w:val="22"/>
          <w:lang w:val="en-GB"/>
        </w:rPr>
        <w:t>i.</w:t>
      </w:r>
      <w:r w:rsidRPr="005F584D">
        <w:rPr>
          <w:rFonts w:cs="Arial"/>
          <w:szCs w:val="22"/>
          <w:lang w:val="en-GB"/>
        </w:rPr>
        <w:tab/>
        <w:t xml:space="preserve">[..] or </w:t>
      </w:r>
    </w:p>
    <w:p w14:paraId="3A996253" w14:textId="08307403" w:rsidR="005F584D" w:rsidRDefault="005F584D" w:rsidP="0009080B">
      <w:pPr>
        <w:spacing w:after="0"/>
        <w:ind w:left="1440" w:hanging="720"/>
        <w:contextualSpacing/>
        <w:rPr>
          <w:rFonts w:cs="Arial"/>
          <w:szCs w:val="22"/>
          <w:lang w:val="en-GB"/>
        </w:rPr>
      </w:pPr>
      <w:r w:rsidRPr="005F584D">
        <w:rPr>
          <w:rFonts w:cs="Arial"/>
          <w:szCs w:val="22"/>
          <w:lang w:val="en-GB"/>
        </w:rPr>
        <w:t>ii.</w:t>
      </w:r>
      <w:r w:rsidRPr="005F584D">
        <w:rPr>
          <w:rFonts w:cs="Arial"/>
          <w:szCs w:val="22"/>
          <w:lang w:val="en-GB"/>
        </w:rPr>
        <w:tab/>
        <w:t>the place of use of the Intangible Property by Final Customers in all other cases is in [a Jurisdiction].</w:t>
      </w:r>
    </w:p>
    <w:p w14:paraId="45DF54C1" w14:textId="77777777" w:rsidR="00214717" w:rsidRPr="005F584D" w:rsidRDefault="00214717" w:rsidP="006D3F0F">
      <w:pPr>
        <w:spacing w:after="0"/>
        <w:contextualSpacing/>
        <w:rPr>
          <w:rFonts w:cs="Arial"/>
          <w:szCs w:val="22"/>
          <w:lang w:val="en-GB"/>
        </w:rPr>
      </w:pPr>
    </w:p>
    <w:p w14:paraId="01E4225C" w14:textId="250E8772" w:rsidR="005F584D" w:rsidRDefault="005F584D" w:rsidP="0009080B">
      <w:pPr>
        <w:spacing w:after="0"/>
        <w:ind w:left="720"/>
        <w:contextualSpacing/>
        <w:rPr>
          <w:rFonts w:cs="Arial"/>
          <w:szCs w:val="22"/>
          <w:lang w:val="en-GB"/>
        </w:rPr>
      </w:pPr>
      <w:r w:rsidRPr="005F584D">
        <w:rPr>
          <w:rFonts w:cs="Arial"/>
          <w:szCs w:val="22"/>
          <w:lang w:val="en-GB"/>
        </w:rPr>
        <w:lastRenderedPageBreak/>
        <w:t xml:space="preserve">The wordings included in subparagraph (ii), in particular the reference to “all other cases” seems somewhat unclear. Very similar, but clearer language is included in Part 6, para A(1)(b) (page 26).  </w:t>
      </w:r>
    </w:p>
    <w:p w14:paraId="396EF5E8" w14:textId="70DCA8C9" w:rsidR="00877FBC" w:rsidRDefault="00877FBC" w:rsidP="0009080B">
      <w:pPr>
        <w:spacing w:after="0"/>
        <w:ind w:left="720"/>
        <w:contextualSpacing/>
        <w:rPr>
          <w:rFonts w:cs="Arial"/>
          <w:szCs w:val="22"/>
          <w:lang w:val="en-GB"/>
        </w:rPr>
      </w:pPr>
    </w:p>
    <w:p w14:paraId="3923BB2F" w14:textId="7177287B" w:rsidR="00877FBC" w:rsidRDefault="00877FBC" w:rsidP="0009080B">
      <w:pPr>
        <w:spacing w:after="0"/>
        <w:ind w:left="720"/>
        <w:rPr>
          <w:lang w:val="en-GB"/>
        </w:rPr>
      </w:pPr>
      <w:r>
        <w:t>ICC recommends bringing</w:t>
      </w:r>
      <w:r w:rsidRPr="004F7C6B">
        <w:rPr>
          <w:lang w:val="en-GB"/>
        </w:rPr>
        <w:t xml:space="preserve"> the </w:t>
      </w:r>
      <w:r>
        <w:rPr>
          <w:lang w:val="en-GB"/>
        </w:rPr>
        <w:t>language</w:t>
      </w:r>
      <w:r w:rsidRPr="004F7C6B">
        <w:rPr>
          <w:lang w:val="en-GB"/>
        </w:rPr>
        <w:t xml:space="preserve"> of para 9, subparagraph (II) (page 8) in line </w:t>
      </w:r>
      <w:r>
        <w:rPr>
          <w:lang w:val="en-GB"/>
        </w:rPr>
        <w:t xml:space="preserve">with </w:t>
      </w:r>
      <w:r w:rsidRPr="004F7C6B">
        <w:rPr>
          <w:lang w:val="en-GB"/>
        </w:rPr>
        <w:t xml:space="preserve">Part 6, para A(1)(b) (page 26): </w:t>
      </w:r>
    </w:p>
    <w:p w14:paraId="33EBE9FA" w14:textId="77777777" w:rsidR="0009080B" w:rsidRDefault="0009080B" w:rsidP="0009080B">
      <w:pPr>
        <w:spacing w:after="0"/>
        <w:ind w:left="720"/>
        <w:rPr>
          <w:lang w:val="en-GB"/>
        </w:rPr>
      </w:pPr>
    </w:p>
    <w:p w14:paraId="292AA080" w14:textId="77777777" w:rsidR="00877FBC" w:rsidRPr="00B31F78" w:rsidRDefault="00877FBC" w:rsidP="0009080B">
      <w:pPr>
        <w:spacing w:after="0"/>
        <w:ind w:left="720"/>
        <w:rPr>
          <w:i/>
          <w:iCs/>
          <w:lang w:val="en-GB"/>
        </w:rPr>
      </w:pPr>
      <w:r w:rsidRPr="00B31F78">
        <w:rPr>
          <w:i/>
          <w:iCs/>
          <w:lang w:val="en-GB"/>
        </w:rPr>
        <w:t xml:space="preserve">“In all other cases, when the place of use of the Intangible Property by the Final Customer is in [a Jurisdiction].”. </w:t>
      </w:r>
    </w:p>
    <w:p w14:paraId="5C440940" w14:textId="42486715" w:rsidR="00877FBC" w:rsidRDefault="00877FBC" w:rsidP="006D3F0F">
      <w:pPr>
        <w:spacing w:after="0"/>
        <w:contextualSpacing/>
        <w:rPr>
          <w:szCs w:val="22"/>
          <w:lang w:val="en-GB"/>
        </w:rPr>
      </w:pPr>
    </w:p>
    <w:p w14:paraId="5E60D442" w14:textId="07C6158A" w:rsidR="23A01860" w:rsidRDefault="23A01860" w:rsidP="006D3F0F">
      <w:pPr>
        <w:pStyle w:val="Liststycke"/>
        <w:numPr>
          <w:ilvl w:val="0"/>
          <w:numId w:val="44"/>
        </w:numPr>
        <w:spacing w:after="0"/>
        <w:rPr>
          <w:rFonts w:eastAsia="Gotham Book" w:cs="Gotham Book"/>
          <w:szCs w:val="22"/>
          <w:lang w:val="en-GB"/>
        </w:rPr>
      </w:pPr>
      <w:r w:rsidRPr="4C671B14">
        <w:rPr>
          <w:lang w:val="en-GB"/>
        </w:rPr>
        <w:t>Part 2(3) clarifies what constitutes a “Reliable Indicator”, while Part 2(4) defines what constitutes “Another Reliable Indicator”.  For this purpose, Part 2(4) refers both to certain rules in Article 5 and requirements in Paragraph 3.</w:t>
      </w:r>
    </w:p>
    <w:p w14:paraId="40F29072" w14:textId="77777777" w:rsidR="006D3F0F" w:rsidRDefault="006D3F0F" w:rsidP="006D3F0F">
      <w:pPr>
        <w:spacing w:after="0"/>
        <w:rPr>
          <w:lang w:val="en-GB"/>
        </w:rPr>
      </w:pPr>
    </w:p>
    <w:p w14:paraId="787B9D6D" w14:textId="62430A64" w:rsidR="4684C587" w:rsidRDefault="0099005F" w:rsidP="00A92717">
      <w:pPr>
        <w:spacing w:after="0"/>
        <w:ind w:left="720"/>
        <w:rPr>
          <w:lang w:val="en-GB"/>
        </w:rPr>
      </w:pPr>
      <w:r>
        <w:rPr>
          <w:lang w:val="en-GB"/>
        </w:rPr>
        <w:t>ICC submits two</w:t>
      </w:r>
      <w:r w:rsidR="4684C587" w:rsidRPr="4C671B14">
        <w:rPr>
          <w:lang w:val="en-GB"/>
        </w:rPr>
        <w:t xml:space="preserve"> comments in this regard: </w:t>
      </w:r>
    </w:p>
    <w:p w14:paraId="79975964" w14:textId="77777777" w:rsidR="003F2C01" w:rsidRDefault="003F2C01" w:rsidP="00A92717">
      <w:pPr>
        <w:spacing w:after="0"/>
        <w:ind w:left="1440"/>
        <w:rPr>
          <w:lang w:val="en-GB"/>
        </w:rPr>
      </w:pPr>
    </w:p>
    <w:p w14:paraId="3FC5AFF3" w14:textId="69F510EE" w:rsidR="4684C587" w:rsidRDefault="4684C587" w:rsidP="00A92717">
      <w:pPr>
        <w:spacing w:after="0"/>
        <w:ind w:left="720"/>
        <w:rPr>
          <w:lang w:val="en-GB"/>
        </w:rPr>
      </w:pPr>
      <w:r w:rsidRPr="4C671B14">
        <w:rPr>
          <w:lang w:val="en-GB"/>
        </w:rPr>
        <w:t>Another Reliable Indicator is defined in Part 2(4). However, the draft contains 21 cases where reference is made to “Another Reliable Indicator as defined in Part 2(3)”. It seems that in all these cases reference should be made to Part 2(4)?</w:t>
      </w:r>
    </w:p>
    <w:p w14:paraId="4F31256F" w14:textId="77777777" w:rsidR="003F2C01" w:rsidRDefault="003F2C01" w:rsidP="00A92717">
      <w:pPr>
        <w:spacing w:after="0"/>
        <w:ind w:left="1440"/>
        <w:rPr>
          <w:lang w:val="en-GB"/>
        </w:rPr>
      </w:pPr>
    </w:p>
    <w:p w14:paraId="19CC313D" w14:textId="67C016A2" w:rsidR="4684C587" w:rsidRDefault="001A7E77" w:rsidP="00A92717">
      <w:pPr>
        <w:spacing w:after="0"/>
        <w:ind w:left="720"/>
        <w:rPr>
          <w:lang w:val="en-GB"/>
        </w:rPr>
      </w:pPr>
      <w:r>
        <w:rPr>
          <w:lang w:val="en-GB"/>
        </w:rPr>
        <w:t>With respect to</w:t>
      </w:r>
      <w:r w:rsidR="4684C587" w:rsidRPr="4C671B14">
        <w:rPr>
          <w:lang w:val="en-GB"/>
        </w:rPr>
        <w:t xml:space="preserve"> Part 2(4), it seems likely that reference should be made to Paragraph 5 instead of Article 5</w:t>
      </w:r>
      <w:r w:rsidR="0071BEB5" w:rsidRPr="4C671B14">
        <w:rPr>
          <w:lang w:val="en-GB"/>
        </w:rPr>
        <w:t>.</w:t>
      </w:r>
    </w:p>
    <w:p w14:paraId="3809B70C" w14:textId="77777777" w:rsidR="003F2C01" w:rsidRDefault="003F2C01" w:rsidP="003F2C01">
      <w:pPr>
        <w:spacing w:after="0"/>
        <w:ind w:left="720"/>
        <w:rPr>
          <w:szCs w:val="22"/>
          <w:lang w:val="en-GB"/>
        </w:rPr>
      </w:pPr>
    </w:p>
    <w:p w14:paraId="0AFCB3A6" w14:textId="3E4D56DA" w:rsidR="59CAE839" w:rsidRDefault="59CAE839" w:rsidP="003F2C01">
      <w:pPr>
        <w:spacing w:after="0"/>
        <w:ind w:left="720"/>
        <w:rPr>
          <w:lang w:val="en-GB"/>
        </w:rPr>
      </w:pPr>
      <w:r w:rsidRPr="4C671B14">
        <w:rPr>
          <w:szCs w:val="22"/>
          <w:lang w:val="en-GB"/>
        </w:rPr>
        <w:t xml:space="preserve">ICC </w:t>
      </w:r>
      <w:r w:rsidR="00036FFA">
        <w:rPr>
          <w:szCs w:val="22"/>
          <w:lang w:val="en-GB"/>
        </w:rPr>
        <w:t xml:space="preserve">therefore </w:t>
      </w:r>
      <w:r w:rsidRPr="4C671B14">
        <w:rPr>
          <w:szCs w:val="22"/>
          <w:lang w:val="en-GB"/>
        </w:rPr>
        <w:t>recommends check</w:t>
      </w:r>
      <w:r w:rsidR="000841BC">
        <w:rPr>
          <w:szCs w:val="22"/>
          <w:lang w:val="en-GB"/>
        </w:rPr>
        <w:t>ing</w:t>
      </w:r>
      <w:r w:rsidRPr="4C671B14">
        <w:rPr>
          <w:rFonts w:ascii="Calibri" w:eastAsia="Calibri" w:hAnsi="Calibri" w:cs="Calibri"/>
          <w:szCs w:val="22"/>
          <w:lang w:val="en-GB"/>
        </w:rPr>
        <w:t xml:space="preserve"> </w:t>
      </w:r>
      <w:r w:rsidRPr="4C671B14">
        <w:rPr>
          <w:lang w:val="en-GB"/>
        </w:rPr>
        <w:t>reference to Part 2(3) and Article 5.</w:t>
      </w:r>
    </w:p>
    <w:p w14:paraId="254C1A16" w14:textId="77777777" w:rsidR="00036FFA" w:rsidRDefault="00036FFA" w:rsidP="006D3F0F">
      <w:pPr>
        <w:spacing w:after="0"/>
        <w:rPr>
          <w:szCs w:val="22"/>
          <w:lang w:val="en-GB"/>
        </w:rPr>
      </w:pPr>
    </w:p>
    <w:p w14:paraId="0CEBEA94" w14:textId="1A9820DA" w:rsidR="59CAE839" w:rsidRPr="00871B7E" w:rsidRDefault="59CAE839" w:rsidP="006D3F0F">
      <w:pPr>
        <w:pStyle w:val="Liststycke"/>
        <w:numPr>
          <w:ilvl w:val="0"/>
          <w:numId w:val="44"/>
        </w:numPr>
        <w:spacing w:after="0"/>
        <w:rPr>
          <w:rFonts w:eastAsia="Gotham Book" w:cs="Gotham Book"/>
          <w:szCs w:val="22"/>
          <w:lang w:val="en-GB"/>
        </w:rPr>
      </w:pPr>
      <w:r w:rsidRPr="4C671B14">
        <w:rPr>
          <w:lang w:val="en-GB"/>
        </w:rPr>
        <w:t xml:space="preserve">Para 7 describes an exceptional situation where the Covered Group must use either the Allocation Key or, in the absence of such an Allocation Key, the Global Allocation Key. </w:t>
      </w:r>
    </w:p>
    <w:p w14:paraId="1425C310" w14:textId="77777777" w:rsidR="00871B7E" w:rsidRDefault="00871B7E" w:rsidP="00871B7E">
      <w:pPr>
        <w:pStyle w:val="Liststycke"/>
        <w:spacing w:after="0"/>
        <w:rPr>
          <w:rFonts w:eastAsia="Gotham Book" w:cs="Gotham Book"/>
          <w:szCs w:val="22"/>
          <w:lang w:val="en-GB"/>
        </w:rPr>
      </w:pPr>
    </w:p>
    <w:p w14:paraId="4B1D8740" w14:textId="0CCDE78E" w:rsidR="59CAE839" w:rsidRDefault="59CAE839" w:rsidP="00871B7E">
      <w:pPr>
        <w:spacing w:after="0"/>
        <w:ind w:left="720"/>
        <w:rPr>
          <w:lang w:val="en-GB"/>
        </w:rPr>
      </w:pPr>
      <w:r w:rsidRPr="4C671B14">
        <w:rPr>
          <w:lang w:val="en-GB"/>
        </w:rPr>
        <w:t>These situations have been listed in subparagraphs (letters) a-c.</w:t>
      </w:r>
      <w:r w:rsidR="00871B7E">
        <w:rPr>
          <w:lang w:val="en-GB"/>
        </w:rPr>
        <w:t xml:space="preserve">  </w:t>
      </w:r>
      <w:r w:rsidRPr="4C671B14">
        <w:rPr>
          <w:lang w:val="en-GB"/>
        </w:rPr>
        <w:t>However, it</w:t>
      </w:r>
      <w:r w:rsidR="00871B7E">
        <w:rPr>
          <w:lang w:val="en-GB"/>
        </w:rPr>
        <w:t xml:space="preserve"> is</w:t>
      </w:r>
      <w:r w:rsidRPr="4C671B14">
        <w:rPr>
          <w:lang w:val="en-GB"/>
        </w:rPr>
        <w:t xml:space="preserve"> conceivable that </w:t>
      </w:r>
      <w:r w:rsidR="762FF705" w:rsidRPr="4C671B14">
        <w:rPr>
          <w:lang w:val="en-GB"/>
        </w:rPr>
        <w:t>these types of situations</w:t>
      </w:r>
      <w:r w:rsidRPr="4C671B14">
        <w:rPr>
          <w:lang w:val="en-GB"/>
        </w:rPr>
        <w:t xml:space="preserve"> will only occur in relation to certain jurisdictions, while for other jurisdictions subparagraphs a-c would not be applicable (for instance because there is a reliable indicator for these jurisdictions, etc). </w:t>
      </w:r>
    </w:p>
    <w:p w14:paraId="6EE20F21" w14:textId="77777777" w:rsidR="00E95FC7" w:rsidRDefault="00E95FC7" w:rsidP="00871B7E">
      <w:pPr>
        <w:spacing w:after="0"/>
        <w:ind w:left="720"/>
        <w:rPr>
          <w:lang w:val="en-GB"/>
        </w:rPr>
      </w:pPr>
    </w:p>
    <w:p w14:paraId="0C975711" w14:textId="127FEDFB" w:rsidR="35CD63CF" w:rsidRDefault="35CD63CF" w:rsidP="00C0544F">
      <w:pPr>
        <w:spacing w:after="0"/>
        <w:ind w:left="720"/>
        <w:rPr>
          <w:lang w:val="en-GB"/>
        </w:rPr>
      </w:pPr>
      <w:r w:rsidRPr="4C671B14">
        <w:rPr>
          <w:szCs w:val="22"/>
          <w:lang w:val="en-GB"/>
        </w:rPr>
        <w:t xml:space="preserve">ICC recommends </w:t>
      </w:r>
      <w:r w:rsidR="00E95FC7">
        <w:rPr>
          <w:szCs w:val="22"/>
          <w:lang w:val="en-GB"/>
        </w:rPr>
        <w:t>adding</w:t>
      </w:r>
      <w:r w:rsidRPr="4C671B14">
        <w:rPr>
          <w:lang w:val="en-GB"/>
        </w:rPr>
        <w:t xml:space="preserve"> the following wording (in bold) to the first sentence of para 7</w:t>
      </w:r>
      <w:r w:rsidR="07547A4E" w:rsidRPr="4C671B14">
        <w:rPr>
          <w:lang w:val="en-GB"/>
        </w:rPr>
        <w:t>, page 11</w:t>
      </w:r>
      <w:r w:rsidR="7E76F8ED" w:rsidRPr="4C671B14">
        <w:rPr>
          <w:lang w:val="en-GB"/>
        </w:rPr>
        <w:t xml:space="preserve"> to make sure that these situations would not be covered under the exception of para 7, and the mandatory application of the (Global) Allocation Key</w:t>
      </w:r>
      <w:r w:rsidRPr="4C671B14">
        <w:rPr>
          <w:lang w:val="en-GB"/>
        </w:rPr>
        <w:t>:</w:t>
      </w:r>
    </w:p>
    <w:p w14:paraId="4B733E9A" w14:textId="77777777" w:rsidR="00020D4B" w:rsidRDefault="35CD63CF" w:rsidP="00C0544F">
      <w:pPr>
        <w:spacing w:after="0"/>
        <w:ind w:left="720"/>
        <w:rPr>
          <w:i/>
          <w:iCs/>
          <w:lang w:val="en-GB"/>
        </w:rPr>
      </w:pPr>
      <w:r w:rsidRPr="4C671B14">
        <w:rPr>
          <w:i/>
          <w:iCs/>
          <w:lang w:val="en-GB"/>
        </w:rPr>
        <w:t xml:space="preserve"> </w:t>
      </w:r>
    </w:p>
    <w:p w14:paraId="4F986F7A" w14:textId="255510D3" w:rsidR="35CD63CF" w:rsidRDefault="35CD63CF" w:rsidP="00C0544F">
      <w:pPr>
        <w:spacing w:after="0"/>
        <w:ind w:left="720"/>
        <w:rPr>
          <w:lang w:val="en-GB"/>
        </w:rPr>
      </w:pPr>
      <w:r w:rsidRPr="4C671B14">
        <w:rPr>
          <w:i/>
          <w:iCs/>
          <w:lang w:val="en-GB"/>
        </w:rPr>
        <w:t xml:space="preserve">Notwithstanding paragraph 6, </w:t>
      </w:r>
      <w:r w:rsidRPr="4C671B14">
        <w:rPr>
          <w:b/>
          <w:bCs/>
          <w:i/>
          <w:iCs/>
          <w:lang w:val="en-GB"/>
        </w:rPr>
        <w:t>and to the extent</w:t>
      </w:r>
      <w:r w:rsidRPr="4C671B14">
        <w:rPr>
          <w:i/>
          <w:iCs/>
          <w:lang w:val="en-GB"/>
        </w:rPr>
        <w:t xml:space="preserve"> where:</w:t>
      </w:r>
    </w:p>
    <w:p w14:paraId="5E227AB1" w14:textId="49861174" w:rsidR="35CD63CF" w:rsidRDefault="35CD63CF" w:rsidP="00C0544F">
      <w:pPr>
        <w:spacing w:after="0"/>
        <w:ind w:left="720"/>
        <w:rPr>
          <w:lang w:val="en-GB"/>
        </w:rPr>
      </w:pPr>
      <w:r w:rsidRPr="4C671B14">
        <w:rPr>
          <w:lang w:val="en-GB"/>
        </w:rPr>
        <w:t>[..]</w:t>
      </w:r>
    </w:p>
    <w:p w14:paraId="01921B55" w14:textId="77777777" w:rsidR="00946F08" w:rsidRDefault="00946F08" w:rsidP="00C0544F">
      <w:pPr>
        <w:spacing w:after="0"/>
        <w:ind w:left="720"/>
        <w:rPr>
          <w:lang w:val="en-GB"/>
        </w:rPr>
      </w:pPr>
    </w:p>
    <w:p w14:paraId="0A1C19AD" w14:textId="37982363" w:rsidR="25B3D2E0" w:rsidRPr="006B3FD5" w:rsidRDefault="25B3D2E0" w:rsidP="006D3F0F">
      <w:pPr>
        <w:pStyle w:val="Liststycke"/>
        <w:numPr>
          <w:ilvl w:val="0"/>
          <w:numId w:val="44"/>
        </w:numPr>
        <w:spacing w:after="0"/>
        <w:rPr>
          <w:rFonts w:eastAsia="Gotham Book" w:cs="Gotham Book"/>
          <w:szCs w:val="22"/>
          <w:lang w:val="en-GB"/>
        </w:rPr>
      </w:pPr>
      <w:r w:rsidRPr="4C671B14">
        <w:rPr>
          <w:lang w:val="en-GB"/>
        </w:rPr>
        <w:t xml:space="preserve">Part 2 Para 8 states that a Covered Group must demonstrate that its internal control framework ensures that a Reliable Method is used in accordance with this Part. </w:t>
      </w:r>
    </w:p>
    <w:p w14:paraId="3D27874B" w14:textId="77777777" w:rsidR="006B3FD5" w:rsidRDefault="006B3FD5" w:rsidP="006B3FD5">
      <w:pPr>
        <w:pStyle w:val="Liststycke"/>
        <w:spacing w:after="0"/>
        <w:rPr>
          <w:rFonts w:eastAsia="Gotham Book" w:cs="Gotham Book"/>
          <w:szCs w:val="22"/>
          <w:lang w:val="en-GB"/>
        </w:rPr>
      </w:pPr>
    </w:p>
    <w:p w14:paraId="584D3A3D" w14:textId="0C1D60D1" w:rsidR="3888D6C7" w:rsidRDefault="3888D6C7" w:rsidP="006B3FD5">
      <w:pPr>
        <w:spacing w:after="0"/>
        <w:ind w:left="720"/>
        <w:rPr>
          <w:lang w:val="en-GB"/>
        </w:rPr>
      </w:pPr>
      <w:r w:rsidRPr="4C671B14">
        <w:rPr>
          <w:lang w:val="en-GB"/>
        </w:rPr>
        <w:t xml:space="preserve">It </w:t>
      </w:r>
      <w:r w:rsidR="003E1E3C">
        <w:rPr>
          <w:lang w:val="en-GB"/>
        </w:rPr>
        <w:t>is</w:t>
      </w:r>
      <w:r w:rsidRPr="4C671B14">
        <w:rPr>
          <w:lang w:val="en-GB"/>
        </w:rPr>
        <w:t xml:space="preserve"> recommended to add specific language </w:t>
      </w:r>
      <w:r w:rsidR="00CE5AA9">
        <w:rPr>
          <w:lang w:val="en-GB"/>
        </w:rPr>
        <w:t>to clarify in</w:t>
      </w:r>
      <w:r w:rsidR="2E5D49EB" w:rsidRPr="4C671B14">
        <w:rPr>
          <w:lang w:val="en-GB"/>
        </w:rPr>
        <w:t xml:space="preserve"> the Commentary</w:t>
      </w:r>
      <w:r w:rsidR="63197661" w:rsidRPr="4C671B14">
        <w:rPr>
          <w:lang w:val="en-GB"/>
        </w:rPr>
        <w:t xml:space="preserve"> </w:t>
      </w:r>
      <w:r w:rsidRPr="4C671B14">
        <w:rPr>
          <w:lang w:val="en-GB"/>
        </w:rPr>
        <w:t>to ensure that</w:t>
      </w:r>
      <w:r w:rsidR="4F1D1CC7" w:rsidRPr="4C671B14">
        <w:rPr>
          <w:lang w:val="en-GB"/>
        </w:rPr>
        <w:t>:</w:t>
      </w:r>
    </w:p>
    <w:p w14:paraId="6F559C55" w14:textId="7F2C60B0" w:rsidR="3888D6C7" w:rsidRDefault="3888D6C7" w:rsidP="006B3FD5">
      <w:pPr>
        <w:pStyle w:val="Liststycke"/>
        <w:numPr>
          <w:ilvl w:val="0"/>
          <w:numId w:val="39"/>
        </w:numPr>
        <w:spacing w:after="0"/>
        <w:ind w:left="1440"/>
        <w:rPr>
          <w:rFonts w:eastAsia="Gotham Book" w:cs="Gotham Book"/>
          <w:szCs w:val="22"/>
          <w:lang w:val="en-GB"/>
        </w:rPr>
      </w:pPr>
      <w:r w:rsidRPr="4C671B14">
        <w:rPr>
          <w:lang w:val="en-GB"/>
        </w:rPr>
        <w:t>facts and circumstances can be taken into account when assessing this requirement</w:t>
      </w:r>
      <w:r w:rsidR="000F1186">
        <w:rPr>
          <w:lang w:val="en-GB"/>
        </w:rPr>
        <w:t>,</w:t>
      </w:r>
      <w:r w:rsidRPr="4C671B14">
        <w:rPr>
          <w:lang w:val="en-GB"/>
        </w:rPr>
        <w:t xml:space="preserve"> and</w:t>
      </w:r>
    </w:p>
    <w:p w14:paraId="1008B153" w14:textId="0582B055" w:rsidR="3888D6C7" w:rsidRDefault="3888D6C7" w:rsidP="006B3FD5">
      <w:pPr>
        <w:pStyle w:val="Liststycke"/>
        <w:numPr>
          <w:ilvl w:val="0"/>
          <w:numId w:val="39"/>
        </w:numPr>
        <w:spacing w:after="0"/>
        <w:ind w:left="1440"/>
        <w:rPr>
          <w:szCs w:val="22"/>
          <w:lang w:val="en-GB"/>
        </w:rPr>
      </w:pPr>
      <w:r w:rsidRPr="4C671B14">
        <w:rPr>
          <w:lang w:val="en-GB"/>
        </w:rPr>
        <w:t xml:space="preserve">less substantial issues or shortcomings will not have the (unintended) consequence/result that the requirements of para 8 would </w:t>
      </w:r>
      <w:r w:rsidR="00873E7B">
        <w:rPr>
          <w:lang w:val="en-GB"/>
        </w:rPr>
        <w:t xml:space="preserve">be </w:t>
      </w:r>
      <w:r w:rsidRPr="4C671B14">
        <w:rPr>
          <w:lang w:val="en-GB"/>
        </w:rPr>
        <w:t>deemed not to be met.</w:t>
      </w:r>
    </w:p>
    <w:p w14:paraId="341BA903" w14:textId="77777777" w:rsidR="008A1355" w:rsidRDefault="008A1355" w:rsidP="0071387E">
      <w:pPr>
        <w:spacing w:after="0"/>
        <w:ind w:left="720"/>
        <w:rPr>
          <w:lang w:val="en-GB"/>
        </w:rPr>
      </w:pPr>
    </w:p>
    <w:p w14:paraId="1987D8FB" w14:textId="0D9D2562" w:rsidR="515F35B8" w:rsidRDefault="515F35B8" w:rsidP="0071387E">
      <w:pPr>
        <w:spacing w:after="0"/>
        <w:ind w:left="720"/>
        <w:rPr>
          <w:lang w:val="en-GB"/>
        </w:rPr>
      </w:pPr>
      <w:r w:rsidRPr="4C671B14">
        <w:rPr>
          <w:lang w:val="en-GB"/>
        </w:rPr>
        <w:lastRenderedPageBreak/>
        <w:t xml:space="preserve">ICC </w:t>
      </w:r>
      <w:r w:rsidR="00476DB9">
        <w:rPr>
          <w:lang w:val="en-GB"/>
        </w:rPr>
        <w:t xml:space="preserve">further </w:t>
      </w:r>
      <w:r w:rsidRPr="4C671B14">
        <w:rPr>
          <w:lang w:val="en-GB"/>
        </w:rPr>
        <w:t xml:space="preserve">recommends </w:t>
      </w:r>
      <w:r w:rsidR="001C27DE">
        <w:rPr>
          <w:lang w:val="en-GB"/>
        </w:rPr>
        <w:t>adding</w:t>
      </w:r>
      <w:r w:rsidRPr="4C671B14">
        <w:rPr>
          <w:lang w:val="en-GB"/>
        </w:rPr>
        <w:t xml:space="preserve"> the following wording (in bold) to the first sentence of para 8:</w:t>
      </w:r>
      <w:r w:rsidR="780BB0AA" w:rsidRPr="4C671B14">
        <w:rPr>
          <w:lang w:val="en-GB"/>
        </w:rPr>
        <w:t xml:space="preserve"> </w:t>
      </w:r>
    </w:p>
    <w:p w14:paraId="67181146" w14:textId="77777777" w:rsidR="00C373FD" w:rsidRDefault="00C373FD" w:rsidP="0071387E">
      <w:pPr>
        <w:spacing w:after="0"/>
        <w:ind w:left="720"/>
        <w:rPr>
          <w:lang w:val="en-GB"/>
        </w:rPr>
      </w:pPr>
    </w:p>
    <w:p w14:paraId="761E36DC" w14:textId="02040E92" w:rsidR="780BB0AA" w:rsidRDefault="780BB0AA" w:rsidP="0071387E">
      <w:pPr>
        <w:spacing w:after="0"/>
        <w:ind w:left="720"/>
        <w:rPr>
          <w:i/>
          <w:iCs/>
          <w:lang w:val="en-GB"/>
        </w:rPr>
      </w:pPr>
      <w:r w:rsidRPr="4C671B14">
        <w:rPr>
          <w:i/>
          <w:iCs/>
          <w:lang w:val="en-GB"/>
        </w:rPr>
        <w:t xml:space="preserve">“A Covered Group must </w:t>
      </w:r>
      <w:r w:rsidRPr="4C671B14">
        <w:rPr>
          <w:b/>
          <w:bCs/>
          <w:i/>
          <w:iCs/>
          <w:lang w:val="en-GB"/>
        </w:rPr>
        <w:t>be able to sufficiently</w:t>
      </w:r>
      <w:r w:rsidRPr="4C671B14">
        <w:rPr>
          <w:i/>
          <w:iCs/>
          <w:lang w:val="en-GB"/>
        </w:rPr>
        <w:t xml:space="preserve"> demonstrate that its internal control framework ensures that a Reliable Method is used in accordance with this Part.”</w:t>
      </w:r>
    </w:p>
    <w:p w14:paraId="53DEE3D5" w14:textId="77777777" w:rsidR="00C373FD" w:rsidRPr="00C373FD" w:rsidRDefault="00C373FD" w:rsidP="00C373FD">
      <w:pPr>
        <w:pStyle w:val="Liststycke"/>
        <w:spacing w:after="0"/>
        <w:rPr>
          <w:rFonts w:eastAsia="Gotham Book" w:cs="Gotham Book"/>
          <w:szCs w:val="22"/>
          <w:lang w:val="en-GB"/>
        </w:rPr>
      </w:pPr>
    </w:p>
    <w:p w14:paraId="1D879D77" w14:textId="215BA53D" w:rsidR="24ADCCC7" w:rsidRDefault="24ADCCC7" w:rsidP="006D3F0F">
      <w:pPr>
        <w:pStyle w:val="Liststycke"/>
        <w:numPr>
          <w:ilvl w:val="0"/>
          <w:numId w:val="44"/>
        </w:numPr>
        <w:spacing w:after="0"/>
        <w:rPr>
          <w:rFonts w:eastAsia="Gotham Book" w:cs="Gotham Book"/>
          <w:szCs w:val="22"/>
          <w:lang w:val="en-GB"/>
        </w:rPr>
      </w:pPr>
      <w:r w:rsidRPr="4C671B14">
        <w:rPr>
          <w:lang w:val="en-GB"/>
        </w:rPr>
        <w:t xml:space="preserve">Para B(3)(b) indicates that all (remaining) tail-end revenue will be allocated to low </w:t>
      </w:r>
      <w:r w:rsidR="21014C75" w:rsidRPr="4C671B14">
        <w:rPr>
          <w:lang w:val="en-GB"/>
        </w:rPr>
        <w:t>I</w:t>
      </w:r>
      <w:r w:rsidRPr="4C671B14">
        <w:rPr>
          <w:lang w:val="en-GB"/>
        </w:rPr>
        <w:t xml:space="preserve">ncome jurisdictions, unless the Covered Group demonstrates that Revenues did not arise in </w:t>
      </w:r>
      <w:r w:rsidRPr="00927C0F">
        <w:rPr>
          <w:u w:val="single"/>
          <w:lang w:val="en-GB"/>
        </w:rPr>
        <w:t>any</w:t>
      </w:r>
      <w:r w:rsidRPr="4C671B14">
        <w:rPr>
          <w:lang w:val="en-GB"/>
        </w:rPr>
        <w:t xml:space="preserve"> Low Income Jurisdiction.  </w:t>
      </w:r>
    </w:p>
    <w:p w14:paraId="6855922A" w14:textId="77777777" w:rsidR="00C373FD" w:rsidRDefault="00C373FD" w:rsidP="006D3F0F">
      <w:pPr>
        <w:spacing w:after="0"/>
        <w:rPr>
          <w:lang w:val="en-GB"/>
        </w:rPr>
      </w:pPr>
    </w:p>
    <w:p w14:paraId="2D5F4A63" w14:textId="229922F9" w:rsidR="24ADCCC7" w:rsidRDefault="00317D8C" w:rsidP="00966A11">
      <w:pPr>
        <w:spacing w:after="0"/>
        <w:ind w:left="720"/>
        <w:rPr>
          <w:lang w:val="en-GB"/>
        </w:rPr>
      </w:pPr>
      <w:r>
        <w:rPr>
          <w:lang w:val="en-GB"/>
        </w:rPr>
        <w:t xml:space="preserve">ICC submits that </w:t>
      </w:r>
      <w:r w:rsidR="24ADCCC7" w:rsidRPr="4C671B14">
        <w:rPr>
          <w:lang w:val="en-GB"/>
        </w:rPr>
        <w:t xml:space="preserve">there could be </w:t>
      </w:r>
      <w:r w:rsidR="006B44DC">
        <w:rPr>
          <w:lang w:val="en-GB"/>
        </w:rPr>
        <w:t xml:space="preserve">questions on </w:t>
      </w:r>
      <w:r w:rsidR="24ADCCC7" w:rsidRPr="4C671B14">
        <w:rPr>
          <w:lang w:val="en-GB"/>
        </w:rPr>
        <w:t>how to</w:t>
      </w:r>
      <w:r w:rsidR="006E7BCC">
        <w:rPr>
          <w:lang w:val="en-GB"/>
        </w:rPr>
        <w:t xml:space="preserve"> address a </w:t>
      </w:r>
      <w:r w:rsidR="24ADCCC7" w:rsidRPr="4C671B14">
        <w:rPr>
          <w:lang w:val="en-GB"/>
        </w:rPr>
        <w:t xml:space="preserve">situation where tail-end revenue did </w:t>
      </w:r>
      <w:r w:rsidR="24ADCCC7" w:rsidRPr="00927C0F">
        <w:rPr>
          <w:u w:val="single"/>
          <w:lang w:val="en-GB"/>
        </w:rPr>
        <w:t>not only</w:t>
      </w:r>
      <w:r w:rsidR="24ADCCC7" w:rsidRPr="4C671B14">
        <w:rPr>
          <w:lang w:val="en-GB"/>
        </w:rPr>
        <w:t xml:space="preserve"> arise in low income jurisdictions. A literal application of Para B(3)(b) could lead to the conclusion that </w:t>
      </w:r>
      <w:r w:rsidR="24ADCCC7" w:rsidRPr="00FC5201">
        <w:rPr>
          <w:u w:val="single"/>
          <w:lang w:val="en-GB"/>
        </w:rPr>
        <w:t>all</w:t>
      </w:r>
      <w:r w:rsidR="24ADCCC7" w:rsidRPr="4C671B14">
        <w:rPr>
          <w:lang w:val="en-GB"/>
        </w:rPr>
        <w:t xml:space="preserve"> tail-end revenue needs to be allocated to low income jurisdictions. </w:t>
      </w:r>
      <w:r w:rsidR="45532783" w:rsidRPr="4C671B14">
        <w:rPr>
          <w:lang w:val="en-GB"/>
        </w:rPr>
        <w:t>T</w:t>
      </w:r>
      <w:r w:rsidR="24ADCCC7" w:rsidRPr="4C671B14">
        <w:rPr>
          <w:lang w:val="en-GB"/>
        </w:rPr>
        <w:t>his would represent an unbalanced outcome, potentially even an over-allocation to low income jurisdictions</w:t>
      </w:r>
      <w:r w:rsidR="3E05071E" w:rsidRPr="4C671B14">
        <w:rPr>
          <w:lang w:val="en-GB"/>
        </w:rPr>
        <w:t xml:space="preserve"> (even after application of the knock-out rule</w:t>
      </w:r>
      <w:r w:rsidR="07A13D1E" w:rsidRPr="4C671B14">
        <w:rPr>
          <w:lang w:val="en-GB"/>
        </w:rPr>
        <w:t xml:space="preserve"> of para B(5))</w:t>
      </w:r>
      <w:r w:rsidR="24ADCCC7" w:rsidRPr="4C671B14">
        <w:rPr>
          <w:lang w:val="en-GB"/>
        </w:rPr>
        <w:t xml:space="preserve"> in cases where it is clear that tail-end revenue did </w:t>
      </w:r>
      <w:r w:rsidR="24ADCCC7" w:rsidRPr="00FC5201">
        <w:rPr>
          <w:u w:val="single"/>
          <w:lang w:val="en-GB"/>
        </w:rPr>
        <w:t>not only</w:t>
      </w:r>
      <w:r w:rsidR="24ADCCC7" w:rsidRPr="4C671B14">
        <w:rPr>
          <w:lang w:val="en-GB"/>
        </w:rPr>
        <w:t xml:space="preserve"> arise in those low income jurisdictions.</w:t>
      </w:r>
    </w:p>
    <w:p w14:paraId="0D952760" w14:textId="77777777" w:rsidR="001B3613" w:rsidRDefault="001B3613" w:rsidP="00966A11">
      <w:pPr>
        <w:spacing w:after="0"/>
        <w:ind w:left="720"/>
        <w:rPr>
          <w:lang w:val="en-GB"/>
        </w:rPr>
      </w:pPr>
    </w:p>
    <w:p w14:paraId="7ABB22F1" w14:textId="48F2D811" w:rsidR="54C850CE" w:rsidRDefault="54C850CE" w:rsidP="00966A11">
      <w:pPr>
        <w:spacing w:after="0"/>
        <w:ind w:left="720"/>
        <w:rPr>
          <w:rFonts w:ascii="Calibri" w:eastAsia="Calibri" w:hAnsi="Calibri" w:cs="Calibri"/>
          <w:szCs w:val="22"/>
          <w:lang w:val="en-GB"/>
        </w:rPr>
      </w:pPr>
      <w:r w:rsidRPr="4C671B14">
        <w:rPr>
          <w:szCs w:val="22"/>
          <w:lang w:val="en-GB"/>
        </w:rPr>
        <w:t xml:space="preserve">ICC recommends </w:t>
      </w:r>
      <w:r w:rsidR="00024BBE">
        <w:rPr>
          <w:szCs w:val="22"/>
          <w:lang w:val="en-GB"/>
        </w:rPr>
        <w:t>adding</w:t>
      </w:r>
      <w:r w:rsidRPr="4C671B14">
        <w:rPr>
          <w:szCs w:val="22"/>
          <w:lang w:val="en-GB"/>
        </w:rPr>
        <w:t xml:space="preserve"> the following wording (in bold) to the Para B(3)(b)</w:t>
      </w:r>
      <w:r w:rsidR="136D3600" w:rsidRPr="4C671B14">
        <w:rPr>
          <w:szCs w:val="22"/>
          <w:lang w:val="en-GB"/>
        </w:rPr>
        <w:t>, page 13</w:t>
      </w:r>
      <w:r w:rsidRPr="4C671B14">
        <w:rPr>
          <w:szCs w:val="22"/>
          <w:lang w:val="en-GB"/>
        </w:rPr>
        <w:t xml:space="preserve"> </w:t>
      </w:r>
      <w:r w:rsidR="00FF3820">
        <w:rPr>
          <w:szCs w:val="22"/>
          <w:lang w:val="en-GB"/>
        </w:rPr>
        <w:t xml:space="preserve">in order </w:t>
      </w:r>
      <w:r w:rsidRPr="4C671B14">
        <w:rPr>
          <w:szCs w:val="22"/>
          <w:lang w:val="en-GB"/>
        </w:rPr>
        <w:t>to ensure a more balanced result:</w:t>
      </w:r>
      <w:r w:rsidRPr="4C671B14">
        <w:rPr>
          <w:rFonts w:ascii="Calibri" w:eastAsia="Calibri" w:hAnsi="Calibri" w:cs="Calibri"/>
          <w:szCs w:val="22"/>
          <w:lang w:val="en-GB"/>
        </w:rPr>
        <w:t xml:space="preserve"> </w:t>
      </w:r>
    </w:p>
    <w:p w14:paraId="31F05637" w14:textId="77777777" w:rsidR="00024BBE" w:rsidRDefault="00024BBE" w:rsidP="00966A11">
      <w:pPr>
        <w:spacing w:after="0"/>
        <w:ind w:left="720"/>
        <w:rPr>
          <w:szCs w:val="22"/>
          <w:lang w:val="en-GB"/>
        </w:rPr>
      </w:pPr>
    </w:p>
    <w:p w14:paraId="059A415E" w14:textId="7A478189" w:rsidR="54C850CE" w:rsidRDefault="54C850CE" w:rsidP="00966A11">
      <w:pPr>
        <w:spacing w:after="0"/>
        <w:ind w:left="720"/>
        <w:rPr>
          <w:i/>
          <w:iCs/>
        </w:rPr>
      </w:pPr>
      <w:r w:rsidRPr="4C671B14">
        <w:rPr>
          <w:i/>
          <w:iCs/>
          <w:lang w:val="en-GB"/>
        </w:rPr>
        <w:t>“In the event</w:t>
      </w:r>
      <w:r w:rsidRPr="4C671B14">
        <w:rPr>
          <w:b/>
          <w:bCs/>
          <w:i/>
          <w:iCs/>
          <w:lang w:val="en-GB"/>
        </w:rPr>
        <w:t xml:space="preserve"> and to extent</w:t>
      </w:r>
      <w:r w:rsidRPr="4C671B14">
        <w:rPr>
          <w:i/>
          <w:iCs/>
          <w:lang w:val="en-GB"/>
        </w:rPr>
        <w:t xml:space="preserve"> that the Covered Group demonstrates that Revenues did not arise in any Low Income Jurisdiction, the Tail-End Revenues shall be treated as arising in [a Jurisdiction] using the Global Allocation Key.”</w:t>
      </w:r>
      <w:r>
        <w:br/>
      </w:r>
    </w:p>
    <w:p w14:paraId="74B26051" w14:textId="42400F55" w:rsidR="72BFA898" w:rsidRPr="00FC5201" w:rsidRDefault="72BFA898" w:rsidP="006D3F0F">
      <w:pPr>
        <w:pStyle w:val="Liststycke"/>
        <w:numPr>
          <w:ilvl w:val="0"/>
          <w:numId w:val="44"/>
        </w:numPr>
        <w:spacing w:after="0"/>
        <w:rPr>
          <w:rFonts w:eastAsia="Gotham Book" w:cs="Gotham Book"/>
          <w:szCs w:val="22"/>
          <w:lang w:val="en-GB"/>
        </w:rPr>
      </w:pPr>
      <w:r w:rsidRPr="4C671B14">
        <w:rPr>
          <w:lang w:val="en-GB"/>
        </w:rPr>
        <w:t xml:space="preserve">Para B(4) provides that the Covered Group must take reasonable steps to reduce the size of the Tail-End Revenues [5% max]. Footnote 16 indicates that there will be provisions on non-compliance. </w:t>
      </w:r>
    </w:p>
    <w:p w14:paraId="1EF09E45" w14:textId="77777777" w:rsidR="00FC5201" w:rsidRDefault="00FC5201" w:rsidP="00FC5201">
      <w:pPr>
        <w:pStyle w:val="Liststycke"/>
        <w:spacing w:after="0"/>
        <w:rPr>
          <w:rFonts w:eastAsia="Gotham Book" w:cs="Gotham Book"/>
          <w:szCs w:val="22"/>
          <w:lang w:val="en-GB"/>
        </w:rPr>
      </w:pPr>
    </w:p>
    <w:p w14:paraId="03A6C494" w14:textId="7B70EB30" w:rsidR="2BF0F232" w:rsidRDefault="72BFA898" w:rsidP="00FC5201">
      <w:pPr>
        <w:spacing w:after="0"/>
        <w:ind w:left="720"/>
        <w:rPr>
          <w:szCs w:val="22"/>
          <w:lang w:val="en-GB"/>
        </w:rPr>
      </w:pPr>
      <w:r w:rsidRPr="4C671B14">
        <w:rPr>
          <w:lang w:val="en-GB"/>
        </w:rPr>
        <w:t>It seems that [5]% is rather low, in particular also when a Covered Group is predominantly active in developing countries. I</w:t>
      </w:r>
      <w:r w:rsidR="00FB26B5">
        <w:rPr>
          <w:lang w:val="en-GB"/>
        </w:rPr>
        <w:t xml:space="preserve">CC suggests that it may be preferable to </w:t>
      </w:r>
      <w:r w:rsidRPr="4C671B14">
        <w:rPr>
          <w:lang w:val="en-GB"/>
        </w:rPr>
        <w:t>first gain further experience with the practical application of this particular requirement.</w:t>
      </w:r>
      <w:r w:rsidR="008C6FD2">
        <w:rPr>
          <w:lang w:val="en-GB"/>
        </w:rPr>
        <w:t xml:space="preserve">  </w:t>
      </w:r>
      <w:r w:rsidR="2BF0F232" w:rsidRPr="4C671B14">
        <w:rPr>
          <w:szCs w:val="22"/>
          <w:lang w:val="en-GB"/>
        </w:rPr>
        <w:t xml:space="preserve">In this regard, ICC recommends </w:t>
      </w:r>
      <w:r w:rsidR="008C6FD2">
        <w:rPr>
          <w:szCs w:val="22"/>
          <w:lang w:val="en-GB"/>
        </w:rPr>
        <w:t>removing</w:t>
      </w:r>
      <w:r w:rsidR="2BF0F232" w:rsidRPr="4C671B14">
        <w:rPr>
          <w:szCs w:val="22"/>
          <w:lang w:val="en-GB"/>
        </w:rPr>
        <w:t xml:space="preserve"> this requirement, or include a higher percentage (15%, for instance) until further experience is gained with the practical application of this particular requirement.  </w:t>
      </w:r>
    </w:p>
    <w:p w14:paraId="7CE8144B" w14:textId="77777777" w:rsidR="00672727" w:rsidRDefault="00672727" w:rsidP="00FC5201">
      <w:pPr>
        <w:spacing w:after="0"/>
        <w:ind w:left="720"/>
        <w:rPr>
          <w:lang w:val="en-GB"/>
        </w:rPr>
      </w:pPr>
    </w:p>
    <w:p w14:paraId="526410A3" w14:textId="721DDF93" w:rsidR="4FCAAE3E" w:rsidRDefault="4FCAAE3E" w:rsidP="00FC5201">
      <w:pPr>
        <w:spacing w:after="0"/>
        <w:ind w:left="720"/>
        <w:rPr>
          <w:lang w:val="en-GB"/>
        </w:rPr>
      </w:pPr>
      <w:r w:rsidRPr="4C671B14">
        <w:rPr>
          <w:szCs w:val="22"/>
          <w:lang w:val="en-GB"/>
        </w:rPr>
        <w:t xml:space="preserve">ICC also recommends </w:t>
      </w:r>
      <w:r w:rsidR="00672727">
        <w:rPr>
          <w:szCs w:val="22"/>
          <w:lang w:val="en-GB"/>
        </w:rPr>
        <w:t>clarifying</w:t>
      </w:r>
      <w:r w:rsidRPr="4C671B14">
        <w:rPr>
          <w:szCs w:val="22"/>
          <w:lang w:val="en-GB"/>
        </w:rPr>
        <w:t xml:space="preserve"> in the Commentary that this does</w:t>
      </w:r>
      <w:r w:rsidR="00D7087E">
        <w:rPr>
          <w:szCs w:val="22"/>
          <w:lang w:val="en-GB"/>
        </w:rPr>
        <w:t xml:space="preserve"> not</w:t>
      </w:r>
      <w:r w:rsidRPr="4C671B14">
        <w:rPr>
          <w:szCs w:val="22"/>
          <w:lang w:val="en-GB"/>
        </w:rPr>
        <w:t xml:space="preserve"> include any “Non-customer Revenues”, which can be deemed to arise in a jurisdiction in relation (proportion) to certain revenues, including Finished Goods (see for instance Page 25, Part 9) for the avoidance of doubt.</w:t>
      </w:r>
    </w:p>
    <w:p w14:paraId="12C82065" w14:textId="77777777" w:rsidR="00FC5201" w:rsidRDefault="00FC5201" w:rsidP="00FC5201">
      <w:pPr>
        <w:spacing w:after="0"/>
        <w:ind w:left="720"/>
        <w:rPr>
          <w:lang w:val="en-GB"/>
        </w:rPr>
      </w:pPr>
    </w:p>
    <w:p w14:paraId="5CCFC832" w14:textId="4FB87FB3" w:rsidR="081E6684" w:rsidRPr="0042321C" w:rsidRDefault="081E6684" w:rsidP="006D3F0F">
      <w:pPr>
        <w:pStyle w:val="Liststycke"/>
        <w:numPr>
          <w:ilvl w:val="0"/>
          <w:numId w:val="44"/>
        </w:numPr>
        <w:spacing w:after="0"/>
        <w:rPr>
          <w:rFonts w:eastAsia="Gotham Book" w:cs="Gotham Book"/>
          <w:szCs w:val="22"/>
          <w:lang w:val="en-GB"/>
        </w:rPr>
      </w:pPr>
      <w:r w:rsidRPr="4C671B14">
        <w:rPr>
          <w:lang w:val="en-GB"/>
        </w:rPr>
        <w:t>Part 1</w:t>
      </w:r>
      <w:r w:rsidR="5871A8D9" w:rsidRPr="4C671B14">
        <w:rPr>
          <w:lang w:val="en-GB"/>
        </w:rPr>
        <w:t xml:space="preserve"> “Categorising transactions”</w:t>
      </w:r>
      <w:r w:rsidRPr="4C671B14">
        <w:rPr>
          <w:lang w:val="en-GB"/>
        </w:rPr>
        <w:t>, page 27 provides further clari</w:t>
      </w:r>
      <w:r w:rsidR="73AB9AA8" w:rsidRPr="4C671B14">
        <w:rPr>
          <w:lang w:val="en-GB"/>
        </w:rPr>
        <w:t>fications</w:t>
      </w:r>
      <w:r w:rsidRPr="4C671B14">
        <w:rPr>
          <w:lang w:val="en-GB"/>
        </w:rPr>
        <w:t xml:space="preserve"> </w:t>
      </w:r>
      <w:r w:rsidR="00026770">
        <w:rPr>
          <w:lang w:val="en-GB"/>
        </w:rPr>
        <w:t>with</w:t>
      </w:r>
      <w:r w:rsidRPr="4C671B14">
        <w:rPr>
          <w:lang w:val="en-GB"/>
        </w:rPr>
        <w:t xml:space="preserve"> respect </w:t>
      </w:r>
      <w:r w:rsidR="00026770">
        <w:rPr>
          <w:lang w:val="en-GB"/>
        </w:rPr>
        <w:t>to</w:t>
      </w:r>
      <w:r w:rsidRPr="4C671B14">
        <w:rPr>
          <w:lang w:val="en-GB"/>
        </w:rPr>
        <w:t xml:space="preserve"> the categories “Main Transaction” (12) and “Supplementary Transaction”(13). </w:t>
      </w:r>
    </w:p>
    <w:p w14:paraId="793EFC12" w14:textId="77777777" w:rsidR="0042321C" w:rsidRDefault="0042321C" w:rsidP="0042321C">
      <w:pPr>
        <w:pStyle w:val="Liststycke"/>
        <w:spacing w:after="0"/>
        <w:rPr>
          <w:rFonts w:eastAsia="Gotham Book" w:cs="Gotham Book"/>
          <w:szCs w:val="22"/>
          <w:lang w:val="en-GB"/>
        </w:rPr>
      </w:pPr>
    </w:p>
    <w:p w14:paraId="5E351338" w14:textId="28035E5A" w:rsidR="081E6684" w:rsidRDefault="081E6684" w:rsidP="0042321C">
      <w:pPr>
        <w:spacing w:after="0"/>
        <w:ind w:left="720"/>
        <w:rPr>
          <w:lang w:val="en-GB"/>
        </w:rPr>
      </w:pPr>
      <w:r w:rsidRPr="4C671B14">
        <w:rPr>
          <w:lang w:val="en-GB"/>
        </w:rPr>
        <w:t>For the latter, it is stated that the gross receipts should not exceed [5]% of the total gross receipts from the Supplementary Transaction(s) and Main Transaction(s) combined.</w:t>
      </w:r>
    </w:p>
    <w:p w14:paraId="4D7B9393" w14:textId="77777777" w:rsidR="008F7985" w:rsidRDefault="008F7985" w:rsidP="0042321C">
      <w:pPr>
        <w:spacing w:after="0"/>
        <w:ind w:left="720"/>
        <w:rPr>
          <w:szCs w:val="22"/>
          <w:lang w:val="en-GB"/>
        </w:rPr>
      </w:pPr>
    </w:p>
    <w:p w14:paraId="20A0E380" w14:textId="6B1BB238" w:rsidR="7A12310C" w:rsidRDefault="081E6684" w:rsidP="0042321C">
      <w:pPr>
        <w:spacing w:after="0"/>
        <w:ind w:left="720"/>
        <w:rPr>
          <w:szCs w:val="22"/>
          <w:lang w:val="en-GB"/>
        </w:rPr>
      </w:pPr>
      <w:r w:rsidRPr="4C671B14">
        <w:rPr>
          <w:lang w:val="en-GB"/>
        </w:rPr>
        <w:t>It seems that [5]% is rather low, in particular when more than one Supplementary Transaction(s) takes place.</w:t>
      </w:r>
      <w:r w:rsidR="00D2053F">
        <w:rPr>
          <w:lang w:val="en-GB"/>
        </w:rPr>
        <w:t xml:space="preserve">  </w:t>
      </w:r>
      <w:r w:rsidR="7A12310C" w:rsidRPr="4C671B14">
        <w:rPr>
          <w:szCs w:val="22"/>
          <w:lang w:val="en-GB"/>
        </w:rPr>
        <w:t xml:space="preserve">ICC recommends </w:t>
      </w:r>
      <w:r w:rsidR="00D2053F">
        <w:rPr>
          <w:szCs w:val="22"/>
          <w:lang w:val="en-GB"/>
        </w:rPr>
        <w:t>removing</w:t>
      </w:r>
      <w:r w:rsidR="7A12310C" w:rsidRPr="4C671B14">
        <w:rPr>
          <w:szCs w:val="22"/>
          <w:lang w:val="en-GB"/>
        </w:rPr>
        <w:t xml:space="preserve"> the [5%] requirement, or include a higher percentage (for instance</w:t>
      </w:r>
      <w:r w:rsidR="006731B9">
        <w:rPr>
          <w:szCs w:val="22"/>
          <w:lang w:val="en-GB"/>
        </w:rPr>
        <w:t>, 25</w:t>
      </w:r>
      <w:r w:rsidR="00873675">
        <w:rPr>
          <w:szCs w:val="22"/>
          <w:lang w:val="en-GB"/>
        </w:rPr>
        <w:t>%</w:t>
      </w:r>
      <w:r w:rsidR="7A12310C" w:rsidRPr="4C671B14">
        <w:rPr>
          <w:szCs w:val="22"/>
          <w:lang w:val="en-GB"/>
        </w:rPr>
        <w:t>).</w:t>
      </w:r>
    </w:p>
    <w:p w14:paraId="4A69C843" w14:textId="77777777" w:rsidR="006731B9" w:rsidRDefault="006731B9" w:rsidP="0042321C">
      <w:pPr>
        <w:spacing w:after="0"/>
        <w:ind w:left="720"/>
        <w:rPr>
          <w:szCs w:val="22"/>
          <w:lang w:val="en-GB"/>
        </w:rPr>
      </w:pPr>
    </w:p>
    <w:p w14:paraId="2ED4F317" w14:textId="04912756" w:rsidR="7A12310C" w:rsidRDefault="7A12310C" w:rsidP="006D3F0F">
      <w:pPr>
        <w:pStyle w:val="Liststycke"/>
        <w:numPr>
          <w:ilvl w:val="0"/>
          <w:numId w:val="44"/>
        </w:numPr>
        <w:spacing w:after="0"/>
        <w:rPr>
          <w:rFonts w:eastAsia="Gotham Book" w:cs="Gotham Book"/>
          <w:lang w:val="en-GB"/>
        </w:rPr>
      </w:pPr>
      <w:r w:rsidRPr="4C671B14">
        <w:rPr>
          <w:lang w:val="en-GB"/>
        </w:rPr>
        <w:lastRenderedPageBreak/>
        <w:t>Part 5 – Services para 36</w:t>
      </w:r>
      <w:r w:rsidR="7FFBC5AC" w:rsidRPr="4C671B14">
        <w:rPr>
          <w:lang w:val="en-GB"/>
        </w:rPr>
        <w:t>, page 30</w:t>
      </w:r>
      <w:r w:rsidRPr="4C671B14">
        <w:rPr>
          <w:lang w:val="en-GB"/>
        </w:rPr>
        <w:t xml:space="preserve"> –</w:t>
      </w:r>
      <w:r w:rsidR="54E577F8" w:rsidRPr="4C671B14">
        <w:rPr>
          <w:lang w:val="en-GB"/>
        </w:rPr>
        <w:t xml:space="preserve"> </w:t>
      </w:r>
      <w:r w:rsidRPr="4C671B14">
        <w:rPr>
          <w:lang w:val="en-GB"/>
        </w:rPr>
        <w:t>states “If the total invoice amount for services provided to a Business Customer does not exceed EUR [1-3] million in the Period, the Covered Group may treat the Business Customer as not being a Large Business Customer</w:t>
      </w:r>
      <w:r w:rsidR="2AF08E33" w:rsidRPr="1C5069B9">
        <w:rPr>
          <w:lang w:val="en-GB"/>
        </w:rPr>
        <w:t>”</w:t>
      </w:r>
      <w:r w:rsidR="20555182" w:rsidRPr="1C5069B9">
        <w:rPr>
          <w:lang w:val="en-GB"/>
        </w:rPr>
        <w:t>.</w:t>
      </w:r>
      <w:r w:rsidRPr="4C671B14">
        <w:rPr>
          <w:lang w:val="en-GB"/>
        </w:rPr>
        <w:t xml:space="preserve"> </w:t>
      </w:r>
    </w:p>
    <w:p w14:paraId="61946EB4" w14:textId="77777777" w:rsidR="00013C82" w:rsidRDefault="00013C82" w:rsidP="00013C82">
      <w:pPr>
        <w:spacing w:after="0"/>
        <w:ind w:left="720"/>
        <w:rPr>
          <w:lang w:val="en-GB"/>
        </w:rPr>
      </w:pPr>
    </w:p>
    <w:p w14:paraId="038D84DA" w14:textId="1EB2B99D" w:rsidR="7A12310C" w:rsidRDefault="7A12310C" w:rsidP="00013C82">
      <w:pPr>
        <w:spacing w:after="0"/>
        <w:ind w:left="720"/>
        <w:rPr>
          <w:lang w:val="en-GB"/>
        </w:rPr>
      </w:pPr>
      <w:r w:rsidRPr="4C671B14">
        <w:rPr>
          <w:lang w:val="en-GB"/>
        </w:rPr>
        <w:t>Footnote 47 further explains that if the invoice amount for services provided to the Business Customer exceeds EUR [1-3] million in the Period, reasonable steps could require the Covered Group to ask the Business Customer if it meets the definition of a Large Business Customer.</w:t>
      </w:r>
    </w:p>
    <w:p w14:paraId="2A79A1C0" w14:textId="77777777" w:rsidR="00013C82" w:rsidRDefault="00013C82" w:rsidP="00013C82">
      <w:pPr>
        <w:spacing w:after="0"/>
        <w:ind w:left="720"/>
        <w:rPr>
          <w:lang w:val="en-GB"/>
        </w:rPr>
      </w:pPr>
    </w:p>
    <w:p w14:paraId="3EB50AF4" w14:textId="27D7F8F8" w:rsidR="7A12310C" w:rsidRDefault="7A12310C" w:rsidP="00013C82">
      <w:pPr>
        <w:spacing w:after="0"/>
        <w:ind w:left="720"/>
        <w:rPr>
          <w:lang w:val="en-GB"/>
        </w:rPr>
      </w:pPr>
      <w:r w:rsidRPr="4C671B14">
        <w:rPr>
          <w:lang w:val="en-GB"/>
        </w:rPr>
        <w:t>In this respect</w:t>
      </w:r>
      <w:r w:rsidR="3D31CD11" w:rsidRPr="06908A8A">
        <w:rPr>
          <w:lang w:val="en-GB"/>
        </w:rPr>
        <w:t>,</w:t>
      </w:r>
      <w:r w:rsidRPr="4C671B14">
        <w:rPr>
          <w:lang w:val="en-GB"/>
        </w:rPr>
        <w:t xml:space="preserve"> it</w:t>
      </w:r>
      <w:r w:rsidR="00272475">
        <w:rPr>
          <w:lang w:val="en-GB"/>
        </w:rPr>
        <w:t xml:space="preserve"> is</w:t>
      </w:r>
      <w:r w:rsidRPr="4C671B14">
        <w:rPr>
          <w:lang w:val="en-GB"/>
        </w:rPr>
        <w:t xml:space="preserve"> noted that the Covered Group could be expected to undertake online research to view the financial statements of that Customer and whether such statements record consolidated group revenue exceeding EUR 750 million. In addition, once CBCR data is made publicly available in EU jurisdictions, a Covered Group would be expected to check whether the business customer has made such information </w:t>
      </w:r>
      <w:r w:rsidR="24A3ECF4" w:rsidRPr="3DA8A7D6">
        <w:rPr>
          <w:lang w:val="en-GB"/>
        </w:rPr>
        <w:t xml:space="preserve">publicly </w:t>
      </w:r>
      <w:r w:rsidRPr="4C671B14">
        <w:rPr>
          <w:lang w:val="en-GB"/>
        </w:rPr>
        <w:t>available.</w:t>
      </w:r>
    </w:p>
    <w:p w14:paraId="664AB74D" w14:textId="77777777" w:rsidR="00013C82" w:rsidRDefault="00013C82" w:rsidP="00013C82">
      <w:pPr>
        <w:spacing w:after="0"/>
        <w:ind w:left="720"/>
        <w:rPr>
          <w:szCs w:val="22"/>
          <w:lang w:val="en-GB"/>
        </w:rPr>
      </w:pPr>
    </w:p>
    <w:p w14:paraId="0D47E7B8" w14:textId="62D65CCA" w:rsidR="3600E0A1" w:rsidRDefault="004A54BB" w:rsidP="00013C82">
      <w:pPr>
        <w:spacing w:after="0"/>
        <w:ind w:left="720"/>
        <w:rPr>
          <w:lang w:val="en-GB"/>
        </w:rPr>
      </w:pPr>
      <w:r>
        <w:rPr>
          <w:szCs w:val="22"/>
          <w:lang w:val="en-GB"/>
        </w:rPr>
        <w:t>G</w:t>
      </w:r>
      <w:r w:rsidRPr="4C671B14">
        <w:rPr>
          <w:szCs w:val="22"/>
          <w:lang w:val="en-GB"/>
        </w:rPr>
        <w:t>iven the potential admin</w:t>
      </w:r>
      <w:r>
        <w:rPr>
          <w:szCs w:val="22"/>
          <w:lang w:val="en-GB"/>
        </w:rPr>
        <w:t>istrative</w:t>
      </w:r>
      <w:r w:rsidRPr="4C671B14">
        <w:rPr>
          <w:szCs w:val="22"/>
          <w:lang w:val="en-GB"/>
        </w:rPr>
        <w:t xml:space="preserve"> compliance burden (combined amount of invoices)</w:t>
      </w:r>
      <w:r>
        <w:rPr>
          <w:szCs w:val="22"/>
          <w:lang w:val="en-GB"/>
        </w:rPr>
        <w:t xml:space="preserve">, </w:t>
      </w:r>
      <w:r w:rsidR="3600E0A1" w:rsidRPr="4C671B14">
        <w:rPr>
          <w:szCs w:val="22"/>
          <w:lang w:val="en-GB"/>
        </w:rPr>
        <w:t xml:space="preserve">ICC recommends </w:t>
      </w:r>
      <w:r w:rsidR="003772BC">
        <w:rPr>
          <w:szCs w:val="22"/>
          <w:lang w:val="en-GB"/>
        </w:rPr>
        <w:t>including</w:t>
      </w:r>
      <w:r w:rsidR="3600E0A1" w:rsidRPr="4C671B14">
        <w:rPr>
          <w:szCs w:val="22"/>
          <w:lang w:val="en-GB"/>
        </w:rPr>
        <w:t xml:space="preserve"> a relatively high threshold (at least 3 million – preferably higher) in the Period</w:t>
      </w:r>
      <w:r>
        <w:rPr>
          <w:szCs w:val="22"/>
          <w:lang w:val="en-GB"/>
        </w:rPr>
        <w:t xml:space="preserve">. </w:t>
      </w:r>
    </w:p>
    <w:p w14:paraId="083719A9" w14:textId="77777777" w:rsidR="008E5D3E" w:rsidRDefault="008E5D3E" w:rsidP="008E5D3E">
      <w:pPr>
        <w:spacing w:after="0"/>
        <w:rPr>
          <w:szCs w:val="22"/>
          <w:lang w:val="en-GB"/>
        </w:rPr>
      </w:pPr>
    </w:p>
    <w:p w14:paraId="32869D02" w14:textId="77777777" w:rsidR="008E5D3E" w:rsidRDefault="008E5D3E" w:rsidP="008E5D3E">
      <w:pPr>
        <w:spacing w:after="0"/>
        <w:rPr>
          <w:szCs w:val="22"/>
          <w:lang w:val="en-GB"/>
        </w:rPr>
      </w:pPr>
    </w:p>
    <w:p w14:paraId="101402C9" w14:textId="66429F85" w:rsidR="008E5D3E" w:rsidRDefault="008E5D3E" w:rsidP="008E5D3E">
      <w:pPr>
        <w:spacing w:after="0"/>
        <w:rPr>
          <w:lang w:val="en-GB"/>
        </w:rPr>
      </w:pPr>
      <w:r w:rsidRPr="008E5D3E">
        <w:rPr>
          <w:lang w:val="en-GB"/>
        </w:rPr>
        <w:t xml:space="preserve">ICC remains committed to providing knowledge and expertise on behalf of </w:t>
      </w:r>
      <w:r w:rsidR="00450B23">
        <w:rPr>
          <w:lang w:val="en-GB"/>
        </w:rPr>
        <w:t xml:space="preserve">the global </w:t>
      </w:r>
      <w:r w:rsidRPr="008E5D3E">
        <w:rPr>
          <w:lang w:val="en-GB"/>
        </w:rPr>
        <w:t>business</w:t>
      </w:r>
      <w:r w:rsidR="00450B23">
        <w:rPr>
          <w:lang w:val="en-GB"/>
        </w:rPr>
        <w:t xml:space="preserve"> community.</w:t>
      </w:r>
    </w:p>
    <w:p w14:paraId="00E4D418" w14:textId="476CBCD3" w:rsidR="00326C7C" w:rsidRPr="00326C7C" w:rsidRDefault="00326C7C" w:rsidP="006D3F0F">
      <w:pPr>
        <w:spacing w:after="0"/>
        <w:rPr>
          <w:rFonts w:cs="Arial"/>
          <w:szCs w:val="22"/>
          <w:lang w:val="en-GB"/>
        </w:rPr>
      </w:pPr>
    </w:p>
    <w:p w14:paraId="79FDBD87" w14:textId="165CEE4A" w:rsidR="005E5255" w:rsidRDefault="005E5255" w:rsidP="006B7D26">
      <w:pPr>
        <w:pStyle w:val="Bullet1"/>
        <w:numPr>
          <w:ilvl w:val="0"/>
          <w:numId w:val="0"/>
        </w:numPr>
        <w:ind w:left="720" w:hanging="360"/>
        <w:rPr>
          <w:b/>
          <w:bCs/>
        </w:rPr>
      </w:pPr>
    </w:p>
    <w:p w14:paraId="14744DE5" w14:textId="56738647" w:rsidR="00105633" w:rsidRDefault="00105633">
      <w:pPr>
        <w:spacing w:after="0"/>
        <w:rPr>
          <w:b/>
          <w:bCs/>
          <w:color w:val="auto"/>
        </w:rPr>
      </w:pPr>
      <w:r>
        <w:rPr>
          <w:b/>
          <w:bCs/>
        </w:rPr>
        <w:br w:type="page"/>
      </w:r>
    </w:p>
    <w:tbl>
      <w:tblPr>
        <w:tblStyle w:val="Tabellrutnt"/>
        <w:tblW w:w="974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98" w:type="dxa"/>
          <w:left w:w="198" w:type="dxa"/>
          <w:bottom w:w="198" w:type="dxa"/>
          <w:right w:w="198" w:type="dxa"/>
        </w:tblCellMar>
        <w:tblLook w:val="04A0" w:firstRow="1" w:lastRow="0" w:firstColumn="1" w:lastColumn="0" w:noHBand="0" w:noVBand="1"/>
      </w:tblPr>
      <w:tblGrid>
        <w:gridCol w:w="9742"/>
      </w:tblGrid>
      <w:tr w:rsidR="0016357F" w14:paraId="0629DA9A" w14:textId="77777777" w:rsidTr="00E14668">
        <w:trPr>
          <w:trHeight w:val="506"/>
        </w:trPr>
        <w:tc>
          <w:tcPr>
            <w:tcW w:w="9742" w:type="dxa"/>
            <w:shd w:val="clear" w:color="auto" w:fill="636569" w:themeFill="accent4"/>
          </w:tcPr>
          <w:p w14:paraId="67EC75A5" w14:textId="77777777" w:rsidR="00EF188C" w:rsidRPr="00324DD6" w:rsidRDefault="00EF188C" w:rsidP="00E14668">
            <w:pPr>
              <w:pStyle w:val="Aucunstyle"/>
              <w:spacing w:before="60"/>
              <w:rPr>
                <w:rFonts w:ascii="Gotham Bold" w:hAnsi="Gotham Bold" w:cs="Gotham Bold"/>
                <w:caps/>
                <w:color w:val="FFFFFF"/>
                <w:spacing w:val="-2"/>
                <w:sz w:val="18"/>
                <w:szCs w:val="18"/>
                <w:lang w:val="en-US"/>
              </w:rPr>
            </w:pPr>
            <w:r w:rsidRPr="00324DD6">
              <w:rPr>
                <w:rFonts w:ascii="Gotham Bold" w:hAnsi="Gotham Bold" w:cs="Gotham Bold"/>
                <w:caps/>
                <w:color w:val="7AAEDE"/>
                <w:spacing w:val="-2"/>
                <w:sz w:val="18"/>
                <w:szCs w:val="18"/>
                <w:lang w:val="en-US"/>
              </w:rPr>
              <w:lastRenderedPageBreak/>
              <w:t>About The International Chamber of Commerce (ICC)</w:t>
            </w:r>
          </w:p>
          <w:p w14:paraId="756A32C0" w14:textId="77777777" w:rsidR="00EF188C" w:rsidRPr="00324DD6" w:rsidRDefault="00EF188C" w:rsidP="00E14668">
            <w:pPr>
              <w:pStyle w:val="Aucunstyle"/>
              <w:suppressAutoHyphens/>
              <w:spacing w:before="85" w:after="57"/>
              <w:rPr>
                <w:rFonts w:ascii="Gotham Book" w:hAnsi="Gotham Book" w:cs="Gotham Book"/>
                <w:color w:val="FFFFFF"/>
                <w:spacing w:val="2"/>
                <w:sz w:val="18"/>
                <w:szCs w:val="18"/>
                <w:lang w:val="en-GB"/>
              </w:rPr>
            </w:pPr>
            <w:r>
              <w:rPr>
                <w:rFonts w:ascii="Gotham Book" w:hAnsi="Gotham Book" w:cs="Gotham Book"/>
                <w:color w:val="FFFFFF"/>
                <w:spacing w:val="-2"/>
                <w:sz w:val="18"/>
                <w:szCs w:val="18"/>
                <w:lang w:val="en-GB"/>
              </w:rPr>
              <w:t xml:space="preserve">The International Chamber of Commerce (ICC) is the institutional representative of more than 45 million </w:t>
            </w:r>
            <w:r>
              <w:rPr>
                <w:rFonts w:ascii="Gotham Book" w:hAnsi="Gotham Book" w:cs="Gotham Book"/>
                <w:color w:val="FFFFFF"/>
                <w:spacing w:val="2"/>
                <w:sz w:val="18"/>
                <w:szCs w:val="18"/>
                <w:lang w:val="en-GB"/>
              </w:rPr>
              <w:t xml:space="preserve">companies in over 100 countries. ICC’s core mission is to make business work for everyone, every </w:t>
            </w:r>
            <w:r>
              <w:rPr>
                <w:rFonts w:ascii="Gotham Book" w:hAnsi="Gotham Book" w:cs="Gotham Book"/>
                <w:color w:val="FFFFFF"/>
                <w:spacing w:val="2"/>
                <w:sz w:val="18"/>
                <w:szCs w:val="18"/>
                <w:lang w:val="en-GB"/>
              </w:rPr>
              <w:br/>
              <w:t xml:space="preserve">day, everywhere. Through a unique mix of advocacy, solutions and standard setting, we promote international trade, responsible business conduct and a global approach to regulation, in addition </w:t>
            </w:r>
            <w:r>
              <w:rPr>
                <w:rFonts w:ascii="Gotham Book" w:hAnsi="Gotham Book" w:cs="Gotham Book"/>
                <w:color w:val="FFFFFF"/>
                <w:spacing w:val="2"/>
                <w:sz w:val="18"/>
                <w:szCs w:val="18"/>
                <w:lang w:val="en-GB"/>
              </w:rPr>
              <w:br/>
              <w:t>to providing market-leading dispute resolution services. Our members include many of the world’s leading companies, SMEs, business associations and local chambers of commerce.</w:t>
            </w:r>
          </w:p>
        </w:tc>
      </w:tr>
    </w:tbl>
    <w:p w14:paraId="28F32F3B" w14:textId="77777777" w:rsidR="005E5255" w:rsidRDefault="005E5255" w:rsidP="006B7D26">
      <w:pPr>
        <w:pStyle w:val="Bullet1"/>
        <w:numPr>
          <w:ilvl w:val="0"/>
          <w:numId w:val="0"/>
        </w:numPr>
        <w:ind w:left="720" w:hanging="360"/>
        <w:rPr>
          <w:b/>
          <w:bCs/>
        </w:rPr>
      </w:pPr>
    </w:p>
    <w:p w14:paraId="55C79B6C" w14:textId="77777777" w:rsidR="005E5255" w:rsidRDefault="005E5255" w:rsidP="006B7D26">
      <w:pPr>
        <w:pStyle w:val="Bullet1"/>
        <w:numPr>
          <w:ilvl w:val="0"/>
          <w:numId w:val="0"/>
        </w:numPr>
        <w:ind w:left="720" w:hanging="360"/>
        <w:rPr>
          <w:b/>
          <w:bCs/>
        </w:rPr>
      </w:pPr>
    </w:p>
    <w:p w14:paraId="45918E17" w14:textId="77777777" w:rsidR="006B7D26" w:rsidRPr="004F5470" w:rsidRDefault="006B7D26" w:rsidP="006B7D26">
      <w:pPr>
        <w:pStyle w:val="Bullet1"/>
        <w:numPr>
          <w:ilvl w:val="0"/>
          <w:numId w:val="0"/>
        </w:numPr>
        <w:ind w:left="720" w:hanging="360"/>
        <w:rPr>
          <w:b/>
          <w:bCs/>
        </w:rPr>
      </w:pPr>
    </w:p>
    <w:sectPr w:rsidR="006B7D26" w:rsidRPr="004F5470" w:rsidSect="00833DE3">
      <w:headerReference w:type="even" r:id="rId12"/>
      <w:footerReference w:type="even" r:id="rId13"/>
      <w:footerReference w:type="default" r:id="rId14"/>
      <w:headerReference w:type="first" r:id="rId15"/>
      <w:footerReference w:type="first" r:id="rId16"/>
      <w:pgSz w:w="11900" w:h="16840"/>
      <w:pgMar w:top="1213" w:right="1077" w:bottom="1230" w:left="1077" w:header="0" w:footer="5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7C94D" w14:textId="77777777" w:rsidR="00DB1302" w:rsidRDefault="00DB1302" w:rsidP="000222B2">
      <w:r>
        <w:separator/>
      </w:r>
    </w:p>
    <w:p w14:paraId="5BB24D16" w14:textId="77777777" w:rsidR="00DB1302" w:rsidRDefault="00DB1302" w:rsidP="000222B2"/>
    <w:p w14:paraId="62443515" w14:textId="77777777" w:rsidR="00DB1302" w:rsidRDefault="00DB1302" w:rsidP="000222B2"/>
    <w:p w14:paraId="6DB55CA3" w14:textId="77777777" w:rsidR="00DB1302" w:rsidRDefault="00DB1302" w:rsidP="000222B2"/>
    <w:p w14:paraId="61AFDCA3" w14:textId="77777777" w:rsidR="00DB1302" w:rsidRDefault="00DB1302" w:rsidP="000222B2"/>
    <w:p w14:paraId="32B04A22" w14:textId="77777777" w:rsidR="00DB1302" w:rsidRDefault="00DB1302" w:rsidP="000222B2"/>
  </w:endnote>
  <w:endnote w:type="continuationSeparator" w:id="0">
    <w:p w14:paraId="42075F31" w14:textId="77777777" w:rsidR="00DB1302" w:rsidRDefault="00DB1302" w:rsidP="000222B2">
      <w:r>
        <w:continuationSeparator/>
      </w:r>
    </w:p>
    <w:p w14:paraId="2FDBA954" w14:textId="77777777" w:rsidR="00DB1302" w:rsidRDefault="00DB1302" w:rsidP="000222B2"/>
    <w:p w14:paraId="18FBBCC8" w14:textId="77777777" w:rsidR="00DB1302" w:rsidRDefault="00DB1302" w:rsidP="000222B2"/>
    <w:p w14:paraId="0C860027" w14:textId="77777777" w:rsidR="00DB1302" w:rsidRDefault="00DB1302" w:rsidP="000222B2"/>
    <w:p w14:paraId="0BC09430" w14:textId="77777777" w:rsidR="00DB1302" w:rsidRDefault="00DB1302" w:rsidP="000222B2"/>
    <w:p w14:paraId="7601BBDE" w14:textId="77777777" w:rsidR="00DB1302" w:rsidRDefault="00DB1302" w:rsidP="000222B2"/>
  </w:endnote>
  <w:endnote w:type="continuationNotice" w:id="1">
    <w:p w14:paraId="4B039503" w14:textId="77777777" w:rsidR="00DB1302" w:rsidRDefault="00DB13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otham Book">
    <w:panose1 w:val="00000000000000000000"/>
    <w:charset w:val="00"/>
    <w:family w:val="auto"/>
    <w:notTrueType/>
    <w:pitch w:val="variable"/>
    <w:sig w:usb0="A00002FF" w:usb1="4000005B" w:usb2="00000000" w:usb3="00000000" w:csb0="0000009F" w:csb1="00000000"/>
  </w:font>
  <w:font w:name="ヒラギノ角ゴ Pro W3">
    <w:altName w:val="Yu Gothic UI"/>
    <w:panose1 w:val="020B0300000000000000"/>
    <w:charset w:val="80"/>
    <w:family w:val="swiss"/>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Gotham-Book">
    <w:altName w:val="Gotham Book"/>
    <w:panose1 w:val="00000000000000000000"/>
    <w:charset w:val="00"/>
    <w:family w:val="roman"/>
    <w:pitch w:val="variable"/>
    <w:sig w:usb0="00000003" w:usb1="00000000" w:usb2="00000000" w:usb3="00000000" w:csb0="00000001" w:csb1="00000000"/>
  </w:font>
  <w:font w:name="Gotham Bold">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Gotham Medium">
    <w:panose1 w:val="00000000000000000000"/>
    <w:charset w:val="00"/>
    <w:family w:val="auto"/>
    <w:notTrueType/>
    <w:pitch w:val="variable"/>
    <w:sig w:usb0="A00002FF" w:usb1="4000005B" w:usb2="00000000" w:usb3="00000000" w:csb0="0000009F" w:csb1="00000000"/>
  </w:font>
  <w:font w:name="MinionPro-Regular">
    <w:panose1 w:val="020B0604020202020204"/>
    <w:charset w:val="00"/>
    <w:family w:val="auto"/>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2033719789"/>
      <w:docPartObj>
        <w:docPartGallery w:val="Page Numbers (Bottom of Page)"/>
        <w:docPartUnique/>
      </w:docPartObj>
    </w:sdtPr>
    <w:sdtEndPr>
      <w:rPr>
        <w:rStyle w:val="Sidnummer"/>
      </w:rPr>
    </w:sdtEndPr>
    <w:sdtContent>
      <w:p w14:paraId="15DDC0AB" w14:textId="4DB8BE2A" w:rsidR="00A83441" w:rsidRDefault="00A83441" w:rsidP="000222B2">
        <w:pPr>
          <w:rPr>
            <w:rStyle w:val="Sidnummer"/>
          </w:rPr>
        </w:pPr>
        <w:r>
          <w:rPr>
            <w:rStyle w:val="Sidnummer"/>
          </w:rPr>
          <w:fldChar w:fldCharType="begin"/>
        </w:r>
        <w:r>
          <w:rPr>
            <w:rStyle w:val="Sidnummer"/>
          </w:rPr>
          <w:instrText xml:space="preserve"> PAGE </w:instrText>
        </w:r>
        <w:r>
          <w:rPr>
            <w:rStyle w:val="Sidnummer"/>
          </w:rPr>
          <w:fldChar w:fldCharType="end"/>
        </w:r>
      </w:p>
    </w:sdtContent>
  </w:sdt>
  <w:sdt>
    <w:sdtPr>
      <w:rPr>
        <w:rStyle w:val="Sidnummer"/>
      </w:rPr>
      <w:id w:val="1308442505"/>
      <w:docPartObj>
        <w:docPartGallery w:val="Page Numbers (Bottom of Page)"/>
        <w:docPartUnique/>
      </w:docPartObj>
    </w:sdtPr>
    <w:sdtEndPr>
      <w:rPr>
        <w:rStyle w:val="Sidnummer"/>
      </w:rPr>
    </w:sdtEndPr>
    <w:sdtContent>
      <w:p w14:paraId="4C8A06F5" w14:textId="50249899" w:rsidR="00A83441" w:rsidRDefault="00A83441" w:rsidP="000222B2">
        <w:pPr>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3FDD9149" w14:textId="77777777" w:rsidR="00A83441" w:rsidRDefault="00A83441" w:rsidP="000222B2"/>
  <w:p w14:paraId="5AC3F98B" w14:textId="77777777" w:rsidR="00713BED" w:rsidRDefault="00713BED" w:rsidP="000222B2"/>
  <w:p w14:paraId="322E1C77" w14:textId="77777777" w:rsidR="00713BED" w:rsidRDefault="00713BED" w:rsidP="000222B2"/>
  <w:p w14:paraId="5F3EEE27" w14:textId="77777777" w:rsidR="004D071C" w:rsidRDefault="004D071C" w:rsidP="000222B2"/>
  <w:p w14:paraId="211299CB" w14:textId="77777777" w:rsidR="004D071C" w:rsidRDefault="004D071C" w:rsidP="000222B2"/>
  <w:p w14:paraId="2C655E9B" w14:textId="77777777" w:rsidR="004D071C" w:rsidRDefault="004D071C" w:rsidP="000222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A69BF" w14:textId="1A2CB394" w:rsidR="004D071C" w:rsidRDefault="00E77BA3" w:rsidP="000222B2">
    <w:r w:rsidRPr="000804A3">
      <w:rPr>
        <w:noProof/>
        <w:sz w:val="16"/>
        <w:szCs w:val="16"/>
      </w:rPr>
      <mc:AlternateContent>
        <mc:Choice Requires="wps">
          <w:drawing>
            <wp:anchor distT="0" distB="0" distL="114300" distR="114300" simplePos="0" relativeHeight="251658241" behindDoc="1" locked="0" layoutInCell="1" allowOverlap="0" wp14:anchorId="3FF1E9BE" wp14:editId="3EA0E19C">
              <wp:simplePos x="0" y="0"/>
              <wp:positionH relativeFrom="page">
                <wp:posOffset>742950</wp:posOffset>
              </wp:positionH>
              <wp:positionV relativeFrom="page">
                <wp:posOffset>10045700</wp:posOffset>
              </wp:positionV>
              <wp:extent cx="6058800" cy="127710"/>
              <wp:effectExtent l="0" t="0" r="1206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8800" cy="127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FFAED" w14:textId="2454E887" w:rsidR="00F400C4" w:rsidRPr="00BC4006" w:rsidRDefault="005F1240" w:rsidP="00F400C4">
                          <w:pPr>
                            <w:pStyle w:val="zFooter"/>
                          </w:pPr>
                          <w:r>
                            <w:t>February 2022</w:t>
                          </w:r>
                          <w:r w:rsidR="00F400C4" w:rsidRPr="00BC4006">
                            <w:t xml:space="preserve"> | </w:t>
                          </w:r>
                          <w:r>
                            <w:t>ICC response to OECD Pillar 1 consultation on nexus and revenue sourcing</w:t>
                          </w:r>
                          <w:r w:rsidR="00F400C4" w:rsidRPr="00BC4006">
                            <w:t xml:space="preserve"> | </w:t>
                          </w:r>
                          <w:r w:rsidR="00F400C4" w:rsidRPr="00BE6229">
                            <w:rPr>
                              <w:b/>
                              <w:bCs/>
                            </w:rPr>
                            <w:fldChar w:fldCharType="begin"/>
                          </w:r>
                          <w:r w:rsidR="00F400C4" w:rsidRPr="00BE6229">
                            <w:rPr>
                              <w:b/>
                              <w:bCs/>
                            </w:rPr>
                            <w:instrText xml:space="preserve"> PAGE </w:instrText>
                          </w:r>
                          <w:r w:rsidR="00F400C4" w:rsidRPr="00BE6229">
                            <w:rPr>
                              <w:b/>
                              <w:bCs/>
                            </w:rPr>
                            <w:fldChar w:fldCharType="separate"/>
                          </w:r>
                          <w:r w:rsidR="00F400C4">
                            <w:rPr>
                              <w:b/>
                              <w:bCs/>
                            </w:rPr>
                            <w:t>2</w:t>
                          </w:r>
                          <w:r w:rsidR="00F400C4" w:rsidRPr="00BE6229">
                            <w:rPr>
                              <w:b/>
                              <w:bCs/>
                            </w:rPr>
                            <w:fldChar w:fldCharType="end"/>
                          </w:r>
                        </w:p>
                        <w:p w14:paraId="339A28BF" w14:textId="77777777" w:rsidR="00F400C4" w:rsidRPr="00BC4006" w:rsidRDefault="00F400C4" w:rsidP="00F400C4">
                          <w:pPr>
                            <w:pStyle w:val="zFooter"/>
                          </w:pPr>
                        </w:p>
                        <w:p w14:paraId="5093026E" w14:textId="70320252" w:rsidR="00E77BA3" w:rsidRPr="00BC4006" w:rsidRDefault="00E77BA3" w:rsidP="00E77BA3">
                          <w:pPr>
                            <w:pStyle w:val="z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1E9BE" id="_x0000_t202" coordsize="21600,21600" o:spt="202" path="m,l,21600r21600,l21600,xe">
              <v:stroke joinstyle="miter"/>
              <v:path gradientshapeok="t" o:connecttype="rect"/>
            </v:shapetype>
            <v:shape id="Text Box 3" o:spid="_x0000_s1026" type="#_x0000_t202" style="position:absolute;margin-left:58.5pt;margin-top:791pt;width:477.05pt;height:10.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" o:allowoverlap="f" filled="f" stroked="f">
              <v:path arrowok="t"/>
              <v:textbox inset="0,0,0,0">
                <w:txbxContent>
                  <w:p w14:paraId="498FFAED" w14:textId="2454E887" w:rsidR="00F400C4" w:rsidRPr="00BC4006" w:rsidRDefault="005F1240" w:rsidP="00F400C4">
                    <w:pPr>
                      <w:pStyle w:val="zFooter"/>
                    </w:pPr>
                    <w:r>
                      <w:t>February 2022</w:t>
                    </w:r>
                    <w:r w:rsidR="00F400C4" w:rsidRPr="00BC4006">
                      <w:t xml:space="preserve"> | </w:t>
                    </w:r>
                    <w:r>
                      <w:t>ICC response to OECD Pillar 1 consultation on nexus and revenue sourcing</w:t>
                    </w:r>
                    <w:r w:rsidR="00F400C4" w:rsidRPr="00BC4006">
                      <w:t xml:space="preserve"> | </w:t>
                    </w:r>
                    <w:r w:rsidR="00F400C4" w:rsidRPr="00BE6229">
                      <w:rPr>
                        <w:b/>
                        <w:bCs/>
                      </w:rPr>
                      <w:fldChar w:fldCharType="begin"/>
                    </w:r>
                    <w:r w:rsidR="00F400C4" w:rsidRPr="00BE6229">
                      <w:rPr>
                        <w:b/>
                        <w:bCs/>
                      </w:rPr>
                      <w:instrText xml:space="preserve"> PAGE </w:instrText>
                    </w:r>
                    <w:r w:rsidR="00F400C4" w:rsidRPr="00BE6229">
                      <w:rPr>
                        <w:b/>
                        <w:bCs/>
                      </w:rPr>
                      <w:fldChar w:fldCharType="separate"/>
                    </w:r>
                    <w:r w:rsidR="00F400C4">
                      <w:rPr>
                        <w:b/>
                        <w:bCs/>
                      </w:rPr>
                      <w:t>2</w:t>
                    </w:r>
                    <w:r w:rsidR="00F400C4" w:rsidRPr="00BE6229">
                      <w:rPr>
                        <w:b/>
                        <w:bCs/>
                      </w:rPr>
                      <w:fldChar w:fldCharType="end"/>
                    </w:r>
                  </w:p>
                  <w:p w14:paraId="339A28BF" w14:textId="77777777" w:rsidR="00F400C4" w:rsidRPr="00BC4006" w:rsidRDefault="00F400C4" w:rsidP="00F400C4">
                    <w:pPr>
                      <w:pStyle w:val="zFooter"/>
                    </w:pPr>
                  </w:p>
                  <w:p w14:paraId="5093026E" w14:textId="70320252" w:rsidR="00E77BA3" w:rsidRPr="00BC4006" w:rsidRDefault="00E77BA3" w:rsidP="00E77BA3">
                    <w:pPr>
                      <w:pStyle w:val="zFoote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098B" w14:textId="63E8F9FC" w:rsidR="00713BED" w:rsidRPr="003A4365" w:rsidRDefault="002A70D9" w:rsidP="003A4365">
    <w:pPr>
      <w:tabs>
        <w:tab w:val="left" w:pos="5361"/>
      </w:tabs>
      <w:rPr>
        <w:color w:val="636569" w:themeColor="accent4"/>
        <w:sz w:val="16"/>
        <w:szCs w:val="16"/>
      </w:rPr>
    </w:pPr>
    <w:r w:rsidRPr="000804A3">
      <w:rPr>
        <w:noProof/>
        <w:sz w:val="16"/>
        <w:szCs w:val="16"/>
      </w:rPr>
      <mc:AlternateContent>
        <mc:Choice Requires="wps">
          <w:drawing>
            <wp:anchor distT="0" distB="0" distL="114300" distR="114300" simplePos="0" relativeHeight="251658240" behindDoc="1" locked="0" layoutInCell="1" allowOverlap="0" wp14:anchorId="52B084FA" wp14:editId="5CAB8C73">
              <wp:simplePos x="0" y="0"/>
              <wp:positionH relativeFrom="page">
                <wp:posOffset>726552</wp:posOffset>
              </wp:positionH>
              <wp:positionV relativeFrom="page">
                <wp:posOffset>10045700</wp:posOffset>
              </wp:positionV>
              <wp:extent cx="6058800" cy="127710"/>
              <wp:effectExtent l="0" t="0" r="12065" b="12065"/>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8800" cy="127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56BC6" w14:textId="43323981" w:rsidR="00F400C4" w:rsidRPr="00BC4006" w:rsidRDefault="001A3B40" w:rsidP="00F400C4">
                          <w:pPr>
                            <w:pStyle w:val="zFooter"/>
                          </w:pPr>
                          <w:r>
                            <w:t>February 2022</w:t>
                          </w:r>
                          <w:r w:rsidR="00F400C4" w:rsidRPr="00BC4006">
                            <w:t xml:space="preserve"> | </w:t>
                          </w:r>
                          <w:r w:rsidR="005F1240">
                            <w:t>ICC Response to OECD Pillar 1 consultation on nexus and revenue sourcing</w:t>
                          </w:r>
                          <w:r w:rsidR="00F400C4" w:rsidRPr="00BC4006">
                            <w:t xml:space="preserve"> | </w:t>
                          </w:r>
                          <w:r w:rsidR="00F400C4" w:rsidRPr="00BE6229">
                            <w:rPr>
                              <w:b/>
                              <w:bCs/>
                            </w:rPr>
                            <w:fldChar w:fldCharType="begin"/>
                          </w:r>
                          <w:r w:rsidR="00F400C4" w:rsidRPr="00BE6229">
                            <w:rPr>
                              <w:b/>
                              <w:bCs/>
                            </w:rPr>
                            <w:instrText xml:space="preserve"> PAGE </w:instrText>
                          </w:r>
                          <w:r w:rsidR="00F400C4" w:rsidRPr="00BE6229">
                            <w:rPr>
                              <w:b/>
                              <w:bCs/>
                            </w:rPr>
                            <w:fldChar w:fldCharType="separate"/>
                          </w:r>
                          <w:r w:rsidR="00F400C4">
                            <w:rPr>
                              <w:b/>
                              <w:bCs/>
                            </w:rPr>
                            <w:t>2</w:t>
                          </w:r>
                          <w:r w:rsidR="00F400C4" w:rsidRPr="00BE6229">
                            <w:rPr>
                              <w:b/>
                              <w:bCs/>
                            </w:rPr>
                            <w:fldChar w:fldCharType="end"/>
                          </w:r>
                        </w:p>
                        <w:p w14:paraId="64446165" w14:textId="77777777" w:rsidR="00F400C4" w:rsidRPr="00BC4006" w:rsidRDefault="00F400C4" w:rsidP="00F400C4">
                          <w:pPr>
                            <w:pStyle w:val="zFooter"/>
                          </w:pPr>
                        </w:p>
                        <w:p w14:paraId="3902E5CB" w14:textId="11AA387A" w:rsidR="002A70D9" w:rsidRPr="00BC4006" w:rsidRDefault="002A70D9" w:rsidP="00BC4006">
                          <w:pPr>
                            <w:pStyle w:val="z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084FA" id="_x0000_t202" coordsize="21600,21600" o:spt="202" path="m,l,21600r21600,l21600,xe">
              <v:stroke joinstyle="miter"/>
              <v:path gradientshapeok="t" o:connecttype="rect"/>
            </v:shapetype>
            <v:shape id="_x0000_s1028" type="#_x0000_t202" style="position:absolute;margin-left:57.2pt;margin-top:791pt;width:477.05pt;height:10.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" o:allowoverlap="f" filled="f" stroked="f">
              <v:path arrowok="t"/>
              <v:textbox inset="0,0,0,0">
                <w:txbxContent>
                  <w:p w14:paraId="4A456BC6" w14:textId="43323981" w:rsidR="00F400C4" w:rsidRPr="00BC4006" w:rsidRDefault="001A3B40" w:rsidP="00F400C4">
                    <w:pPr>
                      <w:pStyle w:val="zFooter"/>
                    </w:pPr>
                    <w:r>
                      <w:t>February 2022</w:t>
                    </w:r>
                    <w:r w:rsidR="00F400C4" w:rsidRPr="00BC4006">
                      <w:t xml:space="preserve"> | </w:t>
                    </w:r>
                    <w:r w:rsidR="005F1240">
                      <w:t>ICC Response to OECD Pillar 1 consultation on nexus and revenue sourcing</w:t>
                    </w:r>
                    <w:r w:rsidR="00F400C4" w:rsidRPr="00BC4006">
                      <w:t xml:space="preserve"> | </w:t>
                    </w:r>
                    <w:r w:rsidR="00F400C4" w:rsidRPr="00BE6229">
                      <w:rPr>
                        <w:b/>
                        <w:bCs/>
                      </w:rPr>
                      <w:fldChar w:fldCharType="begin"/>
                    </w:r>
                    <w:r w:rsidR="00F400C4" w:rsidRPr="00BE6229">
                      <w:rPr>
                        <w:b/>
                        <w:bCs/>
                      </w:rPr>
                      <w:instrText xml:space="preserve"> PAGE </w:instrText>
                    </w:r>
                    <w:r w:rsidR="00F400C4" w:rsidRPr="00BE6229">
                      <w:rPr>
                        <w:b/>
                        <w:bCs/>
                      </w:rPr>
                      <w:fldChar w:fldCharType="separate"/>
                    </w:r>
                    <w:r w:rsidR="00F400C4">
                      <w:rPr>
                        <w:b/>
                        <w:bCs/>
                      </w:rPr>
                      <w:t>2</w:t>
                    </w:r>
                    <w:r w:rsidR="00F400C4" w:rsidRPr="00BE6229">
                      <w:rPr>
                        <w:b/>
                        <w:bCs/>
                      </w:rPr>
                      <w:fldChar w:fldCharType="end"/>
                    </w:r>
                  </w:p>
                  <w:p w14:paraId="64446165" w14:textId="77777777" w:rsidR="00F400C4" w:rsidRPr="00BC4006" w:rsidRDefault="00F400C4" w:rsidP="00F400C4">
                    <w:pPr>
                      <w:pStyle w:val="zFooter"/>
                    </w:pPr>
                  </w:p>
                  <w:p w14:paraId="3902E5CB" w14:textId="11AA387A" w:rsidR="002A70D9" w:rsidRPr="00BC4006" w:rsidRDefault="002A70D9" w:rsidP="00BC4006">
                    <w:pPr>
                      <w:pStyle w:val="zFoote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176A0" w14:textId="77777777" w:rsidR="00DB1302" w:rsidRDefault="00DB1302" w:rsidP="000222B2">
      <w:r>
        <w:separator/>
      </w:r>
    </w:p>
  </w:footnote>
  <w:footnote w:type="continuationSeparator" w:id="0">
    <w:p w14:paraId="4838B9BD" w14:textId="77777777" w:rsidR="00DB1302" w:rsidRDefault="00DB1302" w:rsidP="000222B2">
      <w:r>
        <w:continuationSeparator/>
      </w:r>
    </w:p>
    <w:p w14:paraId="433A597B" w14:textId="77777777" w:rsidR="00DB1302" w:rsidRDefault="00DB1302" w:rsidP="000222B2"/>
    <w:p w14:paraId="3087AB03" w14:textId="77777777" w:rsidR="00DB1302" w:rsidRDefault="00DB1302" w:rsidP="000222B2"/>
    <w:p w14:paraId="5FB85812" w14:textId="77777777" w:rsidR="00DB1302" w:rsidRDefault="00DB1302" w:rsidP="000222B2"/>
    <w:p w14:paraId="3E179D68" w14:textId="77777777" w:rsidR="00DB1302" w:rsidRDefault="00DB1302" w:rsidP="000222B2"/>
    <w:p w14:paraId="2AFE63B8" w14:textId="77777777" w:rsidR="00DB1302" w:rsidRDefault="00DB1302" w:rsidP="000222B2"/>
  </w:footnote>
  <w:footnote w:type="continuationNotice" w:id="1">
    <w:p w14:paraId="61923D38" w14:textId="77777777" w:rsidR="00DB1302" w:rsidRDefault="00DB13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04CB0" w14:textId="77777777" w:rsidR="00155E25" w:rsidRDefault="00155E25" w:rsidP="000222B2">
    <w:pPr>
      <w:pStyle w:val="Sidhuvud"/>
    </w:pPr>
  </w:p>
  <w:p w14:paraId="13057920" w14:textId="77777777" w:rsidR="004D071C" w:rsidRDefault="004D071C" w:rsidP="000222B2"/>
  <w:p w14:paraId="3F6D16AE" w14:textId="77777777" w:rsidR="004D071C" w:rsidRDefault="004D071C" w:rsidP="000222B2"/>
  <w:p w14:paraId="6BCA64DF" w14:textId="77777777" w:rsidR="004D071C" w:rsidRDefault="004D071C" w:rsidP="000222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990D" w14:textId="44775268" w:rsidR="00833DE3" w:rsidRDefault="00833DE3" w:rsidP="00833DE3"/>
  <w:p w14:paraId="753F4181" w14:textId="30A13B1F" w:rsidR="00833DE3" w:rsidRDefault="00736581" w:rsidP="00833DE3">
    <w:r w:rsidRPr="00C2349C">
      <w:rPr>
        <w:noProof/>
      </w:rPr>
      <mc:AlternateContent>
        <mc:Choice Requires="wps">
          <w:drawing>
            <wp:anchor distT="0" distB="0" distL="114300" distR="114300" simplePos="0" relativeHeight="251658243" behindDoc="0" locked="0" layoutInCell="1" allowOverlap="1" wp14:anchorId="0D3F5730" wp14:editId="06BA7384">
              <wp:simplePos x="0" y="0"/>
              <wp:positionH relativeFrom="column">
                <wp:posOffset>-463550</wp:posOffset>
              </wp:positionH>
              <wp:positionV relativeFrom="paragraph">
                <wp:posOffset>97155</wp:posOffset>
              </wp:positionV>
              <wp:extent cx="4288790" cy="75057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4288790" cy="750570"/>
                      </a:xfrm>
                      <a:prstGeom prst="rect">
                        <a:avLst/>
                      </a:prstGeom>
                      <a:noFill/>
                      <a:ln w="6350">
                        <a:noFill/>
                      </a:ln>
                    </wps:spPr>
                    <wps:txbx>
                      <w:txbxContent>
                        <w:p w14:paraId="73D08350" w14:textId="67D05283" w:rsidR="00C2349C" w:rsidRPr="00732DD0" w:rsidRDefault="00736581" w:rsidP="00C2349C">
                          <w:pPr>
                            <w:pStyle w:val="zBandoTITLE"/>
                            <w:spacing w:after="0"/>
                            <w:rPr>
                              <w:sz w:val="40"/>
                              <w:szCs w:val="40"/>
                            </w:rPr>
                          </w:pPr>
                          <w:r>
                            <w:rPr>
                              <w:sz w:val="40"/>
                              <w:szCs w:val="40"/>
                            </w:rPr>
                            <w:t xml:space="preserve">ICC </w:t>
                          </w:r>
                          <w:r w:rsidR="00EB3B8C">
                            <w:rPr>
                              <w:sz w:val="40"/>
                              <w:szCs w:val="40"/>
                            </w:rPr>
                            <w:t xml:space="preserve">Global Taxation </w:t>
                          </w:r>
                          <w:r>
                            <w:rPr>
                              <w:sz w:val="40"/>
                              <w:szCs w:val="40"/>
                            </w:rPr>
                            <w:t>Commission</w:t>
                          </w:r>
                        </w:p>
                      </w:txbxContent>
                    </wps:txbx>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F5730" id="_x0000_t202" coordsize="21600,21600" o:spt="202" path="m,l,21600r21600,l21600,xe">
              <v:stroke joinstyle="miter"/>
              <v:path gradientshapeok="t" o:connecttype="rect"/>
            </v:shapetype>
            <v:shape id="Zone de texte 4" o:spid="_x0000_s1027" type="#_x0000_t202" style="position:absolute;margin-left:-36.5pt;margin-top:7.65pt;width:337.7pt;height:59.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" filled="f" stroked="f" strokeweight=".5pt">
              <v:textbox inset="0">
                <w:txbxContent>
                  <w:p w14:paraId="73D08350" w14:textId="67D05283" w:rsidR="00C2349C" w:rsidRPr="00732DD0" w:rsidRDefault="00736581" w:rsidP="00C2349C">
                    <w:pPr>
                      <w:pStyle w:val="zBandoTITLE"/>
                      <w:spacing w:after="0"/>
                      <w:rPr>
                        <w:sz w:val="40"/>
                        <w:szCs w:val="40"/>
                      </w:rPr>
                    </w:pPr>
                    <w:r>
                      <w:rPr>
                        <w:sz w:val="40"/>
                        <w:szCs w:val="40"/>
                      </w:rPr>
                      <w:t xml:space="preserve">ICC </w:t>
                    </w:r>
                    <w:r w:rsidR="00EB3B8C">
                      <w:rPr>
                        <w:sz w:val="40"/>
                        <w:szCs w:val="40"/>
                      </w:rPr>
                      <w:t xml:space="preserve">Global Taxation </w:t>
                    </w:r>
                    <w:r>
                      <w:rPr>
                        <w:sz w:val="40"/>
                        <w:szCs w:val="40"/>
                      </w:rPr>
                      <w:t>Commission</w:t>
                    </w:r>
                  </w:p>
                </w:txbxContent>
              </v:textbox>
            </v:shape>
          </w:pict>
        </mc:Fallback>
      </mc:AlternateContent>
    </w:r>
  </w:p>
  <w:p w14:paraId="7F4D735F" w14:textId="77777777" w:rsidR="00833DE3" w:rsidRDefault="00833DE3" w:rsidP="00833DE3"/>
  <w:p w14:paraId="6F2F63D7" w14:textId="77777777" w:rsidR="00833DE3" w:rsidRDefault="00833DE3" w:rsidP="00833DE3"/>
  <w:p w14:paraId="5544657A" w14:textId="77777777" w:rsidR="00833DE3" w:rsidRDefault="00833DE3" w:rsidP="00833DE3"/>
  <w:p w14:paraId="2764F49D" w14:textId="7A26577E" w:rsidR="00713BED" w:rsidRDefault="00C2349C" w:rsidP="00833DE3">
    <w:r w:rsidRPr="00C2349C">
      <w:rPr>
        <w:noProof/>
      </w:rPr>
      <w:drawing>
        <wp:anchor distT="0" distB="71755" distL="114300" distR="114300" simplePos="0" relativeHeight="251658242" behindDoc="1" locked="1" layoutInCell="1" allowOverlap="1" wp14:anchorId="58631821" wp14:editId="53C3CA3A">
          <wp:simplePos x="0" y="0"/>
          <wp:positionH relativeFrom="page">
            <wp:posOffset>-13970</wp:posOffset>
          </wp:positionH>
          <wp:positionV relativeFrom="page">
            <wp:posOffset>8890</wp:posOffset>
          </wp:positionV>
          <wp:extent cx="7565390" cy="1614805"/>
          <wp:effectExtent l="0" t="0" r="381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a:stretch>
                    <a:fillRect/>
                  </a:stretch>
                </pic:blipFill>
                <pic:spPr>
                  <a:xfrm>
                    <a:off x="0" y="0"/>
                    <a:ext cx="7565390" cy="16148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269"/>
    <w:multiLevelType w:val="hybridMultilevel"/>
    <w:tmpl w:val="DFDA4444"/>
    <w:lvl w:ilvl="0" w:tplc="849E0BB2">
      <w:start w:val="1"/>
      <w:numFmt w:val="bullet"/>
      <w:lvlText w:val="—"/>
      <w:lvlJc w:val="left"/>
      <w:pPr>
        <w:ind w:left="720" w:hanging="360"/>
      </w:pPr>
      <w:rPr>
        <w:rFonts w:ascii="Arial Black" w:hAnsi="Arial Black" w:hint="default"/>
        <w:color w:val="636569" w:themeColor="accent4"/>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F04397"/>
    <w:multiLevelType w:val="hybridMultilevel"/>
    <w:tmpl w:val="71F2DD06"/>
    <w:lvl w:ilvl="0" w:tplc="B9F20378">
      <w:start w:val="1"/>
      <w:numFmt w:val="lowerRoman"/>
      <w:lvlText w:val="%1."/>
      <w:lvlJc w:val="right"/>
      <w:pPr>
        <w:ind w:left="720" w:hanging="360"/>
      </w:pPr>
    </w:lvl>
    <w:lvl w:ilvl="1" w:tplc="5086A1EC">
      <w:start w:val="1"/>
      <w:numFmt w:val="lowerLetter"/>
      <w:lvlText w:val="%2."/>
      <w:lvlJc w:val="left"/>
      <w:pPr>
        <w:ind w:left="1440" w:hanging="360"/>
      </w:pPr>
    </w:lvl>
    <w:lvl w:ilvl="2" w:tplc="45C880D6">
      <w:start w:val="1"/>
      <w:numFmt w:val="lowerRoman"/>
      <w:lvlText w:val="%3."/>
      <w:lvlJc w:val="right"/>
      <w:pPr>
        <w:ind w:left="2160" w:hanging="180"/>
      </w:pPr>
    </w:lvl>
    <w:lvl w:ilvl="3" w:tplc="F43AE71A">
      <w:start w:val="1"/>
      <w:numFmt w:val="decimal"/>
      <w:lvlText w:val="%4."/>
      <w:lvlJc w:val="left"/>
      <w:pPr>
        <w:ind w:left="2880" w:hanging="360"/>
      </w:pPr>
    </w:lvl>
    <w:lvl w:ilvl="4" w:tplc="73202944">
      <w:start w:val="1"/>
      <w:numFmt w:val="lowerLetter"/>
      <w:lvlText w:val="%5."/>
      <w:lvlJc w:val="left"/>
      <w:pPr>
        <w:ind w:left="3600" w:hanging="360"/>
      </w:pPr>
    </w:lvl>
    <w:lvl w:ilvl="5" w:tplc="76A64308">
      <w:start w:val="1"/>
      <w:numFmt w:val="lowerRoman"/>
      <w:lvlText w:val="%6."/>
      <w:lvlJc w:val="right"/>
      <w:pPr>
        <w:ind w:left="4320" w:hanging="180"/>
      </w:pPr>
    </w:lvl>
    <w:lvl w:ilvl="6" w:tplc="EEDC0ED0">
      <w:start w:val="1"/>
      <w:numFmt w:val="decimal"/>
      <w:lvlText w:val="%7."/>
      <w:lvlJc w:val="left"/>
      <w:pPr>
        <w:ind w:left="5040" w:hanging="360"/>
      </w:pPr>
    </w:lvl>
    <w:lvl w:ilvl="7" w:tplc="8E08708A">
      <w:start w:val="1"/>
      <w:numFmt w:val="lowerLetter"/>
      <w:lvlText w:val="%8."/>
      <w:lvlJc w:val="left"/>
      <w:pPr>
        <w:ind w:left="5760" w:hanging="360"/>
      </w:pPr>
    </w:lvl>
    <w:lvl w:ilvl="8" w:tplc="E3921766">
      <w:start w:val="1"/>
      <w:numFmt w:val="lowerRoman"/>
      <w:lvlText w:val="%9."/>
      <w:lvlJc w:val="right"/>
      <w:pPr>
        <w:ind w:left="6480" w:hanging="180"/>
      </w:pPr>
    </w:lvl>
  </w:abstractNum>
  <w:abstractNum w:abstractNumId="2" w15:restartNumberingAfterBreak="0">
    <w:nsid w:val="06F80BEF"/>
    <w:multiLevelType w:val="hybridMultilevel"/>
    <w:tmpl w:val="74A0BE3A"/>
    <w:lvl w:ilvl="0" w:tplc="F5FEA89A">
      <w:start w:val="1"/>
      <w:numFmt w:val="lowerLetter"/>
      <w:lvlText w:val="%1."/>
      <w:lvlJc w:val="left"/>
      <w:pPr>
        <w:ind w:left="1440" w:hanging="360"/>
      </w:pPr>
      <w:rPr>
        <w:rFonts w:ascii="Arial" w:hAnsi="Arial" w:hint="default"/>
        <w:b/>
        <w:i w:val="0"/>
        <w:color w:val="86BBE6"/>
        <w:sz w:val="22"/>
      </w:rPr>
    </w:lvl>
    <w:lvl w:ilvl="1" w:tplc="6EAE70CC">
      <w:start w:val="1"/>
      <w:numFmt w:val="bullet"/>
      <w:pStyle w:val="bullet3"/>
      <w:lvlText w:val=""/>
      <w:lvlJc w:val="left"/>
      <w:pPr>
        <w:ind w:left="2160" w:hanging="360"/>
      </w:pPr>
      <w:rPr>
        <w:rFonts w:ascii="Symbol" w:hAnsi="Symbol" w:hint="default"/>
        <w:b/>
        <w:i w:val="0"/>
        <w:color w:val="868686" w:themeColor="accent3"/>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822242D"/>
    <w:multiLevelType w:val="hybridMultilevel"/>
    <w:tmpl w:val="381E3F10"/>
    <w:lvl w:ilvl="0" w:tplc="40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AD533A"/>
    <w:multiLevelType w:val="hybridMultilevel"/>
    <w:tmpl w:val="FFFFFFFF"/>
    <w:lvl w:ilvl="0" w:tplc="1D7C649E">
      <w:start w:val="1"/>
      <w:numFmt w:val="lowerRoman"/>
      <w:lvlText w:val="%1."/>
      <w:lvlJc w:val="right"/>
      <w:pPr>
        <w:ind w:left="720" w:hanging="360"/>
      </w:pPr>
    </w:lvl>
    <w:lvl w:ilvl="1" w:tplc="6F766486">
      <w:start w:val="1"/>
      <w:numFmt w:val="lowerLetter"/>
      <w:lvlText w:val="%2."/>
      <w:lvlJc w:val="left"/>
      <w:pPr>
        <w:ind w:left="1440" w:hanging="360"/>
      </w:pPr>
    </w:lvl>
    <w:lvl w:ilvl="2" w:tplc="EFCAD9A8">
      <w:start w:val="1"/>
      <w:numFmt w:val="lowerRoman"/>
      <w:lvlText w:val="%3."/>
      <w:lvlJc w:val="right"/>
      <w:pPr>
        <w:ind w:left="2160" w:hanging="180"/>
      </w:pPr>
    </w:lvl>
    <w:lvl w:ilvl="3" w:tplc="8F540462">
      <w:start w:val="1"/>
      <w:numFmt w:val="decimal"/>
      <w:lvlText w:val="%4."/>
      <w:lvlJc w:val="left"/>
      <w:pPr>
        <w:ind w:left="2880" w:hanging="360"/>
      </w:pPr>
    </w:lvl>
    <w:lvl w:ilvl="4" w:tplc="6B8AE9A6">
      <w:start w:val="1"/>
      <w:numFmt w:val="lowerLetter"/>
      <w:lvlText w:val="%5."/>
      <w:lvlJc w:val="left"/>
      <w:pPr>
        <w:ind w:left="3600" w:hanging="360"/>
      </w:pPr>
    </w:lvl>
    <w:lvl w:ilvl="5" w:tplc="28D4BE5A">
      <w:start w:val="1"/>
      <w:numFmt w:val="lowerRoman"/>
      <w:lvlText w:val="%6."/>
      <w:lvlJc w:val="right"/>
      <w:pPr>
        <w:ind w:left="4320" w:hanging="180"/>
      </w:pPr>
    </w:lvl>
    <w:lvl w:ilvl="6" w:tplc="2B1E7DC8">
      <w:start w:val="1"/>
      <w:numFmt w:val="decimal"/>
      <w:lvlText w:val="%7."/>
      <w:lvlJc w:val="left"/>
      <w:pPr>
        <w:ind w:left="5040" w:hanging="360"/>
      </w:pPr>
    </w:lvl>
    <w:lvl w:ilvl="7" w:tplc="D5C6AA32">
      <w:start w:val="1"/>
      <w:numFmt w:val="lowerLetter"/>
      <w:lvlText w:val="%8."/>
      <w:lvlJc w:val="left"/>
      <w:pPr>
        <w:ind w:left="5760" w:hanging="360"/>
      </w:pPr>
    </w:lvl>
    <w:lvl w:ilvl="8" w:tplc="AD367BCA">
      <w:start w:val="1"/>
      <w:numFmt w:val="lowerRoman"/>
      <w:lvlText w:val="%9."/>
      <w:lvlJc w:val="right"/>
      <w:pPr>
        <w:ind w:left="6480" w:hanging="180"/>
      </w:pPr>
    </w:lvl>
  </w:abstractNum>
  <w:abstractNum w:abstractNumId="5" w15:restartNumberingAfterBreak="0">
    <w:nsid w:val="0AC85DE7"/>
    <w:multiLevelType w:val="hybridMultilevel"/>
    <w:tmpl w:val="FFFFFFFF"/>
    <w:lvl w:ilvl="0" w:tplc="4348B302">
      <w:start w:val="1"/>
      <w:numFmt w:val="upperRoman"/>
      <w:lvlText w:val="%1."/>
      <w:lvlJc w:val="left"/>
      <w:pPr>
        <w:ind w:left="720" w:hanging="360"/>
      </w:pPr>
    </w:lvl>
    <w:lvl w:ilvl="1" w:tplc="EDD8227A">
      <w:start w:val="1"/>
      <w:numFmt w:val="lowerLetter"/>
      <w:lvlText w:val="%2."/>
      <w:lvlJc w:val="left"/>
      <w:pPr>
        <w:ind w:left="1440" w:hanging="360"/>
      </w:pPr>
    </w:lvl>
    <w:lvl w:ilvl="2" w:tplc="0B82E3B8">
      <w:start w:val="1"/>
      <w:numFmt w:val="lowerRoman"/>
      <w:lvlText w:val="%3."/>
      <w:lvlJc w:val="right"/>
      <w:pPr>
        <w:ind w:left="2160" w:hanging="180"/>
      </w:pPr>
    </w:lvl>
    <w:lvl w:ilvl="3" w:tplc="C0505348">
      <w:start w:val="1"/>
      <w:numFmt w:val="decimal"/>
      <w:lvlText w:val="%4."/>
      <w:lvlJc w:val="left"/>
      <w:pPr>
        <w:ind w:left="2880" w:hanging="360"/>
      </w:pPr>
    </w:lvl>
    <w:lvl w:ilvl="4" w:tplc="6A246520">
      <w:start w:val="1"/>
      <w:numFmt w:val="lowerLetter"/>
      <w:lvlText w:val="%5."/>
      <w:lvlJc w:val="left"/>
      <w:pPr>
        <w:ind w:left="3600" w:hanging="360"/>
      </w:pPr>
    </w:lvl>
    <w:lvl w:ilvl="5" w:tplc="08EA542C">
      <w:start w:val="1"/>
      <w:numFmt w:val="lowerRoman"/>
      <w:lvlText w:val="%6."/>
      <w:lvlJc w:val="right"/>
      <w:pPr>
        <w:ind w:left="4320" w:hanging="180"/>
      </w:pPr>
    </w:lvl>
    <w:lvl w:ilvl="6" w:tplc="899A8184">
      <w:start w:val="1"/>
      <w:numFmt w:val="decimal"/>
      <w:lvlText w:val="%7."/>
      <w:lvlJc w:val="left"/>
      <w:pPr>
        <w:ind w:left="5040" w:hanging="360"/>
      </w:pPr>
    </w:lvl>
    <w:lvl w:ilvl="7" w:tplc="2702DD74">
      <w:start w:val="1"/>
      <w:numFmt w:val="lowerLetter"/>
      <w:lvlText w:val="%8."/>
      <w:lvlJc w:val="left"/>
      <w:pPr>
        <w:ind w:left="5760" w:hanging="360"/>
      </w:pPr>
    </w:lvl>
    <w:lvl w:ilvl="8" w:tplc="31062E60">
      <w:start w:val="1"/>
      <w:numFmt w:val="lowerRoman"/>
      <w:lvlText w:val="%9."/>
      <w:lvlJc w:val="right"/>
      <w:pPr>
        <w:ind w:left="6480" w:hanging="180"/>
      </w:pPr>
    </w:lvl>
  </w:abstractNum>
  <w:abstractNum w:abstractNumId="6" w15:restartNumberingAfterBreak="0">
    <w:nsid w:val="0D5C3A85"/>
    <w:multiLevelType w:val="multilevel"/>
    <w:tmpl w:val="9C1C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57786C"/>
    <w:multiLevelType w:val="hybridMultilevel"/>
    <w:tmpl w:val="BCBAB8E4"/>
    <w:lvl w:ilvl="0" w:tplc="020859C2">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88554BE"/>
    <w:multiLevelType w:val="hybridMultilevel"/>
    <w:tmpl w:val="6EE261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5F10AE"/>
    <w:multiLevelType w:val="hybridMultilevel"/>
    <w:tmpl w:val="32960302"/>
    <w:lvl w:ilvl="0" w:tplc="E488E6E6">
      <w:start w:val="1"/>
      <w:numFmt w:val="bullet"/>
      <w:pStyle w:val="1BulletTitle"/>
      <w:lvlText w:val=""/>
      <w:lvlJc w:val="left"/>
      <w:pPr>
        <w:ind w:left="360" w:hanging="360"/>
      </w:pPr>
      <w:rPr>
        <w:rFonts w:ascii="Symbol" w:hAnsi="Symbol" w:hint="default"/>
        <w:b/>
        <w:i w:val="0"/>
        <w:color w:val="0063A7" w:themeColor="text1"/>
      </w:rPr>
    </w:lvl>
    <w:lvl w:ilvl="1" w:tplc="040C0003" w:tentative="1">
      <w:start w:val="1"/>
      <w:numFmt w:val="bullet"/>
      <w:lvlText w:val="o"/>
      <w:lvlJc w:val="left"/>
      <w:pPr>
        <w:ind w:left="-360" w:hanging="360"/>
      </w:pPr>
      <w:rPr>
        <w:rFonts w:ascii="Courier New" w:hAnsi="Courier New" w:cs="Courier New" w:hint="default"/>
      </w:rPr>
    </w:lvl>
    <w:lvl w:ilvl="2" w:tplc="040C0005" w:tentative="1">
      <w:start w:val="1"/>
      <w:numFmt w:val="bullet"/>
      <w:lvlText w:val=""/>
      <w:lvlJc w:val="left"/>
      <w:pPr>
        <w:ind w:left="360" w:hanging="360"/>
      </w:pPr>
      <w:rPr>
        <w:rFonts w:ascii="Wingdings" w:hAnsi="Wingdings" w:hint="default"/>
      </w:rPr>
    </w:lvl>
    <w:lvl w:ilvl="3" w:tplc="040C0001" w:tentative="1">
      <w:start w:val="1"/>
      <w:numFmt w:val="bullet"/>
      <w:lvlText w:val=""/>
      <w:lvlJc w:val="left"/>
      <w:pPr>
        <w:ind w:left="1080" w:hanging="360"/>
      </w:pPr>
      <w:rPr>
        <w:rFonts w:ascii="Symbol" w:hAnsi="Symbol" w:hint="default"/>
      </w:rPr>
    </w:lvl>
    <w:lvl w:ilvl="4" w:tplc="040C0003" w:tentative="1">
      <w:start w:val="1"/>
      <w:numFmt w:val="bullet"/>
      <w:lvlText w:val="o"/>
      <w:lvlJc w:val="left"/>
      <w:pPr>
        <w:ind w:left="1800" w:hanging="360"/>
      </w:pPr>
      <w:rPr>
        <w:rFonts w:ascii="Courier New" w:hAnsi="Courier New" w:cs="Courier New" w:hint="default"/>
      </w:rPr>
    </w:lvl>
    <w:lvl w:ilvl="5" w:tplc="040C0005" w:tentative="1">
      <w:start w:val="1"/>
      <w:numFmt w:val="bullet"/>
      <w:lvlText w:val=""/>
      <w:lvlJc w:val="left"/>
      <w:pPr>
        <w:ind w:left="2520" w:hanging="360"/>
      </w:pPr>
      <w:rPr>
        <w:rFonts w:ascii="Wingdings" w:hAnsi="Wingdings" w:hint="default"/>
      </w:rPr>
    </w:lvl>
    <w:lvl w:ilvl="6" w:tplc="040C0001" w:tentative="1">
      <w:start w:val="1"/>
      <w:numFmt w:val="bullet"/>
      <w:lvlText w:val=""/>
      <w:lvlJc w:val="left"/>
      <w:pPr>
        <w:ind w:left="3240" w:hanging="360"/>
      </w:pPr>
      <w:rPr>
        <w:rFonts w:ascii="Symbol" w:hAnsi="Symbol" w:hint="default"/>
      </w:rPr>
    </w:lvl>
    <w:lvl w:ilvl="7" w:tplc="040C0003" w:tentative="1">
      <w:start w:val="1"/>
      <w:numFmt w:val="bullet"/>
      <w:lvlText w:val="o"/>
      <w:lvlJc w:val="left"/>
      <w:pPr>
        <w:ind w:left="3960" w:hanging="360"/>
      </w:pPr>
      <w:rPr>
        <w:rFonts w:ascii="Courier New" w:hAnsi="Courier New" w:cs="Courier New" w:hint="default"/>
      </w:rPr>
    </w:lvl>
    <w:lvl w:ilvl="8" w:tplc="040C0005" w:tentative="1">
      <w:start w:val="1"/>
      <w:numFmt w:val="bullet"/>
      <w:lvlText w:val=""/>
      <w:lvlJc w:val="left"/>
      <w:pPr>
        <w:ind w:left="4680" w:hanging="360"/>
      </w:pPr>
      <w:rPr>
        <w:rFonts w:ascii="Wingdings" w:hAnsi="Wingdings" w:hint="default"/>
      </w:rPr>
    </w:lvl>
  </w:abstractNum>
  <w:abstractNum w:abstractNumId="10" w15:restartNumberingAfterBreak="0">
    <w:nsid w:val="1D8702F1"/>
    <w:multiLevelType w:val="multilevel"/>
    <w:tmpl w:val="1194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906B1D"/>
    <w:multiLevelType w:val="hybridMultilevel"/>
    <w:tmpl w:val="FFFFFFFF"/>
    <w:lvl w:ilvl="0" w:tplc="070EF25C">
      <w:start w:val="1"/>
      <w:numFmt w:val="lowerRoman"/>
      <w:lvlText w:val="%1."/>
      <w:lvlJc w:val="right"/>
      <w:pPr>
        <w:ind w:left="720" w:hanging="360"/>
      </w:pPr>
    </w:lvl>
    <w:lvl w:ilvl="1" w:tplc="624680B2">
      <w:start w:val="1"/>
      <w:numFmt w:val="lowerLetter"/>
      <w:lvlText w:val="%2."/>
      <w:lvlJc w:val="left"/>
      <w:pPr>
        <w:ind w:left="1440" w:hanging="360"/>
      </w:pPr>
    </w:lvl>
    <w:lvl w:ilvl="2" w:tplc="B770F97E">
      <w:start w:val="1"/>
      <w:numFmt w:val="lowerRoman"/>
      <w:lvlText w:val="%3."/>
      <w:lvlJc w:val="right"/>
      <w:pPr>
        <w:ind w:left="2160" w:hanging="180"/>
      </w:pPr>
    </w:lvl>
    <w:lvl w:ilvl="3" w:tplc="02164446">
      <w:start w:val="1"/>
      <w:numFmt w:val="decimal"/>
      <w:lvlText w:val="%4."/>
      <w:lvlJc w:val="left"/>
      <w:pPr>
        <w:ind w:left="2880" w:hanging="360"/>
      </w:pPr>
    </w:lvl>
    <w:lvl w:ilvl="4" w:tplc="C3484518">
      <w:start w:val="1"/>
      <w:numFmt w:val="lowerLetter"/>
      <w:lvlText w:val="%5."/>
      <w:lvlJc w:val="left"/>
      <w:pPr>
        <w:ind w:left="3600" w:hanging="360"/>
      </w:pPr>
    </w:lvl>
    <w:lvl w:ilvl="5" w:tplc="17488DDC">
      <w:start w:val="1"/>
      <w:numFmt w:val="lowerRoman"/>
      <w:lvlText w:val="%6."/>
      <w:lvlJc w:val="right"/>
      <w:pPr>
        <w:ind w:left="4320" w:hanging="180"/>
      </w:pPr>
    </w:lvl>
    <w:lvl w:ilvl="6" w:tplc="DAC2FFE0">
      <w:start w:val="1"/>
      <w:numFmt w:val="decimal"/>
      <w:lvlText w:val="%7."/>
      <w:lvlJc w:val="left"/>
      <w:pPr>
        <w:ind w:left="5040" w:hanging="360"/>
      </w:pPr>
    </w:lvl>
    <w:lvl w:ilvl="7" w:tplc="D1A0726E">
      <w:start w:val="1"/>
      <w:numFmt w:val="lowerLetter"/>
      <w:lvlText w:val="%8."/>
      <w:lvlJc w:val="left"/>
      <w:pPr>
        <w:ind w:left="5760" w:hanging="360"/>
      </w:pPr>
    </w:lvl>
    <w:lvl w:ilvl="8" w:tplc="4C6AE058">
      <w:start w:val="1"/>
      <w:numFmt w:val="lowerRoman"/>
      <w:lvlText w:val="%9."/>
      <w:lvlJc w:val="right"/>
      <w:pPr>
        <w:ind w:left="6480" w:hanging="180"/>
      </w:pPr>
    </w:lvl>
  </w:abstractNum>
  <w:abstractNum w:abstractNumId="12" w15:restartNumberingAfterBreak="0">
    <w:nsid w:val="28CE2291"/>
    <w:multiLevelType w:val="hybridMultilevel"/>
    <w:tmpl w:val="FFFFFFFF"/>
    <w:lvl w:ilvl="0" w:tplc="C08C775A">
      <w:start w:val="1"/>
      <w:numFmt w:val="lowerRoman"/>
      <w:lvlText w:val="%1."/>
      <w:lvlJc w:val="right"/>
      <w:pPr>
        <w:ind w:left="720" w:hanging="360"/>
      </w:pPr>
    </w:lvl>
    <w:lvl w:ilvl="1" w:tplc="1798999C">
      <w:start w:val="1"/>
      <w:numFmt w:val="lowerLetter"/>
      <w:lvlText w:val="%2."/>
      <w:lvlJc w:val="left"/>
      <w:pPr>
        <w:ind w:left="1440" w:hanging="360"/>
      </w:pPr>
    </w:lvl>
    <w:lvl w:ilvl="2" w:tplc="9A8EE10E">
      <w:start w:val="1"/>
      <w:numFmt w:val="lowerRoman"/>
      <w:lvlText w:val="%3."/>
      <w:lvlJc w:val="right"/>
      <w:pPr>
        <w:ind w:left="2160" w:hanging="180"/>
      </w:pPr>
    </w:lvl>
    <w:lvl w:ilvl="3" w:tplc="84EE32D0">
      <w:start w:val="1"/>
      <w:numFmt w:val="decimal"/>
      <w:lvlText w:val="%4."/>
      <w:lvlJc w:val="left"/>
      <w:pPr>
        <w:ind w:left="2880" w:hanging="360"/>
      </w:pPr>
    </w:lvl>
    <w:lvl w:ilvl="4" w:tplc="E0D0249E">
      <w:start w:val="1"/>
      <w:numFmt w:val="lowerLetter"/>
      <w:lvlText w:val="%5."/>
      <w:lvlJc w:val="left"/>
      <w:pPr>
        <w:ind w:left="3600" w:hanging="360"/>
      </w:pPr>
    </w:lvl>
    <w:lvl w:ilvl="5" w:tplc="1556CC64">
      <w:start w:val="1"/>
      <w:numFmt w:val="lowerRoman"/>
      <w:lvlText w:val="%6."/>
      <w:lvlJc w:val="right"/>
      <w:pPr>
        <w:ind w:left="4320" w:hanging="180"/>
      </w:pPr>
    </w:lvl>
    <w:lvl w:ilvl="6" w:tplc="91FE39DC">
      <w:start w:val="1"/>
      <w:numFmt w:val="decimal"/>
      <w:lvlText w:val="%7."/>
      <w:lvlJc w:val="left"/>
      <w:pPr>
        <w:ind w:left="5040" w:hanging="360"/>
      </w:pPr>
    </w:lvl>
    <w:lvl w:ilvl="7" w:tplc="1292B36E">
      <w:start w:val="1"/>
      <w:numFmt w:val="lowerLetter"/>
      <w:lvlText w:val="%8."/>
      <w:lvlJc w:val="left"/>
      <w:pPr>
        <w:ind w:left="5760" w:hanging="360"/>
      </w:pPr>
    </w:lvl>
    <w:lvl w:ilvl="8" w:tplc="2F80B28E">
      <w:start w:val="1"/>
      <w:numFmt w:val="lowerRoman"/>
      <w:lvlText w:val="%9."/>
      <w:lvlJc w:val="right"/>
      <w:pPr>
        <w:ind w:left="6480" w:hanging="180"/>
      </w:pPr>
    </w:lvl>
  </w:abstractNum>
  <w:abstractNum w:abstractNumId="13" w15:restartNumberingAfterBreak="0">
    <w:nsid w:val="2BD551E9"/>
    <w:multiLevelType w:val="hybridMultilevel"/>
    <w:tmpl w:val="FFFFFFFF"/>
    <w:lvl w:ilvl="0" w:tplc="52783EDA">
      <w:start w:val="1"/>
      <w:numFmt w:val="decimal"/>
      <w:lvlText w:val="%1."/>
      <w:lvlJc w:val="left"/>
      <w:pPr>
        <w:ind w:left="720" w:hanging="360"/>
      </w:pPr>
    </w:lvl>
    <w:lvl w:ilvl="1" w:tplc="8E12EEA0">
      <w:start w:val="1"/>
      <w:numFmt w:val="lowerLetter"/>
      <w:lvlText w:val="%2."/>
      <w:lvlJc w:val="left"/>
      <w:pPr>
        <w:ind w:left="1440" w:hanging="360"/>
      </w:pPr>
    </w:lvl>
    <w:lvl w:ilvl="2" w:tplc="17AEDF48">
      <w:start w:val="1"/>
      <w:numFmt w:val="lowerRoman"/>
      <w:lvlText w:val="%3."/>
      <w:lvlJc w:val="right"/>
      <w:pPr>
        <w:ind w:left="2160" w:hanging="180"/>
      </w:pPr>
    </w:lvl>
    <w:lvl w:ilvl="3" w:tplc="80801CD2">
      <w:start w:val="1"/>
      <w:numFmt w:val="decimal"/>
      <w:lvlText w:val="%4."/>
      <w:lvlJc w:val="left"/>
      <w:pPr>
        <w:ind w:left="2880" w:hanging="360"/>
      </w:pPr>
    </w:lvl>
    <w:lvl w:ilvl="4" w:tplc="F0CEAC36">
      <w:start w:val="1"/>
      <w:numFmt w:val="lowerLetter"/>
      <w:lvlText w:val="%5."/>
      <w:lvlJc w:val="left"/>
      <w:pPr>
        <w:ind w:left="3600" w:hanging="360"/>
      </w:pPr>
    </w:lvl>
    <w:lvl w:ilvl="5" w:tplc="3F68C4A2">
      <w:start w:val="1"/>
      <w:numFmt w:val="lowerRoman"/>
      <w:lvlText w:val="%6."/>
      <w:lvlJc w:val="right"/>
      <w:pPr>
        <w:ind w:left="4320" w:hanging="180"/>
      </w:pPr>
    </w:lvl>
    <w:lvl w:ilvl="6" w:tplc="2280D2BE">
      <w:start w:val="1"/>
      <w:numFmt w:val="decimal"/>
      <w:lvlText w:val="%7."/>
      <w:lvlJc w:val="left"/>
      <w:pPr>
        <w:ind w:left="5040" w:hanging="360"/>
      </w:pPr>
    </w:lvl>
    <w:lvl w:ilvl="7" w:tplc="49349E94">
      <w:start w:val="1"/>
      <w:numFmt w:val="lowerLetter"/>
      <w:lvlText w:val="%8."/>
      <w:lvlJc w:val="left"/>
      <w:pPr>
        <w:ind w:left="5760" w:hanging="360"/>
      </w:pPr>
    </w:lvl>
    <w:lvl w:ilvl="8" w:tplc="0BAC129E">
      <w:start w:val="1"/>
      <w:numFmt w:val="lowerRoman"/>
      <w:lvlText w:val="%9."/>
      <w:lvlJc w:val="right"/>
      <w:pPr>
        <w:ind w:left="6480" w:hanging="180"/>
      </w:pPr>
    </w:lvl>
  </w:abstractNum>
  <w:abstractNum w:abstractNumId="14" w15:restartNumberingAfterBreak="0">
    <w:nsid w:val="2E9A1200"/>
    <w:multiLevelType w:val="hybridMultilevel"/>
    <w:tmpl w:val="FFFFFFFF"/>
    <w:lvl w:ilvl="0" w:tplc="852EB5FA">
      <w:start w:val="1"/>
      <w:numFmt w:val="bullet"/>
      <w:lvlText w:val="-"/>
      <w:lvlJc w:val="left"/>
      <w:pPr>
        <w:ind w:left="720" w:hanging="360"/>
      </w:pPr>
      <w:rPr>
        <w:rFonts w:ascii="Calibri" w:hAnsi="Calibri" w:hint="default"/>
      </w:rPr>
    </w:lvl>
    <w:lvl w:ilvl="1" w:tplc="B82ADB52">
      <w:start w:val="1"/>
      <w:numFmt w:val="bullet"/>
      <w:lvlText w:val="o"/>
      <w:lvlJc w:val="left"/>
      <w:pPr>
        <w:ind w:left="1440" w:hanging="360"/>
      </w:pPr>
      <w:rPr>
        <w:rFonts w:ascii="Courier New" w:hAnsi="Courier New" w:hint="default"/>
      </w:rPr>
    </w:lvl>
    <w:lvl w:ilvl="2" w:tplc="7310A076">
      <w:start w:val="1"/>
      <w:numFmt w:val="bullet"/>
      <w:lvlText w:val=""/>
      <w:lvlJc w:val="left"/>
      <w:pPr>
        <w:ind w:left="2160" w:hanging="360"/>
      </w:pPr>
      <w:rPr>
        <w:rFonts w:ascii="Wingdings" w:hAnsi="Wingdings" w:hint="default"/>
      </w:rPr>
    </w:lvl>
    <w:lvl w:ilvl="3" w:tplc="52F60150">
      <w:start w:val="1"/>
      <w:numFmt w:val="bullet"/>
      <w:lvlText w:val=""/>
      <w:lvlJc w:val="left"/>
      <w:pPr>
        <w:ind w:left="2880" w:hanging="360"/>
      </w:pPr>
      <w:rPr>
        <w:rFonts w:ascii="Symbol" w:hAnsi="Symbol" w:hint="default"/>
      </w:rPr>
    </w:lvl>
    <w:lvl w:ilvl="4" w:tplc="CF160802">
      <w:start w:val="1"/>
      <w:numFmt w:val="bullet"/>
      <w:lvlText w:val="o"/>
      <w:lvlJc w:val="left"/>
      <w:pPr>
        <w:ind w:left="3600" w:hanging="360"/>
      </w:pPr>
      <w:rPr>
        <w:rFonts w:ascii="Courier New" w:hAnsi="Courier New" w:hint="default"/>
      </w:rPr>
    </w:lvl>
    <w:lvl w:ilvl="5" w:tplc="B4304012">
      <w:start w:val="1"/>
      <w:numFmt w:val="bullet"/>
      <w:lvlText w:val=""/>
      <w:lvlJc w:val="left"/>
      <w:pPr>
        <w:ind w:left="4320" w:hanging="360"/>
      </w:pPr>
      <w:rPr>
        <w:rFonts w:ascii="Wingdings" w:hAnsi="Wingdings" w:hint="default"/>
      </w:rPr>
    </w:lvl>
    <w:lvl w:ilvl="6" w:tplc="6D549EE2">
      <w:start w:val="1"/>
      <w:numFmt w:val="bullet"/>
      <w:lvlText w:val=""/>
      <w:lvlJc w:val="left"/>
      <w:pPr>
        <w:ind w:left="5040" w:hanging="360"/>
      </w:pPr>
      <w:rPr>
        <w:rFonts w:ascii="Symbol" w:hAnsi="Symbol" w:hint="default"/>
      </w:rPr>
    </w:lvl>
    <w:lvl w:ilvl="7" w:tplc="D068CF2E">
      <w:start w:val="1"/>
      <w:numFmt w:val="bullet"/>
      <w:lvlText w:val="o"/>
      <w:lvlJc w:val="left"/>
      <w:pPr>
        <w:ind w:left="5760" w:hanging="360"/>
      </w:pPr>
      <w:rPr>
        <w:rFonts w:ascii="Courier New" w:hAnsi="Courier New" w:hint="default"/>
      </w:rPr>
    </w:lvl>
    <w:lvl w:ilvl="8" w:tplc="91D88BDE">
      <w:start w:val="1"/>
      <w:numFmt w:val="bullet"/>
      <w:lvlText w:val=""/>
      <w:lvlJc w:val="left"/>
      <w:pPr>
        <w:ind w:left="6480" w:hanging="360"/>
      </w:pPr>
      <w:rPr>
        <w:rFonts w:ascii="Wingdings" w:hAnsi="Wingdings" w:hint="default"/>
      </w:rPr>
    </w:lvl>
  </w:abstractNum>
  <w:abstractNum w:abstractNumId="15" w15:restartNumberingAfterBreak="0">
    <w:nsid w:val="317A45AB"/>
    <w:multiLevelType w:val="hybridMultilevel"/>
    <w:tmpl w:val="F6EAF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EF2A8C"/>
    <w:multiLevelType w:val="hybridMultilevel"/>
    <w:tmpl w:val="FFFFFFFF"/>
    <w:lvl w:ilvl="0" w:tplc="077673BC">
      <w:start w:val="1"/>
      <w:numFmt w:val="lowerRoman"/>
      <w:lvlText w:val="%1."/>
      <w:lvlJc w:val="right"/>
      <w:pPr>
        <w:ind w:left="720" w:hanging="360"/>
      </w:pPr>
    </w:lvl>
    <w:lvl w:ilvl="1" w:tplc="67BE393E">
      <w:start w:val="1"/>
      <w:numFmt w:val="lowerLetter"/>
      <w:lvlText w:val="%2."/>
      <w:lvlJc w:val="left"/>
      <w:pPr>
        <w:ind w:left="1440" w:hanging="360"/>
      </w:pPr>
    </w:lvl>
    <w:lvl w:ilvl="2" w:tplc="6CE031F0">
      <w:start w:val="1"/>
      <w:numFmt w:val="lowerRoman"/>
      <w:lvlText w:val="%3."/>
      <w:lvlJc w:val="right"/>
      <w:pPr>
        <w:ind w:left="2160" w:hanging="180"/>
      </w:pPr>
    </w:lvl>
    <w:lvl w:ilvl="3" w:tplc="1384F290">
      <w:start w:val="1"/>
      <w:numFmt w:val="decimal"/>
      <w:lvlText w:val="%4."/>
      <w:lvlJc w:val="left"/>
      <w:pPr>
        <w:ind w:left="2880" w:hanging="360"/>
      </w:pPr>
    </w:lvl>
    <w:lvl w:ilvl="4" w:tplc="400A23D6">
      <w:start w:val="1"/>
      <w:numFmt w:val="lowerLetter"/>
      <w:lvlText w:val="%5."/>
      <w:lvlJc w:val="left"/>
      <w:pPr>
        <w:ind w:left="3600" w:hanging="360"/>
      </w:pPr>
    </w:lvl>
    <w:lvl w:ilvl="5" w:tplc="524A47E0">
      <w:start w:val="1"/>
      <w:numFmt w:val="lowerRoman"/>
      <w:lvlText w:val="%6."/>
      <w:lvlJc w:val="right"/>
      <w:pPr>
        <w:ind w:left="4320" w:hanging="180"/>
      </w:pPr>
    </w:lvl>
    <w:lvl w:ilvl="6" w:tplc="CE76400C">
      <w:start w:val="1"/>
      <w:numFmt w:val="decimal"/>
      <w:lvlText w:val="%7."/>
      <w:lvlJc w:val="left"/>
      <w:pPr>
        <w:ind w:left="5040" w:hanging="360"/>
      </w:pPr>
    </w:lvl>
    <w:lvl w:ilvl="7" w:tplc="7FFEBFA2">
      <w:start w:val="1"/>
      <w:numFmt w:val="lowerLetter"/>
      <w:lvlText w:val="%8."/>
      <w:lvlJc w:val="left"/>
      <w:pPr>
        <w:ind w:left="5760" w:hanging="360"/>
      </w:pPr>
    </w:lvl>
    <w:lvl w:ilvl="8" w:tplc="21CCF866">
      <w:start w:val="1"/>
      <w:numFmt w:val="lowerRoman"/>
      <w:lvlText w:val="%9."/>
      <w:lvlJc w:val="right"/>
      <w:pPr>
        <w:ind w:left="6480" w:hanging="180"/>
      </w:pPr>
    </w:lvl>
  </w:abstractNum>
  <w:abstractNum w:abstractNumId="17" w15:restartNumberingAfterBreak="0">
    <w:nsid w:val="3A7E3CCA"/>
    <w:multiLevelType w:val="hybridMultilevel"/>
    <w:tmpl w:val="720249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D191A2A"/>
    <w:multiLevelType w:val="hybridMultilevel"/>
    <w:tmpl w:val="4DFC1D18"/>
    <w:lvl w:ilvl="0" w:tplc="993AE094">
      <w:start w:val="1"/>
      <w:numFmt w:val="bullet"/>
      <w:pStyle w:val="Bullet1"/>
      <w:lvlText w:val="—"/>
      <w:lvlJc w:val="left"/>
      <w:pPr>
        <w:ind w:left="720" w:hanging="360"/>
      </w:pPr>
      <w:rPr>
        <w:rFonts w:ascii="Arial Black" w:hAnsi="Arial Black" w:hint="default"/>
        <w:color w:val="86BAE5" w:themeColor="background1"/>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536AF8"/>
    <w:multiLevelType w:val="hybridMultilevel"/>
    <w:tmpl w:val="FFFFFFFF"/>
    <w:lvl w:ilvl="0" w:tplc="D7EE81F4">
      <w:start w:val="1"/>
      <w:numFmt w:val="lowerRoman"/>
      <w:lvlText w:val="%1."/>
      <w:lvlJc w:val="right"/>
      <w:pPr>
        <w:ind w:left="720" w:hanging="360"/>
      </w:pPr>
    </w:lvl>
    <w:lvl w:ilvl="1" w:tplc="0250334E">
      <w:start w:val="1"/>
      <w:numFmt w:val="lowerLetter"/>
      <w:lvlText w:val="%2."/>
      <w:lvlJc w:val="left"/>
      <w:pPr>
        <w:ind w:left="1440" w:hanging="360"/>
      </w:pPr>
    </w:lvl>
    <w:lvl w:ilvl="2" w:tplc="892E3654">
      <w:start w:val="1"/>
      <w:numFmt w:val="lowerRoman"/>
      <w:lvlText w:val="%3."/>
      <w:lvlJc w:val="right"/>
      <w:pPr>
        <w:ind w:left="2160" w:hanging="180"/>
      </w:pPr>
    </w:lvl>
    <w:lvl w:ilvl="3" w:tplc="B3A8DC0C">
      <w:start w:val="1"/>
      <w:numFmt w:val="decimal"/>
      <w:lvlText w:val="%4."/>
      <w:lvlJc w:val="left"/>
      <w:pPr>
        <w:ind w:left="2880" w:hanging="360"/>
      </w:pPr>
    </w:lvl>
    <w:lvl w:ilvl="4" w:tplc="55A40EB8">
      <w:start w:val="1"/>
      <w:numFmt w:val="lowerLetter"/>
      <w:lvlText w:val="%5."/>
      <w:lvlJc w:val="left"/>
      <w:pPr>
        <w:ind w:left="3600" w:hanging="360"/>
      </w:pPr>
    </w:lvl>
    <w:lvl w:ilvl="5" w:tplc="06A09F72">
      <w:start w:val="1"/>
      <w:numFmt w:val="lowerRoman"/>
      <w:lvlText w:val="%6."/>
      <w:lvlJc w:val="right"/>
      <w:pPr>
        <w:ind w:left="4320" w:hanging="180"/>
      </w:pPr>
    </w:lvl>
    <w:lvl w:ilvl="6" w:tplc="56AA1E42">
      <w:start w:val="1"/>
      <w:numFmt w:val="decimal"/>
      <w:lvlText w:val="%7."/>
      <w:lvlJc w:val="left"/>
      <w:pPr>
        <w:ind w:left="5040" w:hanging="360"/>
      </w:pPr>
    </w:lvl>
    <w:lvl w:ilvl="7" w:tplc="46D27132">
      <w:start w:val="1"/>
      <w:numFmt w:val="lowerLetter"/>
      <w:lvlText w:val="%8."/>
      <w:lvlJc w:val="left"/>
      <w:pPr>
        <w:ind w:left="5760" w:hanging="360"/>
      </w:pPr>
    </w:lvl>
    <w:lvl w:ilvl="8" w:tplc="ECCCEA30">
      <w:start w:val="1"/>
      <w:numFmt w:val="lowerRoman"/>
      <w:lvlText w:val="%9."/>
      <w:lvlJc w:val="right"/>
      <w:pPr>
        <w:ind w:left="6480" w:hanging="180"/>
      </w:pPr>
    </w:lvl>
  </w:abstractNum>
  <w:abstractNum w:abstractNumId="20" w15:restartNumberingAfterBreak="0">
    <w:nsid w:val="406A62A2"/>
    <w:multiLevelType w:val="hybridMultilevel"/>
    <w:tmpl w:val="EE9EA5CC"/>
    <w:lvl w:ilvl="0" w:tplc="FB48B046">
      <w:start w:val="1"/>
      <w:numFmt w:val="decimal"/>
      <w:pStyle w:val="Bullet123title"/>
      <w:lvlText w:val="%1."/>
      <w:lvlJc w:val="left"/>
      <w:pPr>
        <w:ind w:left="2062" w:hanging="360"/>
      </w:pPr>
      <w:rPr>
        <w:rFonts w:ascii="Arial" w:hAnsi="Arial" w:hint="default"/>
        <w:b/>
        <w:i w:val="0"/>
        <w:color w:val="0063A7" w:themeColor="text1"/>
      </w:rPr>
    </w:lvl>
    <w:lvl w:ilvl="1" w:tplc="040C0019">
      <w:start w:val="1"/>
      <w:numFmt w:val="lowerLetter"/>
      <w:lvlText w:val="%2."/>
      <w:lvlJc w:val="left"/>
      <w:pPr>
        <w:ind w:left="4058" w:hanging="360"/>
      </w:pPr>
    </w:lvl>
    <w:lvl w:ilvl="2" w:tplc="040C001B" w:tentative="1">
      <w:start w:val="1"/>
      <w:numFmt w:val="lowerRoman"/>
      <w:lvlText w:val="%3."/>
      <w:lvlJc w:val="right"/>
      <w:pPr>
        <w:ind w:left="4778" w:hanging="180"/>
      </w:pPr>
    </w:lvl>
    <w:lvl w:ilvl="3" w:tplc="040C000F" w:tentative="1">
      <w:start w:val="1"/>
      <w:numFmt w:val="decimal"/>
      <w:lvlText w:val="%4."/>
      <w:lvlJc w:val="left"/>
      <w:pPr>
        <w:ind w:left="5498" w:hanging="360"/>
      </w:pPr>
    </w:lvl>
    <w:lvl w:ilvl="4" w:tplc="040C0019" w:tentative="1">
      <w:start w:val="1"/>
      <w:numFmt w:val="lowerLetter"/>
      <w:lvlText w:val="%5."/>
      <w:lvlJc w:val="left"/>
      <w:pPr>
        <w:ind w:left="6218" w:hanging="360"/>
      </w:pPr>
    </w:lvl>
    <w:lvl w:ilvl="5" w:tplc="040C001B" w:tentative="1">
      <w:start w:val="1"/>
      <w:numFmt w:val="lowerRoman"/>
      <w:lvlText w:val="%6."/>
      <w:lvlJc w:val="right"/>
      <w:pPr>
        <w:ind w:left="6938" w:hanging="180"/>
      </w:pPr>
    </w:lvl>
    <w:lvl w:ilvl="6" w:tplc="040C000F" w:tentative="1">
      <w:start w:val="1"/>
      <w:numFmt w:val="decimal"/>
      <w:lvlText w:val="%7."/>
      <w:lvlJc w:val="left"/>
      <w:pPr>
        <w:ind w:left="7658" w:hanging="360"/>
      </w:pPr>
    </w:lvl>
    <w:lvl w:ilvl="7" w:tplc="040C0019" w:tentative="1">
      <w:start w:val="1"/>
      <w:numFmt w:val="lowerLetter"/>
      <w:lvlText w:val="%8."/>
      <w:lvlJc w:val="left"/>
      <w:pPr>
        <w:ind w:left="8378" w:hanging="360"/>
      </w:pPr>
    </w:lvl>
    <w:lvl w:ilvl="8" w:tplc="040C001B" w:tentative="1">
      <w:start w:val="1"/>
      <w:numFmt w:val="lowerRoman"/>
      <w:lvlText w:val="%9."/>
      <w:lvlJc w:val="right"/>
      <w:pPr>
        <w:ind w:left="9098" w:hanging="180"/>
      </w:pPr>
    </w:lvl>
  </w:abstractNum>
  <w:abstractNum w:abstractNumId="21" w15:restartNumberingAfterBreak="0">
    <w:nsid w:val="43876533"/>
    <w:multiLevelType w:val="hybridMultilevel"/>
    <w:tmpl w:val="4F12FEF2"/>
    <w:lvl w:ilvl="0" w:tplc="147672BE">
      <w:start w:val="1"/>
      <w:numFmt w:val="upperRoman"/>
      <w:lvlText w:val="%1."/>
      <w:lvlJc w:val="left"/>
      <w:pPr>
        <w:ind w:left="720" w:hanging="360"/>
      </w:pPr>
    </w:lvl>
    <w:lvl w:ilvl="1" w:tplc="72E41928">
      <w:start w:val="1"/>
      <w:numFmt w:val="lowerLetter"/>
      <w:lvlText w:val="%2."/>
      <w:lvlJc w:val="left"/>
      <w:pPr>
        <w:ind w:left="1440" w:hanging="360"/>
      </w:pPr>
    </w:lvl>
    <w:lvl w:ilvl="2" w:tplc="8662C21E">
      <w:start w:val="1"/>
      <w:numFmt w:val="lowerRoman"/>
      <w:lvlText w:val="%3."/>
      <w:lvlJc w:val="right"/>
      <w:pPr>
        <w:ind w:left="2160" w:hanging="180"/>
      </w:pPr>
    </w:lvl>
    <w:lvl w:ilvl="3" w:tplc="AA0E6DBE">
      <w:start w:val="1"/>
      <w:numFmt w:val="decimal"/>
      <w:lvlText w:val="%4."/>
      <w:lvlJc w:val="left"/>
      <w:pPr>
        <w:ind w:left="2880" w:hanging="360"/>
      </w:pPr>
    </w:lvl>
    <w:lvl w:ilvl="4" w:tplc="6EC04856">
      <w:start w:val="1"/>
      <w:numFmt w:val="lowerLetter"/>
      <w:lvlText w:val="%5."/>
      <w:lvlJc w:val="left"/>
      <w:pPr>
        <w:ind w:left="3600" w:hanging="360"/>
      </w:pPr>
    </w:lvl>
    <w:lvl w:ilvl="5" w:tplc="9F0CFDFA">
      <w:start w:val="1"/>
      <w:numFmt w:val="lowerRoman"/>
      <w:lvlText w:val="%6."/>
      <w:lvlJc w:val="right"/>
      <w:pPr>
        <w:ind w:left="4320" w:hanging="180"/>
      </w:pPr>
    </w:lvl>
    <w:lvl w:ilvl="6" w:tplc="FFAE4346">
      <w:start w:val="1"/>
      <w:numFmt w:val="decimal"/>
      <w:lvlText w:val="%7."/>
      <w:lvlJc w:val="left"/>
      <w:pPr>
        <w:ind w:left="5040" w:hanging="360"/>
      </w:pPr>
    </w:lvl>
    <w:lvl w:ilvl="7" w:tplc="691E2176">
      <w:start w:val="1"/>
      <w:numFmt w:val="lowerLetter"/>
      <w:lvlText w:val="%8."/>
      <w:lvlJc w:val="left"/>
      <w:pPr>
        <w:ind w:left="5760" w:hanging="360"/>
      </w:pPr>
    </w:lvl>
    <w:lvl w:ilvl="8" w:tplc="FF1C9D44">
      <w:start w:val="1"/>
      <w:numFmt w:val="lowerRoman"/>
      <w:lvlText w:val="%9."/>
      <w:lvlJc w:val="right"/>
      <w:pPr>
        <w:ind w:left="6480" w:hanging="180"/>
      </w:pPr>
    </w:lvl>
  </w:abstractNum>
  <w:abstractNum w:abstractNumId="22" w15:restartNumberingAfterBreak="0">
    <w:nsid w:val="444A16C7"/>
    <w:multiLevelType w:val="hybridMultilevel"/>
    <w:tmpl w:val="FFFFFFFF"/>
    <w:lvl w:ilvl="0" w:tplc="F468EA88">
      <w:start w:val="1"/>
      <w:numFmt w:val="lowerRoman"/>
      <w:lvlText w:val="%1."/>
      <w:lvlJc w:val="right"/>
      <w:pPr>
        <w:ind w:left="720" w:hanging="360"/>
      </w:pPr>
    </w:lvl>
    <w:lvl w:ilvl="1" w:tplc="FCAA9A60">
      <w:start w:val="1"/>
      <w:numFmt w:val="lowerLetter"/>
      <w:lvlText w:val="%2."/>
      <w:lvlJc w:val="left"/>
      <w:pPr>
        <w:ind w:left="1440" w:hanging="360"/>
      </w:pPr>
    </w:lvl>
    <w:lvl w:ilvl="2" w:tplc="D05A9FB4">
      <w:start w:val="1"/>
      <w:numFmt w:val="lowerRoman"/>
      <w:lvlText w:val="%3."/>
      <w:lvlJc w:val="right"/>
      <w:pPr>
        <w:ind w:left="2160" w:hanging="180"/>
      </w:pPr>
    </w:lvl>
    <w:lvl w:ilvl="3" w:tplc="6088C264">
      <w:start w:val="1"/>
      <w:numFmt w:val="decimal"/>
      <w:lvlText w:val="%4."/>
      <w:lvlJc w:val="left"/>
      <w:pPr>
        <w:ind w:left="2880" w:hanging="360"/>
      </w:pPr>
    </w:lvl>
    <w:lvl w:ilvl="4" w:tplc="E8967C80">
      <w:start w:val="1"/>
      <w:numFmt w:val="lowerLetter"/>
      <w:lvlText w:val="%5."/>
      <w:lvlJc w:val="left"/>
      <w:pPr>
        <w:ind w:left="3600" w:hanging="360"/>
      </w:pPr>
    </w:lvl>
    <w:lvl w:ilvl="5" w:tplc="A8B84596">
      <w:start w:val="1"/>
      <w:numFmt w:val="lowerRoman"/>
      <w:lvlText w:val="%6."/>
      <w:lvlJc w:val="right"/>
      <w:pPr>
        <w:ind w:left="4320" w:hanging="180"/>
      </w:pPr>
    </w:lvl>
    <w:lvl w:ilvl="6" w:tplc="1AF0A856">
      <w:start w:val="1"/>
      <w:numFmt w:val="decimal"/>
      <w:lvlText w:val="%7."/>
      <w:lvlJc w:val="left"/>
      <w:pPr>
        <w:ind w:left="5040" w:hanging="360"/>
      </w:pPr>
    </w:lvl>
    <w:lvl w:ilvl="7" w:tplc="55449D82">
      <w:start w:val="1"/>
      <w:numFmt w:val="lowerLetter"/>
      <w:lvlText w:val="%8."/>
      <w:lvlJc w:val="left"/>
      <w:pPr>
        <w:ind w:left="5760" w:hanging="360"/>
      </w:pPr>
    </w:lvl>
    <w:lvl w:ilvl="8" w:tplc="17EC126A">
      <w:start w:val="1"/>
      <w:numFmt w:val="lowerRoman"/>
      <w:lvlText w:val="%9."/>
      <w:lvlJc w:val="right"/>
      <w:pPr>
        <w:ind w:left="6480" w:hanging="180"/>
      </w:pPr>
    </w:lvl>
  </w:abstractNum>
  <w:abstractNum w:abstractNumId="23" w15:restartNumberingAfterBreak="0">
    <w:nsid w:val="47DD306D"/>
    <w:multiLevelType w:val="hybridMultilevel"/>
    <w:tmpl w:val="F782E5DA"/>
    <w:lvl w:ilvl="0" w:tplc="77C2BB14">
      <w:start w:val="1"/>
      <w:numFmt w:val="decimal"/>
      <w:lvlText w:val="%1."/>
      <w:lvlJc w:val="left"/>
      <w:pPr>
        <w:ind w:left="720" w:hanging="360"/>
      </w:pPr>
    </w:lvl>
    <w:lvl w:ilvl="1" w:tplc="A022E9CC">
      <w:start w:val="1"/>
      <w:numFmt w:val="lowerLetter"/>
      <w:lvlText w:val="%2."/>
      <w:lvlJc w:val="left"/>
      <w:pPr>
        <w:ind w:left="1440" w:hanging="360"/>
      </w:pPr>
    </w:lvl>
    <w:lvl w:ilvl="2" w:tplc="DFECE4F2">
      <w:start w:val="1"/>
      <w:numFmt w:val="lowerRoman"/>
      <w:lvlText w:val="%3."/>
      <w:lvlJc w:val="right"/>
      <w:pPr>
        <w:ind w:left="2160" w:hanging="180"/>
      </w:pPr>
    </w:lvl>
    <w:lvl w:ilvl="3" w:tplc="CFD01678">
      <w:start w:val="1"/>
      <w:numFmt w:val="decimal"/>
      <w:lvlText w:val="%4."/>
      <w:lvlJc w:val="left"/>
      <w:pPr>
        <w:ind w:left="2880" w:hanging="360"/>
      </w:pPr>
    </w:lvl>
    <w:lvl w:ilvl="4" w:tplc="7CF0832A">
      <w:start w:val="1"/>
      <w:numFmt w:val="lowerLetter"/>
      <w:lvlText w:val="%5."/>
      <w:lvlJc w:val="left"/>
      <w:pPr>
        <w:ind w:left="3600" w:hanging="360"/>
      </w:pPr>
    </w:lvl>
    <w:lvl w:ilvl="5" w:tplc="715E9A5E">
      <w:start w:val="1"/>
      <w:numFmt w:val="lowerRoman"/>
      <w:lvlText w:val="%6."/>
      <w:lvlJc w:val="right"/>
      <w:pPr>
        <w:ind w:left="4320" w:hanging="180"/>
      </w:pPr>
    </w:lvl>
    <w:lvl w:ilvl="6" w:tplc="786C5446">
      <w:start w:val="1"/>
      <w:numFmt w:val="decimal"/>
      <w:lvlText w:val="%7."/>
      <w:lvlJc w:val="left"/>
      <w:pPr>
        <w:ind w:left="5040" w:hanging="360"/>
      </w:pPr>
    </w:lvl>
    <w:lvl w:ilvl="7" w:tplc="5F8014B2">
      <w:start w:val="1"/>
      <w:numFmt w:val="lowerLetter"/>
      <w:lvlText w:val="%8."/>
      <w:lvlJc w:val="left"/>
      <w:pPr>
        <w:ind w:left="5760" w:hanging="360"/>
      </w:pPr>
    </w:lvl>
    <w:lvl w:ilvl="8" w:tplc="62B42EB8">
      <w:start w:val="1"/>
      <w:numFmt w:val="lowerRoman"/>
      <w:lvlText w:val="%9."/>
      <w:lvlJc w:val="right"/>
      <w:pPr>
        <w:ind w:left="6480" w:hanging="180"/>
      </w:pPr>
    </w:lvl>
  </w:abstractNum>
  <w:abstractNum w:abstractNumId="24" w15:restartNumberingAfterBreak="0">
    <w:nsid w:val="49BB3CBC"/>
    <w:multiLevelType w:val="hybridMultilevel"/>
    <w:tmpl w:val="FFFFFFFF"/>
    <w:lvl w:ilvl="0" w:tplc="671ABD90">
      <w:start w:val="1"/>
      <w:numFmt w:val="upperRoman"/>
      <w:lvlText w:val="%1."/>
      <w:lvlJc w:val="left"/>
      <w:pPr>
        <w:ind w:left="720" w:hanging="360"/>
      </w:pPr>
    </w:lvl>
    <w:lvl w:ilvl="1" w:tplc="F196C8DC">
      <w:start w:val="1"/>
      <w:numFmt w:val="lowerLetter"/>
      <w:lvlText w:val="%2."/>
      <w:lvlJc w:val="left"/>
      <w:pPr>
        <w:ind w:left="1440" w:hanging="360"/>
      </w:pPr>
    </w:lvl>
    <w:lvl w:ilvl="2" w:tplc="5E9E6564">
      <w:start w:val="1"/>
      <w:numFmt w:val="lowerRoman"/>
      <w:lvlText w:val="%3."/>
      <w:lvlJc w:val="right"/>
      <w:pPr>
        <w:ind w:left="2160" w:hanging="180"/>
      </w:pPr>
    </w:lvl>
    <w:lvl w:ilvl="3" w:tplc="2FA67F0A">
      <w:start w:val="1"/>
      <w:numFmt w:val="decimal"/>
      <w:lvlText w:val="%4."/>
      <w:lvlJc w:val="left"/>
      <w:pPr>
        <w:ind w:left="2880" w:hanging="360"/>
      </w:pPr>
    </w:lvl>
    <w:lvl w:ilvl="4" w:tplc="424E1850">
      <w:start w:val="1"/>
      <w:numFmt w:val="lowerLetter"/>
      <w:lvlText w:val="%5."/>
      <w:lvlJc w:val="left"/>
      <w:pPr>
        <w:ind w:left="3600" w:hanging="360"/>
      </w:pPr>
    </w:lvl>
    <w:lvl w:ilvl="5" w:tplc="FCE474C0">
      <w:start w:val="1"/>
      <w:numFmt w:val="lowerRoman"/>
      <w:lvlText w:val="%6."/>
      <w:lvlJc w:val="right"/>
      <w:pPr>
        <w:ind w:left="4320" w:hanging="180"/>
      </w:pPr>
    </w:lvl>
    <w:lvl w:ilvl="6" w:tplc="81980934">
      <w:start w:val="1"/>
      <w:numFmt w:val="decimal"/>
      <w:lvlText w:val="%7."/>
      <w:lvlJc w:val="left"/>
      <w:pPr>
        <w:ind w:left="5040" w:hanging="360"/>
      </w:pPr>
    </w:lvl>
    <w:lvl w:ilvl="7" w:tplc="50066ABE">
      <w:start w:val="1"/>
      <w:numFmt w:val="lowerLetter"/>
      <w:lvlText w:val="%8."/>
      <w:lvlJc w:val="left"/>
      <w:pPr>
        <w:ind w:left="5760" w:hanging="360"/>
      </w:pPr>
    </w:lvl>
    <w:lvl w:ilvl="8" w:tplc="934C4958">
      <w:start w:val="1"/>
      <w:numFmt w:val="lowerRoman"/>
      <w:lvlText w:val="%9."/>
      <w:lvlJc w:val="right"/>
      <w:pPr>
        <w:ind w:left="6480" w:hanging="180"/>
      </w:pPr>
    </w:lvl>
  </w:abstractNum>
  <w:abstractNum w:abstractNumId="25" w15:restartNumberingAfterBreak="0">
    <w:nsid w:val="4B5C4E50"/>
    <w:multiLevelType w:val="hybridMultilevel"/>
    <w:tmpl w:val="40D226B8"/>
    <w:lvl w:ilvl="0" w:tplc="EE8045C0">
      <w:start w:val="1"/>
      <w:numFmt w:val="bullet"/>
      <w:lvlText w:val="&gt;"/>
      <w:lvlJc w:val="left"/>
      <w:pPr>
        <w:ind w:left="720" w:hanging="360"/>
      </w:pPr>
      <w:rPr>
        <w:rFonts w:ascii="Arial Black" w:hAnsi="Arial Black" w:hint="default"/>
        <w:color w:val="0064A8"/>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55F6582"/>
    <w:multiLevelType w:val="hybridMultilevel"/>
    <w:tmpl w:val="5D922C3C"/>
    <w:lvl w:ilvl="0" w:tplc="3F368CB2">
      <w:start w:val="1"/>
      <w:numFmt w:val="lowerLetter"/>
      <w:pStyle w:val="Bulletabc"/>
      <w:lvlText w:val="%1."/>
      <w:lvlJc w:val="left"/>
      <w:pPr>
        <w:ind w:left="994" w:hanging="360"/>
      </w:pPr>
      <w:rPr>
        <w:rFonts w:ascii="Arial" w:hAnsi="Arial" w:hint="default"/>
        <w:b/>
        <w:i w:val="0"/>
        <w:color w:val="86BBE6"/>
        <w:sz w:val="22"/>
      </w:rPr>
    </w:lvl>
    <w:lvl w:ilvl="1" w:tplc="67FA7586">
      <w:start w:val="1"/>
      <w:numFmt w:val="bullet"/>
      <w:lvlText w:val=""/>
      <w:lvlJc w:val="left"/>
      <w:pPr>
        <w:ind w:left="1714" w:hanging="360"/>
      </w:pPr>
      <w:rPr>
        <w:rFonts w:ascii="Symbol" w:hAnsi="Symbol" w:hint="default"/>
        <w:b/>
        <w:i w:val="0"/>
        <w:color w:val="A5CF4F" w:themeColor="accent1"/>
      </w:rPr>
    </w:lvl>
    <w:lvl w:ilvl="2" w:tplc="040C0005" w:tentative="1">
      <w:start w:val="1"/>
      <w:numFmt w:val="bullet"/>
      <w:lvlText w:val=""/>
      <w:lvlJc w:val="left"/>
      <w:pPr>
        <w:ind w:left="2434" w:hanging="360"/>
      </w:pPr>
      <w:rPr>
        <w:rFonts w:ascii="Wingdings" w:hAnsi="Wingdings" w:hint="default"/>
      </w:rPr>
    </w:lvl>
    <w:lvl w:ilvl="3" w:tplc="040C0001" w:tentative="1">
      <w:start w:val="1"/>
      <w:numFmt w:val="bullet"/>
      <w:lvlText w:val=""/>
      <w:lvlJc w:val="left"/>
      <w:pPr>
        <w:ind w:left="3154" w:hanging="360"/>
      </w:pPr>
      <w:rPr>
        <w:rFonts w:ascii="Symbol" w:hAnsi="Symbol" w:hint="default"/>
      </w:rPr>
    </w:lvl>
    <w:lvl w:ilvl="4" w:tplc="040C0003" w:tentative="1">
      <w:start w:val="1"/>
      <w:numFmt w:val="bullet"/>
      <w:lvlText w:val="o"/>
      <w:lvlJc w:val="left"/>
      <w:pPr>
        <w:ind w:left="3874" w:hanging="360"/>
      </w:pPr>
      <w:rPr>
        <w:rFonts w:ascii="Courier New" w:hAnsi="Courier New" w:cs="Courier New" w:hint="default"/>
      </w:rPr>
    </w:lvl>
    <w:lvl w:ilvl="5" w:tplc="040C0005" w:tentative="1">
      <w:start w:val="1"/>
      <w:numFmt w:val="bullet"/>
      <w:lvlText w:val=""/>
      <w:lvlJc w:val="left"/>
      <w:pPr>
        <w:ind w:left="4594" w:hanging="360"/>
      </w:pPr>
      <w:rPr>
        <w:rFonts w:ascii="Wingdings" w:hAnsi="Wingdings" w:hint="default"/>
      </w:rPr>
    </w:lvl>
    <w:lvl w:ilvl="6" w:tplc="040C0001" w:tentative="1">
      <w:start w:val="1"/>
      <w:numFmt w:val="bullet"/>
      <w:lvlText w:val=""/>
      <w:lvlJc w:val="left"/>
      <w:pPr>
        <w:ind w:left="5314" w:hanging="360"/>
      </w:pPr>
      <w:rPr>
        <w:rFonts w:ascii="Symbol" w:hAnsi="Symbol" w:hint="default"/>
      </w:rPr>
    </w:lvl>
    <w:lvl w:ilvl="7" w:tplc="040C0003" w:tentative="1">
      <w:start w:val="1"/>
      <w:numFmt w:val="bullet"/>
      <w:lvlText w:val="o"/>
      <w:lvlJc w:val="left"/>
      <w:pPr>
        <w:ind w:left="6034" w:hanging="360"/>
      </w:pPr>
      <w:rPr>
        <w:rFonts w:ascii="Courier New" w:hAnsi="Courier New" w:cs="Courier New" w:hint="default"/>
      </w:rPr>
    </w:lvl>
    <w:lvl w:ilvl="8" w:tplc="040C0005" w:tentative="1">
      <w:start w:val="1"/>
      <w:numFmt w:val="bullet"/>
      <w:lvlText w:val=""/>
      <w:lvlJc w:val="left"/>
      <w:pPr>
        <w:ind w:left="6754" w:hanging="360"/>
      </w:pPr>
      <w:rPr>
        <w:rFonts w:ascii="Wingdings" w:hAnsi="Wingdings" w:hint="default"/>
      </w:rPr>
    </w:lvl>
  </w:abstractNum>
  <w:abstractNum w:abstractNumId="27" w15:restartNumberingAfterBreak="0">
    <w:nsid w:val="57F46E78"/>
    <w:multiLevelType w:val="hybridMultilevel"/>
    <w:tmpl w:val="9A88BB00"/>
    <w:lvl w:ilvl="0" w:tplc="5D68C7F6">
      <w:start w:val="1"/>
      <w:numFmt w:val="lowerRoman"/>
      <w:lvlText w:val="%1."/>
      <w:lvlJc w:val="right"/>
      <w:pPr>
        <w:ind w:left="720" w:hanging="360"/>
      </w:pPr>
    </w:lvl>
    <w:lvl w:ilvl="1" w:tplc="C54EC38A">
      <w:start w:val="1"/>
      <w:numFmt w:val="lowerLetter"/>
      <w:lvlText w:val="%2."/>
      <w:lvlJc w:val="left"/>
      <w:pPr>
        <w:ind w:left="1440" w:hanging="360"/>
      </w:pPr>
    </w:lvl>
    <w:lvl w:ilvl="2" w:tplc="2E44718E">
      <w:start w:val="1"/>
      <w:numFmt w:val="lowerRoman"/>
      <w:lvlText w:val="%3."/>
      <w:lvlJc w:val="right"/>
      <w:pPr>
        <w:ind w:left="2160" w:hanging="180"/>
      </w:pPr>
    </w:lvl>
    <w:lvl w:ilvl="3" w:tplc="C63C8F4C">
      <w:start w:val="1"/>
      <w:numFmt w:val="decimal"/>
      <w:lvlText w:val="%4."/>
      <w:lvlJc w:val="left"/>
      <w:pPr>
        <w:ind w:left="2880" w:hanging="360"/>
      </w:pPr>
    </w:lvl>
    <w:lvl w:ilvl="4" w:tplc="D8B2BDCE">
      <w:start w:val="1"/>
      <w:numFmt w:val="lowerLetter"/>
      <w:lvlText w:val="%5."/>
      <w:lvlJc w:val="left"/>
      <w:pPr>
        <w:ind w:left="3600" w:hanging="360"/>
      </w:pPr>
    </w:lvl>
    <w:lvl w:ilvl="5" w:tplc="2F6E079C">
      <w:start w:val="1"/>
      <w:numFmt w:val="lowerRoman"/>
      <w:lvlText w:val="%6."/>
      <w:lvlJc w:val="right"/>
      <w:pPr>
        <w:ind w:left="4320" w:hanging="180"/>
      </w:pPr>
    </w:lvl>
    <w:lvl w:ilvl="6" w:tplc="3B3CC094">
      <w:start w:val="1"/>
      <w:numFmt w:val="decimal"/>
      <w:lvlText w:val="%7."/>
      <w:lvlJc w:val="left"/>
      <w:pPr>
        <w:ind w:left="5040" w:hanging="360"/>
      </w:pPr>
    </w:lvl>
    <w:lvl w:ilvl="7" w:tplc="914A5796">
      <w:start w:val="1"/>
      <w:numFmt w:val="lowerLetter"/>
      <w:lvlText w:val="%8."/>
      <w:lvlJc w:val="left"/>
      <w:pPr>
        <w:ind w:left="5760" w:hanging="360"/>
      </w:pPr>
    </w:lvl>
    <w:lvl w:ilvl="8" w:tplc="6F6847B8">
      <w:start w:val="1"/>
      <w:numFmt w:val="lowerRoman"/>
      <w:lvlText w:val="%9."/>
      <w:lvlJc w:val="right"/>
      <w:pPr>
        <w:ind w:left="6480" w:hanging="180"/>
      </w:pPr>
    </w:lvl>
  </w:abstractNum>
  <w:abstractNum w:abstractNumId="28" w15:restartNumberingAfterBreak="0">
    <w:nsid w:val="5BCB4DC1"/>
    <w:multiLevelType w:val="hybridMultilevel"/>
    <w:tmpl w:val="5B7E60DE"/>
    <w:lvl w:ilvl="0" w:tplc="F826508E">
      <w:start w:val="1"/>
      <w:numFmt w:val="bullet"/>
      <w:lvlText w:val="&gt;"/>
      <w:lvlJc w:val="left"/>
      <w:pPr>
        <w:ind w:left="720" w:hanging="360"/>
      </w:pPr>
      <w:rPr>
        <w:rFonts w:ascii="Arial Black" w:hAnsi="Arial Black" w:hint="default"/>
        <w:color w:val="0064A8"/>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E53EA5"/>
    <w:multiLevelType w:val="hybridMultilevel"/>
    <w:tmpl w:val="FFFFFFFF"/>
    <w:lvl w:ilvl="0" w:tplc="FD1C9DEA">
      <w:start w:val="1"/>
      <w:numFmt w:val="decimal"/>
      <w:lvlText w:val="%1."/>
      <w:lvlJc w:val="left"/>
      <w:pPr>
        <w:ind w:left="720" w:hanging="360"/>
      </w:pPr>
    </w:lvl>
    <w:lvl w:ilvl="1" w:tplc="9740FE92">
      <w:start w:val="1"/>
      <w:numFmt w:val="lowerLetter"/>
      <w:lvlText w:val="%2."/>
      <w:lvlJc w:val="left"/>
      <w:pPr>
        <w:ind w:left="1440" w:hanging="360"/>
      </w:pPr>
    </w:lvl>
    <w:lvl w:ilvl="2" w:tplc="E426118E">
      <w:start w:val="1"/>
      <w:numFmt w:val="lowerRoman"/>
      <w:lvlText w:val="%3."/>
      <w:lvlJc w:val="right"/>
      <w:pPr>
        <w:ind w:left="2160" w:hanging="180"/>
      </w:pPr>
    </w:lvl>
    <w:lvl w:ilvl="3" w:tplc="D1EA78B2">
      <w:start w:val="1"/>
      <w:numFmt w:val="decimal"/>
      <w:lvlText w:val="%4."/>
      <w:lvlJc w:val="left"/>
      <w:pPr>
        <w:ind w:left="2880" w:hanging="360"/>
      </w:pPr>
    </w:lvl>
    <w:lvl w:ilvl="4" w:tplc="A8987418">
      <w:start w:val="1"/>
      <w:numFmt w:val="lowerLetter"/>
      <w:lvlText w:val="%5."/>
      <w:lvlJc w:val="left"/>
      <w:pPr>
        <w:ind w:left="3600" w:hanging="360"/>
      </w:pPr>
    </w:lvl>
    <w:lvl w:ilvl="5" w:tplc="3A5AD74A">
      <w:start w:val="1"/>
      <w:numFmt w:val="lowerRoman"/>
      <w:lvlText w:val="%6."/>
      <w:lvlJc w:val="right"/>
      <w:pPr>
        <w:ind w:left="4320" w:hanging="180"/>
      </w:pPr>
    </w:lvl>
    <w:lvl w:ilvl="6" w:tplc="C6A06568">
      <w:start w:val="1"/>
      <w:numFmt w:val="decimal"/>
      <w:lvlText w:val="%7."/>
      <w:lvlJc w:val="left"/>
      <w:pPr>
        <w:ind w:left="5040" w:hanging="360"/>
      </w:pPr>
    </w:lvl>
    <w:lvl w:ilvl="7" w:tplc="E0F6D896">
      <w:start w:val="1"/>
      <w:numFmt w:val="lowerLetter"/>
      <w:lvlText w:val="%8."/>
      <w:lvlJc w:val="left"/>
      <w:pPr>
        <w:ind w:left="5760" w:hanging="360"/>
      </w:pPr>
    </w:lvl>
    <w:lvl w:ilvl="8" w:tplc="98D6BBBC">
      <w:start w:val="1"/>
      <w:numFmt w:val="lowerRoman"/>
      <w:lvlText w:val="%9."/>
      <w:lvlJc w:val="right"/>
      <w:pPr>
        <w:ind w:left="6480" w:hanging="180"/>
      </w:pPr>
    </w:lvl>
  </w:abstractNum>
  <w:abstractNum w:abstractNumId="30" w15:restartNumberingAfterBreak="0">
    <w:nsid w:val="60712815"/>
    <w:multiLevelType w:val="hybridMultilevel"/>
    <w:tmpl w:val="691E1744"/>
    <w:lvl w:ilvl="0" w:tplc="FA8A0930">
      <w:start w:val="1"/>
      <w:numFmt w:val="bullet"/>
      <w:pStyle w:val="Bullet2"/>
      <w:lvlText w:val="&gt;"/>
      <w:lvlJc w:val="left"/>
      <w:pPr>
        <w:ind w:left="720" w:hanging="360"/>
      </w:pPr>
      <w:rPr>
        <w:rFonts w:ascii="Arial" w:hAnsi="Arial" w:hint="default"/>
        <w:color w:val="86BBE6"/>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26E6A8A"/>
    <w:multiLevelType w:val="hybridMultilevel"/>
    <w:tmpl w:val="1EC0202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62B63062"/>
    <w:multiLevelType w:val="hybridMultilevel"/>
    <w:tmpl w:val="9E6AF7B8"/>
    <w:lvl w:ilvl="0" w:tplc="199E3162">
      <w:start w:val="1"/>
      <w:numFmt w:val="lowerRoman"/>
      <w:lvlText w:val="%1."/>
      <w:lvlJc w:val="right"/>
      <w:pPr>
        <w:ind w:left="720" w:hanging="360"/>
      </w:pPr>
    </w:lvl>
    <w:lvl w:ilvl="1" w:tplc="E99001B2">
      <w:start w:val="1"/>
      <w:numFmt w:val="lowerLetter"/>
      <w:lvlText w:val="%2."/>
      <w:lvlJc w:val="left"/>
      <w:pPr>
        <w:ind w:left="1440" w:hanging="360"/>
      </w:pPr>
    </w:lvl>
    <w:lvl w:ilvl="2" w:tplc="66BEDFA4">
      <w:start w:val="1"/>
      <w:numFmt w:val="lowerRoman"/>
      <w:lvlText w:val="%3."/>
      <w:lvlJc w:val="right"/>
      <w:pPr>
        <w:ind w:left="2160" w:hanging="180"/>
      </w:pPr>
    </w:lvl>
    <w:lvl w:ilvl="3" w:tplc="4718D99E">
      <w:start w:val="1"/>
      <w:numFmt w:val="decimal"/>
      <w:lvlText w:val="%4."/>
      <w:lvlJc w:val="left"/>
      <w:pPr>
        <w:ind w:left="2880" w:hanging="360"/>
      </w:pPr>
    </w:lvl>
    <w:lvl w:ilvl="4" w:tplc="219A5BD2">
      <w:start w:val="1"/>
      <w:numFmt w:val="lowerLetter"/>
      <w:lvlText w:val="%5."/>
      <w:lvlJc w:val="left"/>
      <w:pPr>
        <w:ind w:left="3600" w:hanging="360"/>
      </w:pPr>
    </w:lvl>
    <w:lvl w:ilvl="5" w:tplc="E06064B4">
      <w:start w:val="1"/>
      <w:numFmt w:val="lowerRoman"/>
      <w:lvlText w:val="%6."/>
      <w:lvlJc w:val="right"/>
      <w:pPr>
        <w:ind w:left="4320" w:hanging="180"/>
      </w:pPr>
    </w:lvl>
    <w:lvl w:ilvl="6" w:tplc="C16E2CAE">
      <w:start w:val="1"/>
      <w:numFmt w:val="decimal"/>
      <w:lvlText w:val="%7."/>
      <w:lvlJc w:val="left"/>
      <w:pPr>
        <w:ind w:left="5040" w:hanging="360"/>
      </w:pPr>
    </w:lvl>
    <w:lvl w:ilvl="7" w:tplc="9716AD5E">
      <w:start w:val="1"/>
      <w:numFmt w:val="lowerLetter"/>
      <w:lvlText w:val="%8."/>
      <w:lvlJc w:val="left"/>
      <w:pPr>
        <w:ind w:left="5760" w:hanging="360"/>
      </w:pPr>
    </w:lvl>
    <w:lvl w:ilvl="8" w:tplc="63B23838">
      <w:start w:val="1"/>
      <w:numFmt w:val="lowerRoman"/>
      <w:lvlText w:val="%9."/>
      <w:lvlJc w:val="right"/>
      <w:pPr>
        <w:ind w:left="6480" w:hanging="180"/>
      </w:pPr>
    </w:lvl>
  </w:abstractNum>
  <w:abstractNum w:abstractNumId="33" w15:restartNumberingAfterBreak="0">
    <w:nsid w:val="66093043"/>
    <w:multiLevelType w:val="hybridMultilevel"/>
    <w:tmpl w:val="63F8B8A6"/>
    <w:lvl w:ilvl="0" w:tplc="6BD2CEAC">
      <w:start w:val="1"/>
      <w:numFmt w:val="lowerRoman"/>
      <w:lvlText w:val="%1."/>
      <w:lvlJc w:val="right"/>
      <w:pPr>
        <w:ind w:left="720" w:hanging="360"/>
      </w:pPr>
    </w:lvl>
    <w:lvl w:ilvl="1" w:tplc="1EA61804">
      <w:start w:val="1"/>
      <w:numFmt w:val="lowerLetter"/>
      <w:lvlText w:val="%2."/>
      <w:lvlJc w:val="left"/>
      <w:pPr>
        <w:ind w:left="1440" w:hanging="360"/>
      </w:pPr>
    </w:lvl>
    <w:lvl w:ilvl="2" w:tplc="BD5AC424">
      <w:start w:val="1"/>
      <w:numFmt w:val="lowerRoman"/>
      <w:lvlText w:val="%3."/>
      <w:lvlJc w:val="right"/>
      <w:pPr>
        <w:ind w:left="2160" w:hanging="180"/>
      </w:pPr>
    </w:lvl>
    <w:lvl w:ilvl="3" w:tplc="0D76ACCC">
      <w:start w:val="1"/>
      <w:numFmt w:val="decimal"/>
      <w:lvlText w:val="%4."/>
      <w:lvlJc w:val="left"/>
      <w:pPr>
        <w:ind w:left="2880" w:hanging="360"/>
      </w:pPr>
    </w:lvl>
    <w:lvl w:ilvl="4" w:tplc="9C04BABA">
      <w:start w:val="1"/>
      <w:numFmt w:val="lowerLetter"/>
      <w:lvlText w:val="%5."/>
      <w:lvlJc w:val="left"/>
      <w:pPr>
        <w:ind w:left="3600" w:hanging="360"/>
      </w:pPr>
    </w:lvl>
    <w:lvl w:ilvl="5" w:tplc="F2E01CB8">
      <w:start w:val="1"/>
      <w:numFmt w:val="lowerRoman"/>
      <w:lvlText w:val="%6."/>
      <w:lvlJc w:val="right"/>
      <w:pPr>
        <w:ind w:left="4320" w:hanging="180"/>
      </w:pPr>
    </w:lvl>
    <w:lvl w:ilvl="6" w:tplc="2FF8CD2C">
      <w:start w:val="1"/>
      <w:numFmt w:val="decimal"/>
      <w:lvlText w:val="%7."/>
      <w:lvlJc w:val="left"/>
      <w:pPr>
        <w:ind w:left="5040" w:hanging="360"/>
      </w:pPr>
    </w:lvl>
    <w:lvl w:ilvl="7" w:tplc="A2B0DA9A">
      <w:start w:val="1"/>
      <w:numFmt w:val="lowerLetter"/>
      <w:lvlText w:val="%8."/>
      <w:lvlJc w:val="left"/>
      <w:pPr>
        <w:ind w:left="5760" w:hanging="360"/>
      </w:pPr>
    </w:lvl>
    <w:lvl w:ilvl="8" w:tplc="D5D839FA">
      <w:start w:val="1"/>
      <w:numFmt w:val="lowerRoman"/>
      <w:lvlText w:val="%9."/>
      <w:lvlJc w:val="right"/>
      <w:pPr>
        <w:ind w:left="6480" w:hanging="180"/>
      </w:pPr>
    </w:lvl>
  </w:abstractNum>
  <w:abstractNum w:abstractNumId="34" w15:restartNumberingAfterBreak="0">
    <w:nsid w:val="68E86214"/>
    <w:multiLevelType w:val="hybridMultilevel"/>
    <w:tmpl w:val="477AAA0E"/>
    <w:lvl w:ilvl="0" w:tplc="04070001">
      <w:start w:val="1"/>
      <w:numFmt w:val="bullet"/>
      <w:lvlText w:val=""/>
      <w:lvlJc w:val="left"/>
      <w:pPr>
        <w:ind w:left="770" w:hanging="360"/>
      </w:pPr>
      <w:rPr>
        <w:rFonts w:ascii="Symbol" w:hAnsi="Symbol"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35" w15:restartNumberingAfterBreak="0">
    <w:nsid w:val="69CC0050"/>
    <w:multiLevelType w:val="hybridMultilevel"/>
    <w:tmpl w:val="FFFFFFFF"/>
    <w:lvl w:ilvl="0" w:tplc="5A18B38C">
      <w:start w:val="1"/>
      <w:numFmt w:val="lowerRoman"/>
      <w:lvlText w:val="%1."/>
      <w:lvlJc w:val="right"/>
      <w:pPr>
        <w:ind w:left="720" w:hanging="360"/>
      </w:pPr>
    </w:lvl>
    <w:lvl w:ilvl="1" w:tplc="B3AEB9AA">
      <w:start w:val="1"/>
      <w:numFmt w:val="lowerLetter"/>
      <w:lvlText w:val="%2."/>
      <w:lvlJc w:val="left"/>
      <w:pPr>
        <w:ind w:left="1440" w:hanging="360"/>
      </w:pPr>
    </w:lvl>
    <w:lvl w:ilvl="2" w:tplc="28742D52">
      <w:start w:val="1"/>
      <w:numFmt w:val="lowerRoman"/>
      <w:lvlText w:val="%3."/>
      <w:lvlJc w:val="right"/>
      <w:pPr>
        <w:ind w:left="2160" w:hanging="180"/>
      </w:pPr>
    </w:lvl>
    <w:lvl w:ilvl="3" w:tplc="EC9CD756">
      <w:start w:val="1"/>
      <w:numFmt w:val="decimal"/>
      <w:lvlText w:val="%4."/>
      <w:lvlJc w:val="left"/>
      <w:pPr>
        <w:ind w:left="2880" w:hanging="360"/>
      </w:pPr>
    </w:lvl>
    <w:lvl w:ilvl="4" w:tplc="91D2CA66">
      <w:start w:val="1"/>
      <w:numFmt w:val="lowerLetter"/>
      <w:lvlText w:val="%5."/>
      <w:lvlJc w:val="left"/>
      <w:pPr>
        <w:ind w:left="3600" w:hanging="360"/>
      </w:pPr>
    </w:lvl>
    <w:lvl w:ilvl="5" w:tplc="34286B58">
      <w:start w:val="1"/>
      <w:numFmt w:val="lowerRoman"/>
      <w:lvlText w:val="%6."/>
      <w:lvlJc w:val="right"/>
      <w:pPr>
        <w:ind w:left="4320" w:hanging="180"/>
      </w:pPr>
    </w:lvl>
    <w:lvl w:ilvl="6" w:tplc="B0B21264">
      <w:start w:val="1"/>
      <w:numFmt w:val="decimal"/>
      <w:lvlText w:val="%7."/>
      <w:lvlJc w:val="left"/>
      <w:pPr>
        <w:ind w:left="5040" w:hanging="360"/>
      </w:pPr>
    </w:lvl>
    <w:lvl w:ilvl="7" w:tplc="CF3A7502">
      <w:start w:val="1"/>
      <w:numFmt w:val="lowerLetter"/>
      <w:lvlText w:val="%8."/>
      <w:lvlJc w:val="left"/>
      <w:pPr>
        <w:ind w:left="5760" w:hanging="360"/>
      </w:pPr>
    </w:lvl>
    <w:lvl w:ilvl="8" w:tplc="4CAE37E4">
      <w:start w:val="1"/>
      <w:numFmt w:val="lowerRoman"/>
      <w:lvlText w:val="%9."/>
      <w:lvlJc w:val="right"/>
      <w:pPr>
        <w:ind w:left="6480" w:hanging="180"/>
      </w:pPr>
    </w:lvl>
  </w:abstractNum>
  <w:abstractNum w:abstractNumId="36" w15:restartNumberingAfterBreak="0">
    <w:nsid w:val="6DF94B47"/>
    <w:multiLevelType w:val="hybridMultilevel"/>
    <w:tmpl w:val="FFFFFFFF"/>
    <w:lvl w:ilvl="0" w:tplc="506496DA">
      <w:start w:val="1"/>
      <w:numFmt w:val="bullet"/>
      <w:lvlText w:val="-"/>
      <w:lvlJc w:val="left"/>
      <w:pPr>
        <w:ind w:left="720" w:hanging="360"/>
      </w:pPr>
      <w:rPr>
        <w:rFonts w:ascii="Calibri" w:hAnsi="Calibri" w:hint="default"/>
      </w:rPr>
    </w:lvl>
    <w:lvl w:ilvl="1" w:tplc="BD1419A6">
      <w:start w:val="1"/>
      <w:numFmt w:val="bullet"/>
      <w:lvlText w:val="o"/>
      <w:lvlJc w:val="left"/>
      <w:pPr>
        <w:ind w:left="1440" w:hanging="360"/>
      </w:pPr>
      <w:rPr>
        <w:rFonts w:ascii="Courier New" w:hAnsi="Courier New" w:hint="default"/>
      </w:rPr>
    </w:lvl>
    <w:lvl w:ilvl="2" w:tplc="72DCFA0E">
      <w:start w:val="1"/>
      <w:numFmt w:val="bullet"/>
      <w:lvlText w:val=""/>
      <w:lvlJc w:val="left"/>
      <w:pPr>
        <w:ind w:left="2160" w:hanging="360"/>
      </w:pPr>
      <w:rPr>
        <w:rFonts w:ascii="Wingdings" w:hAnsi="Wingdings" w:hint="default"/>
      </w:rPr>
    </w:lvl>
    <w:lvl w:ilvl="3" w:tplc="A3F09E62">
      <w:start w:val="1"/>
      <w:numFmt w:val="bullet"/>
      <w:lvlText w:val=""/>
      <w:lvlJc w:val="left"/>
      <w:pPr>
        <w:ind w:left="2880" w:hanging="360"/>
      </w:pPr>
      <w:rPr>
        <w:rFonts w:ascii="Symbol" w:hAnsi="Symbol" w:hint="default"/>
      </w:rPr>
    </w:lvl>
    <w:lvl w:ilvl="4" w:tplc="9C26D16C">
      <w:start w:val="1"/>
      <w:numFmt w:val="bullet"/>
      <w:lvlText w:val="o"/>
      <w:lvlJc w:val="left"/>
      <w:pPr>
        <w:ind w:left="3600" w:hanging="360"/>
      </w:pPr>
      <w:rPr>
        <w:rFonts w:ascii="Courier New" w:hAnsi="Courier New" w:hint="default"/>
      </w:rPr>
    </w:lvl>
    <w:lvl w:ilvl="5" w:tplc="DAE643AA">
      <w:start w:val="1"/>
      <w:numFmt w:val="bullet"/>
      <w:lvlText w:val=""/>
      <w:lvlJc w:val="left"/>
      <w:pPr>
        <w:ind w:left="4320" w:hanging="360"/>
      </w:pPr>
      <w:rPr>
        <w:rFonts w:ascii="Wingdings" w:hAnsi="Wingdings" w:hint="default"/>
      </w:rPr>
    </w:lvl>
    <w:lvl w:ilvl="6" w:tplc="474C9A38">
      <w:start w:val="1"/>
      <w:numFmt w:val="bullet"/>
      <w:lvlText w:val=""/>
      <w:lvlJc w:val="left"/>
      <w:pPr>
        <w:ind w:left="5040" w:hanging="360"/>
      </w:pPr>
      <w:rPr>
        <w:rFonts w:ascii="Symbol" w:hAnsi="Symbol" w:hint="default"/>
      </w:rPr>
    </w:lvl>
    <w:lvl w:ilvl="7" w:tplc="D1785F60">
      <w:start w:val="1"/>
      <w:numFmt w:val="bullet"/>
      <w:lvlText w:val="o"/>
      <w:lvlJc w:val="left"/>
      <w:pPr>
        <w:ind w:left="5760" w:hanging="360"/>
      </w:pPr>
      <w:rPr>
        <w:rFonts w:ascii="Courier New" w:hAnsi="Courier New" w:hint="default"/>
      </w:rPr>
    </w:lvl>
    <w:lvl w:ilvl="8" w:tplc="7B0AA4B8">
      <w:start w:val="1"/>
      <w:numFmt w:val="bullet"/>
      <w:lvlText w:val=""/>
      <w:lvlJc w:val="left"/>
      <w:pPr>
        <w:ind w:left="6480" w:hanging="360"/>
      </w:pPr>
      <w:rPr>
        <w:rFonts w:ascii="Wingdings" w:hAnsi="Wingdings" w:hint="default"/>
      </w:rPr>
    </w:lvl>
  </w:abstractNum>
  <w:abstractNum w:abstractNumId="37" w15:restartNumberingAfterBreak="0">
    <w:nsid w:val="710C3C78"/>
    <w:multiLevelType w:val="hybridMultilevel"/>
    <w:tmpl w:val="11A41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11924C9"/>
    <w:multiLevelType w:val="hybridMultilevel"/>
    <w:tmpl w:val="FFFFFFFF"/>
    <w:lvl w:ilvl="0" w:tplc="C7AE1A88">
      <w:start w:val="1"/>
      <w:numFmt w:val="lowerRoman"/>
      <w:lvlText w:val="%1."/>
      <w:lvlJc w:val="right"/>
      <w:pPr>
        <w:ind w:left="720" w:hanging="360"/>
      </w:pPr>
    </w:lvl>
    <w:lvl w:ilvl="1" w:tplc="393294A6">
      <w:start w:val="1"/>
      <w:numFmt w:val="lowerLetter"/>
      <w:lvlText w:val="%2."/>
      <w:lvlJc w:val="left"/>
      <w:pPr>
        <w:ind w:left="1440" w:hanging="360"/>
      </w:pPr>
    </w:lvl>
    <w:lvl w:ilvl="2" w:tplc="2054B67C">
      <w:start w:val="1"/>
      <w:numFmt w:val="lowerRoman"/>
      <w:lvlText w:val="%3."/>
      <w:lvlJc w:val="right"/>
      <w:pPr>
        <w:ind w:left="2160" w:hanging="180"/>
      </w:pPr>
    </w:lvl>
    <w:lvl w:ilvl="3" w:tplc="25FCBDC4">
      <w:start w:val="1"/>
      <w:numFmt w:val="decimal"/>
      <w:lvlText w:val="%4."/>
      <w:lvlJc w:val="left"/>
      <w:pPr>
        <w:ind w:left="2880" w:hanging="360"/>
      </w:pPr>
    </w:lvl>
    <w:lvl w:ilvl="4" w:tplc="BE3A2666">
      <w:start w:val="1"/>
      <w:numFmt w:val="lowerLetter"/>
      <w:lvlText w:val="%5."/>
      <w:lvlJc w:val="left"/>
      <w:pPr>
        <w:ind w:left="3600" w:hanging="360"/>
      </w:pPr>
    </w:lvl>
    <w:lvl w:ilvl="5" w:tplc="9086D8A8">
      <w:start w:val="1"/>
      <w:numFmt w:val="lowerRoman"/>
      <w:lvlText w:val="%6."/>
      <w:lvlJc w:val="right"/>
      <w:pPr>
        <w:ind w:left="4320" w:hanging="180"/>
      </w:pPr>
    </w:lvl>
    <w:lvl w:ilvl="6" w:tplc="5E904882">
      <w:start w:val="1"/>
      <w:numFmt w:val="decimal"/>
      <w:lvlText w:val="%7."/>
      <w:lvlJc w:val="left"/>
      <w:pPr>
        <w:ind w:left="5040" w:hanging="360"/>
      </w:pPr>
    </w:lvl>
    <w:lvl w:ilvl="7" w:tplc="0FF6D7D4">
      <w:start w:val="1"/>
      <w:numFmt w:val="lowerLetter"/>
      <w:lvlText w:val="%8."/>
      <w:lvlJc w:val="left"/>
      <w:pPr>
        <w:ind w:left="5760" w:hanging="360"/>
      </w:pPr>
    </w:lvl>
    <w:lvl w:ilvl="8" w:tplc="8AE62D4A">
      <w:start w:val="1"/>
      <w:numFmt w:val="lowerRoman"/>
      <w:lvlText w:val="%9."/>
      <w:lvlJc w:val="right"/>
      <w:pPr>
        <w:ind w:left="6480" w:hanging="180"/>
      </w:pPr>
    </w:lvl>
  </w:abstractNum>
  <w:abstractNum w:abstractNumId="39" w15:restartNumberingAfterBreak="0">
    <w:nsid w:val="75A047DF"/>
    <w:multiLevelType w:val="hybridMultilevel"/>
    <w:tmpl w:val="12AEDA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6561DC1"/>
    <w:multiLevelType w:val="hybridMultilevel"/>
    <w:tmpl w:val="5598F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4E08A2"/>
    <w:multiLevelType w:val="hybridMultilevel"/>
    <w:tmpl w:val="B4860602"/>
    <w:lvl w:ilvl="0" w:tplc="E528F17A">
      <w:start w:val="1"/>
      <w:numFmt w:val="bullet"/>
      <w:lvlText w:val="-"/>
      <w:lvlJc w:val="left"/>
      <w:pPr>
        <w:ind w:left="720" w:hanging="360"/>
      </w:pPr>
      <w:rPr>
        <w:rFonts w:ascii="Calibri" w:hAnsi="Calibri" w:hint="default"/>
      </w:rPr>
    </w:lvl>
    <w:lvl w:ilvl="1" w:tplc="582AA270">
      <w:start w:val="1"/>
      <w:numFmt w:val="bullet"/>
      <w:lvlText w:val="o"/>
      <w:lvlJc w:val="left"/>
      <w:pPr>
        <w:ind w:left="1440" w:hanging="360"/>
      </w:pPr>
      <w:rPr>
        <w:rFonts w:ascii="Courier New" w:hAnsi="Courier New" w:hint="default"/>
      </w:rPr>
    </w:lvl>
    <w:lvl w:ilvl="2" w:tplc="11544AC0">
      <w:start w:val="1"/>
      <w:numFmt w:val="bullet"/>
      <w:lvlText w:val=""/>
      <w:lvlJc w:val="left"/>
      <w:pPr>
        <w:ind w:left="2160" w:hanging="360"/>
      </w:pPr>
      <w:rPr>
        <w:rFonts w:ascii="Wingdings" w:hAnsi="Wingdings" w:hint="default"/>
      </w:rPr>
    </w:lvl>
    <w:lvl w:ilvl="3" w:tplc="FB5A40C2">
      <w:start w:val="1"/>
      <w:numFmt w:val="bullet"/>
      <w:lvlText w:val=""/>
      <w:lvlJc w:val="left"/>
      <w:pPr>
        <w:ind w:left="2880" w:hanging="360"/>
      </w:pPr>
      <w:rPr>
        <w:rFonts w:ascii="Symbol" w:hAnsi="Symbol" w:hint="default"/>
      </w:rPr>
    </w:lvl>
    <w:lvl w:ilvl="4" w:tplc="AE6CD7D6">
      <w:start w:val="1"/>
      <w:numFmt w:val="bullet"/>
      <w:lvlText w:val="o"/>
      <w:lvlJc w:val="left"/>
      <w:pPr>
        <w:ind w:left="3600" w:hanging="360"/>
      </w:pPr>
      <w:rPr>
        <w:rFonts w:ascii="Courier New" w:hAnsi="Courier New" w:hint="default"/>
      </w:rPr>
    </w:lvl>
    <w:lvl w:ilvl="5" w:tplc="D840B792">
      <w:start w:val="1"/>
      <w:numFmt w:val="bullet"/>
      <w:lvlText w:val=""/>
      <w:lvlJc w:val="left"/>
      <w:pPr>
        <w:ind w:left="4320" w:hanging="360"/>
      </w:pPr>
      <w:rPr>
        <w:rFonts w:ascii="Wingdings" w:hAnsi="Wingdings" w:hint="default"/>
      </w:rPr>
    </w:lvl>
    <w:lvl w:ilvl="6" w:tplc="07FC90F8">
      <w:start w:val="1"/>
      <w:numFmt w:val="bullet"/>
      <w:lvlText w:val=""/>
      <w:lvlJc w:val="left"/>
      <w:pPr>
        <w:ind w:left="5040" w:hanging="360"/>
      </w:pPr>
      <w:rPr>
        <w:rFonts w:ascii="Symbol" w:hAnsi="Symbol" w:hint="default"/>
      </w:rPr>
    </w:lvl>
    <w:lvl w:ilvl="7" w:tplc="0A22F5D2">
      <w:start w:val="1"/>
      <w:numFmt w:val="bullet"/>
      <w:lvlText w:val="o"/>
      <w:lvlJc w:val="left"/>
      <w:pPr>
        <w:ind w:left="5760" w:hanging="360"/>
      </w:pPr>
      <w:rPr>
        <w:rFonts w:ascii="Courier New" w:hAnsi="Courier New" w:hint="default"/>
      </w:rPr>
    </w:lvl>
    <w:lvl w:ilvl="8" w:tplc="15BAEA98">
      <w:start w:val="1"/>
      <w:numFmt w:val="bullet"/>
      <w:lvlText w:val=""/>
      <w:lvlJc w:val="left"/>
      <w:pPr>
        <w:ind w:left="6480" w:hanging="360"/>
      </w:pPr>
      <w:rPr>
        <w:rFonts w:ascii="Wingdings" w:hAnsi="Wingdings" w:hint="default"/>
      </w:rPr>
    </w:lvl>
  </w:abstractNum>
  <w:abstractNum w:abstractNumId="42" w15:restartNumberingAfterBreak="0">
    <w:nsid w:val="7B9967B5"/>
    <w:multiLevelType w:val="hybridMultilevel"/>
    <w:tmpl w:val="AE265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5"/>
  </w:num>
  <w:num w:numId="4">
    <w:abstractNumId w:val="19"/>
  </w:num>
  <w:num w:numId="5">
    <w:abstractNumId w:val="38"/>
  </w:num>
  <w:num w:numId="6">
    <w:abstractNumId w:val="36"/>
  </w:num>
  <w:num w:numId="7">
    <w:abstractNumId w:val="29"/>
  </w:num>
  <w:num w:numId="8">
    <w:abstractNumId w:val="30"/>
  </w:num>
  <w:num w:numId="9">
    <w:abstractNumId w:val="28"/>
  </w:num>
  <w:num w:numId="10">
    <w:abstractNumId w:val="25"/>
  </w:num>
  <w:num w:numId="11">
    <w:abstractNumId w:val="20"/>
  </w:num>
  <w:num w:numId="12">
    <w:abstractNumId w:val="26"/>
  </w:num>
  <w:num w:numId="13">
    <w:abstractNumId w:val="10"/>
  </w:num>
  <w:num w:numId="14">
    <w:abstractNumId w:val="2"/>
  </w:num>
  <w:num w:numId="15">
    <w:abstractNumId w:val="9"/>
  </w:num>
  <w:num w:numId="16">
    <w:abstractNumId w:val="20"/>
    <w:lvlOverride w:ilvl="0">
      <w:startOverride w:val="1"/>
    </w:lvlOverride>
  </w:num>
  <w:num w:numId="17">
    <w:abstractNumId w:val="40"/>
  </w:num>
  <w:num w:numId="18">
    <w:abstractNumId w:val="6"/>
  </w:num>
  <w:num w:numId="19">
    <w:abstractNumId w:val="8"/>
  </w:num>
  <w:num w:numId="20">
    <w:abstractNumId w:val="0"/>
  </w:num>
  <w:num w:numId="21">
    <w:abstractNumId w:val="18"/>
  </w:num>
  <w:num w:numId="22">
    <w:abstractNumId w:val="31"/>
  </w:num>
  <w:num w:numId="23">
    <w:abstractNumId w:val="30"/>
  </w:num>
  <w:num w:numId="24">
    <w:abstractNumId w:val="17"/>
  </w:num>
  <w:num w:numId="25">
    <w:abstractNumId w:val="34"/>
  </w:num>
  <w:num w:numId="26">
    <w:abstractNumId w:val="37"/>
  </w:num>
  <w:num w:numId="27">
    <w:abstractNumId w:val="7"/>
  </w:num>
  <w:num w:numId="28">
    <w:abstractNumId w:val="15"/>
  </w:num>
  <w:num w:numId="29">
    <w:abstractNumId w:val="39"/>
  </w:num>
  <w:num w:numId="30">
    <w:abstractNumId w:val="3"/>
  </w:num>
  <w:num w:numId="31">
    <w:abstractNumId w:val="27"/>
  </w:num>
  <w:num w:numId="32">
    <w:abstractNumId w:val="33"/>
  </w:num>
  <w:num w:numId="33">
    <w:abstractNumId w:val="21"/>
  </w:num>
  <w:num w:numId="34">
    <w:abstractNumId w:val="32"/>
  </w:num>
  <w:num w:numId="35">
    <w:abstractNumId w:val="1"/>
  </w:num>
  <w:num w:numId="36">
    <w:abstractNumId w:val="41"/>
  </w:num>
  <w:num w:numId="37">
    <w:abstractNumId w:val="23"/>
  </w:num>
  <w:num w:numId="38">
    <w:abstractNumId w:val="22"/>
  </w:num>
  <w:num w:numId="39">
    <w:abstractNumId w:val="35"/>
  </w:num>
  <w:num w:numId="40">
    <w:abstractNumId w:val="24"/>
  </w:num>
  <w:num w:numId="41">
    <w:abstractNumId w:val="11"/>
  </w:num>
  <w:num w:numId="42">
    <w:abstractNumId w:val="12"/>
  </w:num>
  <w:num w:numId="43">
    <w:abstractNumId w:val="14"/>
  </w:num>
  <w:num w:numId="44">
    <w:abstractNumId w:val="13"/>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0C"/>
    <w:rsid w:val="00005B26"/>
    <w:rsid w:val="0001124C"/>
    <w:rsid w:val="00013C82"/>
    <w:rsid w:val="00015B9A"/>
    <w:rsid w:val="00020D4B"/>
    <w:rsid w:val="000222B2"/>
    <w:rsid w:val="00022AC7"/>
    <w:rsid w:val="0002434A"/>
    <w:rsid w:val="00024BBE"/>
    <w:rsid w:val="0002521D"/>
    <w:rsid w:val="00025D1F"/>
    <w:rsid w:val="00025E29"/>
    <w:rsid w:val="00026770"/>
    <w:rsid w:val="00031842"/>
    <w:rsid w:val="0003328E"/>
    <w:rsid w:val="0003494A"/>
    <w:rsid w:val="00035F18"/>
    <w:rsid w:val="00036FFA"/>
    <w:rsid w:val="00040811"/>
    <w:rsid w:val="00043E30"/>
    <w:rsid w:val="00050F67"/>
    <w:rsid w:val="00054C42"/>
    <w:rsid w:val="00066E2E"/>
    <w:rsid w:val="00066FB3"/>
    <w:rsid w:val="00073C9B"/>
    <w:rsid w:val="000756D4"/>
    <w:rsid w:val="00076260"/>
    <w:rsid w:val="00076B6D"/>
    <w:rsid w:val="000779A2"/>
    <w:rsid w:val="000804A3"/>
    <w:rsid w:val="00081CF0"/>
    <w:rsid w:val="0008258A"/>
    <w:rsid w:val="000841BC"/>
    <w:rsid w:val="0009080B"/>
    <w:rsid w:val="0009104F"/>
    <w:rsid w:val="0009106C"/>
    <w:rsid w:val="00093BD9"/>
    <w:rsid w:val="000A3105"/>
    <w:rsid w:val="000A7DB9"/>
    <w:rsid w:val="000B1C79"/>
    <w:rsid w:val="000B46FC"/>
    <w:rsid w:val="000C0090"/>
    <w:rsid w:val="000D14D9"/>
    <w:rsid w:val="000D475B"/>
    <w:rsid w:val="000D49B7"/>
    <w:rsid w:val="000E2C02"/>
    <w:rsid w:val="000E33A2"/>
    <w:rsid w:val="000E6CF8"/>
    <w:rsid w:val="000E6F97"/>
    <w:rsid w:val="000F1186"/>
    <w:rsid w:val="000F2D91"/>
    <w:rsid w:val="000F4B12"/>
    <w:rsid w:val="00105633"/>
    <w:rsid w:val="001068A9"/>
    <w:rsid w:val="00110DCD"/>
    <w:rsid w:val="001111BB"/>
    <w:rsid w:val="00115D47"/>
    <w:rsid w:val="0011614F"/>
    <w:rsid w:val="001167E2"/>
    <w:rsid w:val="0012051A"/>
    <w:rsid w:val="0012295E"/>
    <w:rsid w:val="00123C2D"/>
    <w:rsid w:val="00135A76"/>
    <w:rsid w:val="00135CA4"/>
    <w:rsid w:val="00136F6B"/>
    <w:rsid w:val="0014173F"/>
    <w:rsid w:val="001432B7"/>
    <w:rsid w:val="00144AE5"/>
    <w:rsid w:val="00150573"/>
    <w:rsid w:val="00155E25"/>
    <w:rsid w:val="0016357F"/>
    <w:rsid w:val="001672B7"/>
    <w:rsid w:val="00167A50"/>
    <w:rsid w:val="0017162D"/>
    <w:rsid w:val="00171C24"/>
    <w:rsid w:val="00172D0E"/>
    <w:rsid w:val="001747B3"/>
    <w:rsid w:val="001817A7"/>
    <w:rsid w:val="00185D6E"/>
    <w:rsid w:val="00194940"/>
    <w:rsid w:val="001A3B40"/>
    <w:rsid w:val="001A57E2"/>
    <w:rsid w:val="001A7E77"/>
    <w:rsid w:val="001B118C"/>
    <w:rsid w:val="001B3613"/>
    <w:rsid w:val="001B7AC8"/>
    <w:rsid w:val="001C11C7"/>
    <w:rsid w:val="001C1B14"/>
    <w:rsid w:val="001C27DE"/>
    <w:rsid w:val="001C3083"/>
    <w:rsid w:val="001C30D7"/>
    <w:rsid w:val="001D001D"/>
    <w:rsid w:val="001D373D"/>
    <w:rsid w:val="001D71DD"/>
    <w:rsid w:val="001D76F4"/>
    <w:rsid w:val="001E0D4A"/>
    <w:rsid w:val="001E7B2A"/>
    <w:rsid w:val="001F387D"/>
    <w:rsid w:val="001F38BC"/>
    <w:rsid w:val="00200339"/>
    <w:rsid w:val="00200C98"/>
    <w:rsid w:val="00202AF6"/>
    <w:rsid w:val="00203C79"/>
    <w:rsid w:val="00210D94"/>
    <w:rsid w:val="002134B6"/>
    <w:rsid w:val="00213EFC"/>
    <w:rsid w:val="00214717"/>
    <w:rsid w:val="002169CB"/>
    <w:rsid w:val="00220931"/>
    <w:rsid w:val="00226431"/>
    <w:rsid w:val="00226602"/>
    <w:rsid w:val="00232D94"/>
    <w:rsid w:val="00236A78"/>
    <w:rsid w:val="00237982"/>
    <w:rsid w:val="002400A4"/>
    <w:rsid w:val="00241080"/>
    <w:rsid w:val="00245F3C"/>
    <w:rsid w:val="002518B4"/>
    <w:rsid w:val="00265BAB"/>
    <w:rsid w:val="0026785D"/>
    <w:rsid w:val="00270284"/>
    <w:rsid w:val="00272475"/>
    <w:rsid w:val="002740AA"/>
    <w:rsid w:val="00274109"/>
    <w:rsid w:val="0027423C"/>
    <w:rsid w:val="002761B4"/>
    <w:rsid w:val="00276918"/>
    <w:rsid w:val="00276BA1"/>
    <w:rsid w:val="00280347"/>
    <w:rsid w:val="00282B87"/>
    <w:rsid w:val="0028507C"/>
    <w:rsid w:val="00285704"/>
    <w:rsid w:val="00286336"/>
    <w:rsid w:val="00294CAA"/>
    <w:rsid w:val="002A3761"/>
    <w:rsid w:val="002A4A12"/>
    <w:rsid w:val="002A70D9"/>
    <w:rsid w:val="002A725E"/>
    <w:rsid w:val="002B2CD7"/>
    <w:rsid w:val="002B5995"/>
    <w:rsid w:val="002C70CF"/>
    <w:rsid w:val="002D663A"/>
    <w:rsid w:val="002E230A"/>
    <w:rsid w:val="002E31D7"/>
    <w:rsid w:val="002E3C5B"/>
    <w:rsid w:val="002F0081"/>
    <w:rsid w:val="002F59F1"/>
    <w:rsid w:val="002F61E0"/>
    <w:rsid w:val="002F79EA"/>
    <w:rsid w:val="00300E8C"/>
    <w:rsid w:val="00304400"/>
    <w:rsid w:val="003171FC"/>
    <w:rsid w:val="00317D8C"/>
    <w:rsid w:val="0032162B"/>
    <w:rsid w:val="00324CEE"/>
    <w:rsid w:val="00324DD6"/>
    <w:rsid w:val="00325623"/>
    <w:rsid w:val="00325F18"/>
    <w:rsid w:val="00326C7C"/>
    <w:rsid w:val="00331899"/>
    <w:rsid w:val="003343DD"/>
    <w:rsid w:val="00334FE0"/>
    <w:rsid w:val="00336527"/>
    <w:rsid w:val="00336AE0"/>
    <w:rsid w:val="00344E7D"/>
    <w:rsid w:val="003454B9"/>
    <w:rsid w:val="00345BBA"/>
    <w:rsid w:val="00346031"/>
    <w:rsid w:val="003501A4"/>
    <w:rsid w:val="0035342B"/>
    <w:rsid w:val="00356ABD"/>
    <w:rsid w:val="0036104D"/>
    <w:rsid w:val="00367115"/>
    <w:rsid w:val="00371F2F"/>
    <w:rsid w:val="003772BC"/>
    <w:rsid w:val="003914A8"/>
    <w:rsid w:val="00394E3C"/>
    <w:rsid w:val="003A31AE"/>
    <w:rsid w:val="003A4365"/>
    <w:rsid w:val="003A4AFA"/>
    <w:rsid w:val="003C43E7"/>
    <w:rsid w:val="003C7D63"/>
    <w:rsid w:val="003C7FC1"/>
    <w:rsid w:val="003D0933"/>
    <w:rsid w:val="003D1B0C"/>
    <w:rsid w:val="003D3A98"/>
    <w:rsid w:val="003D4AA2"/>
    <w:rsid w:val="003D7890"/>
    <w:rsid w:val="003E0CE3"/>
    <w:rsid w:val="003E1E3C"/>
    <w:rsid w:val="003E2622"/>
    <w:rsid w:val="003E4D93"/>
    <w:rsid w:val="003E578E"/>
    <w:rsid w:val="003E659C"/>
    <w:rsid w:val="003F29EC"/>
    <w:rsid w:val="003F2C01"/>
    <w:rsid w:val="0040651B"/>
    <w:rsid w:val="0040796F"/>
    <w:rsid w:val="0041073F"/>
    <w:rsid w:val="00414791"/>
    <w:rsid w:val="0042321C"/>
    <w:rsid w:val="00423364"/>
    <w:rsid w:val="00424223"/>
    <w:rsid w:val="00432F5D"/>
    <w:rsid w:val="00433389"/>
    <w:rsid w:val="004346D8"/>
    <w:rsid w:val="004358DE"/>
    <w:rsid w:val="00443AD5"/>
    <w:rsid w:val="0044728C"/>
    <w:rsid w:val="00447E8F"/>
    <w:rsid w:val="00450B23"/>
    <w:rsid w:val="00451115"/>
    <w:rsid w:val="00457BDE"/>
    <w:rsid w:val="00460DD1"/>
    <w:rsid w:val="004704E0"/>
    <w:rsid w:val="004725E6"/>
    <w:rsid w:val="00476DB9"/>
    <w:rsid w:val="004900AE"/>
    <w:rsid w:val="004923C4"/>
    <w:rsid w:val="004A54BB"/>
    <w:rsid w:val="004A5657"/>
    <w:rsid w:val="004B280F"/>
    <w:rsid w:val="004B7677"/>
    <w:rsid w:val="004C135E"/>
    <w:rsid w:val="004C16CC"/>
    <w:rsid w:val="004C45ED"/>
    <w:rsid w:val="004D071C"/>
    <w:rsid w:val="004D428B"/>
    <w:rsid w:val="004D6E93"/>
    <w:rsid w:val="004D7A5B"/>
    <w:rsid w:val="004E3C5C"/>
    <w:rsid w:val="004E535D"/>
    <w:rsid w:val="004F3EE1"/>
    <w:rsid w:val="004F5470"/>
    <w:rsid w:val="00502E89"/>
    <w:rsid w:val="00504E87"/>
    <w:rsid w:val="00506A06"/>
    <w:rsid w:val="005133AB"/>
    <w:rsid w:val="00516255"/>
    <w:rsid w:val="005212F2"/>
    <w:rsid w:val="00524B02"/>
    <w:rsid w:val="00527A46"/>
    <w:rsid w:val="005428D3"/>
    <w:rsid w:val="00543203"/>
    <w:rsid w:val="005510B2"/>
    <w:rsid w:val="00551AE3"/>
    <w:rsid w:val="00551F5A"/>
    <w:rsid w:val="0055363F"/>
    <w:rsid w:val="0056385B"/>
    <w:rsid w:val="005707B6"/>
    <w:rsid w:val="00571AD1"/>
    <w:rsid w:val="00580B5B"/>
    <w:rsid w:val="005912B9"/>
    <w:rsid w:val="005949F3"/>
    <w:rsid w:val="005A14C4"/>
    <w:rsid w:val="005A3040"/>
    <w:rsid w:val="005A419B"/>
    <w:rsid w:val="005A644E"/>
    <w:rsid w:val="005B2476"/>
    <w:rsid w:val="005B6593"/>
    <w:rsid w:val="005C2919"/>
    <w:rsid w:val="005C51F8"/>
    <w:rsid w:val="005D0176"/>
    <w:rsid w:val="005D306B"/>
    <w:rsid w:val="005D4128"/>
    <w:rsid w:val="005E0323"/>
    <w:rsid w:val="005E1568"/>
    <w:rsid w:val="005E3F31"/>
    <w:rsid w:val="005E45B5"/>
    <w:rsid w:val="005E5255"/>
    <w:rsid w:val="005F1240"/>
    <w:rsid w:val="005F2EFE"/>
    <w:rsid w:val="005F584D"/>
    <w:rsid w:val="00615B44"/>
    <w:rsid w:val="00622006"/>
    <w:rsid w:val="00622169"/>
    <w:rsid w:val="00622427"/>
    <w:rsid w:val="00634591"/>
    <w:rsid w:val="0064506C"/>
    <w:rsid w:val="0064672D"/>
    <w:rsid w:val="00651228"/>
    <w:rsid w:val="00653054"/>
    <w:rsid w:val="00661556"/>
    <w:rsid w:val="00662599"/>
    <w:rsid w:val="00672727"/>
    <w:rsid w:val="00672759"/>
    <w:rsid w:val="006731B9"/>
    <w:rsid w:val="006845AF"/>
    <w:rsid w:val="00686EDC"/>
    <w:rsid w:val="00691AF1"/>
    <w:rsid w:val="00692150"/>
    <w:rsid w:val="006966AB"/>
    <w:rsid w:val="006A0381"/>
    <w:rsid w:val="006A03A1"/>
    <w:rsid w:val="006A0A14"/>
    <w:rsid w:val="006A5618"/>
    <w:rsid w:val="006A700E"/>
    <w:rsid w:val="006B0488"/>
    <w:rsid w:val="006B2ADE"/>
    <w:rsid w:val="006B3FD5"/>
    <w:rsid w:val="006B44DC"/>
    <w:rsid w:val="006B7D26"/>
    <w:rsid w:val="006D3F0F"/>
    <w:rsid w:val="006D4796"/>
    <w:rsid w:val="006D7596"/>
    <w:rsid w:val="006D7848"/>
    <w:rsid w:val="006E2665"/>
    <w:rsid w:val="006E7BCC"/>
    <w:rsid w:val="006E7C8A"/>
    <w:rsid w:val="006F0BA8"/>
    <w:rsid w:val="00701480"/>
    <w:rsid w:val="00707608"/>
    <w:rsid w:val="0071387E"/>
    <w:rsid w:val="00713BED"/>
    <w:rsid w:val="00715ACB"/>
    <w:rsid w:val="00715C28"/>
    <w:rsid w:val="00715D67"/>
    <w:rsid w:val="0071BEB5"/>
    <w:rsid w:val="00725E20"/>
    <w:rsid w:val="00736581"/>
    <w:rsid w:val="007407A2"/>
    <w:rsid w:val="00743375"/>
    <w:rsid w:val="00751B80"/>
    <w:rsid w:val="00751B89"/>
    <w:rsid w:val="00761394"/>
    <w:rsid w:val="0077065B"/>
    <w:rsid w:val="00770C28"/>
    <w:rsid w:val="007772AA"/>
    <w:rsid w:val="00781468"/>
    <w:rsid w:val="0078704E"/>
    <w:rsid w:val="00790FC7"/>
    <w:rsid w:val="00793427"/>
    <w:rsid w:val="007A6F0E"/>
    <w:rsid w:val="007A7D9F"/>
    <w:rsid w:val="007B6C07"/>
    <w:rsid w:val="007B7E6C"/>
    <w:rsid w:val="007C741C"/>
    <w:rsid w:val="007D0530"/>
    <w:rsid w:val="007D0B87"/>
    <w:rsid w:val="007D0BCB"/>
    <w:rsid w:val="007D1F1D"/>
    <w:rsid w:val="007D2D44"/>
    <w:rsid w:val="007D4117"/>
    <w:rsid w:val="007D4EF0"/>
    <w:rsid w:val="007E730C"/>
    <w:rsid w:val="007E762B"/>
    <w:rsid w:val="007F120F"/>
    <w:rsid w:val="007F325D"/>
    <w:rsid w:val="007F4122"/>
    <w:rsid w:val="007F7060"/>
    <w:rsid w:val="007F73A4"/>
    <w:rsid w:val="008070AD"/>
    <w:rsid w:val="008073B5"/>
    <w:rsid w:val="00815327"/>
    <w:rsid w:val="00816A7E"/>
    <w:rsid w:val="008323D1"/>
    <w:rsid w:val="00833DE3"/>
    <w:rsid w:val="00835D33"/>
    <w:rsid w:val="00847619"/>
    <w:rsid w:val="00853713"/>
    <w:rsid w:val="00854205"/>
    <w:rsid w:val="00855839"/>
    <w:rsid w:val="00860147"/>
    <w:rsid w:val="00867D39"/>
    <w:rsid w:val="00870D09"/>
    <w:rsid w:val="00871B7E"/>
    <w:rsid w:val="00873675"/>
    <w:rsid w:val="00873E7B"/>
    <w:rsid w:val="00875AD8"/>
    <w:rsid w:val="008760B7"/>
    <w:rsid w:val="00877FBC"/>
    <w:rsid w:val="00880752"/>
    <w:rsid w:val="00885DF1"/>
    <w:rsid w:val="00887849"/>
    <w:rsid w:val="008978C6"/>
    <w:rsid w:val="00897AFC"/>
    <w:rsid w:val="008A065D"/>
    <w:rsid w:val="008A1355"/>
    <w:rsid w:val="008A3A99"/>
    <w:rsid w:val="008A5826"/>
    <w:rsid w:val="008A7A9F"/>
    <w:rsid w:val="008B6DA3"/>
    <w:rsid w:val="008B6F92"/>
    <w:rsid w:val="008C56A6"/>
    <w:rsid w:val="008C6FD2"/>
    <w:rsid w:val="008D0750"/>
    <w:rsid w:val="008D0A62"/>
    <w:rsid w:val="008D250E"/>
    <w:rsid w:val="008E5D3E"/>
    <w:rsid w:val="008F4CA6"/>
    <w:rsid w:val="008F7815"/>
    <w:rsid w:val="008F7985"/>
    <w:rsid w:val="008F7BB2"/>
    <w:rsid w:val="00901416"/>
    <w:rsid w:val="00901B37"/>
    <w:rsid w:val="00905DCE"/>
    <w:rsid w:val="0090626B"/>
    <w:rsid w:val="00906DDD"/>
    <w:rsid w:val="00907CAC"/>
    <w:rsid w:val="0091347C"/>
    <w:rsid w:val="00921E80"/>
    <w:rsid w:val="0092267A"/>
    <w:rsid w:val="009248D0"/>
    <w:rsid w:val="00926781"/>
    <w:rsid w:val="00927C0F"/>
    <w:rsid w:val="00931E8F"/>
    <w:rsid w:val="00936F45"/>
    <w:rsid w:val="0094276A"/>
    <w:rsid w:val="00944490"/>
    <w:rsid w:val="00945FD7"/>
    <w:rsid w:val="00946F08"/>
    <w:rsid w:val="00961056"/>
    <w:rsid w:val="009618CC"/>
    <w:rsid w:val="00962114"/>
    <w:rsid w:val="00965350"/>
    <w:rsid w:val="00966A11"/>
    <w:rsid w:val="00973404"/>
    <w:rsid w:val="0097411F"/>
    <w:rsid w:val="00980BAF"/>
    <w:rsid w:val="00981D39"/>
    <w:rsid w:val="009841D1"/>
    <w:rsid w:val="009850D0"/>
    <w:rsid w:val="0099005F"/>
    <w:rsid w:val="00992C7B"/>
    <w:rsid w:val="009A1B4C"/>
    <w:rsid w:val="009A270C"/>
    <w:rsid w:val="009A31FE"/>
    <w:rsid w:val="009A4611"/>
    <w:rsid w:val="009A6A46"/>
    <w:rsid w:val="009A7998"/>
    <w:rsid w:val="009B024E"/>
    <w:rsid w:val="009B0E91"/>
    <w:rsid w:val="009B39E8"/>
    <w:rsid w:val="009B60C2"/>
    <w:rsid w:val="009C6478"/>
    <w:rsid w:val="009C7A2B"/>
    <w:rsid w:val="009D4641"/>
    <w:rsid w:val="009D76CC"/>
    <w:rsid w:val="009F0E22"/>
    <w:rsid w:val="009F431B"/>
    <w:rsid w:val="009F5411"/>
    <w:rsid w:val="00A02F07"/>
    <w:rsid w:val="00A03AFF"/>
    <w:rsid w:val="00A06AB2"/>
    <w:rsid w:val="00A06FD3"/>
    <w:rsid w:val="00A07FAB"/>
    <w:rsid w:val="00A10801"/>
    <w:rsid w:val="00A15620"/>
    <w:rsid w:val="00A1594F"/>
    <w:rsid w:val="00A2334C"/>
    <w:rsid w:val="00A26B8C"/>
    <w:rsid w:val="00A31464"/>
    <w:rsid w:val="00A32DEC"/>
    <w:rsid w:val="00A342B1"/>
    <w:rsid w:val="00A44A18"/>
    <w:rsid w:val="00A47BC3"/>
    <w:rsid w:val="00A537DD"/>
    <w:rsid w:val="00A577BC"/>
    <w:rsid w:val="00A63662"/>
    <w:rsid w:val="00A669F1"/>
    <w:rsid w:val="00A70D7A"/>
    <w:rsid w:val="00A733FA"/>
    <w:rsid w:val="00A75CAF"/>
    <w:rsid w:val="00A77119"/>
    <w:rsid w:val="00A80C77"/>
    <w:rsid w:val="00A8265F"/>
    <w:rsid w:val="00A82B1F"/>
    <w:rsid w:val="00A83229"/>
    <w:rsid w:val="00A83441"/>
    <w:rsid w:val="00A922B7"/>
    <w:rsid w:val="00A92717"/>
    <w:rsid w:val="00A93CCE"/>
    <w:rsid w:val="00A96738"/>
    <w:rsid w:val="00AB01AF"/>
    <w:rsid w:val="00AB1A1B"/>
    <w:rsid w:val="00AB25AC"/>
    <w:rsid w:val="00AB4F1B"/>
    <w:rsid w:val="00AD02C8"/>
    <w:rsid w:val="00AD1792"/>
    <w:rsid w:val="00AD2825"/>
    <w:rsid w:val="00AD3E68"/>
    <w:rsid w:val="00AD5555"/>
    <w:rsid w:val="00AD7326"/>
    <w:rsid w:val="00AE006D"/>
    <w:rsid w:val="00AE4F91"/>
    <w:rsid w:val="00AF3B5A"/>
    <w:rsid w:val="00AF3CD4"/>
    <w:rsid w:val="00AF45C6"/>
    <w:rsid w:val="00AF46DF"/>
    <w:rsid w:val="00B02E66"/>
    <w:rsid w:val="00B20144"/>
    <w:rsid w:val="00B20248"/>
    <w:rsid w:val="00B20BA4"/>
    <w:rsid w:val="00B246C7"/>
    <w:rsid w:val="00B260C8"/>
    <w:rsid w:val="00B312E8"/>
    <w:rsid w:val="00B313E3"/>
    <w:rsid w:val="00B31F78"/>
    <w:rsid w:val="00B354F8"/>
    <w:rsid w:val="00B375E7"/>
    <w:rsid w:val="00B4143F"/>
    <w:rsid w:val="00B43A02"/>
    <w:rsid w:val="00B46DF9"/>
    <w:rsid w:val="00B4743A"/>
    <w:rsid w:val="00B551DB"/>
    <w:rsid w:val="00B629BC"/>
    <w:rsid w:val="00B653DC"/>
    <w:rsid w:val="00B67FBC"/>
    <w:rsid w:val="00B725B6"/>
    <w:rsid w:val="00B801EC"/>
    <w:rsid w:val="00B80680"/>
    <w:rsid w:val="00B832C0"/>
    <w:rsid w:val="00B865F2"/>
    <w:rsid w:val="00B95D91"/>
    <w:rsid w:val="00BA2CFE"/>
    <w:rsid w:val="00BB1EB9"/>
    <w:rsid w:val="00BB6DC0"/>
    <w:rsid w:val="00BC0812"/>
    <w:rsid w:val="00BC4006"/>
    <w:rsid w:val="00BD73B0"/>
    <w:rsid w:val="00BE26B9"/>
    <w:rsid w:val="00BF3826"/>
    <w:rsid w:val="00C0070A"/>
    <w:rsid w:val="00C02C32"/>
    <w:rsid w:val="00C037B1"/>
    <w:rsid w:val="00C0544F"/>
    <w:rsid w:val="00C05A6F"/>
    <w:rsid w:val="00C062B2"/>
    <w:rsid w:val="00C132C5"/>
    <w:rsid w:val="00C14130"/>
    <w:rsid w:val="00C154AB"/>
    <w:rsid w:val="00C15E8A"/>
    <w:rsid w:val="00C15EBB"/>
    <w:rsid w:val="00C22A9D"/>
    <w:rsid w:val="00C2349C"/>
    <w:rsid w:val="00C23924"/>
    <w:rsid w:val="00C24BAB"/>
    <w:rsid w:val="00C357EF"/>
    <w:rsid w:val="00C37151"/>
    <w:rsid w:val="00C373FD"/>
    <w:rsid w:val="00C45915"/>
    <w:rsid w:val="00C51B83"/>
    <w:rsid w:val="00C526F0"/>
    <w:rsid w:val="00C53256"/>
    <w:rsid w:val="00C53BDB"/>
    <w:rsid w:val="00C575F3"/>
    <w:rsid w:val="00C6120C"/>
    <w:rsid w:val="00C63312"/>
    <w:rsid w:val="00C63EFA"/>
    <w:rsid w:val="00C657D1"/>
    <w:rsid w:val="00C703F5"/>
    <w:rsid w:val="00C7178D"/>
    <w:rsid w:val="00C7545C"/>
    <w:rsid w:val="00C80D2E"/>
    <w:rsid w:val="00C815A1"/>
    <w:rsid w:val="00C83CA5"/>
    <w:rsid w:val="00C851F1"/>
    <w:rsid w:val="00C85B95"/>
    <w:rsid w:val="00C8671F"/>
    <w:rsid w:val="00C959FE"/>
    <w:rsid w:val="00C97655"/>
    <w:rsid w:val="00C97896"/>
    <w:rsid w:val="00CA0CDE"/>
    <w:rsid w:val="00CA4A90"/>
    <w:rsid w:val="00CA4BDE"/>
    <w:rsid w:val="00CB0683"/>
    <w:rsid w:val="00CB0C14"/>
    <w:rsid w:val="00CB7647"/>
    <w:rsid w:val="00CB7F58"/>
    <w:rsid w:val="00CC35B4"/>
    <w:rsid w:val="00CD1F12"/>
    <w:rsid w:val="00CD2A09"/>
    <w:rsid w:val="00CD4FFF"/>
    <w:rsid w:val="00CD5740"/>
    <w:rsid w:val="00CE2793"/>
    <w:rsid w:val="00CE5AA9"/>
    <w:rsid w:val="00CF07B8"/>
    <w:rsid w:val="00CF3126"/>
    <w:rsid w:val="00CF3690"/>
    <w:rsid w:val="00CF5024"/>
    <w:rsid w:val="00CF5391"/>
    <w:rsid w:val="00CF7630"/>
    <w:rsid w:val="00D026C0"/>
    <w:rsid w:val="00D037E2"/>
    <w:rsid w:val="00D04009"/>
    <w:rsid w:val="00D15AE3"/>
    <w:rsid w:val="00D2053F"/>
    <w:rsid w:val="00D22066"/>
    <w:rsid w:val="00D2427C"/>
    <w:rsid w:val="00D259DC"/>
    <w:rsid w:val="00D40D4D"/>
    <w:rsid w:val="00D43092"/>
    <w:rsid w:val="00D44BE9"/>
    <w:rsid w:val="00D511B2"/>
    <w:rsid w:val="00D54BD5"/>
    <w:rsid w:val="00D55C84"/>
    <w:rsid w:val="00D6002B"/>
    <w:rsid w:val="00D613B9"/>
    <w:rsid w:val="00D631F7"/>
    <w:rsid w:val="00D65DA0"/>
    <w:rsid w:val="00D7087E"/>
    <w:rsid w:val="00D73895"/>
    <w:rsid w:val="00D74067"/>
    <w:rsid w:val="00D74EED"/>
    <w:rsid w:val="00D80AB5"/>
    <w:rsid w:val="00D838E7"/>
    <w:rsid w:val="00D84D27"/>
    <w:rsid w:val="00D850E0"/>
    <w:rsid w:val="00DA2B09"/>
    <w:rsid w:val="00DA2FD4"/>
    <w:rsid w:val="00DB05A7"/>
    <w:rsid w:val="00DB1302"/>
    <w:rsid w:val="00DB1EDB"/>
    <w:rsid w:val="00DB5365"/>
    <w:rsid w:val="00DC1EB3"/>
    <w:rsid w:val="00DC2B0E"/>
    <w:rsid w:val="00DC2E59"/>
    <w:rsid w:val="00DD2C59"/>
    <w:rsid w:val="00DD3E1E"/>
    <w:rsid w:val="00DD4EEF"/>
    <w:rsid w:val="00DD550F"/>
    <w:rsid w:val="00DD611D"/>
    <w:rsid w:val="00DE16D0"/>
    <w:rsid w:val="00DE18C0"/>
    <w:rsid w:val="00DF0377"/>
    <w:rsid w:val="00DF3E96"/>
    <w:rsid w:val="00E00CF6"/>
    <w:rsid w:val="00E02372"/>
    <w:rsid w:val="00E03766"/>
    <w:rsid w:val="00E1231D"/>
    <w:rsid w:val="00E14668"/>
    <w:rsid w:val="00E16C71"/>
    <w:rsid w:val="00E2072A"/>
    <w:rsid w:val="00E2207D"/>
    <w:rsid w:val="00E22AF8"/>
    <w:rsid w:val="00E25FF8"/>
    <w:rsid w:val="00E430BE"/>
    <w:rsid w:val="00E459BE"/>
    <w:rsid w:val="00E50730"/>
    <w:rsid w:val="00E52DEE"/>
    <w:rsid w:val="00E53DAC"/>
    <w:rsid w:val="00E54EAB"/>
    <w:rsid w:val="00E61386"/>
    <w:rsid w:val="00E61B21"/>
    <w:rsid w:val="00E77BA3"/>
    <w:rsid w:val="00E84C3A"/>
    <w:rsid w:val="00E84EC1"/>
    <w:rsid w:val="00E84F04"/>
    <w:rsid w:val="00E860D5"/>
    <w:rsid w:val="00E92D99"/>
    <w:rsid w:val="00E95B9E"/>
    <w:rsid w:val="00E95FC7"/>
    <w:rsid w:val="00E960BF"/>
    <w:rsid w:val="00EA3B6A"/>
    <w:rsid w:val="00EB0D42"/>
    <w:rsid w:val="00EB1359"/>
    <w:rsid w:val="00EB254E"/>
    <w:rsid w:val="00EB3B8C"/>
    <w:rsid w:val="00EB4D4A"/>
    <w:rsid w:val="00EB70F1"/>
    <w:rsid w:val="00EC1AAD"/>
    <w:rsid w:val="00EC3BD2"/>
    <w:rsid w:val="00EC5A72"/>
    <w:rsid w:val="00EC6AC0"/>
    <w:rsid w:val="00EC7EC7"/>
    <w:rsid w:val="00ED4726"/>
    <w:rsid w:val="00ED5EA7"/>
    <w:rsid w:val="00EE0EAD"/>
    <w:rsid w:val="00EE1EB3"/>
    <w:rsid w:val="00EF04D0"/>
    <w:rsid w:val="00EF188C"/>
    <w:rsid w:val="00EF25A1"/>
    <w:rsid w:val="00EF661F"/>
    <w:rsid w:val="00F10F71"/>
    <w:rsid w:val="00F15564"/>
    <w:rsid w:val="00F165C1"/>
    <w:rsid w:val="00F221FF"/>
    <w:rsid w:val="00F2385E"/>
    <w:rsid w:val="00F32FC1"/>
    <w:rsid w:val="00F35D3A"/>
    <w:rsid w:val="00F370A7"/>
    <w:rsid w:val="00F400C4"/>
    <w:rsid w:val="00F41813"/>
    <w:rsid w:val="00F43989"/>
    <w:rsid w:val="00F45B57"/>
    <w:rsid w:val="00F5704F"/>
    <w:rsid w:val="00F608B4"/>
    <w:rsid w:val="00F626D7"/>
    <w:rsid w:val="00F65A8F"/>
    <w:rsid w:val="00F87027"/>
    <w:rsid w:val="00FA0B3C"/>
    <w:rsid w:val="00FA41C8"/>
    <w:rsid w:val="00FA7600"/>
    <w:rsid w:val="00FB26B5"/>
    <w:rsid w:val="00FB438D"/>
    <w:rsid w:val="00FB5622"/>
    <w:rsid w:val="00FB78E7"/>
    <w:rsid w:val="00FC1258"/>
    <w:rsid w:val="00FC3824"/>
    <w:rsid w:val="00FC5201"/>
    <w:rsid w:val="00FC61D9"/>
    <w:rsid w:val="00FC6C61"/>
    <w:rsid w:val="00FC74A9"/>
    <w:rsid w:val="00FCD2D6"/>
    <w:rsid w:val="00FD02A7"/>
    <w:rsid w:val="00FD04E4"/>
    <w:rsid w:val="00FD2F9C"/>
    <w:rsid w:val="00FD4757"/>
    <w:rsid w:val="00FE0A90"/>
    <w:rsid w:val="00FE34D1"/>
    <w:rsid w:val="00FF3820"/>
    <w:rsid w:val="00FF3B95"/>
    <w:rsid w:val="00FF51C7"/>
    <w:rsid w:val="01517105"/>
    <w:rsid w:val="0194C615"/>
    <w:rsid w:val="02F0D795"/>
    <w:rsid w:val="03475A6D"/>
    <w:rsid w:val="04C169B9"/>
    <w:rsid w:val="05183DBC"/>
    <w:rsid w:val="062A1030"/>
    <w:rsid w:val="06908A8A"/>
    <w:rsid w:val="06B744F8"/>
    <w:rsid w:val="07544326"/>
    <w:rsid w:val="07547A4E"/>
    <w:rsid w:val="07A13D1E"/>
    <w:rsid w:val="07FDCB9D"/>
    <w:rsid w:val="081E6684"/>
    <w:rsid w:val="08D6EB2A"/>
    <w:rsid w:val="098A5EC8"/>
    <w:rsid w:val="0A6B12B2"/>
    <w:rsid w:val="0AEED363"/>
    <w:rsid w:val="0B6CCEE6"/>
    <w:rsid w:val="0ECDB571"/>
    <w:rsid w:val="0F1F9E6B"/>
    <w:rsid w:val="0F6A8AB8"/>
    <w:rsid w:val="100394C2"/>
    <w:rsid w:val="10076279"/>
    <w:rsid w:val="10B2F83E"/>
    <w:rsid w:val="110924EF"/>
    <w:rsid w:val="1219CE19"/>
    <w:rsid w:val="1266FB67"/>
    <w:rsid w:val="13092A1C"/>
    <w:rsid w:val="133F033B"/>
    <w:rsid w:val="136D3600"/>
    <w:rsid w:val="150D60C4"/>
    <w:rsid w:val="151E9B9B"/>
    <w:rsid w:val="158E9AF1"/>
    <w:rsid w:val="15D603AA"/>
    <w:rsid w:val="1676A3FD"/>
    <w:rsid w:val="17139E3A"/>
    <w:rsid w:val="177DDD9F"/>
    <w:rsid w:val="182CB868"/>
    <w:rsid w:val="18619EFF"/>
    <w:rsid w:val="18FE49CB"/>
    <w:rsid w:val="19DC0658"/>
    <w:rsid w:val="1A149B18"/>
    <w:rsid w:val="1AE2FE19"/>
    <w:rsid w:val="1B09D75A"/>
    <w:rsid w:val="1B3B5E77"/>
    <w:rsid w:val="1BE911AB"/>
    <w:rsid w:val="1C24AFB6"/>
    <w:rsid w:val="1C5069B9"/>
    <w:rsid w:val="1CFF4A4C"/>
    <w:rsid w:val="1EAEBAF2"/>
    <w:rsid w:val="1F5C5078"/>
    <w:rsid w:val="20555182"/>
    <w:rsid w:val="20F820D9"/>
    <w:rsid w:val="21014C75"/>
    <w:rsid w:val="21CC5A74"/>
    <w:rsid w:val="22A52C11"/>
    <w:rsid w:val="22B8EDEE"/>
    <w:rsid w:val="235DDF93"/>
    <w:rsid w:val="23A01860"/>
    <w:rsid w:val="23A76901"/>
    <w:rsid w:val="24178232"/>
    <w:rsid w:val="2437AF21"/>
    <w:rsid w:val="24A3ECF4"/>
    <w:rsid w:val="24ADCCC7"/>
    <w:rsid w:val="2535695C"/>
    <w:rsid w:val="25487B6A"/>
    <w:rsid w:val="25B3D2E0"/>
    <w:rsid w:val="25D37F82"/>
    <w:rsid w:val="25DCCCD3"/>
    <w:rsid w:val="25ECE44D"/>
    <w:rsid w:val="26D79D97"/>
    <w:rsid w:val="279B49E9"/>
    <w:rsid w:val="28ED178C"/>
    <w:rsid w:val="2A318E0F"/>
    <w:rsid w:val="2AF08E33"/>
    <w:rsid w:val="2B822988"/>
    <w:rsid w:val="2BF0F232"/>
    <w:rsid w:val="2C4B5087"/>
    <w:rsid w:val="2DAE0FB6"/>
    <w:rsid w:val="2E0E4C5E"/>
    <w:rsid w:val="2E5D49EB"/>
    <w:rsid w:val="2E8B75C4"/>
    <w:rsid w:val="2F212B99"/>
    <w:rsid w:val="2FAA7252"/>
    <w:rsid w:val="305C01F3"/>
    <w:rsid w:val="3327A0F9"/>
    <w:rsid w:val="35CD63CF"/>
    <w:rsid w:val="35D4FC58"/>
    <w:rsid w:val="3600E0A1"/>
    <w:rsid w:val="36B3030B"/>
    <w:rsid w:val="376C4B50"/>
    <w:rsid w:val="382E08E3"/>
    <w:rsid w:val="3888D6C7"/>
    <w:rsid w:val="39E2B647"/>
    <w:rsid w:val="3ACD400C"/>
    <w:rsid w:val="3B126A13"/>
    <w:rsid w:val="3B14F292"/>
    <w:rsid w:val="3B7E86A8"/>
    <w:rsid w:val="3C610EC4"/>
    <w:rsid w:val="3C72499B"/>
    <w:rsid w:val="3D057E32"/>
    <w:rsid w:val="3D31CD11"/>
    <w:rsid w:val="3D8375A9"/>
    <w:rsid w:val="3DA8A7D6"/>
    <w:rsid w:val="3DE3C83F"/>
    <w:rsid w:val="3E05071E"/>
    <w:rsid w:val="3E7033D7"/>
    <w:rsid w:val="3EEC911F"/>
    <w:rsid w:val="403409CD"/>
    <w:rsid w:val="41741272"/>
    <w:rsid w:val="41D3A839"/>
    <w:rsid w:val="42E18B1F"/>
    <w:rsid w:val="42EFE0E3"/>
    <w:rsid w:val="446C20A9"/>
    <w:rsid w:val="44EFDABD"/>
    <w:rsid w:val="454FCC22"/>
    <w:rsid w:val="45532783"/>
    <w:rsid w:val="4684C587"/>
    <w:rsid w:val="478C33BA"/>
    <w:rsid w:val="47A3C16B"/>
    <w:rsid w:val="47B90B89"/>
    <w:rsid w:val="47ED8373"/>
    <w:rsid w:val="48022CC2"/>
    <w:rsid w:val="4876320D"/>
    <w:rsid w:val="493F91CC"/>
    <w:rsid w:val="4A426957"/>
    <w:rsid w:val="4B3C9481"/>
    <w:rsid w:val="4C671B14"/>
    <w:rsid w:val="4D6307FB"/>
    <w:rsid w:val="4D7828F5"/>
    <w:rsid w:val="4DB7CE63"/>
    <w:rsid w:val="4DC99447"/>
    <w:rsid w:val="4DF32FE2"/>
    <w:rsid w:val="4E1302EF"/>
    <w:rsid w:val="4F049BB8"/>
    <w:rsid w:val="4F1D1CC7"/>
    <w:rsid w:val="4FCAAE3E"/>
    <w:rsid w:val="503E7399"/>
    <w:rsid w:val="508143F2"/>
    <w:rsid w:val="514279BD"/>
    <w:rsid w:val="514AA3B1"/>
    <w:rsid w:val="514FEA20"/>
    <w:rsid w:val="515F35B8"/>
    <w:rsid w:val="52EBC1D6"/>
    <w:rsid w:val="547C7D55"/>
    <w:rsid w:val="548C1E82"/>
    <w:rsid w:val="54C850CE"/>
    <w:rsid w:val="54DF34CF"/>
    <w:rsid w:val="54E577F8"/>
    <w:rsid w:val="55FCC283"/>
    <w:rsid w:val="56EC109A"/>
    <w:rsid w:val="57B9E535"/>
    <w:rsid w:val="5871A8D9"/>
    <w:rsid w:val="598018CA"/>
    <w:rsid w:val="59CAE839"/>
    <w:rsid w:val="5AADBDF8"/>
    <w:rsid w:val="5D792BC5"/>
    <w:rsid w:val="5DB0DD3A"/>
    <w:rsid w:val="5E9C995C"/>
    <w:rsid w:val="5EBB8474"/>
    <w:rsid w:val="5EE26EFE"/>
    <w:rsid w:val="5F14FC26"/>
    <w:rsid w:val="5F3F5F5A"/>
    <w:rsid w:val="5FAC89F5"/>
    <w:rsid w:val="60B8BA0D"/>
    <w:rsid w:val="60D4EE8C"/>
    <w:rsid w:val="61D2D84A"/>
    <w:rsid w:val="61D64C4A"/>
    <w:rsid w:val="628CD434"/>
    <w:rsid w:val="629595DB"/>
    <w:rsid w:val="62DE8B64"/>
    <w:rsid w:val="63197661"/>
    <w:rsid w:val="63BDCDA7"/>
    <w:rsid w:val="64738E26"/>
    <w:rsid w:val="66ED80E3"/>
    <w:rsid w:val="673F95F7"/>
    <w:rsid w:val="681B5EF6"/>
    <w:rsid w:val="68618EA3"/>
    <w:rsid w:val="68A279A1"/>
    <w:rsid w:val="6A348782"/>
    <w:rsid w:val="6C1FA451"/>
    <w:rsid w:val="6C6B8E40"/>
    <w:rsid w:val="6C923F4B"/>
    <w:rsid w:val="6DB33754"/>
    <w:rsid w:val="6FD455EC"/>
    <w:rsid w:val="70478A47"/>
    <w:rsid w:val="715DF6AD"/>
    <w:rsid w:val="715F1D4C"/>
    <w:rsid w:val="716BB7A6"/>
    <w:rsid w:val="71D23A5E"/>
    <w:rsid w:val="71D3B688"/>
    <w:rsid w:val="72BFA898"/>
    <w:rsid w:val="73309F56"/>
    <w:rsid w:val="735683A5"/>
    <w:rsid w:val="73AB9AA8"/>
    <w:rsid w:val="73DC1B65"/>
    <w:rsid w:val="762FF705"/>
    <w:rsid w:val="780BB0AA"/>
    <w:rsid w:val="78B89D6B"/>
    <w:rsid w:val="78D20236"/>
    <w:rsid w:val="7A12310C"/>
    <w:rsid w:val="7A25A569"/>
    <w:rsid w:val="7A3B456F"/>
    <w:rsid w:val="7A6C5067"/>
    <w:rsid w:val="7ACAF000"/>
    <w:rsid w:val="7AF5B926"/>
    <w:rsid w:val="7CA0758F"/>
    <w:rsid w:val="7D0F288A"/>
    <w:rsid w:val="7D7C52FB"/>
    <w:rsid w:val="7E76F8ED"/>
    <w:rsid w:val="7ED6D28A"/>
    <w:rsid w:val="7FFBC5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65E7F96"/>
  <w14:defaultImageDpi w14:val="300"/>
  <w15:docId w15:val="{45E45CB2-11F5-4C5B-9D59-78490FAB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lsdException w:name="heading 4" w:locked="1" w:semiHidden="1" w:unhideWhenUsed="1" w:qFormat="1"/>
    <w:lsdException w:name="heading 5" w:locked="1" w:semiHidden="1" w:unhideWhenUsed="1"/>
    <w:lsdException w:name="heading 6" w:locked="1" w:semiHidden="1" w:unhideWhenUsed="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lsdException w:name="List Bullet 3" w:locked="1" w:semiHidden="1" w:unhideWhenUsed="1"/>
    <w:lsdException w:name="List Bullet 4" w:locked="1" w:semiHidden="1" w:unhideWhenUsed="1"/>
    <w:lsdException w:name="List Bullet 5" w:locked="1"/>
    <w:lsdException w:name="List Number 2" w:lock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lsdException w:name="Body Text 2" w:locked="1"/>
    <w:lsdException w:name="Body Text 3" w:locked="1"/>
    <w:lsdException w:name="Body Text Indent 2" w:lock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aliases w:val="Body text"/>
    <w:qFormat/>
    <w:rsid w:val="00135CA4"/>
    <w:pPr>
      <w:spacing w:after="120"/>
    </w:pPr>
    <w:rPr>
      <w:rFonts w:ascii="Gotham Book" w:eastAsia="ヒラギノ角ゴ Pro W3" w:hAnsi="Gotham Book"/>
      <w:color w:val="000000"/>
      <w:sz w:val="22"/>
      <w:szCs w:val="24"/>
    </w:rPr>
  </w:style>
  <w:style w:type="paragraph" w:styleId="Rubrik1">
    <w:name w:val="heading 1"/>
    <w:aliases w:val="Subtitle"/>
    <w:basedOn w:val="Normal"/>
    <w:next w:val="Normal"/>
    <w:link w:val="Rubrik1Char"/>
    <w:qFormat/>
    <w:locked/>
    <w:rsid w:val="00AF3CD4"/>
    <w:pPr>
      <w:keepNext/>
      <w:keepLines/>
      <w:outlineLvl w:val="0"/>
    </w:pPr>
    <w:rPr>
      <w:rFonts w:eastAsiaTheme="majorEastAsia" w:cstheme="majorBidi"/>
      <w:color w:val="86BBE6"/>
      <w:sz w:val="28"/>
      <w:szCs w:val="32"/>
    </w:rPr>
  </w:style>
  <w:style w:type="paragraph" w:styleId="Rubrik2">
    <w:name w:val="heading 2"/>
    <w:basedOn w:val="Rubrik3"/>
    <w:next w:val="Normal"/>
    <w:link w:val="Rubrik2Char"/>
    <w:unhideWhenUsed/>
    <w:qFormat/>
    <w:locked/>
    <w:rsid w:val="00B832C0"/>
    <w:pPr>
      <w:spacing w:before="360"/>
      <w:outlineLvl w:val="1"/>
    </w:pPr>
    <w:rPr>
      <w:b/>
      <w:sz w:val="26"/>
      <w:szCs w:val="26"/>
    </w:rPr>
  </w:style>
  <w:style w:type="paragraph" w:styleId="Rubrik3">
    <w:name w:val="heading 3"/>
    <w:basedOn w:val="Normal"/>
    <w:next w:val="Normal"/>
    <w:link w:val="Rubrik3Char"/>
    <w:unhideWhenUsed/>
    <w:locked/>
    <w:rsid w:val="00185D6E"/>
    <w:pPr>
      <w:keepNext/>
      <w:keepLines/>
      <w:spacing w:before="40"/>
      <w:outlineLvl w:val="2"/>
    </w:pPr>
    <w:rPr>
      <w:rFonts w:eastAsiaTheme="majorEastAsia" w:cstheme="majorBidi"/>
      <w:color w:val="0063A7" w:themeColor="text1"/>
    </w:rPr>
  </w:style>
  <w:style w:type="paragraph" w:styleId="Rubrik4">
    <w:name w:val="heading 4"/>
    <w:aliases w:val="bullet"/>
    <w:basedOn w:val="Normal"/>
    <w:next w:val="Normal"/>
    <w:link w:val="Rubrik4Char"/>
    <w:unhideWhenUsed/>
    <w:qFormat/>
    <w:locked/>
    <w:rsid w:val="000E33A2"/>
    <w:pPr>
      <w:spacing w:before="280" w:after="60"/>
      <w:ind w:left="714" w:hanging="357"/>
      <w:outlineLvl w:val="3"/>
    </w:pPr>
    <w:rPr>
      <w:b/>
      <w:color w:val="0063A7" w:themeColor="text1"/>
    </w:rPr>
  </w:style>
  <w:style w:type="paragraph" w:styleId="Rubrik5">
    <w:name w:val="heading 5"/>
    <w:basedOn w:val="Normal"/>
    <w:next w:val="Normal"/>
    <w:link w:val="Rubrik5Char"/>
    <w:unhideWhenUsed/>
    <w:locked/>
    <w:rsid w:val="00185D6E"/>
    <w:pPr>
      <w:keepNext/>
      <w:keepLines/>
      <w:spacing w:before="40"/>
      <w:outlineLvl w:val="4"/>
    </w:pPr>
    <w:rPr>
      <w:rFonts w:eastAsiaTheme="majorEastAsia" w:cstheme="majorBidi"/>
      <w:color w:val="636569" w:themeColor="accent4"/>
      <w:u w:val="single"/>
    </w:rPr>
  </w:style>
  <w:style w:type="paragraph" w:styleId="Rubrik6">
    <w:name w:val="heading 6"/>
    <w:basedOn w:val="Normal"/>
    <w:next w:val="Normal"/>
    <w:link w:val="Rubrik6Char"/>
    <w:semiHidden/>
    <w:unhideWhenUsed/>
    <w:locked/>
    <w:rsid w:val="00B832C0"/>
    <w:pPr>
      <w:keepNext/>
      <w:keepLines/>
      <w:spacing w:before="40"/>
      <w:outlineLvl w:val="5"/>
    </w:pPr>
    <w:rPr>
      <w:rFonts w:eastAsiaTheme="majorEastAsia" w:cstheme="majorBidi"/>
      <w:i/>
      <w:color w:val="636569" w:themeColor="accent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zFooter">
    <w:name w:val="z Footer"/>
    <w:basedOn w:val="Normal"/>
    <w:qFormat/>
    <w:rsid w:val="00BC4006"/>
    <w:pPr>
      <w:spacing w:after="0"/>
      <w:jc w:val="center"/>
    </w:pPr>
    <w:rPr>
      <w:color w:val="374149" w:themeColor="accent5"/>
      <w:sz w:val="16"/>
      <w:szCs w:val="16"/>
    </w:rPr>
  </w:style>
  <w:style w:type="paragraph" w:customStyle="1" w:styleId="Bullet1">
    <w:name w:val="Bullet 1"/>
    <w:basedOn w:val="Normal"/>
    <w:qFormat/>
    <w:rsid w:val="008B6F92"/>
    <w:pPr>
      <w:numPr>
        <w:numId w:val="21"/>
      </w:numPr>
    </w:pPr>
    <w:rPr>
      <w:color w:val="auto"/>
    </w:rPr>
  </w:style>
  <w:style w:type="paragraph" w:customStyle="1" w:styleId="Bullet123title">
    <w:name w:val="Bullet 123 title"/>
    <w:basedOn w:val="Normal"/>
    <w:qFormat/>
    <w:rsid w:val="00076260"/>
    <w:pPr>
      <w:numPr>
        <w:numId w:val="11"/>
      </w:numPr>
      <w:spacing w:before="120" w:after="60"/>
      <w:ind w:left="714" w:hanging="357"/>
    </w:pPr>
    <w:rPr>
      <w:color w:val="auto"/>
    </w:rPr>
  </w:style>
  <w:style w:type="character" w:customStyle="1" w:styleId="Rubrik6Char">
    <w:name w:val="Rubrik 6 Char"/>
    <w:basedOn w:val="Standardstycketeckensnitt"/>
    <w:link w:val="Rubrik6"/>
    <w:semiHidden/>
    <w:rsid w:val="00B832C0"/>
    <w:rPr>
      <w:rFonts w:ascii="Arial" w:eastAsiaTheme="majorEastAsia" w:hAnsi="Arial" w:cstheme="majorBidi"/>
      <w:i/>
      <w:color w:val="636569" w:themeColor="accent4"/>
      <w:sz w:val="22"/>
      <w:szCs w:val="24"/>
    </w:rPr>
  </w:style>
  <w:style w:type="paragraph" w:customStyle="1" w:styleId="Address">
    <w:name w:val="Address"/>
    <w:basedOn w:val="Normal"/>
    <w:uiPriority w:val="99"/>
    <w:rsid w:val="002F59F1"/>
    <w:pPr>
      <w:tabs>
        <w:tab w:val="left" w:pos="1680"/>
      </w:tabs>
      <w:autoSpaceDE w:val="0"/>
      <w:autoSpaceDN w:val="0"/>
      <w:adjustRightInd w:val="0"/>
      <w:spacing w:line="220" w:lineRule="exact"/>
      <w:textAlignment w:val="center"/>
    </w:pPr>
    <w:rPr>
      <w:rFonts w:eastAsia="Times New Roman" w:cs="Gotham-Book"/>
      <w:spacing w:val="5"/>
      <w:sz w:val="17"/>
      <w:szCs w:val="17"/>
      <w:lang w:val="en-GB"/>
    </w:rPr>
  </w:style>
  <w:style w:type="paragraph" w:customStyle="1" w:styleId="Bulletabc">
    <w:name w:val="Bullet a b c"/>
    <w:basedOn w:val="Normal"/>
    <w:qFormat/>
    <w:rsid w:val="00EB254E"/>
    <w:pPr>
      <w:numPr>
        <w:numId w:val="12"/>
      </w:numPr>
      <w:spacing w:before="120"/>
      <w:ind w:left="1094" w:hanging="357"/>
    </w:pPr>
  </w:style>
  <w:style w:type="character" w:styleId="Sidnummer">
    <w:name w:val="page number"/>
    <w:basedOn w:val="Standardstycketeckensnitt"/>
    <w:semiHidden/>
    <w:unhideWhenUsed/>
    <w:locked/>
    <w:rsid w:val="00A83441"/>
  </w:style>
  <w:style w:type="paragraph" w:styleId="Liststycke">
    <w:name w:val="List Paragraph"/>
    <w:basedOn w:val="Normal"/>
    <w:uiPriority w:val="34"/>
    <w:qFormat/>
    <w:rsid w:val="000E33A2"/>
    <w:pPr>
      <w:ind w:left="720"/>
      <w:contextualSpacing/>
    </w:pPr>
  </w:style>
  <w:style w:type="character" w:styleId="Stark">
    <w:name w:val="Strong"/>
    <w:aliases w:val="Bold"/>
    <w:basedOn w:val="Standardstycketeckensnitt"/>
    <w:uiPriority w:val="22"/>
    <w:qFormat/>
    <w:locked/>
    <w:rsid w:val="002169CB"/>
    <w:rPr>
      <w:b/>
      <w:bCs/>
      <w:color w:val="374149" w:themeColor="accent5"/>
    </w:rPr>
  </w:style>
  <w:style w:type="character" w:customStyle="1" w:styleId="Rubrik5Char">
    <w:name w:val="Rubrik 5 Char"/>
    <w:basedOn w:val="Standardstycketeckensnitt"/>
    <w:link w:val="Rubrik5"/>
    <w:rsid w:val="00185D6E"/>
    <w:rPr>
      <w:rFonts w:ascii="Arial" w:eastAsiaTheme="majorEastAsia" w:hAnsi="Arial" w:cstheme="majorBidi"/>
      <w:color w:val="636569" w:themeColor="accent4"/>
      <w:sz w:val="22"/>
      <w:szCs w:val="24"/>
      <w:u w:val="single"/>
    </w:rPr>
  </w:style>
  <w:style w:type="paragraph" w:styleId="Rubrik">
    <w:name w:val="Title"/>
    <w:basedOn w:val="zBandoTITLE"/>
    <w:next w:val="Normal"/>
    <w:link w:val="RubrikChar"/>
    <w:qFormat/>
    <w:locked/>
    <w:rsid w:val="001F387D"/>
    <w:pPr>
      <w:spacing w:before="240" w:after="0" w:line="264" w:lineRule="auto"/>
    </w:pPr>
    <w:rPr>
      <w:color w:val="0063A7" w:themeColor="text1"/>
      <w:sz w:val="40"/>
      <w:szCs w:val="40"/>
    </w:rPr>
  </w:style>
  <w:style w:type="character" w:customStyle="1" w:styleId="RubrikChar">
    <w:name w:val="Rubrik Char"/>
    <w:basedOn w:val="Standardstycketeckensnitt"/>
    <w:link w:val="Rubrik"/>
    <w:rsid w:val="001F387D"/>
    <w:rPr>
      <w:rFonts w:ascii="Gotham Book" w:eastAsia="ヒラギノ角ゴ Pro W3" w:hAnsi="Gotham Book"/>
      <w:b/>
      <w:bCs/>
      <w:color w:val="0063A7" w:themeColor="text1"/>
      <w:sz w:val="40"/>
      <w:szCs w:val="40"/>
    </w:rPr>
  </w:style>
  <w:style w:type="character" w:customStyle="1" w:styleId="Rubrik1Char">
    <w:name w:val="Rubrik 1 Char"/>
    <w:aliases w:val="Subtitle Char"/>
    <w:basedOn w:val="Standardstycketeckensnitt"/>
    <w:link w:val="Rubrik1"/>
    <w:rsid w:val="00AF3CD4"/>
    <w:rPr>
      <w:rFonts w:ascii="Arial" w:eastAsiaTheme="majorEastAsia" w:hAnsi="Arial" w:cstheme="majorBidi"/>
      <w:color w:val="86BBE6"/>
      <w:sz w:val="28"/>
      <w:szCs w:val="32"/>
    </w:rPr>
  </w:style>
  <w:style w:type="character" w:customStyle="1" w:styleId="Rubrik2Char">
    <w:name w:val="Rubrik 2 Char"/>
    <w:basedOn w:val="Standardstycketeckensnitt"/>
    <w:link w:val="Rubrik2"/>
    <w:rsid w:val="00B832C0"/>
    <w:rPr>
      <w:rFonts w:ascii="Arial" w:eastAsiaTheme="majorEastAsia" w:hAnsi="Arial" w:cstheme="majorBidi"/>
      <w:b/>
      <w:color w:val="0063A7" w:themeColor="text1"/>
      <w:sz w:val="26"/>
      <w:szCs w:val="26"/>
    </w:rPr>
  </w:style>
  <w:style w:type="character" w:customStyle="1" w:styleId="Rubrik3Char">
    <w:name w:val="Rubrik 3 Char"/>
    <w:basedOn w:val="Standardstycketeckensnitt"/>
    <w:link w:val="Rubrik3"/>
    <w:rsid w:val="00185D6E"/>
    <w:rPr>
      <w:rFonts w:ascii="Arial" w:eastAsiaTheme="majorEastAsia" w:hAnsi="Arial" w:cstheme="majorBidi"/>
      <w:color w:val="0063A7" w:themeColor="text1"/>
      <w:sz w:val="22"/>
      <w:szCs w:val="24"/>
    </w:rPr>
  </w:style>
  <w:style w:type="character" w:customStyle="1" w:styleId="Rubrik4Char">
    <w:name w:val="Rubrik 4 Char"/>
    <w:aliases w:val="bullet Char"/>
    <w:basedOn w:val="Standardstycketeckensnitt"/>
    <w:link w:val="Rubrik4"/>
    <w:rsid w:val="000F4B12"/>
    <w:rPr>
      <w:rFonts w:ascii="Arial" w:eastAsia="ヒラギノ角ゴ Pro W3" w:hAnsi="Arial"/>
      <w:b/>
      <w:color w:val="0063A7" w:themeColor="text1"/>
      <w:sz w:val="22"/>
      <w:szCs w:val="24"/>
    </w:rPr>
  </w:style>
  <w:style w:type="paragraph" w:styleId="Citat">
    <w:name w:val="Quote"/>
    <w:aliases w:val="&quot;Citation&quot;"/>
    <w:basedOn w:val="Normal"/>
    <w:next w:val="Normal"/>
    <w:link w:val="CitatChar"/>
    <w:uiPriority w:val="29"/>
    <w:qFormat/>
    <w:rsid w:val="00AF3CD4"/>
    <w:pPr>
      <w:spacing w:before="200" w:after="160"/>
      <w:ind w:left="864" w:right="864"/>
      <w:jc w:val="center"/>
    </w:pPr>
    <w:rPr>
      <w:i/>
      <w:iCs/>
      <w:color w:val="0063A7" w:themeColor="text1"/>
    </w:rPr>
  </w:style>
  <w:style w:type="character" w:customStyle="1" w:styleId="CitatChar">
    <w:name w:val="Citat Char"/>
    <w:aliases w:val="&quot;Citation&quot; Char"/>
    <w:basedOn w:val="Standardstycketeckensnitt"/>
    <w:link w:val="Citat"/>
    <w:uiPriority w:val="29"/>
    <w:rsid w:val="00AF3CD4"/>
    <w:rPr>
      <w:rFonts w:ascii="Arial" w:eastAsia="ヒラギノ角ゴ Pro W3" w:hAnsi="Arial"/>
      <w:i/>
      <w:iCs/>
      <w:color w:val="0063A7" w:themeColor="text1"/>
      <w:sz w:val="22"/>
      <w:szCs w:val="24"/>
    </w:rPr>
  </w:style>
  <w:style w:type="paragraph" w:customStyle="1" w:styleId="Bullet2">
    <w:name w:val="Bullet 2"/>
    <w:basedOn w:val="Normal"/>
    <w:qFormat/>
    <w:rsid w:val="000E33A2"/>
    <w:pPr>
      <w:numPr>
        <w:numId w:val="8"/>
      </w:numPr>
    </w:pPr>
  </w:style>
  <w:style w:type="paragraph" w:styleId="Sidhuvud">
    <w:name w:val="header"/>
    <w:basedOn w:val="Normal"/>
    <w:link w:val="SidhuvudChar"/>
    <w:unhideWhenUsed/>
    <w:locked/>
    <w:rsid w:val="00D40D4D"/>
    <w:pPr>
      <w:tabs>
        <w:tab w:val="center" w:pos="4536"/>
        <w:tab w:val="right" w:pos="9072"/>
      </w:tabs>
    </w:pPr>
  </w:style>
  <w:style w:type="character" w:customStyle="1" w:styleId="SidhuvudChar">
    <w:name w:val="Sidhuvud Char"/>
    <w:basedOn w:val="Standardstycketeckensnitt"/>
    <w:link w:val="Sidhuvud"/>
    <w:rsid w:val="00D40D4D"/>
    <w:rPr>
      <w:rFonts w:ascii="Arial" w:eastAsia="ヒラギノ角ゴ Pro W3" w:hAnsi="Arial"/>
      <w:color w:val="000000"/>
      <w:sz w:val="22"/>
      <w:szCs w:val="24"/>
    </w:rPr>
  </w:style>
  <w:style w:type="paragraph" w:customStyle="1" w:styleId="xmsolistparagraph">
    <w:name w:val="x_msolistparagraph"/>
    <w:basedOn w:val="Normal"/>
    <w:rsid w:val="00A06FD3"/>
    <w:pPr>
      <w:spacing w:before="100" w:beforeAutospacing="1" w:after="100" w:afterAutospacing="1"/>
    </w:pPr>
    <w:rPr>
      <w:rFonts w:ascii="Times New Roman" w:eastAsia="Times New Roman" w:hAnsi="Times New Roman"/>
      <w:color w:val="auto"/>
      <w:sz w:val="24"/>
      <w:lang w:val="fr-FR" w:eastAsia="fr-FR"/>
    </w:rPr>
  </w:style>
  <w:style w:type="paragraph" w:customStyle="1" w:styleId="1BulletTitle">
    <w:name w:val="1 Bullet Title"/>
    <w:qFormat/>
    <w:rsid w:val="00135CA4"/>
    <w:pPr>
      <w:numPr>
        <w:numId w:val="15"/>
      </w:numPr>
      <w:spacing w:before="360" w:after="120"/>
      <w:ind w:left="284" w:hanging="284"/>
    </w:pPr>
    <w:rPr>
      <w:rFonts w:ascii="Gotham Bold" w:eastAsia="ヒラギノ角ゴ Pro W3" w:hAnsi="Gotham Bold"/>
      <w:b/>
      <w:color w:val="0063A7" w:themeColor="text1"/>
      <w:sz w:val="24"/>
      <w:szCs w:val="24"/>
    </w:rPr>
  </w:style>
  <w:style w:type="paragraph" w:customStyle="1" w:styleId="bullet3">
    <w:name w:val="bullet 3"/>
    <w:basedOn w:val="Normal"/>
    <w:qFormat/>
    <w:rsid w:val="00DF3E96"/>
    <w:pPr>
      <w:numPr>
        <w:ilvl w:val="1"/>
        <w:numId w:val="14"/>
      </w:numPr>
      <w:ind w:left="1494"/>
    </w:pPr>
  </w:style>
  <w:style w:type="paragraph" w:customStyle="1" w:styleId="zBandoTalkingPoints">
    <w:name w:val="zBando Talking Points"/>
    <w:qFormat/>
    <w:rsid w:val="005B2476"/>
    <w:pPr>
      <w:spacing w:line="288" w:lineRule="auto"/>
    </w:pPr>
    <w:rPr>
      <w:rFonts w:ascii="Arial" w:eastAsia="ヒラギノ角ゴ Pro W3" w:hAnsi="Arial"/>
      <w:color w:val="86BAE5" w:themeColor="background1"/>
      <w:sz w:val="24"/>
      <w:szCs w:val="24"/>
    </w:rPr>
  </w:style>
  <w:style w:type="paragraph" w:customStyle="1" w:styleId="zBandoTITLE">
    <w:name w:val="zBando TITLE"/>
    <w:basedOn w:val="Normal"/>
    <w:qFormat/>
    <w:rsid w:val="006E7C8A"/>
    <w:pPr>
      <w:spacing w:line="288" w:lineRule="auto"/>
    </w:pPr>
    <w:rPr>
      <w:b/>
      <w:bCs/>
      <w:color w:val="FFFFFF"/>
      <w:sz w:val="24"/>
    </w:rPr>
  </w:style>
  <w:style w:type="paragraph" w:customStyle="1" w:styleId="zBandoDateandPlace">
    <w:name w:val="zBando Date and Place"/>
    <w:basedOn w:val="Normal"/>
    <w:qFormat/>
    <w:rsid w:val="006E7C8A"/>
    <w:pPr>
      <w:spacing w:line="288" w:lineRule="auto"/>
    </w:pPr>
    <w:rPr>
      <w:color w:val="FFFFFF"/>
      <w:sz w:val="20"/>
      <w:szCs w:val="20"/>
    </w:rPr>
  </w:style>
  <w:style w:type="paragraph" w:customStyle="1" w:styleId="Titre3">
    <w:name w:val="Titre3"/>
    <w:basedOn w:val="Rubrik2"/>
    <w:link w:val="Titre3Car"/>
    <w:qFormat/>
    <w:rsid w:val="00B260C8"/>
    <w:rPr>
      <w:sz w:val="22"/>
      <w:szCs w:val="28"/>
    </w:rPr>
  </w:style>
  <w:style w:type="character" w:customStyle="1" w:styleId="Titre3Car">
    <w:name w:val="Titre3 Car"/>
    <w:basedOn w:val="Rubrik2Char"/>
    <w:link w:val="Titre3"/>
    <w:rsid w:val="00B260C8"/>
    <w:rPr>
      <w:rFonts w:ascii="Gotham Book" w:eastAsiaTheme="majorEastAsia" w:hAnsi="Gotham Book" w:cstheme="majorBidi"/>
      <w:b/>
      <w:color w:val="0063A7" w:themeColor="text1"/>
      <w:sz w:val="22"/>
      <w:szCs w:val="28"/>
    </w:rPr>
  </w:style>
  <w:style w:type="paragraph" w:customStyle="1" w:styleId="Default">
    <w:name w:val="Default"/>
    <w:rsid w:val="004358DE"/>
    <w:pPr>
      <w:autoSpaceDE w:val="0"/>
      <w:autoSpaceDN w:val="0"/>
      <w:adjustRightInd w:val="0"/>
    </w:pPr>
    <w:rPr>
      <w:rFonts w:ascii="Calibri" w:eastAsiaTheme="minorHAnsi" w:hAnsi="Calibri" w:cs="Calibri"/>
      <w:color w:val="000000"/>
      <w:sz w:val="24"/>
      <w:szCs w:val="24"/>
    </w:rPr>
  </w:style>
  <w:style w:type="paragraph" w:customStyle="1" w:styleId="paragraph">
    <w:name w:val="paragraph"/>
    <w:basedOn w:val="Normal"/>
    <w:rsid w:val="004358DE"/>
    <w:pPr>
      <w:spacing w:before="100" w:beforeAutospacing="1" w:after="100" w:afterAutospacing="1"/>
    </w:pPr>
    <w:rPr>
      <w:rFonts w:ascii="Times New Roman" w:eastAsia="Times New Roman" w:hAnsi="Times New Roman"/>
      <w:color w:val="auto"/>
      <w:sz w:val="24"/>
    </w:rPr>
  </w:style>
  <w:style w:type="character" w:customStyle="1" w:styleId="normaltextrun">
    <w:name w:val="normaltextrun"/>
    <w:basedOn w:val="Standardstycketeckensnitt"/>
    <w:rsid w:val="004358DE"/>
  </w:style>
  <w:style w:type="character" w:customStyle="1" w:styleId="eop">
    <w:name w:val="eop"/>
    <w:basedOn w:val="Standardstycketeckensnitt"/>
    <w:rsid w:val="004358DE"/>
  </w:style>
  <w:style w:type="paragraph" w:customStyle="1" w:styleId="Subbullet">
    <w:name w:val="Sub bullet"/>
    <w:basedOn w:val="1BulletTitle"/>
    <w:qFormat/>
    <w:rsid w:val="00516255"/>
    <w:pPr>
      <w:spacing w:before="120" w:after="115"/>
    </w:pPr>
    <w:rPr>
      <w:b w:val="0"/>
      <w:bCs/>
      <w:color w:val="374149" w:themeColor="accent5"/>
    </w:rPr>
  </w:style>
  <w:style w:type="table" w:styleId="Tabellrutnt">
    <w:name w:val="Table Grid"/>
    <w:basedOn w:val="Normaltabell"/>
    <w:locked/>
    <w:rsid w:val="009A1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ssiontitle">
    <w:name w:val="Session title"/>
    <w:basedOn w:val="Normal"/>
    <w:qFormat/>
    <w:rsid w:val="00F87027"/>
    <w:pPr>
      <w:spacing w:after="200" w:line="276" w:lineRule="auto"/>
      <w:ind w:left="2130" w:hanging="2130"/>
    </w:pPr>
    <w:rPr>
      <w:rFonts w:ascii="Gotham Medium" w:eastAsia="Calibri" w:hAnsi="Gotham Medium" w:cs="Arial"/>
      <w:color w:val="0063A7" w:themeColor="text1"/>
      <w:sz w:val="24"/>
      <w:lang w:val="en-GB"/>
    </w:rPr>
  </w:style>
  <w:style w:type="paragraph" w:customStyle="1" w:styleId="Aucunstyle">
    <w:name w:val="[Aucun style]"/>
    <w:rsid w:val="006B7D26"/>
    <w:pPr>
      <w:autoSpaceDE w:val="0"/>
      <w:autoSpaceDN w:val="0"/>
      <w:adjustRightInd w:val="0"/>
      <w:spacing w:line="288" w:lineRule="auto"/>
      <w:textAlignment w:val="center"/>
    </w:pPr>
    <w:rPr>
      <w:rFonts w:ascii="MinionPro-Regular" w:hAnsi="MinionPro-Regular" w:cs="MinionPro-Regular"/>
      <w:color w:val="000000"/>
      <w:sz w:val="24"/>
      <w:szCs w:val="24"/>
      <w:lang w:val="fr-FR"/>
    </w:rPr>
  </w:style>
  <w:style w:type="character" w:styleId="Hyperlnk">
    <w:name w:val="Hyperlink"/>
    <w:basedOn w:val="Standardstycketeckensnitt"/>
    <w:uiPriority w:val="99"/>
    <w:unhideWhenUsed/>
    <w:locked/>
    <w:rsid w:val="00326C7C"/>
    <w:rPr>
      <w:color w:val="0064A8" w:themeColor="hyperlink"/>
      <w:u w:val="single"/>
    </w:rPr>
  </w:style>
  <w:style w:type="paragraph" w:styleId="Fotnotstext">
    <w:name w:val="footnote text"/>
    <w:basedOn w:val="Normal"/>
    <w:link w:val="FotnotstextChar"/>
    <w:uiPriority w:val="99"/>
    <w:semiHidden/>
    <w:unhideWhenUsed/>
    <w:locked/>
    <w:rsid w:val="00326C7C"/>
    <w:pPr>
      <w:spacing w:after="0"/>
    </w:pPr>
    <w:rPr>
      <w:rFonts w:asciiTheme="minorHAnsi" w:eastAsiaTheme="minorEastAsia" w:hAnsiTheme="minorHAnsi" w:cstheme="minorBidi"/>
      <w:color w:val="auto"/>
      <w:sz w:val="20"/>
      <w:szCs w:val="20"/>
      <w:lang w:val="fr-FR" w:eastAsia="zh-CN"/>
    </w:rPr>
  </w:style>
  <w:style w:type="character" w:customStyle="1" w:styleId="FotnotstextChar">
    <w:name w:val="Fotnotstext Char"/>
    <w:basedOn w:val="Standardstycketeckensnitt"/>
    <w:link w:val="Fotnotstext"/>
    <w:uiPriority w:val="99"/>
    <w:semiHidden/>
    <w:rsid w:val="00326C7C"/>
    <w:rPr>
      <w:rFonts w:asciiTheme="minorHAnsi" w:eastAsiaTheme="minorEastAsia" w:hAnsiTheme="minorHAnsi" w:cstheme="minorBidi"/>
      <w:lang w:val="fr-FR" w:eastAsia="zh-CN"/>
    </w:rPr>
  </w:style>
  <w:style w:type="character" w:styleId="Fotnotsreferens">
    <w:name w:val="footnote reference"/>
    <w:basedOn w:val="Standardstycketeckensnitt"/>
    <w:uiPriority w:val="99"/>
    <w:semiHidden/>
    <w:unhideWhenUsed/>
    <w:locked/>
    <w:rsid w:val="00326C7C"/>
    <w:rPr>
      <w:vertAlign w:val="superscript"/>
    </w:rPr>
  </w:style>
  <w:style w:type="character" w:styleId="Kommentarsreferens">
    <w:name w:val="annotation reference"/>
    <w:basedOn w:val="Standardstycketeckensnitt"/>
    <w:semiHidden/>
    <w:unhideWhenUsed/>
    <w:locked/>
    <w:rsid w:val="00C83CA5"/>
    <w:rPr>
      <w:sz w:val="16"/>
      <w:szCs w:val="16"/>
    </w:rPr>
  </w:style>
  <w:style w:type="paragraph" w:styleId="Kommentarer">
    <w:name w:val="annotation text"/>
    <w:basedOn w:val="Normal"/>
    <w:link w:val="KommentarerChar"/>
    <w:semiHidden/>
    <w:unhideWhenUsed/>
    <w:locked/>
    <w:rsid w:val="00C83CA5"/>
    <w:rPr>
      <w:sz w:val="20"/>
      <w:szCs w:val="20"/>
    </w:rPr>
  </w:style>
  <w:style w:type="character" w:customStyle="1" w:styleId="KommentarerChar">
    <w:name w:val="Kommentarer Char"/>
    <w:basedOn w:val="Standardstycketeckensnitt"/>
    <w:link w:val="Kommentarer"/>
    <w:semiHidden/>
    <w:rsid w:val="00C83CA5"/>
    <w:rPr>
      <w:rFonts w:ascii="Gotham Book" w:eastAsia="ヒラギノ角ゴ Pro W3" w:hAnsi="Gotham Book"/>
      <w:color w:val="000000"/>
    </w:rPr>
  </w:style>
  <w:style w:type="paragraph" w:styleId="Kommentarsmne">
    <w:name w:val="annotation subject"/>
    <w:basedOn w:val="Kommentarer"/>
    <w:next w:val="Kommentarer"/>
    <w:link w:val="KommentarsmneChar"/>
    <w:semiHidden/>
    <w:unhideWhenUsed/>
    <w:locked/>
    <w:rsid w:val="00C83CA5"/>
    <w:rPr>
      <w:b/>
      <w:bCs/>
    </w:rPr>
  </w:style>
  <w:style w:type="character" w:customStyle="1" w:styleId="KommentarsmneChar">
    <w:name w:val="Kommentarsämne Char"/>
    <w:basedOn w:val="KommentarerChar"/>
    <w:link w:val="Kommentarsmne"/>
    <w:semiHidden/>
    <w:rsid w:val="00C83CA5"/>
    <w:rPr>
      <w:rFonts w:ascii="Gotham Book" w:eastAsia="ヒラギノ角ゴ Pro W3" w:hAnsi="Gotham Book"/>
      <w:b/>
      <w:bCs/>
      <w:color w:val="000000"/>
    </w:rPr>
  </w:style>
  <w:style w:type="character" w:styleId="Olstomnmnande">
    <w:name w:val="Unresolved Mention"/>
    <w:basedOn w:val="Standardstycketeckensnitt"/>
    <w:rsid w:val="00FB438D"/>
    <w:rPr>
      <w:color w:val="605E5C"/>
      <w:shd w:val="clear" w:color="auto" w:fill="E1DFDD"/>
    </w:rPr>
  </w:style>
  <w:style w:type="paragraph" w:styleId="Sidfot">
    <w:name w:val="footer"/>
    <w:basedOn w:val="Normal"/>
    <w:link w:val="SidfotChar"/>
    <w:semiHidden/>
    <w:unhideWhenUsed/>
    <w:locked/>
    <w:rsid w:val="0012051A"/>
    <w:pPr>
      <w:tabs>
        <w:tab w:val="center" w:pos="4703"/>
        <w:tab w:val="right" w:pos="9406"/>
      </w:tabs>
      <w:spacing w:after="0"/>
    </w:pPr>
  </w:style>
  <w:style w:type="character" w:customStyle="1" w:styleId="SidfotChar">
    <w:name w:val="Sidfot Char"/>
    <w:basedOn w:val="Standardstycketeckensnitt"/>
    <w:link w:val="Sidfot"/>
    <w:semiHidden/>
    <w:rsid w:val="0012051A"/>
    <w:rPr>
      <w:rFonts w:ascii="Gotham Book" w:eastAsia="ヒラギノ角ゴ Pro W3" w:hAnsi="Gotham Book"/>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85501">
      <w:bodyDiv w:val="1"/>
      <w:marLeft w:val="0"/>
      <w:marRight w:val="0"/>
      <w:marTop w:val="0"/>
      <w:marBottom w:val="0"/>
      <w:divBdr>
        <w:top w:val="none" w:sz="0" w:space="0" w:color="auto"/>
        <w:left w:val="none" w:sz="0" w:space="0" w:color="auto"/>
        <w:bottom w:val="none" w:sz="0" w:space="0" w:color="auto"/>
        <w:right w:val="none" w:sz="0" w:space="0" w:color="auto"/>
      </w:divBdr>
    </w:div>
    <w:div w:id="1222252993">
      <w:bodyDiv w:val="1"/>
      <w:marLeft w:val="0"/>
      <w:marRight w:val="0"/>
      <w:marTop w:val="0"/>
      <w:marBottom w:val="0"/>
      <w:divBdr>
        <w:top w:val="none" w:sz="0" w:space="0" w:color="auto"/>
        <w:left w:val="none" w:sz="0" w:space="0" w:color="auto"/>
        <w:bottom w:val="none" w:sz="0" w:space="0" w:color="auto"/>
        <w:right w:val="none" w:sz="0" w:space="0" w:color="auto"/>
      </w:divBdr>
    </w:div>
    <w:div w:id="1420104426">
      <w:bodyDiv w:val="1"/>
      <w:marLeft w:val="0"/>
      <w:marRight w:val="0"/>
      <w:marTop w:val="0"/>
      <w:marBottom w:val="0"/>
      <w:divBdr>
        <w:top w:val="none" w:sz="0" w:space="0" w:color="auto"/>
        <w:left w:val="none" w:sz="0" w:space="0" w:color="auto"/>
        <w:bottom w:val="none" w:sz="0" w:space="0" w:color="auto"/>
        <w:right w:val="none" w:sz="0" w:space="0" w:color="auto"/>
      </w:divBdr>
    </w:div>
    <w:div w:id="1597706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www.oecd.org%2Ftax%2Fbeps%2Fpublic-consultation-document-pillar-one-amount-a-nexus-revenue-sourcing.pdf&amp;data=04%7C01%7Craelene.martin%40iccwbo.org%7Ce2749036c9e748e5950508d9e7ee49a7%7Cc541a3c6520b49ce82202228ac7c3626%7C0%7C0%7C637795832919665851%7CUnknown%7CTWFpbGZsb3d8eyJWIjoiMC4wLjAwMDAiLCJQIjoiV2luMzIiLCJBTiI6Ik1haWwiLCJXVCI6Mn0%3D%7C3000&amp;sdata=UYR9vZfdddVSkrpPSuMa18t49EI6UWOD3vcNOYs1Ozg%3D&amp;reserved=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ICC 2019">
      <a:dk1>
        <a:srgbClr val="0063A7"/>
      </a:dk1>
      <a:lt1>
        <a:srgbClr val="86BAE5"/>
      </a:lt1>
      <a:dk2>
        <a:srgbClr val="00A790"/>
      </a:dk2>
      <a:lt2>
        <a:srgbClr val="00BCE6"/>
      </a:lt2>
      <a:accent1>
        <a:srgbClr val="A5CF4F"/>
      </a:accent1>
      <a:accent2>
        <a:srgbClr val="FAA328"/>
      </a:accent2>
      <a:accent3>
        <a:srgbClr val="868686"/>
      </a:accent3>
      <a:accent4>
        <a:srgbClr val="636569"/>
      </a:accent4>
      <a:accent5>
        <a:srgbClr val="374149"/>
      </a:accent5>
      <a:accent6>
        <a:srgbClr val="00BCE7"/>
      </a:accent6>
      <a:hlink>
        <a:srgbClr val="0064A8"/>
      </a:hlink>
      <a:folHlink>
        <a:srgbClr val="0064A8"/>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8f140b-4145-4024-8bcc-6d7083f15a24" xsi:nil="true"/>
    <cd566fe4f739453c890791ece589dd09 xmlns="6e0672cc-2b49-4aef-a692-9dbb21d7e3f3">
      <Terms xmlns="http://schemas.microsoft.com/office/infopath/2007/PartnerControls"/>
    </cd566fe4f739453c890791ece589dd09>
    <SharedWithUsers xmlns="465ae127-5d1e-48f1-8bba-a4710e9de403">
      <UserInfo>
        <DisplayName>ASTORE Alice</DisplayName>
        <AccountId>7313</AccountId>
        <AccountType/>
      </UserInfo>
      <UserInfo>
        <DisplayName>LEONOVA Kseniia</DisplayName>
        <AccountId>7392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9E3D1B2D00823408CE8450BC0946B1D" ma:contentTypeVersion="16" ma:contentTypeDescription="Create a new document." ma:contentTypeScope="" ma:versionID="749933ac60cd275838fecaf2a2b42920">
  <xsd:schema xmlns:xsd="http://www.w3.org/2001/XMLSchema" xmlns:xs="http://www.w3.org/2001/XMLSchema" xmlns:p="http://schemas.microsoft.com/office/2006/metadata/properties" xmlns:ns2="6e0672cc-2b49-4aef-a692-9dbb21d7e3f3" xmlns:ns3="465ae127-5d1e-48f1-8bba-a4710e9de403" xmlns:ns4="598f140b-4145-4024-8bcc-6d7083f15a24" xmlns:ns5="42195723-b6d9-4926-97c3-bdd7cf343cf8" targetNamespace="http://schemas.microsoft.com/office/2006/metadata/properties" ma:root="true" ma:fieldsID="7718a048471fcf438c19e0fe88a087e1" ns2:_="" ns3:_="" ns4:_="" ns5:_="">
    <xsd:import namespace="6e0672cc-2b49-4aef-a692-9dbb21d7e3f3"/>
    <xsd:import namespace="465ae127-5d1e-48f1-8bba-a4710e9de403"/>
    <xsd:import namespace="598f140b-4145-4024-8bcc-6d7083f15a24"/>
    <xsd:import namespace="42195723-b6d9-4926-97c3-bdd7cf343cf8"/>
    <xsd:element name="properties">
      <xsd:complexType>
        <xsd:sequence>
          <xsd:element name="documentManagement">
            <xsd:complexType>
              <xsd:all>
                <xsd:element ref="ns2:cd566fe4f739453c890791ece589dd09" minOccurs="0"/>
                <xsd:element ref="ns4:TaxCatchAll"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3:SharedWithUsers" minOccurs="0"/>
                <xsd:element ref="ns3:SharedWithDetails"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672cc-2b49-4aef-a692-9dbb21d7e3f3" elementFormDefault="qualified">
    <xsd:import namespace="http://schemas.microsoft.com/office/2006/documentManagement/types"/>
    <xsd:import namespace="http://schemas.microsoft.com/office/infopath/2007/PartnerControls"/>
    <xsd:element name="cd566fe4f739453c890791ece589dd09" ma:index="8" nillable="true" ma:taxonomy="true" ma:internalName="cd566fe4f739453c890791ece589dd09" ma:taxonomyFieldName="Provenance" ma:displayName="Provenance" ma:default="" ma:fieldId="{cd566fe4-f739-453c-8907-91ece589dd09}" ma:sspId="b34d393a-c683-4ae6-92a3-16801d27c9b4" ma:termSetId="9e01a060-767e-4e44-bf53-df9ed62d73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5ae127-5d1e-48f1-8bba-a4710e9de40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8f140b-4145-4024-8bcc-6d7083f15a2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1108c5b-dc04-4112-92d3-dfe3254644ac}" ma:internalName="TaxCatchAll" ma:showField="CatchAllData" ma:web="465ae127-5d1e-48f1-8bba-a4710e9de4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195723-b6d9-4926-97c3-bdd7cf343c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A8D1F5-1C0F-476E-B981-7C7E10CED06E}">
  <ds:schemaRefs>
    <ds:schemaRef ds:uri="http://schemas.microsoft.com/office/2006/metadata/properties"/>
    <ds:schemaRef ds:uri="http://schemas.microsoft.com/office/infopath/2007/PartnerControls"/>
    <ds:schemaRef ds:uri="598f140b-4145-4024-8bcc-6d7083f15a24"/>
    <ds:schemaRef ds:uri="6e0672cc-2b49-4aef-a692-9dbb21d7e3f3"/>
    <ds:schemaRef ds:uri="465ae127-5d1e-48f1-8bba-a4710e9de403"/>
  </ds:schemaRefs>
</ds:datastoreItem>
</file>

<file path=customXml/itemProps2.xml><?xml version="1.0" encoding="utf-8"?>
<ds:datastoreItem xmlns:ds="http://schemas.openxmlformats.org/officeDocument/2006/customXml" ds:itemID="{106F968E-0C07-334B-A439-662D834A6718}">
  <ds:schemaRefs>
    <ds:schemaRef ds:uri="http://schemas.openxmlformats.org/officeDocument/2006/bibliography"/>
  </ds:schemaRefs>
</ds:datastoreItem>
</file>

<file path=customXml/itemProps3.xml><?xml version="1.0" encoding="utf-8"?>
<ds:datastoreItem xmlns:ds="http://schemas.openxmlformats.org/officeDocument/2006/customXml" ds:itemID="{692CA485-41E2-45D6-A472-A196F239A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672cc-2b49-4aef-a692-9dbb21d7e3f3"/>
    <ds:schemaRef ds:uri="465ae127-5d1e-48f1-8bba-a4710e9de403"/>
    <ds:schemaRef ds:uri="598f140b-4145-4024-8bcc-6d7083f15a24"/>
    <ds:schemaRef ds:uri="42195723-b6d9-4926-97c3-bdd7cf343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9E6B1B-9DD7-458C-9A9E-C7A023B42C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2189</Words>
  <Characters>11605</Characters>
  <Application>Microsoft Office Word</Application>
  <DocSecurity>0</DocSecurity>
  <Lines>96</Lines>
  <Paragraphs>27</Paragraphs>
  <ScaleCrop>false</ScaleCrop>
  <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ICC Letterhead</dc:title>
  <dc:subject/>
  <dc:creator>Kevin Stevenson</dc:creator>
  <cp:keywords/>
  <cp:lastModifiedBy>Alfred Ram</cp:lastModifiedBy>
  <cp:revision>2</cp:revision>
  <cp:lastPrinted>2014-02-03T05:03:00Z</cp:lastPrinted>
  <dcterms:created xsi:type="dcterms:W3CDTF">2022-02-10T10:51:00Z</dcterms:created>
  <dcterms:modified xsi:type="dcterms:W3CDTF">2022-02-10T10:51:00Z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0x010100C9E3D1B2D00823408CE8450BC0946B1D</vt:lpwstr>
  </property>
  <property fmtid="{D5CDD505-2E9C-101B-9397-08002B2CF9AE}" pid="3" name="Order">
    <vt:r8>100</vt:r8>
  </property>
  <property fmtid="{D5CDD505-2E9C-101B-9397-08002B2CF9AE}" pid="4" name="_dlc_DocIdItemGuid">
    <vt:lpwstr>1fc9c78e-8737-4081-8b50-4364117de0e5</vt:lpwstr>
  </property>
  <property fmtid="{D5CDD505-2E9C-101B-9397-08002B2CF9AE}" pid="5" name="Provenance">
    <vt:lpwstr/>
  </property>
</Properties>
</file>