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25CE" w14:textId="45E0EE96" w:rsidR="00F400C4" w:rsidRPr="00D90175" w:rsidRDefault="00D613B9" w:rsidP="00D90175">
      <w:pPr>
        <w:pStyle w:val="Rubrik"/>
        <w:spacing w:before="0" w:line="240" w:lineRule="auto"/>
        <w:jc w:val="center"/>
        <w:rPr>
          <w:sz w:val="28"/>
          <w:szCs w:val="28"/>
        </w:rPr>
      </w:pPr>
      <w:r w:rsidRPr="00D90175">
        <w:rPr>
          <w:sz w:val="28"/>
          <w:szCs w:val="28"/>
        </w:rPr>
        <w:t>ICC comments in response to OECD public consultation document on</w:t>
      </w:r>
      <w:r w:rsidR="003C7FC1" w:rsidRPr="00D90175">
        <w:rPr>
          <w:sz w:val="28"/>
          <w:szCs w:val="28"/>
        </w:rPr>
        <w:t xml:space="preserve"> the</w:t>
      </w:r>
      <w:r w:rsidRPr="00D90175">
        <w:rPr>
          <w:sz w:val="28"/>
          <w:szCs w:val="28"/>
        </w:rPr>
        <w:t xml:space="preserve"> </w:t>
      </w:r>
      <w:r w:rsidR="008760B7" w:rsidRPr="00D90175">
        <w:rPr>
          <w:i/>
          <w:iCs/>
          <w:sz w:val="28"/>
          <w:szCs w:val="28"/>
        </w:rPr>
        <w:t>Draft Rules for Nexus and Revenue Sourcing</w:t>
      </w:r>
      <w:r w:rsidR="008760B7" w:rsidRPr="00D90175">
        <w:rPr>
          <w:sz w:val="28"/>
          <w:szCs w:val="28"/>
        </w:rPr>
        <w:t xml:space="preserve"> under Pillar One Amount A </w:t>
      </w:r>
    </w:p>
    <w:p w14:paraId="1E60997B" w14:textId="77777777" w:rsidR="00326C7C" w:rsidRPr="00D90175" w:rsidRDefault="00326C7C" w:rsidP="00D90175">
      <w:pPr>
        <w:spacing w:after="0"/>
      </w:pPr>
    </w:p>
    <w:p w14:paraId="018EA729" w14:textId="1FD98B26" w:rsidR="00B4743A" w:rsidRPr="00D90175" w:rsidRDefault="002518B4" w:rsidP="00D90175">
      <w:pPr>
        <w:spacing w:after="0"/>
        <w:contextualSpacing/>
        <w:rPr>
          <w:rFonts w:cs="Arial"/>
          <w:lang w:val="en-GB"/>
        </w:rPr>
      </w:pPr>
      <w:r w:rsidRPr="00D90175">
        <w:rPr>
          <w:rFonts w:cs="Arial"/>
          <w:lang w:val="en-GB"/>
        </w:rPr>
        <w:t>The International Chamber of Commerce (ICC),</w:t>
      </w:r>
      <w:r w:rsidR="00BF3826" w:rsidRPr="00D90175">
        <w:rPr>
          <w:rFonts w:cs="Arial"/>
          <w:lang w:val="en-GB"/>
        </w:rPr>
        <w:t xml:space="preserve"> as the world business organization speaking with authority on behalf of enterprises from all sectors in every part of the world, appreciates the opportunity to provide</w:t>
      </w:r>
      <w:r w:rsidRPr="00D90175">
        <w:rPr>
          <w:rFonts w:cs="Arial"/>
          <w:lang w:val="en-GB"/>
        </w:rPr>
        <w:t xml:space="preserve"> input on the OECD </w:t>
      </w:r>
      <w:hyperlink r:id="rId11">
        <w:r w:rsidRPr="00D90175">
          <w:rPr>
            <w:rStyle w:val="Hyperlnk"/>
            <w:rFonts w:cs="Arial"/>
            <w:lang w:val="en-GB"/>
          </w:rPr>
          <w:t>public consultation document</w:t>
        </w:r>
      </w:hyperlink>
      <w:r w:rsidRPr="00D90175">
        <w:rPr>
          <w:rFonts w:cs="Arial"/>
          <w:lang w:val="en-GB"/>
        </w:rPr>
        <w:t xml:space="preserve"> on the </w:t>
      </w:r>
      <w:r w:rsidR="003C7FC1" w:rsidRPr="00D90175">
        <w:rPr>
          <w:rFonts w:cs="Arial"/>
          <w:lang w:val="en-GB"/>
        </w:rPr>
        <w:t xml:space="preserve">Draft Rules for Nexus and Revenue Sourcing under </w:t>
      </w:r>
      <w:r w:rsidR="00E84EC1" w:rsidRPr="00D90175">
        <w:rPr>
          <w:rFonts w:cs="Arial"/>
          <w:lang w:val="en-GB"/>
        </w:rPr>
        <w:t xml:space="preserve">Pillar One Amount A. </w:t>
      </w:r>
      <w:r w:rsidRPr="00D90175">
        <w:rPr>
          <w:rFonts w:cs="Arial"/>
          <w:lang w:val="en-GB"/>
        </w:rPr>
        <w:t xml:space="preserve">ICC advocates for a consistent global tax system, founded on the premise that stability, certainty and consistency in global tax principles are essential for business and will foster cross-border trade and investment. </w:t>
      </w:r>
      <w:r w:rsidR="00B4743A" w:rsidRPr="00D90175">
        <w:rPr>
          <w:rFonts w:cs="Arial"/>
          <w:lang w:val="en-GB"/>
        </w:rPr>
        <w:t xml:space="preserve">ICC is </w:t>
      </w:r>
      <w:r w:rsidR="00CF5024" w:rsidRPr="00D90175">
        <w:rPr>
          <w:rFonts w:cs="Arial"/>
          <w:lang w:val="en-GB"/>
        </w:rPr>
        <w:t xml:space="preserve">also </w:t>
      </w:r>
      <w:r w:rsidR="00B4743A" w:rsidRPr="00D90175">
        <w:rPr>
          <w:rFonts w:cs="Arial"/>
          <w:lang w:val="en-GB"/>
        </w:rPr>
        <w:t xml:space="preserve">an established arbitral institution through its International Court of Arbitration and provides other dispute resolution mechanisms through its International Centre for Alternative Dispute Resolution. </w:t>
      </w:r>
    </w:p>
    <w:p w14:paraId="792ACBC2" w14:textId="77777777" w:rsidR="002518B4" w:rsidRPr="00D90175" w:rsidRDefault="002518B4" w:rsidP="00D90175">
      <w:pPr>
        <w:spacing w:after="0"/>
        <w:contextualSpacing/>
        <w:rPr>
          <w:rFonts w:cs="Arial"/>
          <w:b/>
          <w:color w:val="0070C0"/>
          <w:sz w:val="26"/>
          <w:szCs w:val="26"/>
          <w:u w:val="single"/>
          <w:lang w:val="en-GB"/>
        </w:rPr>
      </w:pPr>
    </w:p>
    <w:p w14:paraId="6AC4BD51" w14:textId="36C198F5" w:rsidR="00326C7C" w:rsidRPr="00D90175" w:rsidRDefault="002518B4" w:rsidP="00D90175">
      <w:pPr>
        <w:spacing w:after="0"/>
        <w:contextualSpacing/>
        <w:rPr>
          <w:rFonts w:cs="Arial"/>
          <w:color w:val="0070C0"/>
          <w:sz w:val="26"/>
          <w:szCs w:val="26"/>
          <w:lang w:val="en-GB"/>
        </w:rPr>
      </w:pPr>
      <w:r w:rsidRPr="00D90175">
        <w:rPr>
          <w:rFonts w:cs="Arial"/>
          <w:b/>
          <w:color w:val="0070C0"/>
          <w:sz w:val="26"/>
          <w:szCs w:val="26"/>
          <w:u w:val="single"/>
          <w:lang w:val="en-GB"/>
        </w:rPr>
        <w:t xml:space="preserve">General </w:t>
      </w:r>
      <w:r w:rsidR="00A96738" w:rsidRPr="00D90175">
        <w:rPr>
          <w:rFonts w:cs="Arial"/>
          <w:b/>
          <w:color w:val="0070C0"/>
          <w:sz w:val="26"/>
          <w:szCs w:val="26"/>
          <w:u w:val="single"/>
          <w:lang w:val="en-GB"/>
        </w:rPr>
        <w:t>c</w:t>
      </w:r>
      <w:r w:rsidRPr="00D90175">
        <w:rPr>
          <w:rFonts w:cs="Arial"/>
          <w:b/>
          <w:color w:val="0070C0"/>
          <w:sz w:val="26"/>
          <w:szCs w:val="26"/>
          <w:u w:val="single"/>
          <w:lang w:val="en-GB"/>
        </w:rPr>
        <w:t>omments</w:t>
      </w:r>
    </w:p>
    <w:p w14:paraId="3F886535" w14:textId="6FA46991" w:rsidR="00A96738" w:rsidRPr="00D90175" w:rsidRDefault="00770C28" w:rsidP="00D90175">
      <w:pPr>
        <w:spacing w:after="0"/>
        <w:contextualSpacing/>
        <w:rPr>
          <w:rFonts w:cs="Arial"/>
          <w:lang w:val="en-GB"/>
        </w:rPr>
      </w:pPr>
      <w:r w:rsidRPr="00D90175">
        <w:rPr>
          <w:rFonts w:cs="Arial"/>
          <w:lang w:val="en-GB"/>
        </w:rPr>
        <w:t xml:space="preserve">ICC </w:t>
      </w:r>
      <w:r w:rsidR="007772AA" w:rsidRPr="00D90175">
        <w:rPr>
          <w:rFonts w:cs="Arial"/>
          <w:lang w:val="en-GB"/>
        </w:rPr>
        <w:t xml:space="preserve">appreciates the efforts made to </w:t>
      </w:r>
      <w:r w:rsidR="00115D47" w:rsidRPr="00D90175">
        <w:rPr>
          <w:rFonts w:cs="Arial"/>
          <w:lang w:val="en-GB"/>
        </w:rPr>
        <w:t xml:space="preserve">ensure that the </w:t>
      </w:r>
      <w:r w:rsidR="00A96738" w:rsidRPr="00D90175">
        <w:rPr>
          <w:rFonts w:cs="Arial"/>
          <w:lang w:val="en-GB"/>
        </w:rPr>
        <w:t xml:space="preserve">revenue sourcing rules have been designed </w:t>
      </w:r>
      <w:r w:rsidR="003D3A98" w:rsidRPr="00D90175">
        <w:rPr>
          <w:rFonts w:cs="Arial"/>
          <w:lang w:val="en-GB"/>
        </w:rPr>
        <w:t>with the aim of</w:t>
      </w:r>
      <w:r w:rsidR="00A96738" w:rsidRPr="00D90175">
        <w:rPr>
          <w:rFonts w:cs="Arial"/>
          <w:lang w:val="en-GB"/>
        </w:rPr>
        <w:t xml:space="preserve"> accurately identifying the market jurisdiction and the associated revenue, while limiting and simplifying compliance burdens as much as possible. </w:t>
      </w:r>
      <w:r w:rsidR="00226431" w:rsidRPr="00D90175">
        <w:rPr>
          <w:rFonts w:cs="Arial"/>
          <w:lang w:val="en-GB"/>
        </w:rPr>
        <w:t>In this regard, ICC welcomes the opportunity to provide input on how the balance between accuracy and operational realities could be better achieved.</w:t>
      </w:r>
    </w:p>
    <w:p w14:paraId="185E30D8" w14:textId="77777777" w:rsidR="00853713" w:rsidRPr="00D90175" w:rsidRDefault="00853713" w:rsidP="00D90175">
      <w:pPr>
        <w:spacing w:after="0"/>
        <w:contextualSpacing/>
        <w:rPr>
          <w:rFonts w:cs="Arial"/>
          <w:lang w:val="en-GB"/>
        </w:rPr>
      </w:pPr>
    </w:p>
    <w:p w14:paraId="2640752D" w14:textId="1AAC5687" w:rsidR="00853713" w:rsidRPr="00D90175" w:rsidRDefault="00853713" w:rsidP="00D90175">
      <w:pPr>
        <w:spacing w:after="0"/>
        <w:contextualSpacing/>
        <w:rPr>
          <w:rFonts w:cs="Arial"/>
          <w:lang w:val="en-GB"/>
        </w:rPr>
      </w:pPr>
      <w:r w:rsidRPr="00D90175">
        <w:rPr>
          <w:rFonts w:cs="Arial"/>
          <w:lang w:val="en-GB"/>
        </w:rPr>
        <w:t>To this end, ICC provides the following general comments:</w:t>
      </w:r>
    </w:p>
    <w:p w14:paraId="623FA12D" w14:textId="5B8D76E4" w:rsidR="00B354F8" w:rsidRPr="00D90175" w:rsidRDefault="00A96738" w:rsidP="00D90175">
      <w:pPr>
        <w:spacing w:after="0"/>
        <w:contextualSpacing/>
        <w:rPr>
          <w:rFonts w:cs="Arial"/>
          <w:szCs w:val="22"/>
          <w:lang w:val="en-GB"/>
        </w:rPr>
      </w:pPr>
      <w:r w:rsidRPr="00D90175">
        <w:rPr>
          <w:rFonts w:cs="Arial"/>
          <w:szCs w:val="22"/>
          <w:lang w:val="en-GB"/>
        </w:rPr>
        <w:t xml:space="preserve"> </w:t>
      </w:r>
    </w:p>
    <w:p w14:paraId="1CAB2223" w14:textId="77777777" w:rsidR="002D7032" w:rsidRPr="002D7032" w:rsidRDefault="009A31FE" w:rsidP="00412631">
      <w:pPr>
        <w:pStyle w:val="Liststycke"/>
        <w:numPr>
          <w:ilvl w:val="0"/>
          <w:numId w:val="45"/>
        </w:numPr>
        <w:spacing w:after="0"/>
        <w:rPr>
          <w:rFonts w:cs="Arial"/>
          <w:lang w:val="en-GB"/>
        </w:rPr>
      </w:pPr>
      <w:r w:rsidRPr="00C7734E">
        <w:rPr>
          <w:rFonts w:cs="Arial"/>
          <w:lang w:val="en-GB"/>
        </w:rPr>
        <w:t xml:space="preserve">ICC members believe that the </w:t>
      </w:r>
      <w:r w:rsidR="00901B37" w:rsidRPr="00C7734E">
        <w:rPr>
          <w:rFonts w:cs="Arial"/>
          <w:lang w:val="en-GB"/>
        </w:rPr>
        <w:t>requirement for MNEs to identify the location of the end user</w:t>
      </w:r>
      <w:r w:rsidR="00F7696E" w:rsidRPr="00C7734E">
        <w:rPr>
          <w:rFonts w:cs="Arial"/>
          <w:lang w:val="en-GB"/>
        </w:rPr>
        <w:t>,</w:t>
      </w:r>
      <w:r w:rsidR="000F2D91" w:rsidRPr="00C7734E">
        <w:rPr>
          <w:rFonts w:cs="Arial"/>
          <w:lang w:val="en-GB"/>
        </w:rPr>
        <w:t xml:space="preserve"> or determine the place of delivery of the finished good, is </w:t>
      </w:r>
      <w:r w:rsidR="00144AE5" w:rsidRPr="00C7734E">
        <w:rPr>
          <w:rFonts w:cs="Arial"/>
          <w:lang w:val="en-GB"/>
        </w:rPr>
        <w:t>impractical. This is particularly true for businesses that sell</w:t>
      </w:r>
      <w:r w:rsidR="008C56A6" w:rsidRPr="00C7734E">
        <w:rPr>
          <w:rFonts w:cs="Arial"/>
          <w:lang w:val="en-GB"/>
        </w:rPr>
        <w:t xml:space="preserve"> products to intermediaries and do not have </w:t>
      </w:r>
      <w:r w:rsidR="000D475B" w:rsidRPr="00C7734E">
        <w:rPr>
          <w:rFonts w:cs="Arial"/>
          <w:lang w:val="en-GB"/>
        </w:rPr>
        <w:t>insight or access to information related to the onward sale and destination</w:t>
      </w:r>
      <w:r w:rsidR="00AB4F1B" w:rsidRPr="00C7734E">
        <w:rPr>
          <w:rFonts w:cs="Arial"/>
          <w:lang w:val="en-GB"/>
        </w:rPr>
        <w:t>/location</w:t>
      </w:r>
      <w:r w:rsidR="000D475B" w:rsidRPr="00C7734E">
        <w:rPr>
          <w:rFonts w:cs="Arial"/>
          <w:lang w:val="en-GB"/>
        </w:rPr>
        <w:t xml:space="preserve"> of the </w:t>
      </w:r>
      <w:r w:rsidR="0036104D" w:rsidRPr="00C7734E">
        <w:rPr>
          <w:rFonts w:cs="Arial"/>
          <w:lang w:val="en-GB"/>
        </w:rPr>
        <w:t>goods to the final consumer.</w:t>
      </w:r>
      <w:r w:rsidR="001817A7" w:rsidRPr="00D90175">
        <w:t xml:space="preserve"> </w:t>
      </w:r>
      <w:r w:rsidR="005C51F8" w:rsidRPr="00D90175">
        <w:t xml:space="preserve">It is also important to </w:t>
      </w:r>
      <w:r w:rsidR="305C01F3" w:rsidRPr="00D90175">
        <w:t>recognize</w:t>
      </w:r>
      <w:r w:rsidR="005C51F8" w:rsidRPr="00D90175">
        <w:t xml:space="preserve"> the challenges </w:t>
      </w:r>
      <w:r w:rsidR="006D7848" w:rsidRPr="00D90175">
        <w:t>presen</w:t>
      </w:r>
      <w:r w:rsidR="00EC6AC0" w:rsidRPr="00D90175">
        <w:t xml:space="preserve">ted in attempting to track </w:t>
      </w:r>
      <w:r w:rsidR="00A70D7A" w:rsidRPr="00D90175">
        <w:t xml:space="preserve">the </w:t>
      </w:r>
      <w:r w:rsidR="00344E7D" w:rsidRPr="00D90175">
        <w:t xml:space="preserve">jurisdiction of the final consumer, including possible breaches </w:t>
      </w:r>
      <w:r w:rsidR="52EBC1D6" w:rsidRPr="00D90175">
        <w:t>of</w:t>
      </w:r>
      <w:r w:rsidR="00344E7D" w:rsidRPr="00D90175">
        <w:t xml:space="preserve"> competition law. </w:t>
      </w:r>
    </w:p>
    <w:p w14:paraId="5552AA92" w14:textId="77777777" w:rsidR="002D7032" w:rsidRDefault="002D7032" w:rsidP="002D7032">
      <w:pPr>
        <w:pStyle w:val="Liststycke"/>
        <w:spacing w:after="0"/>
        <w:rPr>
          <w:rFonts w:cs="Arial"/>
          <w:lang w:val="en-GB"/>
        </w:rPr>
      </w:pPr>
    </w:p>
    <w:p w14:paraId="4DD5F83E" w14:textId="7EEF10FE" w:rsidR="009A31FE" w:rsidRPr="00C7734E" w:rsidRDefault="001817A7" w:rsidP="002D7032">
      <w:pPr>
        <w:pStyle w:val="Liststycke"/>
        <w:spacing w:after="0"/>
        <w:rPr>
          <w:rFonts w:cs="Arial"/>
          <w:lang w:val="en-GB"/>
        </w:rPr>
      </w:pPr>
      <w:r w:rsidRPr="00C7734E">
        <w:rPr>
          <w:rFonts w:cs="Arial"/>
          <w:lang w:val="en-GB"/>
        </w:rPr>
        <w:t>This would suggest that a</w:t>
      </w:r>
      <w:r w:rsidR="005A1FC4" w:rsidRPr="00C7734E">
        <w:rPr>
          <w:rFonts w:cs="Arial"/>
          <w:lang w:val="en-GB"/>
        </w:rPr>
        <w:t xml:space="preserve">n </w:t>
      </w:r>
      <w:r w:rsidR="005D29E0" w:rsidRPr="00C7734E">
        <w:rPr>
          <w:rFonts w:cs="Arial"/>
          <w:lang w:val="en-GB"/>
        </w:rPr>
        <w:t>[</w:t>
      </w:r>
      <w:r w:rsidR="005A1FC4" w:rsidRPr="00C7734E">
        <w:rPr>
          <w:rFonts w:cs="Arial"/>
          <w:lang w:val="en-GB"/>
        </w:rPr>
        <w:t>optional</w:t>
      </w:r>
      <w:r w:rsidR="005D29E0" w:rsidRPr="00C7734E">
        <w:rPr>
          <w:rFonts w:cs="Arial"/>
          <w:lang w:val="en-GB"/>
        </w:rPr>
        <w:t>]</w:t>
      </w:r>
      <w:r w:rsidRPr="00C7734E">
        <w:rPr>
          <w:rFonts w:cs="Arial"/>
          <w:lang w:val="en-GB"/>
        </w:rPr>
        <w:t xml:space="preserve"> methodology using a suitable allocation key would be appropriate</w:t>
      </w:r>
      <w:r w:rsidR="00A669F1" w:rsidRPr="00C7734E">
        <w:rPr>
          <w:rFonts w:cs="Arial"/>
          <w:lang w:val="en-GB"/>
        </w:rPr>
        <w:t>,</w:t>
      </w:r>
      <w:r w:rsidRPr="00C7734E">
        <w:rPr>
          <w:rFonts w:cs="Arial"/>
          <w:lang w:val="en-GB"/>
        </w:rPr>
        <w:t xml:space="preserve"> and </w:t>
      </w:r>
      <w:r w:rsidR="00A669F1" w:rsidRPr="00C7734E">
        <w:rPr>
          <w:rFonts w:cs="Arial"/>
          <w:lang w:val="en-GB"/>
        </w:rPr>
        <w:t xml:space="preserve">that </w:t>
      </w:r>
      <w:r w:rsidRPr="00C7734E">
        <w:rPr>
          <w:rFonts w:cs="Arial"/>
          <w:lang w:val="en-GB"/>
        </w:rPr>
        <w:t xml:space="preserve">further work on refining this </w:t>
      </w:r>
      <w:r w:rsidR="000B1C79" w:rsidRPr="00C7734E">
        <w:rPr>
          <w:rFonts w:cs="Arial"/>
          <w:lang w:val="en-GB"/>
        </w:rPr>
        <w:t>would be</w:t>
      </w:r>
      <w:r w:rsidRPr="00C7734E">
        <w:rPr>
          <w:rFonts w:cs="Arial"/>
          <w:lang w:val="en-GB"/>
        </w:rPr>
        <w:t xml:space="preserve"> needed.</w:t>
      </w:r>
      <w:r w:rsidR="005A3040" w:rsidRPr="00C7734E">
        <w:rPr>
          <w:rFonts w:cs="Arial"/>
          <w:lang w:val="en-GB"/>
        </w:rPr>
        <w:t xml:space="preserve"> ICC members would welcome the opportunity to </w:t>
      </w:r>
      <w:r w:rsidR="005133AB" w:rsidRPr="00C7734E">
        <w:rPr>
          <w:rFonts w:cs="Arial"/>
          <w:lang w:val="en-GB"/>
        </w:rPr>
        <w:t xml:space="preserve">comment on a possible </w:t>
      </w:r>
      <w:r w:rsidR="00D62E67" w:rsidRPr="00C7734E">
        <w:rPr>
          <w:rFonts w:cs="Arial"/>
          <w:lang w:val="en-GB"/>
        </w:rPr>
        <w:t xml:space="preserve">[optional] </w:t>
      </w:r>
      <w:r w:rsidR="005133AB" w:rsidRPr="00C7734E">
        <w:rPr>
          <w:rFonts w:cs="Arial"/>
          <w:lang w:val="en-GB"/>
        </w:rPr>
        <w:t xml:space="preserve">formulaic approach </w:t>
      </w:r>
      <w:r w:rsidR="00FC1258" w:rsidRPr="00C7734E">
        <w:rPr>
          <w:rFonts w:cs="Arial"/>
          <w:lang w:val="en-GB"/>
        </w:rPr>
        <w:t>being explored by</w:t>
      </w:r>
      <w:r w:rsidR="005133AB" w:rsidRPr="00C7734E">
        <w:rPr>
          <w:rFonts w:cs="Arial"/>
          <w:lang w:val="en-GB"/>
        </w:rPr>
        <w:t xml:space="preserve"> </w:t>
      </w:r>
      <w:r w:rsidR="00093BD9" w:rsidRPr="00C7734E">
        <w:rPr>
          <w:rFonts w:cs="Arial"/>
          <w:lang w:val="en-GB"/>
        </w:rPr>
        <w:t>Inclusive Framework to address this issue.</w:t>
      </w:r>
      <w:r w:rsidR="005D29E0" w:rsidRPr="00C7734E">
        <w:rPr>
          <w:rFonts w:cs="Arial"/>
          <w:lang w:val="en-GB"/>
        </w:rPr>
        <w:t xml:space="preserve"> The reason for keeping such a methodology optional is that some industries or services </w:t>
      </w:r>
      <w:r w:rsidR="00F246D4">
        <w:rPr>
          <w:rFonts w:cs="Arial"/>
          <w:lang w:val="en-GB"/>
        </w:rPr>
        <w:t xml:space="preserve">may not have the </w:t>
      </w:r>
      <w:r w:rsidR="005D29E0" w:rsidRPr="00C7734E">
        <w:rPr>
          <w:rFonts w:cs="Arial"/>
          <w:lang w:val="en-GB"/>
        </w:rPr>
        <w:t xml:space="preserve">possibility to determine where the end user is. </w:t>
      </w:r>
      <w:r w:rsidR="008977D8">
        <w:rPr>
          <w:rFonts w:cs="Arial"/>
          <w:lang w:val="en-GB"/>
        </w:rPr>
        <w:t>I</w:t>
      </w:r>
      <w:r w:rsidR="005D29E0" w:rsidRPr="00C7734E">
        <w:rPr>
          <w:rFonts w:cs="Arial"/>
          <w:lang w:val="en-GB"/>
        </w:rPr>
        <w:t xml:space="preserve">f such </w:t>
      </w:r>
      <w:r w:rsidR="00C7734E" w:rsidRPr="00C7734E">
        <w:rPr>
          <w:rFonts w:cs="Arial"/>
          <w:lang w:val="en-GB"/>
        </w:rPr>
        <w:t xml:space="preserve">an </w:t>
      </w:r>
      <w:r w:rsidR="005D29E0" w:rsidRPr="00C7734E">
        <w:rPr>
          <w:rFonts w:cs="Arial"/>
          <w:lang w:val="en-GB"/>
        </w:rPr>
        <w:t xml:space="preserve">allocation methodology was not optional, </w:t>
      </w:r>
      <w:r w:rsidR="00C7734E" w:rsidRPr="00C7734E">
        <w:rPr>
          <w:rFonts w:cs="Arial"/>
          <w:lang w:val="en-GB"/>
        </w:rPr>
        <w:t xml:space="preserve">businesses </w:t>
      </w:r>
      <w:r w:rsidR="005D29E0" w:rsidRPr="00C7734E">
        <w:rPr>
          <w:rFonts w:cs="Arial"/>
          <w:lang w:val="en-GB"/>
        </w:rPr>
        <w:t>would have</w:t>
      </w:r>
      <w:r w:rsidR="00C7734E" w:rsidRPr="00C7734E">
        <w:rPr>
          <w:rFonts w:cs="Arial"/>
          <w:lang w:val="en-GB"/>
        </w:rPr>
        <w:t xml:space="preserve"> the burden of filing tax returns in many countries where they have no physical presence. </w:t>
      </w:r>
    </w:p>
    <w:p w14:paraId="186FE97C" w14:textId="77777777" w:rsidR="00076B6D" w:rsidRPr="00D90175" w:rsidRDefault="00076B6D" w:rsidP="00D90175">
      <w:pPr>
        <w:spacing w:after="0"/>
        <w:contextualSpacing/>
        <w:rPr>
          <w:rFonts w:cs="Arial"/>
          <w:szCs w:val="22"/>
          <w:lang w:val="en-GB"/>
        </w:rPr>
      </w:pPr>
    </w:p>
    <w:p w14:paraId="286D44CB" w14:textId="45C03923" w:rsidR="00A8265F" w:rsidRPr="00D90175" w:rsidRDefault="00A8265F" w:rsidP="00D90175">
      <w:pPr>
        <w:pStyle w:val="Liststycke"/>
        <w:numPr>
          <w:ilvl w:val="0"/>
          <w:numId w:val="45"/>
        </w:numPr>
        <w:spacing w:after="0"/>
        <w:rPr>
          <w:rFonts w:cs="Arial"/>
          <w:lang w:val="en-GB"/>
        </w:rPr>
      </w:pPr>
      <w:r w:rsidRPr="00D90175">
        <w:rPr>
          <w:rFonts w:cs="Arial"/>
          <w:lang w:val="en-GB"/>
        </w:rPr>
        <w:t>ICC members are of the view that practical difficulties could be foreseen in examining revenues on a transaction-by-transaction basis and introducing an internal control framework to demonstrate that the method is reliable. In this respect, MNEs would likely need to establish new systems to track revenues</w:t>
      </w:r>
      <w:r w:rsidR="25487B6A" w:rsidRPr="00D90175">
        <w:rPr>
          <w:rFonts w:cs="Arial"/>
          <w:lang w:val="en-GB"/>
        </w:rPr>
        <w:t>,</w:t>
      </w:r>
      <w:r w:rsidRPr="00D90175">
        <w:rPr>
          <w:rFonts w:cs="Arial"/>
          <w:lang w:val="en-GB"/>
        </w:rPr>
        <w:t xml:space="preserve"> which would be onerous in terms of administrative complexity as well as additional costs incurred. </w:t>
      </w:r>
      <w:r w:rsidR="00E61386" w:rsidRPr="00D90175">
        <w:rPr>
          <w:rFonts w:cs="Arial"/>
          <w:lang w:val="en-GB"/>
        </w:rPr>
        <w:t xml:space="preserve">In view of the </w:t>
      </w:r>
      <w:r w:rsidR="009A270C" w:rsidRPr="00D90175">
        <w:rPr>
          <w:rFonts w:cs="Arial"/>
          <w:lang w:val="en-GB"/>
        </w:rPr>
        <w:t xml:space="preserve">necessary time and resource investment to </w:t>
      </w:r>
      <w:r w:rsidR="0097411F" w:rsidRPr="00D90175">
        <w:rPr>
          <w:rFonts w:cs="Arial"/>
          <w:lang w:val="en-GB"/>
        </w:rPr>
        <w:t xml:space="preserve">develop </w:t>
      </w:r>
      <w:r w:rsidR="00EB4D4A" w:rsidRPr="00D90175">
        <w:rPr>
          <w:rFonts w:cs="Arial"/>
          <w:lang w:val="en-GB"/>
        </w:rPr>
        <w:t xml:space="preserve">the relevant systems, </w:t>
      </w:r>
      <w:r w:rsidR="00A63662" w:rsidRPr="00D90175">
        <w:rPr>
          <w:rFonts w:cs="Arial"/>
          <w:lang w:val="en-GB"/>
        </w:rPr>
        <w:t xml:space="preserve">there is a strong likelihood that many MNEs </w:t>
      </w:r>
      <w:r w:rsidR="00F221FF" w:rsidRPr="00D90175">
        <w:rPr>
          <w:rFonts w:cs="Arial"/>
          <w:lang w:val="en-GB"/>
        </w:rPr>
        <w:t xml:space="preserve">will not be </w:t>
      </w:r>
      <w:bookmarkStart w:id="0" w:name="_Int_3KI5WwXy"/>
      <w:r w:rsidR="00F221FF" w:rsidRPr="00D90175">
        <w:rPr>
          <w:rFonts w:cs="Arial"/>
          <w:lang w:val="en-GB"/>
        </w:rPr>
        <w:t>in a position</w:t>
      </w:r>
      <w:bookmarkEnd w:id="0"/>
      <w:r w:rsidR="00F221FF" w:rsidRPr="00D90175">
        <w:rPr>
          <w:rFonts w:cs="Arial"/>
          <w:lang w:val="en-GB"/>
        </w:rPr>
        <w:t xml:space="preserve"> to implement</w:t>
      </w:r>
      <w:r w:rsidR="00C53256" w:rsidRPr="00D90175">
        <w:rPr>
          <w:rFonts w:cs="Arial"/>
          <w:lang w:val="en-GB"/>
        </w:rPr>
        <w:t xml:space="preserve"> </w:t>
      </w:r>
      <w:r w:rsidR="00925C0E">
        <w:rPr>
          <w:rFonts w:cs="Arial"/>
          <w:lang w:val="en-GB"/>
        </w:rPr>
        <w:t xml:space="preserve">the rules </w:t>
      </w:r>
      <w:r w:rsidR="00C53256" w:rsidRPr="00D90175">
        <w:rPr>
          <w:rFonts w:cs="Arial"/>
          <w:lang w:val="en-GB"/>
        </w:rPr>
        <w:t>within the timeframe envisaged.</w:t>
      </w:r>
    </w:p>
    <w:p w14:paraId="02F4DB05" w14:textId="77777777" w:rsidR="00A8265F" w:rsidRPr="00D90175" w:rsidRDefault="00A8265F" w:rsidP="00D90175">
      <w:pPr>
        <w:pStyle w:val="Liststycke"/>
        <w:spacing w:after="0"/>
        <w:rPr>
          <w:rFonts w:cs="Arial"/>
          <w:lang w:val="en-GB"/>
        </w:rPr>
      </w:pPr>
    </w:p>
    <w:p w14:paraId="0682F5EF" w14:textId="4808A0AB" w:rsidR="00A8265F" w:rsidRPr="00D90175" w:rsidRDefault="00A8265F" w:rsidP="00D90175">
      <w:pPr>
        <w:pStyle w:val="Liststycke"/>
        <w:spacing w:after="0"/>
        <w:rPr>
          <w:rFonts w:cs="Arial"/>
          <w:lang w:val="en-GB"/>
        </w:rPr>
      </w:pPr>
      <w:r w:rsidRPr="00D90175">
        <w:rPr>
          <w:rFonts w:cs="Arial"/>
          <w:lang w:val="en-GB"/>
        </w:rPr>
        <w:t xml:space="preserve">ICC suggests that in order to counter these challenges, the Model Rules </w:t>
      </w:r>
      <w:r w:rsidRPr="007B2D82">
        <w:rPr>
          <w:rFonts w:cs="Arial"/>
          <w:lang w:val="en-GB"/>
        </w:rPr>
        <w:t>should point out that nexus should be established taking into consideration pricing variation between markets, which underpins the stated</w:t>
      </w:r>
      <w:r w:rsidRPr="00D90175">
        <w:rPr>
          <w:rFonts w:cs="Arial"/>
          <w:lang w:val="en-GB"/>
        </w:rPr>
        <w:t xml:space="preserve"> objective for the transaction</w:t>
      </w:r>
      <w:r w:rsidR="3DE3C83F" w:rsidRPr="00D90175">
        <w:rPr>
          <w:rFonts w:cs="Arial"/>
          <w:lang w:val="en-GB"/>
        </w:rPr>
        <w:t>-</w:t>
      </w:r>
      <w:r w:rsidRPr="00D90175">
        <w:rPr>
          <w:rFonts w:cs="Arial"/>
          <w:lang w:val="en-GB"/>
        </w:rPr>
        <w:t>by</w:t>
      </w:r>
      <w:r w:rsidR="3DE3C83F" w:rsidRPr="00D90175">
        <w:rPr>
          <w:rFonts w:cs="Arial"/>
          <w:lang w:val="en-GB"/>
        </w:rPr>
        <w:t>-</w:t>
      </w:r>
      <w:r w:rsidRPr="00D90175">
        <w:rPr>
          <w:rFonts w:cs="Arial"/>
          <w:lang w:val="en-GB"/>
        </w:rPr>
        <w:t>transaction rule. The ways to achieve this should be left to the MNE</w:t>
      </w:r>
      <w:r w:rsidR="2DAE0FB6" w:rsidRPr="00D90175">
        <w:rPr>
          <w:rFonts w:cs="Arial"/>
          <w:lang w:val="en-GB"/>
        </w:rPr>
        <w:t>s</w:t>
      </w:r>
      <w:r w:rsidRPr="00D90175">
        <w:rPr>
          <w:rFonts w:cs="Arial"/>
          <w:lang w:val="en-GB"/>
        </w:rPr>
        <w:t xml:space="preserve"> based on the specificities of </w:t>
      </w:r>
      <w:r w:rsidR="6C6B8E40" w:rsidRPr="00D90175">
        <w:rPr>
          <w:rFonts w:cs="Arial"/>
          <w:lang w:val="en-GB"/>
        </w:rPr>
        <w:t>their</w:t>
      </w:r>
      <w:r w:rsidRPr="00D90175">
        <w:rPr>
          <w:rFonts w:cs="Arial"/>
          <w:lang w:val="en-GB"/>
        </w:rPr>
        <w:t xml:space="preserve"> activit</w:t>
      </w:r>
      <w:r w:rsidR="3D057E32" w:rsidRPr="00D90175">
        <w:rPr>
          <w:rFonts w:cs="Arial"/>
          <w:lang w:val="en-GB"/>
        </w:rPr>
        <w:t>ies</w:t>
      </w:r>
      <w:r w:rsidRPr="00D90175">
        <w:rPr>
          <w:rFonts w:cs="Arial"/>
          <w:lang w:val="en-GB"/>
        </w:rPr>
        <w:t xml:space="preserve">. </w:t>
      </w:r>
    </w:p>
    <w:p w14:paraId="1EE33166" w14:textId="5F9A08A9" w:rsidR="00A8265F" w:rsidRPr="00D90175" w:rsidRDefault="00A8265F" w:rsidP="00D90175">
      <w:pPr>
        <w:pStyle w:val="Liststycke"/>
        <w:spacing w:after="0"/>
        <w:rPr>
          <w:rFonts w:cs="Arial"/>
          <w:szCs w:val="22"/>
          <w:lang w:val="en-GB"/>
        </w:rPr>
      </w:pPr>
    </w:p>
    <w:p w14:paraId="729B79AA" w14:textId="03CE055C" w:rsidR="00AD02C8" w:rsidRPr="00D90175" w:rsidRDefault="00BD73B0" w:rsidP="00D90175">
      <w:pPr>
        <w:pStyle w:val="Liststycke"/>
        <w:numPr>
          <w:ilvl w:val="0"/>
          <w:numId w:val="45"/>
        </w:numPr>
        <w:spacing w:after="0"/>
        <w:rPr>
          <w:rFonts w:cs="Arial"/>
          <w:lang w:val="en-GB"/>
        </w:rPr>
      </w:pPr>
      <w:r w:rsidRPr="00D90175">
        <w:rPr>
          <w:rFonts w:cs="Arial"/>
          <w:lang w:val="en-GB"/>
        </w:rPr>
        <w:t>Whil</w:t>
      </w:r>
      <w:r w:rsidR="00C8671F" w:rsidRPr="00D90175">
        <w:rPr>
          <w:rFonts w:cs="Arial"/>
          <w:lang w:val="en-GB"/>
        </w:rPr>
        <w:t>st</w:t>
      </w:r>
      <w:r w:rsidRPr="00D90175">
        <w:rPr>
          <w:rFonts w:cs="Arial"/>
          <w:lang w:val="en-GB"/>
        </w:rPr>
        <w:t xml:space="preserve"> the rules </w:t>
      </w:r>
      <w:r w:rsidR="00C8671F" w:rsidRPr="00D90175">
        <w:rPr>
          <w:rFonts w:cs="Arial"/>
          <w:lang w:val="en-GB"/>
        </w:rPr>
        <w:t>indicate</w:t>
      </w:r>
      <w:r w:rsidRPr="00D90175">
        <w:rPr>
          <w:rFonts w:cs="Arial"/>
          <w:lang w:val="en-GB"/>
        </w:rPr>
        <w:t xml:space="preserve"> that there is no need to retain documents for the </w:t>
      </w:r>
      <w:r w:rsidRPr="008D4F09">
        <w:rPr>
          <w:rFonts w:cs="Arial"/>
          <w:lang w:val="en-GB"/>
        </w:rPr>
        <w:t xml:space="preserve">transactions </w:t>
      </w:r>
      <w:r w:rsidR="008D4F09" w:rsidRPr="008D4F09">
        <w:rPr>
          <w:rFonts w:cs="Arial"/>
          <w:lang w:val="en-GB"/>
        </w:rPr>
        <w:t>themselves</w:t>
      </w:r>
      <w:r w:rsidRPr="008D4F09">
        <w:rPr>
          <w:rFonts w:cs="Arial"/>
          <w:lang w:val="en-GB"/>
        </w:rPr>
        <w:t xml:space="preserve">, </w:t>
      </w:r>
      <w:r w:rsidR="00D04009" w:rsidRPr="008D4F09">
        <w:rPr>
          <w:rFonts w:cs="Arial"/>
          <w:lang w:val="en-GB"/>
        </w:rPr>
        <w:t>they</w:t>
      </w:r>
      <w:r w:rsidR="00D04009" w:rsidRPr="00D90175">
        <w:rPr>
          <w:rFonts w:cs="Arial"/>
          <w:lang w:val="en-GB"/>
        </w:rPr>
        <w:t xml:space="preserve"> do </w:t>
      </w:r>
      <w:r w:rsidRPr="00D90175">
        <w:rPr>
          <w:rFonts w:cs="Arial"/>
          <w:lang w:val="en-GB"/>
        </w:rPr>
        <w:t xml:space="preserve">impose “detailed record-keeping requirements”, as well as a “clear, intelligent internal control framework”. </w:t>
      </w:r>
      <w:r w:rsidR="00AB01AF" w:rsidRPr="00D90175">
        <w:rPr>
          <w:rFonts w:cs="Arial"/>
          <w:lang w:val="en-GB"/>
        </w:rPr>
        <w:t xml:space="preserve">ICC members believe that this </w:t>
      </w:r>
      <w:r w:rsidRPr="00D90175">
        <w:rPr>
          <w:rFonts w:cs="Arial"/>
          <w:lang w:val="en-GB"/>
        </w:rPr>
        <w:t xml:space="preserve">does not </w:t>
      </w:r>
      <w:r w:rsidR="00286336" w:rsidRPr="00D90175">
        <w:rPr>
          <w:rFonts w:cs="Arial"/>
          <w:lang w:val="en-GB"/>
        </w:rPr>
        <w:t>provide simplicity</w:t>
      </w:r>
      <w:r w:rsidR="00D511B2" w:rsidRPr="00D90175">
        <w:rPr>
          <w:rFonts w:cs="Arial"/>
          <w:lang w:val="en-GB"/>
        </w:rPr>
        <w:t>, particularly</w:t>
      </w:r>
      <w:r w:rsidR="00D259DC" w:rsidRPr="00D90175">
        <w:rPr>
          <w:rFonts w:cs="Arial"/>
          <w:lang w:val="en-GB"/>
        </w:rPr>
        <w:t xml:space="preserve"> given that</w:t>
      </w:r>
      <w:r w:rsidRPr="00D90175">
        <w:rPr>
          <w:rFonts w:cs="Arial"/>
          <w:lang w:val="en-GB"/>
        </w:rPr>
        <w:t xml:space="preserve"> for the allocation of revenues, itemisation/transaction-by-transaction analysis </w:t>
      </w:r>
      <w:r w:rsidR="00371F2F" w:rsidRPr="00D90175">
        <w:rPr>
          <w:rFonts w:cs="Arial"/>
          <w:lang w:val="en-GB"/>
        </w:rPr>
        <w:t xml:space="preserve">is </w:t>
      </w:r>
      <w:r w:rsidR="00651228" w:rsidRPr="00D90175">
        <w:rPr>
          <w:rFonts w:cs="Arial"/>
          <w:lang w:val="en-GB"/>
        </w:rPr>
        <w:t xml:space="preserve">nevertheless </w:t>
      </w:r>
      <w:r w:rsidR="00371F2F" w:rsidRPr="00D90175">
        <w:rPr>
          <w:rFonts w:cs="Arial"/>
          <w:lang w:val="en-GB"/>
        </w:rPr>
        <w:t>required</w:t>
      </w:r>
      <w:r w:rsidRPr="00D90175">
        <w:rPr>
          <w:rFonts w:cs="Arial"/>
          <w:lang w:val="en-GB"/>
        </w:rPr>
        <w:t xml:space="preserve">. </w:t>
      </w:r>
      <w:r w:rsidR="003754A1" w:rsidRPr="00D90175">
        <w:rPr>
          <w:rFonts w:cs="Arial"/>
          <w:lang w:val="en-GB"/>
        </w:rPr>
        <w:t xml:space="preserve">This would </w:t>
      </w:r>
      <w:r w:rsidR="008017BB" w:rsidRPr="00D90175">
        <w:rPr>
          <w:rFonts w:cs="Arial"/>
          <w:lang w:val="en-GB"/>
        </w:rPr>
        <w:t xml:space="preserve">impose additional administrative complexity and burden in terms of systems adaptation, </w:t>
      </w:r>
      <w:r w:rsidR="00FD2CF4" w:rsidRPr="00D90175">
        <w:rPr>
          <w:rFonts w:cs="Arial"/>
          <w:lang w:val="en-GB"/>
        </w:rPr>
        <w:t xml:space="preserve">coordination </w:t>
      </w:r>
      <w:r w:rsidR="003D3EA1" w:rsidRPr="00D90175">
        <w:rPr>
          <w:rFonts w:cs="Arial"/>
          <w:lang w:val="en-GB"/>
        </w:rPr>
        <w:t xml:space="preserve">in terms of value chain management </w:t>
      </w:r>
      <w:r w:rsidR="00FD2CF4" w:rsidRPr="00D90175">
        <w:rPr>
          <w:rFonts w:cs="Arial"/>
          <w:lang w:val="en-GB"/>
        </w:rPr>
        <w:t>and</w:t>
      </w:r>
      <w:r w:rsidR="003D3EA1" w:rsidRPr="00D90175">
        <w:rPr>
          <w:rFonts w:cs="Arial"/>
          <w:lang w:val="en-GB"/>
        </w:rPr>
        <w:t xml:space="preserve"> </w:t>
      </w:r>
      <w:r w:rsidR="002B7196">
        <w:rPr>
          <w:rFonts w:cs="Arial"/>
          <w:lang w:val="en-GB"/>
        </w:rPr>
        <w:t xml:space="preserve">the </w:t>
      </w:r>
      <w:r w:rsidR="003D3EA1" w:rsidRPr="00D90175">
        <w:rPr>
          <w:rFonts w:cs="Arial"/>
          <w:lang w:val="en-GB"/>
        </w:rPr>
        <w:t xml:space="preserve">relevant </w:t>
      </w:r>
      <w:r w:rsidR="00FD2CF4" w:rsidRPr="00D90175">
        <w:rPr>
          <w:rFonts w:cs="Arial"/>
          <w:lang w:val="en-GB"/>
        </w:rPr>
        <w:t>application of the rules</w:t>
      </w:r>
      <w:r w:rsidR="003D3EA1" w:rsidRPr="00D90175">
        <w:rPr>
          <w:rFonts w:cs="Arial"/>
          <w:lang w:val="en-GB"/>
        </w:rPr>
        <w:t xml:space="preserve">. </w:t>
      </w:r>
    </w:p>
    <w:p w14:paraId="3A1E1E64" w14:textId="77777777" w:rsidR="00AD02C8" w:rsidRPr="00D90175" w:rsidRDefault="00AD02C8" w:rsidP="00D90175">
      <w:pPr>
        <w:pStyle w:val="Liststycke"/>
        <w:spacing w:after="0"/>
        <w:rPr>
          <w:rFonts w:cs="Arial"/>
          <w:szCs w:val="22"/>
          <w:lang w:val="en-GB"/>
        </w:rPr>
      </w:pPr>
    </w:p>
    <w:p w14:paraId="5EF78F2A" w14:textId="52F98292" w:rsidR="00DC2E59" w:rsidRPr="00D90175" w:rsidRDefault="00DC2E59" w:rsidP="00D90175">
      <w:pPr>
        <w:pStyle w:val="Liststycke"/>
        <w:numPr>
          <w:ilvl w:val="0"/>
          <w:numId w:val="45"/>
        </w:numPr>
        <w:spacing w:after="0"/>
        <w:rPr>
          <w:rFonts w:cs="Arial"/>
          <w:lang w:val="en-GB"/>
        </w:rPr>
      </w:pPr>
      <w:r w:rsidRPr="00D90175">
        <w:rPr>
          <w:rFonts w:cs="Arial"/>
          <w:lang w:val="en-GB"/>
        </w:rPr>
        <w:t>Allocating global profits based on market</w:t>
      </w:r>
      <w:r w:rsidR="0F1F9E6B" w:rsidRPr="00D90175">
        <w:rPr>
          <w:rFonts w:cs="Arial"/>
          <w:lang w:val="en-GB"/>
        </w:rPr>
        <w:t>-</w:t>
      </w:r>
      <w:r w:rsidRPr="00D90175">
        <w:rPr>
          <w:rFonts w:cs="Arial"/>
          <w:lang w:val="en-GB"/>
        </w:rPr>
        <w:t xml:space="preserve">related revenues results not only in </w:t>
      </w:r>
      <w:r w:rsidR="00C815A1" w:rsidRPr="00D90175">
        <w:rPr>
          <w:rFonts w:cs="Arial"/>
          <w:lang w:val="en-GB"/>
        </w:rPr>
        <w:t>disregarding</w:t>
      </w:r>
      <w:r w:rsidRPr="00D90175">
        <w:rPr>
          <w:rFonts w:cs="Arial"/>
          <w:lang w:val="en-GB"/>
        </w:rPr>
        <w:t xml:space="preserve"> the product mix differences </w:t>
      </w:r>
      <w:r w:rsidR="00CA0CDE" w:rsidRPr="00D90175">
        <w:rPr>
          <w:rFonts w:cs="Arial"/>
          <w:lang w:val="en-GB"/>
        </w:rPr>
        <w:t>between</w:t>
      </w:r>
      <w:r w:rsidRPr="00D90175">
        <w:rPr>
          <w:rFonts w:cs="Arial"/>
          <w:lang w:val="en-GB"/>
        </w:rPr>
        <w:t xml:space="preserve"> markets/regions</w:t>
      </w:r>
      <w:r w:rsidR="02F0D795" w:rsidRPr="00D90175">
        <w:rPr>
          <w:rFonts w:cs="Arial"/>
          <w:lang w:val="en-GB"/>
        </w:rPr>
        <w:t>,</w:t>
      </w:r>
      <w:r w:rsidRPr="00D90175">
        <w:rPr>
          <w:rFonts w:cs="Arial"/>
          <w:lang w:val="en-GB"/>
        </w:rPr>
        <w:t xml:space="preserve"> but also </w:t>
      </w:r>
      <w:r w:rsidR="3B14F292" w:rsidRPr="00D90175">
        <w:rPr>
          <w:rFonts w:cs="Arial"/>
          <w:lang w:val="en-GB"/>
        </w:rPr>
        <w:t xml:space="preserve">in </w:t>
      </w:r>
      <w:r w:rsidRPr="00D90175">
        <w:rPr>
          <w:rFonts w:cs="Arial"/>
          <w:lang w:val="en-GB"/>
        </w:rPr>
        <w:t>the</w:t>
      </w:r>
      <w:r w:rsidR="0016357F" w:rsidRPr="00D90175">
        <w:rPr>
          <w:rFonts w:cs="Arial"/>
          <w:lang w:val="en-GB"/>
        </w:rPr>
        <w:t xml:space="preserve"> product </w:t>
      </w:r>
      <w:r w:rsidR="00B865F2" w:rsidRPr="00D90175">
        <w:rPr>
          <w:rFonts w:cs="Arial"/>
          <w:lang w:val="en-GB"/>
        </w:rPr>
        <w:t>lifecycle</w:t>
      </w:r>
      <w:r w:rsidR="00751B89" w:rsidRPr="00D90175">
        <w:rPr>
          <w:rFonts w:cs="Arial"/>
          <w:lang w:val="en-GB"/>
        </w:rPr>
        <w:t xml:space="preserve"> </w:t>
      </w:r>
      <w:r w:rsidR="00901416" w:rsidRPr="00D90175">
        <w:rPr>
          <w:rFonts w:cs="Arial"/>
          <w:lang w:val="en-GB"/>
        </w:rPr>
        <w:t xml:space="preserve">for </w:t>
      </w:r>
      <w:r w:rsidR="007B2D82">
        <w:rPr>
          <w:rFonts w:cs="Arial"/>
          <w:lang w:val="en-GB"/>
        </w:rPr>
        <w:t>goods</w:t>
      </w:r>
      <w:r w:rsidR="00901416" w:rsidRPr="47BABDC1">
        <w:rPr>
          <w:rFonts w:cs="Arial"/>
          <w:lang w:val="en-GB"/>
        </w:rPr>
        <w:t xml:space="preserve"> </w:t>
      </w:r>
      <w:r w:rsidR="00901416" w:rsidRPr="00D90175">
        <w:rPr>
          <w:rFonts w:cs="Arial"/>
          <w:lang w:val="en-GB"/>
        </w:rPr>
        <w:t xml:space="preserve">in different markets. </w:t>
      </w:r>
      <w:r w:rsidRPr="00D90175">
        <w:rPr>
          <w:rFonts w:cs="Arial"/>
          <w:lang w:val="en-GB"/>
        </w:rPr>
        <w:t xml:space="preserve">The proposed revenue sourcing rules bring significant distortions </w:t>
      </w:r>
      <w:r w:rsidR="00B865F2" w:rsidRPr="00D90175">
        <w:rPr>
          <w:rFonts w:cs="Arial"/>
          <w:lang w:val="en-GB"/>
        </w:rPr>
        <w:t>regarding</w:t>
      </w:r>
      <w:r w:rsidRPr="00D90175">
        <w:rPr>
          <w:rFonts w:cs="Arial"/>
          <w:lang w:val="en-GB"/>
        </w:rPr>
        <w:t xml:space="preserve"> the appropriate distribution of Amount A</w:t>
      </w:r>
      <w:r w:rsidR="00CB7F58" w:rsidRPr="00D90175">
        <w:rPr>
          <w:rFonts w:cs="Arial"/>
          <w:lang w:val="en-GB"/>
        </w:rPr>
        <w:t>,</w:t>
      </w:r>
      <w:r w:rsidRPr="00D90175">
        <w:rPr>
          <w:rFonts w:cs="Arial"/>
          <w:lang w:val="en-GB"/>
        </w:rPr>
        <w:t xml:space="preserve"> due to the departure from </w:t>
      </w:r>
      <w:r w:rsidR="00FC61D9" w:rsidRPr="00D90175">
        <w:rPr>
          <w:rFonts w:cs="Arial"/>
          <w:lang w:val="en-GB"/>
        </w:rPr>
        <w:t xml:space="preserve">existing </w:t>
      </w:r>
      <w:r w:rsidRPr="00D90175">
        <w:rPr>
          <w:rFonts w:cs="Arial"/>
          <w:lang w:val="en-GB"/>
        </w:rPr>
        <w:t>business</w:t>
      </w:r>
      <w:r w:rsidR="00FC61D9" w:rsidRPr="00D90175">
        <w:rPr>
          <w:rFonts w:cs="Arial"/>
          <w:lang w:val="en-GB"/>
        </w:rPr>
        <w:t xml:space="preserve"> processes</w:t>
      </w:r>
      <w:r w:rsidR="0001124C" w:rsidRPr="00D90175">
        <w:rPr>
          <w:rFonts w:cs="Arial"/>
          <w:lang w:val="en-GB"/>
        </w:rPr>
        <w:t xml:space="preserve"> </w:t>
      </w:r>
      <w:r w:rsidR="005F2EFE" w:rsidRPr="00D90175">
        <w:rPr>
          <w:rFonts w:cs="Arial"/>
          <w:lang w:val="en-GB"/>
        </w:rPr>
        <w:t xml:space="preserve">and </w:t>
      </w:r>
      <w:r w:rsidR="00A83229" w:rsidRPr="00D90175">
        <w:rPr>
          <w:rFonts w:cs="Arial"/>
          <w:lang w:val="en-GB"/>
        </w:rPr>
        <w:t xml:space="preserve">the creation of </w:t>
      </w:r>
      <w:r w:rsidR="005F2EFE" w:rsidRPr="00D90175">
        <w:rPr>
          <w:rFonts w:cs="Arial"/>
          <w:lang w:val="en-GB"/>
        </w:rPr>
        <w:t>new reporting obligations.</w:t>
      </w:r>
      <w:r w:rsidR="00FC61D9" w:rsidRPr="00D90175">
        <w:rPr>
          <w:rFonts w:cs="Arial"/>
          <w:lang w:val="en-GB"/>
        </w:rPr>
        <w:t xml:space="preserve">  </w:t>
      </w:r>
      <w:r w:rsidRPr="00D90175">
        <w:rPr>
          <w:rFonts w:cs="Arial"/>
          <w:lang w:val="en-GB"/>
        </w:rPr>
        <w:t xml:space="preserve"> </w:t>
      </w:r>
    </w:p>
    <w:p w14:paraId="615FEA2D" w14:textId="5D5F80E2" w:rsidR="005510B2" w:rsidRPr="00D90175" w:rsidRDefault="005510B2" w:rsidP="00D90175">
      <w:pPr>
        <w:pStyle w:val="Liststycke"/>
        <w:spacing w:after="0"/>
        <w:rPr>
          <w:rFonts w:cs="Arial"/>
          <w:lang w:val="en-GB"/>
        </w:rPr>
      </w:pPr>
    </w:p>
    <w:p w14:paraId="237B50B5" w14:textId="29D5DB1A" w:rsidR="007F325D" w:rsidRPr="00D90175" w:rsidRDefault="00DC2E59" w:rsidP="00D90175">
      <w:pPr>
        <w:pStyle w:val="Liststycke"/>
        <w:spacing w:after="0"/>
        <w:rPr>
          <w:rFonts w:cs="Arial"/>
          <w:lang w:val="en-GB"/>
        </w:rPr>
      </w:pPr>
      <w:r w:rsidRPr="00D90175">
        <w:rPr>
          <w:rFonts w:cs="Arial"/>
          <w:lang w:val="en-GB"/>
        </w:rPr>
        <w:t>The OECD model rules offer allocation keys where no direct allocation to market jurisdiction is possible.</w:t>
      </w:r>
      <w:r w:rsidR="00B629BC" w:rsidRPr="00D90175">
        <w:rPr>
          <w:rFonts w:cs="Arial"/>
          <w:lang w:val="en-GB"/>
        </w:rPr>
        <w:t xml:space="preserve"> </w:t>
      </w:r>
      <w:r w:rsidR="003E578E" w:rsidRPr="00D90175">
        <w:rPr>
          <w:rFonts w:cs="Arial"/>
          <w:lang w:val="en-GB"/>
        </w:rPr>
        <w:t>Where</w:t>
      </w:r>
      <w:r w:rsidRPr="00D90175">
        <w:rPr>
          <w:rFonts w:cs="Arial"/>
          <w:lang w:val="en-GB"/>
        </w:rPr>
        <w:t xml:space="preserve"> not all categories are relevant for MNEs, </w:t>
      </w:r>
      <w:r w:rsidR="001C11C7" w:rsidRPr="00D90175">
        <w:rPr>
          <w:rFonts w:cs="Arial"/>
          <w:lang w:val="en-GB"/>
        </w:rPr>
        <w:t>a</w:t>
      </w:r>
      <w:r w:rsidRPr="00D90175">
        <w:rPr>
          <w:rFonts w:cs="Arial"/>
          <w:lang w:val="en-GB"/>
        </w:rPr>
        <w:t xml:space="preserve"> group may still </w:t>
      </w:r>
      <w:r w:rsidR="000756D4" w:rsidRPr="00D90175">
        <w:rPr>
          <w:rFonts w:cs="Arial"/>
          <w:lang w:val="en-GB"/>
        </w:rPr>
        <w:t>need</w:t>
      </w:r>
      <w:r w:rsidRPr="00D90175">
        <w:rPr>
          <w:rFonts w:cs="Arial"/>
          <w:lang w:val="en-GB"/>
        </w:rPr>
        <w:t xml:space="preserve"> to apply several sets of rules to cover all transactions </w:t>
      </w:r>
      <w:r w:rsidR="00B375E7" w:rsidRPr="00D90175">
        <w:rPr>
          <w:rFonts w:cs="Arial"/>
          <w:lang w:val="en-GB"/>
        </w:rPr>
        <w:t xml:space="preserve">in order </w:t>
      </w:r>
      <w:r w:rsidRPr="00D90175">
        <w:rPr>
          <w:rFonts w:cs="Arial"/>
          <w:lang w:val="en-GB"/>
        </w:rPr>
        <w:t xml:space="preserve">to determine the best reliable indicator. </w:t>
      </w:r>
      <w:r w:rsidR="00905DCE" w:rsidRPr="00D90175">
        <w:rPr>
          <w:rFonts w:cs="Arial"/>
          <w:lang w:val="en-GB"/>
        </w:rPr>
        <w:t xml:space="preserve">ICC believes that </w:t>
      </w:r>
      <w:r w:rsidR="0032162B" w:rsidRPr="00D90175">
        <w:rPr>
          <w:rFonts w:cs="Arial"/>
          <w:lang w:val="en-GB"/>
        </w:rPr>
        <w:t xml:space="preserve">a more practicable approach would be preferable to avoid </w:t>
      </w:r>
      <w:r w:rsidR="004D428B" w:rsidRPr="00D90175">
        <w:rPr>
          <w:rFonts w:cs="Arial"/>
          <w:lang w:val="en-GB"/>
        </w:rPr>
        <w:t xml:space="preserve">unnecessary administrative burden and to establish a fair balance between </w:t>
      </w:r>
      <w:r w:rsidRPr="00D90175">
        <w:rPr>
          <w:rFonts w:cs="Arial"/>
          <w:lang w:val="en-GB"/>
        </w:rPr>
        <w:t xml:space="preserve">accuracy and operational realities. </w:t>
      </w:r>
      <w:r w:rsidR="009B024E" w:rsidRPr="00D90175">
        <w:rPr>
          <w:rFonts w:cs="Arial"/>
          <w:lang w:val="en-GB"/>
        </w:rPr>
        <w:t xml:space="preserve">It would be useful to consider, for </w:t>
      </w:r>
      <w:r w:rsidRPr="00D90175">
        <w:rPr>
          <w:rFonts w:cs="Arial"/>
          <w:lang w:val="en-GB"/>
        </w:rPr>
        <w:t>example</w:t>
      </w:r>
      <w:r w:rsidR="009B024E" w:rsidRPr="00D90175">
        <w:rPr>
          <w:rFonts w:cs="Arial"/>
          <w:lang w:val="en-GB"/>
        </w:rPr>
        <w:t>,</w:t>
      </w:r>
      <w:r w:rsidRPr="00D90175">
        <w:rPr>
          <w:rFonts w:cs="Arial"/>
          <w:lang w:val="en-GB"/>
        </w:rPr>
        <w:t xml:space="preserve"> taking into account the nature of distribution agreements</w:t>
      </w:r>
      <w:r w:rsidR="004C16CC" w:rsidRPr="00D90175">
        <w:rPr>
          <w:rFonts w:cs="Arial"/>
          <w:lang w:val="en-GB"/>
        </w:rPr>
        <w:t xml:space="preserve"> and </w:t>
      </w:r>
      <w:r w:rsidRPr="00D90175">
        <w:rPr>
          <w:rFonts w:cs="Arial"/>
          <w:lang w:val="en-GB"/>
        </w:rPr>
        <w:t xml:space="preserve">allowing </w:t>
      </w:r>
      <w:r w:rsidRPr="00D90175">
        <w:rPr>
          <w:rFonts w:cs="Arial"/>
          <w:color w:val="auto"/>
          <w:lang w:val="en-GB"/>
        </w:rPr>
        <w:t xml:space="preserve">certain de minimis </w:t>
      </w:r>
      <w:r w:rsidRPr="00D90175">
        <w:rPr>
          <w:rFonts w:cs="Arial"/>
          <w:lang w:val="en-GB"/>
        </w:rPr>
        <w:t xml:space="preserve">transactions to be sourced in the same way as the main transactions </w:t>
      </w:r>
      <w:r w:rsidR="00F15564" w:rsidRPr="00D90175">
        <w:rPr>
          <w:rFonts w:cs="Arial"/>
          <w:lang w:val="en-GB"/>
        </w:rPr>
        <w:t xml:space="preserve">in order </w:t>
      </w:r>
      <w:r w:rsidRPr="00D90175">
        <w:rPr>
          <w:rFonts w:cs="Arial"/>
          <w:lang w:val="en-GB"/>
        </w:rPr>
        <w:t>to limit the</w:t>
      </w:r>
      <w:r w:rsidR="00C02C32" w:rsidRPr="00D90175">
        <w:rPr>
          <w:rFonts w:cs="Arial"/>
          <w:lang w:val="en-GB"/>
        </w:rPr>
        <w:t xml:space="preserve"> application of </w:t>
      </w:r>
      <w:r w:rsidRPr="00D90175">
        <w:rPr>
          <w:rFonts w:cs="Arial"/>
          <w:lang w:val="en-GB"/>
        </w:rPr>
        <w:t>different rules.</w:t>
      </w:r>
    </w:p>
    <w:p w14:paraId="4CD3E986" w14:textId="77777777" w:rsidR="007F325D" w:rsidRPr="00D90175" w:rsidRDefault="007F325D" w:rsidP="00D90175">
      <w:pPr>
        <w:pStyle w:val="Liststycke"/>
        <w:spacing w:after="0"/>
        <w:rPr>
          <w:rFonts w:cs="Arial"/>
          <w:szCs w:val="22"/>
          <w:lang w:val="en-GB"/>
        </w:rPr>
      </w:pPr>
    </w:p>
    <w:p w14:paraId="1F2F72D2" w14:textId="6D063DBC" w:rsidR="00F35D3A" w:rsidRPr="00D90175" w:rsidRDefault="00F35D3A" w:rsidP="00D90175">
      <w:pPr>
        <w:pStyle w:val="Liststycke"/>
        <w:numPr>
          <w:ilvl w:val="0"/>
          <w:numId w:val="45"/>
        </w:numPr>
        <w:spacing w:after="0"/>
        <w:rPr>
          <w:rFonts w:cs="Arial"/>
          <w:szCs w:val="22"/>
          <w:lang w:val="en-GB"/>
        </w:rPr>
      </w:pPr>
      <w:r w:rsidRPr="00D90175">
        <w:rPr>
          <w:rFonts w:cs="Arial"/>
          <w:szCs w:val="22"/>
          <w:lang w:val="en-GB"/>
        </w:rPr>
        <w:t xml:space="preserve">ICC members also hold that due to </w:t>
      </w:r>
      <w:r w:rsidR="007A7D9F" w:rsidRPr="00D90175">
        <w:rPr>
          <w:rFonts w:cs="Arial"/>
          <w:szCs w:val="22"/>
          <w:lang w:val="en-GB"/>
        </w:rPr>
        <w:t>concerns</w:t>
      </w:r>
      <w:r w:rsidR="00DD2C59" w:rsidRPr="00D90175">
        <w:rPr>
          <w:rFonts w:cs="Arial"/>
          <w:szCs w:val="22"/>
          <w:lang w:val="en-GB"/>
        </w:rPr>
        <w:t xml:space="preserve"> regarding</w:t>
      </w:r>
      <w:r w:rsidR="007A7D9F" w:rsidRPr="00D90175">
        <w:rPr>
          <w:rFonts w:cs="Arial"/>
          <w:szCs w:val="22"/>
          <w:lang w:val="en-GB"/>
        </w:rPr>
        <w:t xml:space="preserve"> </w:t>
      </w:r>
      <w:r w:rsidRPr="00D90175">
        <w:rPr>
          <w:rFonts w:cs="Arial"/>
          <w:szCs w:val="22"/>
          <w:lang w:val="en-GB"/>
        </w:rPr>
        <w:t>the sensitivity of the revenue sourcing data</w:t>
      </w:r>
      <w:r w:rsidR="00FF51C7" w:rsidRPr="00D90175">
        <w:rPr>
          <w:rFonts w:cs="Arial"/>
          <w:szCs w:val="22"/>
          <w:lang w:val="en-GB"/>
        </w:rPr>
        <w:t xml:space="preserve"> and </w:t>
      </w:r>
      <w:r w:rsidR="00DD2C59" w:rsidRPr="00D90175">
        <w:rPr>
          <w:rFonts w:cs="Arial"/>
          <w:szCs w:val="22"/>
          <w:lang w:val="en-GB"/>
        </w:rPr>
        <w:t>potential</w:t>
      </w:r>
      <w:r w:rsidR="003E4D93" w:rsidRPr="00D90175">
        <w:rPr>
          <w:rFonts w:cs="Arial"/>
          <w:szCs w:val="22"/>
          <w:lang w:val="en-GB"/>
        </w:rPr>
        <w:t xml:space="preserve"> competition risks, </w:t>
      </w:r>
      <w:r w:rsidR="00241080" w:rsidRPr="00D90175">
        <w:rPr>
          <w:rFonts w:cs="Arial"/>
          <w:szCs w:val="22"/>
          <w:lang w:val="en-GB"/>
        </w:rPr>
        <w:t>the return</w:t>
      </w:r>
      <w:r w:rsidR="00123C2D" w:rsidRPr="00D90175">
        <w:rPr>
          <w:rFonts w:cs="Arial"/>
          <w:szCs w:val="22"/>
          <w:lang w:val="en-GB"/>
        </w:rPr>
        <w:t xml:space="preserve"> [which depicts the revenue allocated to each market jurisdiction], </w:t>
      </w:r>
      <w:r w:rsidRPr="00D90175">
        <w:rPr>
          <w:rFonts w:cs="Arial"/>
          <w:szCs w:val="22"/>
          <w:lang w:val="en-GB"/>
        </w:rPr>
        <w:t>should not be exchanged with any jurisdiction.</w:t>
      </w:r>
    </w:p>
    <w:p w14:paraId="2960D7AB" w14:textId="77777777" w:rsidR="00F35D3A" w:rsidRPr="00D90175" w:rsidRDefault="00F35D3A" w:rsidP="00D90175">
      <w:pPr>
        <w:spacing w:after="0"/>
        <w:contextualSpacing/>
        <w:rPr>
          <w:rFonts w:cs="Arial"/>
          <w:szCs w:val="22"/>
          <w:lang w:val="en-GB"/>
        </w:rPr>
      </w:pPr>
    </w:p>
    <w:p w14:paraId="4C3173C7" w14:textId="665C68E4" w:rsidR="00B354F8" w:rsidRPr="00D90175" w:rsidRDefault="00C7178D" w:rsidP="00D90175">
      <w:pPr>
        <w:pStyle w:val="Liststycke"/>
        <w:numPr>
          <w:ilvl w:val="0"/>
          <w:numId w:val="45"/>
        </w:numPr>
        <w:spacing w:after="0"/>
        <w:rPr>
          <w:rFonts w:cs="Arial"/>
          <w:lang w:val="en-GB"/>
        </w:rPr>
      </w:pPr>
      <w:r w:rsidRPr="00D90175">
        <w:rPr>
          <w:rFonts w:cs="Arial"/>
          <w:lang w:val="en-GB"/>
        </w:rPr>
        <w:t xml:space="preserve">It would also be useful to consider </w:t>
      </w:r>
      <w:r w:rsidR="00653054" w:rsidRPr="00D90175">
        <w:rPr>
          <w:rFonts w:cs="Arial"/>
          <w:lang w:val="en-GB"/>
        </w:rPr>
        <w:t xml:space="preserve">the </w:t>
      </w:r>
      <w:r w:rsidR="000A7DB9" w:rsidRPr="00D90175">
        <w:rPr>
          <w:rFonts w:cs="Arial"/>
          <w:lang w:val="en-GB"/>
        </w:rPr>
        <w:t xml:space="preserve">related complexity </w:t>
      </w:r>
      <w:r w:rsidR="00B80680" w:rsidRPr="00D90175">
        <w:rPr>
          <w:rFonts w:cs="Arial"/>
          <w:lang w:val="en-GB"/>
        </w:rPr>
        <w:t xml:space="preserve">for particular industries </w:t>
      </w:r>
      <w:r w:rsidR="00E03766" w:rsidRPr="00D90175">
        <w:rPr>
          <w:rFonts w:cs="Arial"/>
          <w:lang w:val="en-GB"/>
        </w:rPr>
        <w:t xml:space="preserve">in </w:t>
      </w:r>
      <w:r w:rsidR="000A7DB9" w:rsidRPr="00D90175">
        <w:rPr>
          <w:rFonts w:cs="Arial"/>
          <w:lang w:val="en-GB"/>
        </w:rPr>
        <w:t>determining the source for revenues with respect to intellectual property or research and development payments</w:t>
      </w:r>
      <w:r w:rsidR="004A5657" w:rsidRPr="00D90175">
        <w:rPr>
          <w:rFonts w:cs="Arial"/>
          <w:lang w:val="en-GB"/>
        </w:rPr>
        <w:t>/milestones in product development</w:t>
      </w:r>
      <w:r w:rsidR="00A15620" w:rsidRPr="00D90175">
        <w:rPr>
          <w:rFonts w:cs="Arial"/>
          <w:lang w:val="en-GB"/>
        </w:rPr>
        <w:t xml:space="preserve">. Clarification on how to determine the source of such payments </w:t>
      </w:r>
      <w:r w:rsidR="009A4611" w:rsidRPr="00D90175">
        <w:rPr>
          <w:rFonts w:cs="Arial"/>
          <w:lang w:val="en-GB"/>
        </w:rPr>
        <w:t>would be</w:t>
      </w:r>
      <w:r w:rsidR="00A15620" w:rsidRPr="00D90175">
        <w:rPr>
          <w:rFonts w:cs="Arial"/>
          <w:lang w:val="en-GB"/>
        </w:rPr>
        <w:t xml:space="preserve"> needed.  </w:t>
      </w:r>
    </w:p>
    <w:p w14:paraId="6FC2F1BE" w14:textId="77777777" w:rsidR="00FD04E4" w:rsidRPr="00D90175" w:rsidRDefault="00FD04E4" w:rsidP="00D90175">
      <w:pPr>
        <w:pStyle w:val="Liststycke"/>
        <w:spacing w:after="0"/>
        <w:rPr>
          <w:rFonts w:cs="Arial"/>
          <w:szCs w:val="22"/>
          <w:lang w:val="en-GB"/>
        </w:rPr>
      </w:pPr>
    </w:p>
    <w:p w14:paraId="0B8E52B1" w14:textId="28D825AF" w:rsidR="009067B3" w:rsidRDefault="002F0081" w:rsidP="00412631">
      <w:pPr>
        <w:pStyle w:val="Liststycke"/>
        <w:numPr>
          <w:ilvl w:val="0"/>
          <w:numId w:val="45"/>
        </w:numPr>
        <w:spacing w:after="0"/>
        <w:rPr>
          <w:rFonts w:cs="Arial"/>
          <w:lang w:val="en-GB"/>
        </w:rPr>
      </w:pPr>
      <w:r w:rsidRPr="20569F33">
        <w:rPr>
          <w:rFonts w:cs="Arial"/>
          <w:lang w:val="en-GB"/>
        </w:rPr>
        <w:t>ICC also</w:t>
      </w:r>
      <w:r w:rsidR="00C037B1" w:rsidRPr="20569F33">
        <w:rPr>
          <w:rFonts w:cs="Arial"/>
          <w:lang w:val="en-GB"/>
        </w:rPr>
        <w:t xml:space="preserve"> respectfully</w:t>
      </w:r>
      <w:r w:rsidRPr="20569F33">
        <w:rPr>
          <w:rFonts w:cs="Arial"/>
          <w:lang w:val="en-GB"/>
        </w:rPr>
        <w:t xml:space="preserve"> notes that t</w:t>
      </w:r>
      <w:r w:rsidR="00B354F8" w:rsidRPr="20569F33">
        <w:rPr>
          <w:rFonts w:cs="Arial"/>
          <w:lang w:val="en-GB"/>
        </w:rPr>
        <w:t xml:space="preserve">he proposed rules </w:t>
      </w:r>
      <w:r w:rsidR="00C037B1" w:rsidRPr="20569F33">
        <w:rPr>
          <w:rFonts w:cs="Arial"/>
          <w:lang w:val="en-GB"/>
        </w:rPr>
        <w:t>in their current</w:t>
      </w:r>
      <w:r w:rsidR="00276918" w:rsidRPr="20569F33">
        <w:rPr>
          <w:rFonts w:cs="Arial"/>
          <w:lang w:val="en-GB"/>
        </w:rPr>
        <w:t xml:space="preserve"> form</w:t>
      </w:r>
      <w:r w:rsidR="00C037B1" w:rsidRPr="20569F33">
        <w:rPr>
          <w:rFonts w:cs="Arial"/>
          <w:lang w:val="en-GB"/>
        </w:rPr>
        <w:t xml:space="preserve"> </w:t>
      </w:r>
      <w:r w:rsidR="00B354F8" w:rsidRPr="20569F33">
        <w:rPr>
          <w:rFonts w:cs="Arial"/>
          <w:lang w:val="en-GB"/>
        </w:rPr>
        <w:t>do not</w:t>
      </w:r>
      <w:r w:rsidR="00C037B1" w:rsidRPr="20569F33">
        <w:rPr>
          <w:rFonts w:cs="Arial"/>
          <w:lang w:val="en-GB"/>
        </w:rPr>
        <w:t xml:space="preserve"> appear to provide </w:t>
      </w:r>
      <w:r w:rsidR="00043E30" w:rsidRPr="20569F33">
        <w:rPr>
          <w:rFonts w:cs="Arial"/>
          <w:lang w:val="en-GB"/>
        </w:rPr>
        <w:t xml:space="preserve">sufficient </w:t>
      </w:r>
      <w:r w:rsidR="00C037B1" w:rsidRPr="20569F33">
        <w:rPr>
          <w:rFonts w:cs="Arial"/>
          <w:lang w:val="en-GB"/>
        </w:rPr>
        <w:t>simplification and clarity and could</w:t>
      </w:r>
      <w:r w:rsidR="009A31FE" w:rsidRPr="20569F33">
        <w:rPr>
          <w:rFonts w:cs="Arial"/>
          <w:lang w:val="en-GB"/>
        </w:rPr>
        <w:t>,</w:t>
      </w:r>
      <w:r w:rsidR="00C037B1" w:rsidRPr="20569F33">
        <w:rPr>
          <w:rFonts w:cs="Arial"/>
          <w:lang w:val="en-GB"/>
        </w:rPr>
        <w:t xml:space="preserve"> therefore</w:t>
      </w:r>
      <w:r w:rsidR="009A31FE" w:rsidRPr="20569F33">
        <w:rPr>
          <w:rFonts w:cs="Arial"/>
          <w:lang w:val="en-GB"/>
        </w:rPr>
        <w:t>,</w:t>
      </w:r>
      <w:r w:rsidR="00C037B1" w:rsidRPr="20569F33">
        <w:rPr>
          <w:rFonts w:cs="Arial"/>
          <w:lang w:val="en-GB"/>
        </w:rPr>
        <w:t xml:space="preserve"> lead to an increase in tax disputes.</w:t>
      </w:r>
      <w:r w:rsidR="0030491F" w:rsidRPr="20569F33">
        <w:rPr>
          <w:rFonts w:cs="Arial"/>
          <w:lang w:val="en-GB"/>
        </w:rPr>
        <w:t xml:space="preserve"> There is still much ambiguity and the risk of double taxation is high.</w:t>
      </w:r>
      <w:r w:rsidR="00C037B1" w:rsidRPr="20569F33">
        <w:rPr>
          <w:rFonts w:cs="Arial"/>
          <w:lang w:val="en-GB"/>
        </w:rPr>
        <w:t xml:space="preserve"> </w:t>
      </w:r>
      <w:r w:rsidR="00CF3126" w:rsidRPr="20569F33">
        <w:rPr>
          <w:rFonts w:cs="Arial"/>
          <w:lang w:val="en-GB"/>
        </w:rPr>
        <w:t xml:space="preserve">In this respect, ICC reiterates the </w:t>
      </w:r>
      <w:r w:rsidR="00A26B8C" w:rsidRPr="20569F33">
        <w:rPr>
          <w:rFonts w:cs="Arial"/>
          <w:lang w:val="en-GB"/>
        </w:rPr>
        <w:t xml:space="preserve">importance of </w:t>
      </w:r>
      <w:r w:rsidR="00BB1EB9" w:rsidRPr="20569F33">
        <w:rPr>
          <w:rFonts w:cs="Arial"/>
          <w:lang w:val="en-GB"/>
        </w:rPr>
        <w:t xml:space="preserve">robust </w:t>
      </w:r>
      <w:r w:rsidR="00A26B8C" w:rsidRPr="20569F33">
        <w:rPr>
          <w:rFonts w:cs="Arial"/>
          <w:lang w:val="en-GB"/>
        </w:rPr>
        <w:t xml:space="preserve">dispute avoidance and </w:t>
      </w:r>
      <w:r w:rsidR="00BB1EB9" w:rsidRPr="20569F33">
        <w:rPr>
          <w:rFonts w:cs="Arial"/>
          <w:lang w:val="en-GB"/>
        </w:rPr>
        <w:t xml:space="preserve">dispute resolution mechanisms </w:t>
      </w:r>
      <w:r w:rsidR="008A5826" w:rsidRPr="20569F33">
        <w:rPr>
          <w:rFonts w:cs="Arial"/>
          <w:lang w:val="en-GB"/>
        </w:rPr>
        <w:t xml:space="preserve">for jurisdictions that adopt the OECD guidance. </w:t>
      </w:r>
      <w:r w:rsidR="00293640" w:rsidRPr="20569F33">
        <w:rPr>
          <w:rFonts w:cs="Arial"/>
          <w:lang w:val="en-GB"/>
        </w:rPr>
        <w:t>It is critical that a co-ordinated</w:t>
      </w:r>
      <w:r w:rsidR="00DA1CBF" w:rsidRPr="20569F33">
        <w:rPr>
          <w:rFonts w:cs="Arial"/>
          <w:lang w:val="en-GB"/>
        </w:rPr>
        <w:t>,</w:t>
      </w:r>
      <w:r w:rsidR="00293640" w:rsidRPr="20569F33">
        <w:rPr>
          <w:rFonts w:cs="Arial"/>
          <w:lang w:val="en-GB"/>
        </w:rPr>
        <w:t xml:space="preserve"> centralised dispute resolution mechanism be put in place for all aspects of Pillar </w:t>
      </w:r>
      <w:r w:rsidR="000966AB" w:rsidRPr="20569F33">
        <w:rPr>
          <w:rFonts w:cs="Arial"/>
          <w:lang w:val="en-GB"/>
        </w:rPr>
        <w:t>One</w:t>
      </w:r>
      <w:r w:rsidR="00293640" w:rsidRPr="20569F33">
        <w:rPr>
          <w:rFonts w:cs="Arial"/>
          <w:lang w:val="en-GB"/>
        </w:rPr>
        <w:t xml:space="preserve"> and </w:t>
      </w:r>
      <w:r w:rsidR="000966AB" w:rsidRPr="20569F33">
        <w:rPr>
          <w:rFonts w:cs="Arial"/>
          <w:lang w:val="en-GB"/>
        </w:rPr>
        <w:t>Two</w:t>
      </w:r>
      <w:r w:rsidR="00293640" w:rsidRPr="20569F33">
        <w:rPr>
          <w:rFonts w:cs="Arial"/>
          <w:lang w:val="en-GB"/>
        </w:rPr>
        <w:t xml:space="preserve">. </w:t>
      </w:r>
    </w:p>
    <w:p w14:paraId="4887E96C" w14:textId="77777777" w:rsidR="0030491F" w:rsidRPr="0030491F" w:rsidRDefault="0030491F" w:rsidP="0030491F">
      <w:pPr>
        <w:pStyle w:val="Liststycke"/>
        <w:rPr>
          <w:rFonts w:cs="Arial"/>
          <w:szCs w:val="22"/>
          <w:lang w:val="en-GB"/>
        </w:rPr>
      </w:pPr>
    </w:p>
    <w:p w14:paraId="1DB450A8" w14:textId="3384E869" w:rsidR="009067B3" w:rsidRPr="00317F1D" w:rsidRDefault="00317F1D" w:rsidP="00412631">
      <w:pPr>
        <w:pStyle w:val="Liststycke"/>
        <w:numPr>
          <w:ilvl w:val="0"/>
          <w:numId w:val="45"/>
        </w:numPr>
        <w:spacing w:after="0"/>
        <w:rPr>
          <w:rFonts w:cs="Arial"/>
          <w:lang w:val="en-GB"/>
        </w:rPr>
      </w:pPr>
      <w:r w:rsidRPr="44F89E40">
        <w:rPr>
          <w:rFonts w:cs="Arial"/>
          <w:lang w:val="en-GB"/>
        </w:rPr>
        <w:t>Further i</w:t>
      </w:r>
      <w:r w:rsidR="009067B3" w:rsidRPr="44F89E40">
        <w:rPr>
          <w:rFonts w:cs="Arial"/>
          <w:lang w:val="en-GB"/>
        </w:rPr>
        <w:t xml:space="preserve">nformation </w:t>
      </w:r>
      <w:r w:rsidRPr="44F89E40">
        <w:rPr>
          <w:rFonts w:cs="Arial"/>
          <w:lang w:val="en-GB"/>
        </w:rPr>
        <w:t xml:space="preserve">is </w:t>
      </w:r>
      <w:r w:rsidR="009067B3" w:rsidRPr="44F89E40">
        <w:rPr>
          <w:rFonts w:cs="Arial"/>
          <w:lang w:val="en-GB"/>
        </w:rPr>
        <w:t>required on the methodology to be applied to determine which countries will have to surrender their profits to the market jurisdictions</w:t>
      </w:r>
      <w:r w:rsidRPr="44F89E40">
        <w:rPr>
          <w:rFonts w:cs="Arial"/>
          <w:lang w:val="en-GB"/>
        </w:rPr>
        <w:t xml:space="preserve">. </w:t>
      </w:r>
      <w:r w:rsidR="009067B3" w:rsidRPr="44F89E40">
        <w:rPr>
          <w:rFonts w:cs="Arial"/>
          <w:lang w:val="en-GB"/>
        </w:rPr>
        <w:t xml:space="preserve">This </w:t>
      </w:r>
      <w:r w:rsidR="009067B3" w:rsidRPr="44F89E40">
        <w:rPr>
          <w:rFonts w:cs="Arial"/>
          <w:lang w:val="en-GB"/>
        </w:rPr>
        <w:lastRenderedPageBreak/>
        <w:t xml:space="preserve">information is required in order for </w:t>
      </w:r>
      <w:r w:rsidR="00E75913" w:rsidRPr="44F89E40">
        <w:rPr>
          <w:rFonts w:cs="Arial"/>
          <w:lang w:val="en-GB"/>
        </w:rPr>
        <w:t>businesses</w:t>
      </w:r>
      <w:r w:rsidR="009067B3" w:rsidRPr="44F89E40">
        <w:rPr>
          <w:rFonts w:cs="Arial"/>
          <w:lang w:val="en-GB"/>
        </w:rPr>
        <w:t xml:space="preserve"> to determine </w:t>
      </w:r>
      <w:r w:rsidR="007F6427">
        <w:rPr>
          <w:rFonts w:cs="Arial"/>
          <w:lang w:val="en-GB"/>
        </w:rPr>
        <w:t>whether</w:t>
      </w:r>
      <w:r w:rsidR="009067B3" w:rsidRPr="205E2717">
        <w:rPr>
          <w:rFonts w:cs="Arial"/>
          <w:lang w:val="en-GB"/>
        </w:rPr>
        <w:t xml:space="preserve"> </w:t>
      </w:r>
      <w:r w:rsidR="009067B3" w:rsidRPr="75ECD497">
        <w:rPr>
          <w:rFonts w:cs="Arial"/>
          <w:lang w:val="en-GB"/>
        </w:rPr>
        <w:t>an</w:t>
      </w:r>
      <w:r w:rsidR="009067B3" w:rsidRPr="44F89E40">
        <w:rPr>
          <w:rFonts w:cs="Arial"/>
          <w:lang w:val="en-GB"/>
        </w:rPr>
        <w:t xml:space="preserve"> equitable result that is aligned with Pillar </w:t>
      </w:r>
      <w:r w:rsidR="00C80DBB" w:rsidRPr="44F89E40">
        <w:rPr>
          <w:rFonts w:cs="Arial"/>
          <w:lang w:val="en-GB"/>
        </w:rPr>
        <w:t>One</w:t>
      </w:r>
      <w:r w:rsidR="009067B3" w:rsidRPr="44F89E40">
        <w:rPr>
          <w:rFonts w:cs="Arial"/>
          <w:lang w:val="en-GB"/>
        </w:rPr>
        <w:t xml:space="preserve"> policy objectives can be achieved. </w:t>
      </w:r>
    </w:p>
    <w:p w14:paraId="29870065" w14:textId="77777777" w:rsidR="009067B3" w:rsidRPr="009067B3" w:rsidRDefault="009067B3" w:rsidP="00E75913">
      <w:pPr>
        <w:pStyle w:val="Liststycke"/>
        <w:spacing w:after="0"/>
        <w:rPr>
          <w:rFonts w:cs="Arial"/>
          <w:szCs w:val="22"/>
          <w:lang w:val="en-GB"/>
        </w:rPr>
      </w:pPr>
    </w:p>
    <w:p w14:paraId="0E4AE537" w14:textId="77777777" w:rsidR="002470E5" w:rsidRDefault="009067B3" w:rsidP="002470E5">
      <w:pPr>
        <w:pStyle w:val="Liststycke"/>
        <w:spacing w:after="0"/>
        <w:rPr>
          <w:rFonts w:cs="Arial"/>
          <w:szCs w:val="22"/>
          <w:lang w:val="en-GB"/>
        </w:rPr>
      </w:pPr>
      <w:r w:rsidRPr="009067B3">
        <w:rPr>
          <w:rFonts w:cs="Arial"/>
          <w:szCs w:val="22"/>
          <w:lang w:val="en-GB"/>
        </w:rPr>
        <w:t>Further, this methodology should make clear that profits that are not re-allocated to the market jurisdiction will continue to be taxed in the jurisdictions in which they arise, based on the location of Functions, Assets and Risks.</w:t>
      </w:r>
    </w:p>
    <w:p w14:paraId="6BC65B07" w14:textId="77777777" w:rsidR="002470E5" w:rsidRDefault="002470E5" w:rsidP="002470E5">
      <w:pPr>
        <w:pStyle w:val="Liststycke"/>
        <w:spacing w:after="0"/>
        <w:rPr>
          <w:rFonts w:cs="Arial"/>
          <w:szCs w:val="22"/>
          <w:lang w:val="en-GB"/>
        </w:rPr>
      </w:pPr>
    </w:p>
    <w:p w14:paraId="6911D59C" w14:textId="3E293D53" w:rsidR="007F7371" w:rsidRDefault="002470E5" w:rsidP="002470E5">
      <w:pPr>
        <w:pStyle w:val="Liststycke"/>
        <w:numPr>
          <w:ilvl w:val="0"/>
          <w:numId w:val="45"/>
        </w:numPr>
        <w:spacing w:after="0"/>
        <w:rPr>
          <w:rFonts w:cs="Arial"/>
          <w:lang w:val="en-GB"/>
        </w:rPr>
      </w:pPr>
      <w:r w:rsidRPr="29F5F995">
        <w:rPr>
          <w:rFonts w:cs="Arial"/>
          <w:lang w:val="en-GB"/>
        </w:rPr>
        <w:t>Further c</w:t>
      </w:r>
      <w:r w:rsidR="007F7371" w:rsidRPr="29F5F995">
        <w:rPr>
          <w:rFonts w:cs="Arial"/>
          <w:lang w:val="en-GB"/>
        </w:rPr>
        <w:t xml:space="preserve">larity is required as to how Pillar </w:t>
      </w:r>
      <w:r w:rsidR="00F11658" w:rsidRPr="29F5F995">
        <w:rPr>
          <w:rFonts w:cs="Arial"/>
          <w:lang w:val="en-GB"/>
        </w:rPr>
        <w:t>One</w:t>
      </w:r>
      <w:r w:rsidR="007F7371" w:rsidRPr="29F5F995">
        <w:rPr>
          <w:rFonts w:cs="Arial"/>
          <w:lang w:val="en-GB"/>
        </w:rPr>
        <w:t xml:space="preserve"> will interact with Pillar </w:t>
      </w:r>
      <w:r w:rsidR="00F11658" w:rsidRPr="29F5F995">
        <w:rPr>
          <w:rFonts w:cs="Arial"/>
          <w:lang w:val="en-GB"/>
        </w:rPr>
        <w:t>Two</w:t>
      </w:r>
      <w:r w:rsidR="007F7371" w:rsidRPr="29F5F995">
        <w:rPr>
          <w:rFonts w:cs="Arial"/>
          <w:lang w:val="en-GB"/>
        </w:rPr>
        <w:t xml:space="preserve"> (</w:t>
      </w:r>
      <w:r w:rsidR="002E6F18" w:rsidRPr="29F5F995">
        <w:rPr>
          <w:rFonts w:cs="Arial"/>
          <w:lang w:val="en-GB"/>
        </w:rPr>
        <w:t>i.e.,</w:t>
      </w:r>
      <w:r w:rsidR="007F7371" w:rsidRPr="29F5F995">
        <w:rPr>
          <w:rFonts w:cs="Arial"/>
          <w:lang w:val="en-GB"/>
        </w:rPr>
        <w:t xml:space="preserve"> order of application of rules, elimination of double taxation</w:t>
      </w:r>
      <w:r w:rsidR="007F7371" w:rsidRPr="5BA8A330">
        <w:rPr>
          <w:rFonts w:cs="Arial"/>
          <w:lang w:val="en-GB"/>
        </w:rPr>
        <w:t>,</w:t>
      </w:r>
      <w:r w:rsidR="007F7371" w:rsidRPr="29F5F995">
        <w:rPr>
          <w:rFonts w:cs="Arial"/>
          <w:lang w:val="en-GB"/>
        </w:rPr>
        <w:t xml:space="preserve"> etc).</w:t>
      </w:r>
    </w:p>
    <w:p w14:paraId="7D8BEA78" w14:textId="29A344E8" w:rsidR="002D7032" w:rsidRDefault="002D7032" w:rsidP="002D7032">
      <w:pPr>
        <w:spacing w:after="0"/>
        <w:rPr>
          <w:rFonts w:cs="Arial"/>
          <w:szCs w:val="22"/>
          <w:lang w:val="en-GB"/>
        </w:rPr>
      </w:pPr>
    </w:p>
    <w:p w14:paraId="0147D72F" w14:textId="61F83901" w:rsidR="002D7032" w:rsidRPr="00055F32" w:rsidRDefault="002D7032" w:rsidP="002D7032">
      <w:pPr>
        <w:pStyle w:val="Liststycke"/>
        <w:numPr>
          <w:ilvl w:val="0"/>
          <w:numId w:val="45"/>
        </w:numPr>
        <w:spacing w:after="0"/>
        <w:rPr>
          <w:rFonts w:cs="Arial"/>
          <w:lang w:val="en-GB"/>
        </w:rPr>
      </w:pPr>
      <w:r w:rsidRPr="00055F32">
        <w:rPr>
          <w:rFonts w:cs="Arial"/>
          <w:lang w:val="en-GB"/>
        </w:rPr>
        <w:t xml:space="preserve">The scope of Pillar One has changed significantly since the inception of the work, </w:t>
      </w:r>
      <w:r>
        <w:rPr>
          <w:rFonts w:cs="Arial"/>
          <w:lang w:val="en-GB"/>
        </w:rPr>
        <w:t xml:space="preserve">to </w:t>
      </w:r>
      <w:r w:rsidRPr="00055F32">
        <w:rPr>
          <w:rFonts w:cs="Arial"/>
          <w:lang w:val="en-GB"/>
        </w:rPr>
        <w:t xml:space="preserve">include all types of businesses. ICC members believe that further work is required to </w:t>
      </w:r>
      <w:r>
        <w:rPr>
          <w:rFonts w:cs="Arial"/>
          <w:lang w:val="en-GB"/>
        </w:rPr>
        <w:t xml:space="preserve">address </w:t>
      </w:r>
      <w:r w:rsidRPr="00055F32">
        <w:rPr>
          <w:rFonts w:cs="Arial"/>
          <w:lang w:val="en-GB"/>
        </w:rPr>
        <w:t>all possible type</w:t>
      </w:r>
      <w:r>
        <w:rPr>
          <w:rFonts w:cs="Arial"/>
          <w:lang w:val="en-GB"/>
        </w:rPr>
        <w:t>s</w:t>
      </w:r>
      <w:r w:rsidRPr="00055F32">
        <w:rPr>
          <w:rFonts w:cs="Arial"/>
          <w:lang w:val="en-GB"/>
        </w:rPr>
        <w:t xml:space="preserve"> of transactions for the allocation of Amount A and </w:t>
      </w:r>
      <w:r>
        <w:rPr>
          <w:rFonts w:cs="Arial"/>
          <w:lang w:val="en-GB"/>
        </w:rPr>
        <w:t xml:space="preserve">to ensure that </w:t>
      </w:r>
      <w:r w:rsidRPr="00055F32">
        <w:rPr>
          <w:rFonts w:cs="Arial"/>
          <w:lang w:val="en-GB"/>
        </w:rPr>
        <w:t xml:space="preserve">all types of in-scope businesses are considered. </w:t>
      </w:r>
      <w:r>
        <w:rPr>
          <w:rFonts w:cs="Arial"/>
          <w:lang w:val="en-GB"/>
        </w:rPr>
        <w:t>As a result of the broader scope</w:t>
      </w:r>
      <w:r w:rsidRPr="00055F32">
        <w:rPr>
          <w:rFonts w:cs="Arial"/>
          <w:lang w:val="en-GB"/>
        </w:rPr>
        <w:t xml:space="preserve">, it is </w:t>
      </w:r>
      <w:r>
        <w:rPr>
          <w:rFonts w:cs="Arial"/>
          <w:lang w:val="en-GB"/>
        </w:rPr>
        <w:t xml:space="preserve">necessary to consider </w:t>
      </w:r>
      <w:r w:rsidRPr="00055F32">
        <w:rPr>
          <w:rFonts w:cs="Arial"/>
          <w:lang w:val="en-GB"/>
        </w:rPr>
        <w:t xml:space="preserve">all possible activities </w:t>
      </w:r>
      <w:r>
        <w:rPr>
          <w:rFonts w:cs="Arial"/>
          <w:lang w:val="en-GB"/>
        </w:rPr>
        <w:t xml:space="preserve">when developing </w:t>
      </w:r>
      <w:r w:rsidRPr="00055F32">
        <w:rPr>
          <w:rFonts w:cs="Arial"/>
          <w:lang w:val="en-GB"/>
        </w:rPr>
        <w:t>the rules</w:t>
      </w:r>
      <w:r>
        <w:rPr>
          <w:rFonts w:cs="Arial"/>
          <w:lang w:val="en-GB"/>
        </w:rPr>
        <w:t>, in order for the rules to be practicable for businesses and tax authorities</w:t>
      </w:r>
      <w:r w:rsidRPr="00055F32">
        <w:rPr>
          <w:rFonts w:cs="Arial"/>
          <w:lang w:val="en-GB"/>
        </w:rPr>
        <w:t>.</w:t>
      </w:r>
    </w:p>
    <w:p w14:paraId="7797453B" w14:textId="77777777" w:rsidR="002D7032" w:rsidRPr="002D7032" w:rsidRDefault="002D7032" w:rsidP="002D7032">
      <w:pPr>
        <w:spacing w:after="0"/>
        <w:rPr>
          <w:rFonts w:cs="Arial"/>
          <w:szCs w:val="22"/>
          <w:lang w:val="en-GB"/>
        </w:rPr>
      </w:pPr>
    </w:p>
    <w:p w14:paraId="0E852EEB" w14:textId="14AA46D8" w:rsidR="00D22066" w:rsidRPr="00D90175" w:rsidRDefault="00D22066" w:rsidP="00D90175">
      <w:pPr>
        <w:spacing w:after="0"/>
        <w:rPr>
          <w:rFonts w:cs="Arial"/>
          <w:b/>
          <w:color w:val="0070C0"/>
          <w:sz w:val="26"/>
          <w:szCs w:val="26"/>
          <w:u w:val="single"/>
          <w:lang w:val="en-GB"/>
        </w:rPr>
      </w:pPr>
    </w:p>
    <w:p w14:paraId="4407B394" w14:textId="10DD95DA" w:rsidR="00326C7C" w:rsidRPr="00D90175" w:rsidRDefault="00326C7C" w:rsidP="00D90175">
      <w:pPr>
        <w:spacing w:after="0"/>
        <w:contextualSpacing/>
        <w:rPr>
          <w:rFonts w:cs="Arial"/>
          <w:b/>
          <w:bCs/>
          <w:color w:val="0070C0"/>
          <w:sz w:val="26"/>
          <w:szCs w:val="26"/>
          <w:u w:val="single"/>
          <w:lang w:val="en-GB"/>
        </w:rPr>
      </w:pPr>
      <w:r w:rsidRPr="00D90175">
        <w:rPr>
          <w:rFonts w:cs="Arial"/>
          <w:b/>
          <w:color w:val="0070C0"/>
          <w:sz w:val="26"/>
          <w:szCs w:val="26"/>
          <w:u w:val="single"/>
          <w:lang w:val="en-GB"/>
        </w:rPr>
        <w:t xml:space="preserve">Specific </w:t>
      </w:r>
      <w:r w:rsidR="00A96738" w:rsidRPr="00D90175">
        <w:rPr>
          <w:rFonts w:cs="Arial"/>
          <w:b/>
          <w:color w:val="0070C0"/>
          <w:sz w:val="26"/>
          <w:szCs w:val="26"/>
          <w:u w:val="single"/>
          <w:lang w:val="en-GB"/>
        </w:rPr>
        <w:t>comments</w:t>
      </w:r>
      <w:r w:rsidRPr="00D90175">
        <w:rPr>
          <w:rFonts w:cs="Arial"/>
          <w:b/>
          <w:bCs/>
          <w:color w:val="0070C0"/>
          <w:sz w:val="26"/>
          <w:szCs w:val="26"/>
          <w:u w:val="single"/>
          <w:lang w:val="en-GB"/>
        </w:rPr>
        <w:t>:</w:t>
      </w:r>
    </w:p>
    <w:p w14:paraId="76811246" w14:textId="75100030" w:rsidR="00326C7C" w:rsidRPr="00D90175" w:rsidRDefault="00326C7C" w:rsidP="00D90175">
      <w:pPr>
        <w:spacing w:after="0"/>
        <w:contextualSpacing/>
        <w:rPr>
          <w:rFonts w:cs="Arial"/>
          <w:szCs w:val="22"/>
          <w:lang w:val="en-GB"/>
        </w:rPr>
      </w:pPr>
    </w:p>
    <w:p w14:paraId="0C7D4DD4" w14:textId="23B8BC62" w:rsidR="00B2454B" w:rsidRPr="00B2454B" w:rsidRDefault="004D6619" w:rsidP="00B2454B">
      <w:pPr>
        <w:pStyle w:val="Liststycke"/>
        <w:numPr>
          <w:ilvl w:val="0"/>
          <w:numId w:val="44"/>
        </w:numPr>
        <w:spacing w:after="0"/>
        <w:rPr>
          <w:rFonts w:eastAsia="Arial" w:cs="Arial"/>
          <w:szCs w:val="22"/>
          <w:lang w:val="en-GB"/>
        </w:rPr>
      </w:pPr>
      <w:r>
        <w:rPr>
          <w:rFonts w:eastAsia="Arial" w:cs="Arial"/>
          <w:szCs w:val="22"/>
          <w:lang w:val="en-GB"/>
        </w:rPr>
        <w:t xml:space="preserve">Background </w:t>
      </w:r>
      <w:r w:rsidR="00B2454B">
        <w:rPr>
          <w:rFonts w:eastAsia="Arial" w:cs="Arial"/>
          <w:szCs w:val="22"/>
          <w:lang w:val="en-GB"/>
        </w:rPr>
        <w:t>[page 3] - state</w:t>
      </w:r>
      <w:r w:rsidR="00B2454B" w:rsidRPr="00B2454B">
        <w:rPr>
          <w:rFonts w:eastAsia="Arial" w:cs="Arial"/>
          <w:szCs w:val="22"/>
          <w:lang w:val="en-GB"/>
        </w:rPr>
        <w:t>s that "</w:t>
      </w:r>
      <w:r w:rsidR="00B2454B" w:rsidRPr="00B90041">
        <w:rPr>
          <w:rFonts w:eastAsia="Arial" w:cs="Arial"/>
          <w:szCs w:val="22"/>
          <w:lang w:val="en-GB"/>
        </w:rPr>
        <w:t>Further changes may also be needed once the scope exclusions for Regulated Financial Services and Extractives have been agreed, to ensure that there is an appropriate revenue sourcing rule for all relevant types of income.</w:t>
      </w:r>
      <w:r w:rsidR="00B2454B" w:rsidRPr="00B2454B">
        <w:rPr>
          <w:rFonts w:eastAsia="Arial" w:cs="Arial"/>
          <w:szCs w:val="22"/>
          <w:lang w:val="en-GB"/>
        </w:rPr>
        <w:t>"</w:t>
      </w:r>
    </w:p>
    <w:p w14:paraId="3E1F813A" w14:textId="77777777" w:rsidR="00B2454B" w:rsidRPr="00B2454B" w:rsidRDefault="00B2454B" w:rsidP="00B2454B">
      <w:pPr>
        <w:pStyle w:val="Liststycke"/>
        <w:spacing w:after="0"/>
        <w:rPr>
          <w:rFonts w:eastAsia="Arial" w:cs="Arial"/>
          <w:szCs w:val="22"/>
          <w:lang w:val="en-GB"/>
        </w:rPr>
      </w:pPr>
    </w:p>
    <w:p w14:paraId="40516D27" w14:textId="0D9A3585" w:rsidR="004D6619" w:rsidRDefault="00260717" w:rsidP="00B2454B">
      <w:pPr>
        <w:pStyle w:val="Liststycke"/>
        <w:spacing w:after="0"/>
        <w:rPr>
          <w:rFonts w:eastAsia="Arial" w:cs="Arial"/>
          <w:lang w:val="en-GB"/>
        </w:rPr>
      </w:pPr>
      <w:r w:rsidRPr="01EFF3BC">
        <w:rPr>
          <w:rFonts w:eastAsia="Arial" w:cs="Arial"/>
          <w:lang w:val="en-GB"/>
        </w:rPr>
        <w:t>ICC notes that e</w:t>
      </w:r>
      <w:r w:rsidR="00B2454B" w:rsidRPr="01EFF3BC">
        <w:rPr>
          <w:rFonts w:eastAsia="Arial" w:cs="Arial"/>
          <w:lang w:val="en-GB"/>
        </w:rPr>
        <w:t>xtractive</w:t>
      </w:r>
      <w:r w:rsidR="00B2454B" w:rsidRPr="00DE3FC3">
        <w:rPr>
          <w:rFonts w:eastAsia="Arial" w:cs="Arial"/>
          <w:lang w:val="en-GB"/>
        </w:rPr>
        <w:t xml:space="preserve">s </w:t>
      </w:r>
      <w:r w:rsidR="00B2454B" w:rsidRPr="01EFF3BC">
        <w:rPr>
          <w:rFonts w:eastAsia="Arial" w:cs="Arial"/>
          <w:lang w:val="en-GB"/>
        </w:rPr>
        <w:t>companies should be given sufficient time to provide comments on the updated wording before it is finali</w:t>
      </w:r>
      <w:r w:rsidR="00272F95" w:rsidRPr="01EFF3BC">
        <w:rPr>
          <w:rFonts w:eastAsia="Arial" w:cs="Arial"/>
          <w:lang w:val="en-GB"/>
        </w:rPr>
        <w:t>s</w:t>
      </w:r>
      <w:r w:rsidR="00B2454B" w:rsidRPr="01EFF3BC">
        <w:rPr>
          <w:rFonts w:eastAsia="Arial" w:cs="Arial"/>
          <w:lang w:val="en-GB"/>
        </w:rPr>
        <w:t>ed. To this end</w:t>
      </w:r>
      <w:r w:rsidR="00B2454B" w:rsidRPr="735F3A7C">
        <w:rPr>
          <w:rFonts w:eastAsia="Arial" w:cs="Arial"/>
          <w:lang w:val="en-GB"/>
        </w:rPr>
        <w:t>,</w:t>
      </w:r>
      <w:r w:rsidR="00B2454B" w:rsidRPr="01EFF3BC">
        <w:rPr>
          <w:rFonts w:eastAsia="Arial" w:cs="Arial"/>
          <w:lang w:val="en-GB"/>
        </w:rPr>
        <w:t xml:space="preserve"> it would be beneficial </w:t>
      </w:r>
      <w:r w:rsidR="00464490" w:rsidRPr="01EFF3BC">
        <w:rPr>
          <w:rFonts w:eastAsia="Arial" w:cs="Arial"/>
          <w:lang w:val="en-GB"/>
        </w:rPr>
        <w:t>to have</w:t>
      </w:r>
      <w:r w:rsidR="00B2454B" w:rsidRPr="01EFF3BC">
        <w:rPr>
          <w:rFonts w:eastAsia="Arial" w:cs="Arial"/>
          <w:lang w:val="en-GB"/>
        </w:rPr>
        <w:t xml:space="preserve"> a more focused consultation with the top MNE groups that will be impacted.</w:t>
      </w:r>
    </w:p>
    <w:p w14:paraId="53B7D548" w14:textId="77777777" w:rsidR="00B2454B" w:rsidRDefault="00B2454B" w:rsidP="00B2454B">
      <w:pPr>
        <w:pStyle w:val="Liststycke"/>
        <w:spacing w:after="0"/>
        <w:rPr>
          <w:rFonts w:eastAsia="Arial" w:cs="Arial"/>
          <w:szCs w:val="22"/>
          <w:lang w:val="en-GB"/>
        </w:rPr>
      </w:pPr>
    </w:p>
    <w:p w14:paraId="4B4E8BDE" w14:textId="4E0AFC3E" w:rsidR="006B7001" w:rsidRDefault="00D84645" w:rsidP="00412631">
      <w:pPr>
        <w:pStyle w:val="Liststycke"/>
        <w:numPr>
          <w:ilvl w:val="0"/>
          <w:numId w:val="44"/>
        </w:numPr>
        <w:spacing w:after="0"/>
        <w:textAlignment w:val="center"/>
        <w:rPr>
          <w:i/>
          <w:iCs/>
        </w:rPr>
      </w:pPr>
      <w:r w:rsidRPr="00A04D81">
        <w:rPr>
          <w:rFonts w:eastAsia="Arial" w:cs="Arial"/>
          <w:szCs w:val="22"/>
          <w:lang w:val="en-GB"/>
        </w:rPr>
        <w:t>General Articles – Nexus Test [page 5]</w:t>
      </w:r>
      <w:r w:rsidR="00A04D81" w:rsidRPr="00A04D81">
        <w:rPr>
          <w:rFonts w:eastAsia="Arial" w:cs="Arial"/>
          <w:szCs w:val="22"/>
          <w:lang w:val="en-GB"/>
        </w:rPr>
        <w:t xml:space="preserve"> - </w:t>
      </w:r>
      <w:r w:rsidR="00A04D81">
        <w:rPr>
          <w:rFonts w:eastAsia="Arial" w:cs="Arial"/>
          <w:szCs w:val="22"/>
          <w:lang w:val="en-GB"/>
        </w:rPr>
        <w:t>t</w:t>
      </w:r>
      <w:r w:rsidR="006B7001">
        <w:t xml:space="preserve">he draft guidelines state </w:t>
      </w:r>
      <w:r w:rsidR="001B692F">
        <w:t>that “</w:t>
      </w:r>
      <w:r w:rsidR="0077335A" w:rsidRPr="00272F95">
        <w:t>The nexus test is satisfied for a Period if the Revenues</w:t>
      </w:r>
      <w:r w:rsidR="0041230B" w:rsidRPr="00272F95">
        <w:rPr>
          <w:rStyle w:val="Fotnotsreferens"/>
        </w:rPr>
        <w:footnoteReference w:id="2"/>
      </w:r>
      <w:r w:rsidR="0077335A" w:rsidRPr="00272F95">
        <w:t xml:space="preserve"> of a Covered Group arising in [a Jurisdiction] pursuant to [reference to the Article on Source rules] for the Period are equal to or greater than [EUR 1 million / EUR 250 thousand].</w:t>
      </w:r>
      <w:r w:rsidR="00290E3B" w:rsidRPr="00272F95">
        <w:rPr>
          <w:rStyle w:val="Fotnotsreferens"/>
        </w:rPr>
        <w:footnoteReference w:id="3"/>
      </w:r>
      <w:r w:rsidR="00A04D81">
        <w:rPr>
          <w:i/>
          <w:iCs/>
        </w:rPr>
        <w:t>”</w:t>
      </w:r>
    </w:p>
    <w:p w14:paraId="167BC33F" w14:textId="77777777" w:rsidR="00A04D81" w:rsidRPr="00A04D81" w:rsidRDefault="00A04D81" w:rsidP="00A04D81">
      <w:pPr>
        <w:pStyle w:val="Liststycke"/>
        <w:spacing w:after="0"/>
        <w:textAlignment w:val="center"/>
        <w:rPr>
          <w:i/>
          <w:iCs/>
        </w:rPr>
      </w:pPr>
    </w:p>
    <w:p w14:paraId="205949C7" w14:textId="73DF3C46" w:rsidR="006B7001" w:rsidRPr="00965959" w:rsidRDefault="00A04D81" w:rsidP="00965959">
      <w:pPr>
        <w:ind w:left="720"/>
        <w:textAlignment w:val="center"/>
        <w:rPr>
          <w:szCs w:val="22"/>
        </w:rPr>
      </w:pPr>
      <w:r>
        <w:t>ICC notes that t</w:t>
      </w:r>
      <w:r w:rsidR="006B7001">
        <w:t xml:space="preserve">he guidelines should make clear that the threshold test will be applied to an MNE group after the Extractive and Regulated Financial Services carve out to determine whether or not the Group’s remaining activities (on a consolidated basis) are in scope for Pillar </w:t>
      </w:r>
      <w:r>
        <w:t>One</w:t>
      </w:r>
      <w:r w:rsidR="006B7001">
        <w:t xml:space="preserve">. </w:t>
      </w:r>
    </w:p>
    <w:p w14:paraId="70937150" w14:textId="77777777" w:rsidR="00D84645" w:rsidRPr="006B7001" w:rsidRDefault="00D84645" w:rsidP="00D84645">
      <w:pPr>
        <w:pStyle w:val="Liststycke"/>
        <w:spacing w:after="0"/>
        <w:rPr>
          <w:rFonts w:eastAsia="Arial" w:cs="Arial"/>
          <w:szCs w:val="22"/>
        </w:rPr>
      </w:pPr>
    </w:p>
    <w:p w14:paraId="3DFBC15E" w14:textId="2CE224DB" w:rsidR="003A06E9" w:rsidRPr="00D90175" w:rsidRDefault="003A06E9" w:rsidP="00D90175">
      <w:pPr>
        <w:pStyle w:val="Liststycke"/>
        <w:numPr>
          <w:ilvl w:val="0"/>
          <w:numId w:val="44"/>
        </w:numPr>
        <w:spacing w:after="0"/>
        <w:rPr>
          <w:rFonts w:eastAsia="Arial" w:cs="Arial"/>
          <w:szCs w:val="22"/>
          <w:lang w:val="en-GB"/>
        </w:rPr>
      </w:pPr>
      <w:r w:rsidRPr="00D90175">
        <w:rPr>
          <w:rFonts w:eastAsia="Arial" w:cs="Arial"/>
          <w:szCs w:val="22"/>
          <w:lang w:val="en-GB"/>
        </w:rPr>
        <w:t>Footnote 3 [page 6]</w:t>
      </w:r>
      <w:r w:rsidR="00FA0402" w:rsidRPr="00D90175">
        <w:rPr>
          <w:rFonts w:eastAsia="Arial" w:cs="Arial"/>
          <w:szCs w:val="22"/>
          <w:lang w:val="en-GB"/>
        </w:rPr>
        <w:t xml:space="preserve"> </w:t>
      </w:r>
      <w:r w:rsidR="00543F5E" w:rsidRPr="00D90175">
        <w:rPr>
          <w:rFonts w:eastAsia="Arial" w:cs="Arial"/>
          <w:szCs w:val="22"/>
          <w:lang w:val="en-GB"/>
        </w:rPr>
        <w:t>notes</w:t>
      </w:r>
      <w:r w:rsidR="00FA0402" w:rsidRPr="00D90175">
        <w:rPr>
          <w:rFonts w:eastAsia="Arial" w:cs="Arial"/>
          <w:szCs w:val="22"/>
          <w:lang w:val="en-GB"/>
        </w:rPr>
        <w:t xml:space="preserve"> that</w:t>
      </w:r>
      <w:r w:rsidRPr="00D90175">
        <w:rPr>
          <w:rFonts w:eastAsia="Arial" w:cs="Arial"/>
          <w:szCs w:val="22"/>
          <w:lang w:val="en-GB"/>
        </w:rPr>
        <w:t xml:space="preserve"> “the Covered Group is not required to retain that data on every item”, </w:t>
      </w:r>
      <w:r w:rsidR="002A47EC">
        <w:rPr>
          <w:rFonts w:eastAsia="Arial" w:cs="Arial"/>
          <w:szCs w:val="22"/>
          <w:lang w:val="en-GB"/>
        </w:rPr>
        <w:t>and that “</w:t>
      </w:r>
      <w:r w:rsidRPr="00D90175">
        <w:rPr>
          <w:rFonts w:eastAsia="Arial" w:cs="Arial"/>
          <w:szCs w:val="22"/>
          <w:lang w:val="en-GB"/>
        </w:rPr>
        <w:t xml:space="preserve">the </w:t>
      </w:r>
      <w:r w:rsidR="00A71055">
        <w:rPr>
          <w:rFonts w:eastAsia="Arial" w:cs="Arial"/>
          <w:szCs w:val="22"/>
          <w:lang w:val="en-GB"/>
        </w:rPr>
        <w:t xml:space="preserve">approach to </w:t>
      </w:r>
      <w:r w:rsidR="002A47EC">
        <w:rPr>
          <w:rFonts w:eastAsia="Arial" w:cs="Arial"/>
          <w:szCs w:val="22"/>
          <w:lang w:val="en-GB"/>
        </w:rPr>
        <w:t xml:space="preserve">compliance </w:t>
      </w:r>
      <w:r w:rsidR="00A71055">
        <w:rPr>
          <w:rFonts w:eastAsia="Arial" w:cs="Arial"/>
          <w:szCs w:val="22"/>
          <w:lang w:val="en-GB"/>
        </w:rPr>
        <w:t>is</w:t>
      </w:r>
      <w:r w:rsidR="002A47EC">
        <w:rPr>
          <w:rFonts w:eastAsia="Arial" w:cs="Arial"/>
          <w:szCs w:val="22"/>
          <w:lang w:val="en-GB"/>
        </w:rPr>
        <w:t xml:space="preserve"> </w:t>
      </w:r>
      <w:r w:rsidRPr="00D90175">
        <w:rPr>
          <w:rFonts w:eastAsia="Arial" w:cs="Arial"/>
          <w:szCs w:val="22"/>
          <w:lang w:val="en-GB"/>
        </w:rPr>
        <w:t xml:space="preserve">at a system level, </w:t>
      </w:r>
      <w:r w:rsidRPr="00D90175">
        <w:rPr>
          <w:rFonts w:eastAsia="Arial" w:cs="Arial"/>
          <w:szCs w:val="22"/>
          <w:lang w:val="en-GB"/>
        </w:rPr>
        <w:lastRenderedPageBreak/>
        <w:t>and not at an individual transaction level”. However, without the</w:t>
      </w:r>
      <w:r w:rsidR="00434620" w:rsidRPr="00D90175">
        <w:rPr>
          <w:rFonts w:eastAsia="Arial" w:cs="Arial"/>
          <w:szCs w:val="22"/>
          <w:lang w:val="en-GB"/>
        </w:rPr>
        <w:t xml:space="preserve"> </w:t>
      </w:r>
      <w:r w:rsidRPr="00D90175">
        <w:rPr>
          <w:rFonts w:eastAsia="Arial" w:cs="Arial"/>
          <w:szCs w:val="22"/>
          <w:lang w:val="en-GB"/>
        </w:rPr>
        <w:t xml:space="preserve">“data on every item”, </w:t>
      </w:r>
      <w:r w:rsidR="00434620" w:rsidRPr="00D90175">
        <w:rPr>
          <w:rFonts w:eastAsia="Arial" w:cs="Arial"/>
          <w:szCs w:val="22"/>
          <w:lang w:val="en-GB"/>
        </w:rPr>
        <w:t xml:space="preserve">it is unclear how to </w:t>
      </w:r>
      <w:r w:rsidR="007E66DA" w:rsidRPr="00D90175">
        <w:rPr>
          <w:rFonts w:eastAsia="Arial" w:cs="Arial"/>
          <w:szCs w:val="22"/>
          <w:lang w:val="en-GB"/>
        </w:rPr>
        <w:t>assess</w:t>
      </w:r>
      <w:r w:rsidRPr="00D90175">
        <w:rPr>
          <w:rFonts w:eastAsia="Arial" w:cs="Arial"/>
          <w:szCs w:val="22"/>
          <w:lang w:val="en-GB"/>
        </w:rPr>
        <w:t xml:space="preserve"> the reliability of </w:t>
      </w:r>
      <w:r w:rsidR="007E66DA" w:rsidRPr="00D90175">
        <w:rPr>
          <w:rFonts w:eastAsia="Arial" w:cs="Arial"/>
          <w:szCs w:val="22"/>
          <w:lang w:val="en-GB"/>
        </w:rPr>
        <w:t>business</w:t>
      </w:r>
      <w:r w:rsidRPr="00D90175">
        <w:rPr>
          <w:rFonts w:eastAsia="Arial" w:cs="Arial"/>
          <w:szCs w:val="22"/>
          <w:lang w:val="en-GB"/>
        </w:rPr>
        <w:t xml:space="preserve"> </w:t>
      </w:r>
      <w:r w:rsidR="0022032A">
        <w:rPr>
          <w:rFonts w:eastAsia="Arial" w:cs="Arial"/>
          <w:szCs w:val="22"/>
          <w:lang w:val="en-GB"/>
        </w:rPr>
        <w:t>compliance approaches.</w:t>
      </w:r>
    </w:p>
    <w:p w14:paraId="718CDE27" w14:textId="77777777" w:rsidR="00434620" w:rsidRPr="00D90175" w:rsidRDefault="00434620" w:rsidP="00D90175">
      <w:pPr>
        <w:pStyle w:val="Liststycke"/>
        <w:spacing w:after="0"/>
        <w:rPr>
          <w:rFonts w:eastAsia="Arial" w:cs="Arial"/>
          <w:szCs w:val="22"/>
          <w:lang w:val="en-GB"/>
        </w:rPr>
      </w:pPr>
    </w:p>
    <w:p w14:paraId="055DFEF6" w14:textId="3625AEF9" w:rsidR="003A4D98" w:rsidRDefault="00972ECD" w:rsidP="00D90175">
      <w:pPr>
        <w:pStyle w:val="Liststycke"/>
        <w:numPr>
          <w:ilvl w:val="0"/>
          <w:numId w:val="44"/>
        </w:numPr>
        <w:spacing w:after="0"/>
        <w:rPr>
          <w:rFonts w:eastAsia="Arial" w:cs="Arial"/>
          <w:szCs w:val="22"/>
          <w:lang w:val="en-GB"/>
        </w:rPr>
      </w:pPr>
      <w:r>
        <w:rPr>
          <w:rFonts w:eastAsia="Arial" w:cs="Arial"/>
          <w:szCs w:val="22"/>
          <w:lang w:val="en-GB"/>
        </w:rPr>
        <w:t>General Articles d) i) [page 7] – “</w:t>
      </w:r>
      <w:r w:rsidR="003A4D98" w:rsidRPr="0022032A">
        <w:rPr>
          <w:rFonts w:eastAsia="Arial" w:cs="Arial"/>
          <w:szCs w:val="22"/>
          <w:lang w:val="en-GB"/>
        </w:rPr>
        <w:t>Revenues derived from a transaction for the provision of Cargo Transport Services arise in [a Jurisdiction] when the Place of Origin or the Place of Destination of the Cargo Transport Service is in [a Jurisdiction]</w:t>
      </w:r>
      <w:r>
        <w:rPr>
          <w:rFonts w:eastAsia="Arial" w:cs="Arial"/>
          <w:szCs w:val="22"/>
          <w:lang w:val="en-GB"/>
        </w:rPr>
        <w:t>”</w:t>
      </w:r>
    </w:p>
    <w:p w14:paraId="149F0089" w14:textId="77777777" w:rsidR="00B502AB" w:rsidRPr="00B502AB" w:rsidRDefault="00B502AB" w:rsidP="00B502AB">
      <w:pPr>
        <w:pStyle w:val="Liststycke"/>
        <w:rPr>
          <w:rFonts w:eastAsia="Arial" w:cs="Arial"/>
          <w:szCs w:val="22"/>
          <w:lang w:val="en-GB"/>
        </w:rPr>
      </w:pPr>
    </w:p>
    <w:p w14:paraId="020ACFBB" w14:textId="205510F2" w:rsidR="003A4D98" w:rsidRDefault="00710225" w:rsidP="003A4D98">
      <w:pPr>
        <w:pStyle w:val="Liststycke"/>
        <w:rPr>
          <w:rFonts w:cs="Arial"/>
          <w:lang w:val="en-GB"/>
        </w:rPr>
      </w:pPr>
      <w:r>
        <w:rPr>
          <w:rFonts w:cs="Arial"/>
          <w:lang w:val="en-GB"/>
        </w:rPr>
        <w:t>ICC members note that i</w:t>
      </w:r>
      <w:r w:rsidR="00B502AB" w:rsidRPr="00B502AB">
        <w:rPr>
          <w:rFonts w:cs="Arial"/>
          <w:lang w:val="en-GB"/>
        </w:rPr>
        <w:t>t is unclear as to how the taxing right will be split between the Jurisdiction of Origin and the Jurisdiction of Destination.</w:t>
      </w:r>
    </w:p>
    <w:p w14:paraId="5942FC4B" w14:textId="3610690A" w:rsidR="00B502AB" w:rsidRDefault="00B502AB" w:rsidP="003A4D98">
      <w:pPr>
        <w:pStyle w:val="Liststycke"/>
        <w:rPr>
          <w:rFonts w:cs="Arial"/>
          <w:lang w:val="en-GB"/>
        </w:rPr>
      </w:pPr>
    </w:p>
    <w:p w14:paraId="5672F67E" w14:textId="0A86CE3D" w:rsidR="00132A41" w:rsidRPr="00CC3A48" w:rsidRDefault="00132A41" w:rsidP="00412631">
      <w:pPr>
        <w:pStyle w:val="Liststycke"/>
        <w:numPr>
          <w:ilvl w:val="0"/>
          <w:numId w:val="44"/>
        </w:numPr>
        <w:spacing w:after="0"/>
        <w:rPr>
          <w:rFonts w:eastAsia="Arial" w:cs="Arial"/>
          <w:szCs w:val="22"/>
          <w:lang w:val="en-GB"/>
        </w:rPr>
      </w:pPr>
      <w:r w:rsidRPr="00CC3A48">
        <w:rPr>
          <w:rFonts w:eastAsia="Arial" w:cs="Arial"/>
          <w:szCs w:val="22"/>
          <w:lang w:val="en-GB"/>
        </w:rPr>
        <w:t xml:space="preserve">General Articles h) i) </w:t>
      </w:r>
      <w:r w:rsidR="00CC3A48" w:rsidRPr="00CC3A48">
        <w:rPr>
          <w:rFonts w:eastAsia="Arial" w:cs="Arial"/>
          <w:szCs w:val="22"/>
          <w:lang w:val="en-GB"/>
        </w:rPr>
        <w:t xml:space="preserve">[page 7] </w:t>
      </w:r>
      <w:r w:rsidR="00C8203F" w:rsidRPr="00CC3A48">
        <w:rPr>
          <w:rFonts w:eastAsia="Arial" w:cs="Arial"/>
          <w:szCs w:val="22"/>
          <w:lang w:val="en-GB"/>
        </w:rPr>
        <w:t>“Revenues derived from a transaction for the provision of Business to Business services to which subparagraphs (a) to (e) do not apply</w:t>
      </w:r>
      <w:r w:rsidR="00661C68">
        <w:rPr>
          <w:rFonts w:eastAsia="Arial" w:cs="Arial"/>
          <w:szCs w:val="22"/>
          <w:lang w:val="en-GB"/>
        </w:rPr>
        <w:t xml:space="preserve"> </w:t>
      </w:r>
      <w:r w:rsidR="00C8203F" w:rsidRPr="00CC3A48">
        <w:rPr>
          <w:rFonts w:eastAsia="Arial" w:cs="Arial"/>
          <w:szCs w:val="22"/>
          <w:lang w:val="en-GB"/>
        </w:rPr>
        <w:t>arise in [a Jurisdiction] when the place of use of the services is in [a</w:t>
      </w:r>
      <w:r w:rsidR="001534CB" w:rsidRPr="00CC3A48">
        <w:rPr>
          <w:rFonts w:eastAsia="Arial" w:cs="Arial"/>
          <w:szCs w:val="22"/>
          <w:lang w:val="en-GB"/>
        </w:rPr>
        <w:t xml:space="preserve"> </w:t>
      </w:r>
      <w:r w:rsidR="00C8203F" w:rsidRPr="00CC3A48">
        <w:rPr>
          <w:rFonts w:eastAsia="Arial" w:cs="Arial"/>
          <w:szCs w:val="22"/>
          <w:lang w:val="en-GB"/>
        </w:rPr>
        <w:t>Jurisdiction].</w:t>
      </w:r>
      <w:r w:rsidR="001534CB" w:rsidRPr="00CC3A48">
        <w:rPr>
          <w:rFonts w:eastAsia="Arial" w:cs="Arial"/>
          <w:szCs w:val="22"/>
          <w:lang w:val="en-GB"/>
        </w:rPr>
        <w:t>”</w:t>
      </w:r>
    </w:p>
    <w:p w14:paraId="204435E0" w14:textId="73D3938F" w:rsidR="001534CB" w:rsidRPr="00D23233" w:rsidRDefault="001534CB" w:rsidP="001534CB">
      <w:pPr>
        <w:pStyle w:val="Liststycke"/>
        <w:spacing w:after="0"/>
        <w:rPr>
          <w:rFonts w:eastAsia="Arial" w:cs="Arial"/>
          <w:szCs w:val="22"/>
          <w:lang w:val="en-GB"/>
        </w:rPr>
      </w:pPr>
    </w:p>
    <w:p w14:paraId="16D0D634" w14:textId="14C67FEC" w:rsidR="001534CB" w:rsidRDefault="00F26041" w:rsidP="001534CB">
      <w:pPr>
        <w:pStyle w:val="Liststycke"/>
        <w:spacing w:after="0"/>
        <w:rPr>
          <w:rFonts w:eastAsia="Arial" w:cs="Arial"/>
          <w:szCs w:val="22"/>
          <w:lang w:val="en-GB"/>
        </w:rPr>
      </w:pPr>
      <w:r>
        <w:rPr>
          <w:rFonts w:eastAsia="Arial" w:cs="Arial"/>
          <w:szCs w:val="22"/>
          <w:lang w:val="en-GB"/>
        </w:rPr>
        <w:t xml:space="preserve">ICC members would welcome clarity on the </w:t>
      </w:r>
      <w:r w:rsidR="001534CB" w:rsidRPr="001534CB">
        <w:rPr>
          <w:rFonts w:eastAsia="Arial" w:cs="Arial"/>
          <w:szCs w:val="22"/>
          <w:lang w:val="en-GB"/>
        </w:rPr>
        <w:t xml:space="preserve">interactions of Pillar </w:t>
      </w:r>
      <w:r>
        <w:rPr>
          <w:rFonts w:eastAsia="Arial" w:cs="Arial"/>
          <w:szCs w:val="22"/>
          <w:lang w:val="en-GB"/>
        </w:rPr>
        <w:t>One</w:t>
      </w:r>
      <w:r w:rsidR="001534CB" w:rsidRPr="001534CB">
        <w:rPr>
          <w:rFonts w:eastAsia="Arial" w:cs="Arial"/>
          <w:szCs w:val="22"/>
          <w:lang w:val="en-GB"/>
        </w:rPr>
        <w:t xml:space="preserve"> with any existing provisions that levy WHT on the same income</w:t>
      </w:r>
      <w:r>
        <w:rPr>
          <w:rFonts w:eastAsia="Arial" w:cs="Arial"/>
          <w:szCs w:val="22"/>
          <w:lang w:val="en-GB"/>
        </w:rPr>
        <w:t>.</w:t>
      </w:r>
    </w:p>
    <w:p w14:paraId="7C384B09" w14:textId="77777777" w:rsidR="001534CB" w:rsidRPr="00132A41" w:rsidRDefault="001534CB" w:rsidP="001534CB">
      <w:pPr>
        <w:pStyle w:val="Liststycke"/>
        <w:spacing w:after="0"/>
        <w:rPr>
          <w:rFonts w:eastAsia="Arial" w:cs="Arial"/>
          <w:szCs w:val="22"/>
          <w:lang w:val="en-GB"/>
        </w:rPr>
      </w:pPr>
    </w:p>
    <w:p w14:paraId="7FEDE435" w14:textId="75CB9368" w:rsidR="005F584D" w:rsidRPr="00D90175" w:rsidRDefault="63BDCDA7" w:rsidP="00D90175">
      <w:pPr>
        <w:pStyle w:val="Liststycke"/>
        <w:numPr>
          <w:ilvl w:val="0"/>
          <w:numId w:val="44"/>
        </w:numPr>
        <w:spacing w:after="0"/>
        <w:rPr>
          <w:rFonts w:eastAsia="Arial" w:cs="Arial"/>
          <w:szCs w:val="22"/>
          <w:lang w:val="en-GB"/>
        </w:rPr>
      </w:pPr>
      <w:r w:rsidRPr="00D90175">
        <w:rPr>
          <w:rFonts w:cs="Arial"/>
          <w:lang w:val="en-GB"/>
        </w:rPr>
        <w:t xml:space="preserve">Para 9 </w:t>
      </w:r>
      <w:r w:rsidR="004206B8" w:rsidRPr="00D90175">
        <w:rPr>
          <w:rFonts w:cs="Arial"/>
          <w:lang w:val="en-GB"/>
        </w:rPr>
        <w:t>[p</w:t>
      </w:r>
      <w:r w:rsidR="00030A50">
        <w:rPr>
          <w:rFonts w:cs="Arial"/>
          <w:lang w:val="en-GB"/>
        </w:rPr>
        <w:t>age</w:t>
      </w:r>
      <w:r w:rsidR="004206B8" w:rsidRPr="00D90175">
        <w:rPr>
          <w:rFonts w:cs="Arial"/>
          <w:lang w:val="en-GB"/>
        </w:rPr>
        <w:t xml:space="preserve"> 8] </w:t>
      </w:r>
      <w:r w:rsidRPr="00D90175">
        <w:rPr>
          <w:rFonts w:cs="Arial"/>
          <w:lang w:val="en-GB"/>
        </w:rPr>
        <w:t xml:space="preserve">clarifies that “Revenues derived from a transaction for the licensing, sale or other alienation of Intangible Property (a.) arise in [a Jurisdiction] when: </w:t>
      </w:r>
    </w:p>
    <w:p w14:paraId="6458B80B" w14:textId="77777777" w:rsidR="005F584D" w:rsidRPr="00D90175" w:rsidRDefault="005F584D" w:rsidP="00D90175">
      <w:pPr>
        <w:spacing w:after="0"/>
        <w:ind w:left="720"/>
        <w:contextualSpacing/>
        <w:rPr>
          <w:rFonts w:cs="Arial"/>
          <w:szCs w:val="22"/>
          <w:lang w:val="en-GB"/>
        </w:rPr>
      </w:pPr>
      <w:r w:rsidRPr="00D90175">
        <w:rPr>
          <w:rFonts w:cs="Arial"/>
          <w:szCs w:val="22"/>
          <w:lang w:val="en-GB"/>
        </w:rPr>
        <w:t>i.</w:t>
      </w:r>
      <w:r w:rsidRPr="00D90175">
        <w:rPr>
          <w:rFonts w:cs="Arial"/>
          <w:szCs w:val="22"/>
          <w:lang w:val="en-GB"/>
        </w:rPr>
        <w:tab/>
        <w:t xml:space="preserve">[..] or </w:t>
      </w:r>
    </w:p>
    <w:p w14:paraId="3A996253" w14:textId="08307403" w:rsidR="005F584D" w:rsidRPr="00D90175" w:rsidRDefault="005F584D" w:rsidP="00D90175">
      <w:pPr>
        <w:spacing w:after="0"/>
        <w:ind w:left="1440" w:hanging="720"/>
        <w:contextualSpacing/>
        <w:rPr>
          <w:rFonts w:cs="Arial"/>
          <w:szCs w:val="22"/>
          <w:lang w:val="en-GB"/>
        </w:rPr>
      </w:pPr>
      <w:r w:rsidRPr="00D90175">
        <w:rPr>
          <w:rFonts w:cs="Arial"/>
          <w:szCs w:val="22"/>
          <w:lang w:val="en-GB"/>
        </w:rPr>
        <w:t>ii.</w:t>
      </w:r>
      <w:r w:rsidRPr="00D90175">
        <w:rPr>
          <w:rFonts w:cs="Arial"/>
          <w:szCs w:val="22"/>
          <w:lang w:val="en-GB"/>
        </w:rPr>
        <w:tab/>
        <w:t>the place of use of the Intangible Property by Final Customers in all other cases is in [a Jurisdiction].</w:t>
      </w:r>
    </w:p>
    <w:p w14:paraId="45DF54C1" w14:textId="77777777" w:rsidR="00214717" w:rsidRPr="00D90175" w:rsidRDefault="00214717" w:rsidP="00D90175">
      <w:pPr>
        <w:spacing w:after="0"/>
        <w:contextualSpacing/>
        <w:rPr>
          <w:rFonts w:cs="Arial"/>
          <w:szCs w:val="22"/>
          <w:lang w:val="en-GB"/>
        </w:rPr>
      </w:pPr>
    </w:p>
    <w:p w14:paraId="01E4225C" w14:textId="29229472" w:rsidR="005F584D" w:rsidRPr="00D90175" w:rsidRDefault="005F584D" w:rsidP="00D90175">
      <w:pPr>
        <w:spacing w:after="0"/>
        <w:ind w:left="720"/>
        <w:contextualSpacing/>
        <w:rPr>
          <w:rFonts w:cs="Arial"/>
          <w:lang w:val="en-GB"/>
        </w:rPr>
      </w:pPr>
      <w:r w:rsidRPr="54026E32">
        <w:rPr>
          <w:rFonts w:cs="Arial"/>
          <w:lang w:val="en-GB"/>
        </w:rPr>
        <w:t xml:space="preserve">The wordings included in subparagraph (ii), in particular the reference to “all other cases”, seems somewhat unclear. Very similar, but clearer language is included in Part 6, para A(1)(b) (page 26).  </w:t>
      </w:r>
    </w:p>
    <w:p w14:paraId="396EF5E8" w14:textId="70DCA8C9" w:rsidR="00877FBC" w:rsidRPr="00D90175" w:rsidRDefault="00877FBC" w:rsidP="00D90175">
      <w:pPr>
        <w:spacing w:after="0"/>
        <w:ind w:left="720"/>
        <w:contextualSpacing/>
        <w:rPr>
          <w:rFonts w:cs="Arial"/>
          <w:szCs w:val="22"/>
          <w:lang w:val="en-GB"/>
        </w:rPr>
      </w:pPr>
    </w:p>
    <w:p w14:paraId="3923BB2F" w14:textId="7177287B" w:rsidR="00877FBC" w:rsidRPr="00D90175" w:rsidRDefault="00877FBC" w:rsidP="00D90175">
      <w:pPr>
        <w:spacing w:after="0"/>
        <w:ind w:left="720"/>
        <w:rPr>
          <w:lang w:val="en-GB"/>
        </w:rPr>
      </w:pPr>
      <w:r w:rsidRPr="00D90175">
        <w:t>ICC recommends bringing</w:t>
      </w:r>
      <w:r w:rsidRPr="00D90175">
        <w:rPr>
          <w:lang w:val="en-GB"/>
        </w:rPr>
        <w:t xml:space="preserve"> the language of para 9, subparagraph (II) (page 8) in line with Part 6, para A(1)(b) (page 26): </w:t>
      </w:r>
    </w:p>
    <w:p w14:paraId="33EBE9FA" w14:textId="77777777" w:rsidR="0009080B" w:rsidRPr="00D90175" w:rsidRDefault="0009080B" w:rsidP="00D90175">
      <w:pPr>
        <w:spacing w:after="0"/>
        <w:ind w:left="720"/>
        <w:rPr>
          <w:lang w:val="en-GB"/>
        </w:rPr>
      </w:pPr>
    </w:p>
    <w:p w14:paraId="4035B0C4" w14:textId="677D23BE" w:rsidR="002516D3" w:rsidRPr="00D90175" w:rsidRDefault="00877FBC" w:rsidP="00D90175">
      <w:pPr>
        <w:spacing w:after="0"/>
        <w:ind w:left="720"/>
        <w:rPr>
          <w:rFonts w:cstheme="majorHAnsi"/>
          <w:bCs/>
          <w:lang w:val="en-GB"/>
        </w:rPr>
      </w:pPr>
      <w:r w:rsidRPr="00D90175">
        <w:rPr>
          <w:i/>
          <w:iCs/>
          <w:lang w:val="en-GB"/>
        </w:rPr>
        <w:t xml:space="preserve">“In all other cases, when the place of use of the Intangible Property by the Final Customer is in [a Jurisdiction].”. </w:t>
      </w:r>
    </w:p>
    <w:p w14:paraId="3BCB0B8A" w14:textId="77777777" w:rsidR="00F46EF8" w:rsidRPr="00D90175" w:rsidRDefault="00F46EF8" w:rsidP="00D90175">
      <w:pPr>
        <w:spacing w:after="0"/>
        <w:ind w:left="720"/>
      </w:pPr>
    </w:p>
    <w:p w14:paraId="473283DD" w14:textId="4B961A2C" w:rsidR="008F4BDA" w:rsidRPr="00493C7B" w:rsidRDefault="008F4BDA" w:rsidP="008F4BDA">
      <w:pPr>
        <w:pStyle w:val="Liststycke"/>
        <w:numPr>
          <w:ilvl w:val="0"/>
          <w:numId w:val="44"/>
        </w:numPr>
        <w:spacing w:after="0"/>
        <w:rPr>
          <w:rFonts w:eastAsia="Gotham Book" w:cs="Gotham Book"/>
          <w:lang w:val="en-GB"/>
        </w:rPr>
      </w:pPr>
      <w:r w:rsidRPr="00493C7B">
        <w:rPr>
          <w:lang w:val="en-GB"/>
        </w:rPr>
        <w:t>Part 2(3) [page 10] clarifies what constitutes a “Reliable Indicator”, while Part 2(4) defines what constitutes “Another Reliable Indicator”. For this purpose, Part 2(4) refers both to certain rules in Article 5 and requirements in Paragraph 3.</w:t>
      </w:r>
    </w:p>
    <w:p w14:paraId="77F99DF5" w14:textId="77777777" w:rsidR="008F4BDA" w:rsidRPr="00D90175" w:rsidRDefault="008F4BDA" w:rsidP="008F4BDA">
      <w:pPr>
        <w:spacing w:after="0"/>
        <w:rPr>
          <w:lang w:val="en-GB"/>
        </w:rPr>
      </w:pPr>
    </w:p>
    <w:p w14:paraId="3E2DB6B1" w14:textId="77777777" w:rsidR="008F4BDA" w:rsidRPr="00D90175" w:rsidRDefault="008F4BDA" w:rsidP="008F4BDA">
      <w:pPr>
        <w:spacing w:after="0"/>
        <w:ind w:left="720"/>
        <w:rPr>
          <w:lang w:val="en-GB"/>
        </w:rPr>
      </w:pPr>
      <w:r w:rsidRPr="00D90175">
        <w:rPr>
          <w:lang w:val="en-GB"/>
        </w:rPr>
        <w:t xml:space="preserve">ICC submits two comments in this regard: </w:t>
      </w:r>
    </w:p>
    <w:p w14:paraId="2A440F60" w14:textId="77777777" w:rsidR="008F4BDA" w:rsidRPr="004F7A23" w:rsidRDefault="008F4BDA" w:rsidP="004F7A23">
      <w:pPr>
        <w:pStyle w:val="Liststycke"/>
        <w:numPr>
          <w:ilvl w:val="1"/>
          <w:numId w:val="49"/>
        </w:numPr>
        <w:spacing w:after="0"/>
        <w:rPr>
          <w:lang w:val="en-GB"/>
        </w:rPr>
      </w:pPr>
      <w:r w:rsidRPr="004F7A23">
        <w:rPr>
          <w:lang w:val="en-GB"/>
        </w:rPr>
        <w:t>Another Reliable Indicator is defined in Part 2(4). However, the draft contains 21 cases where reference is made to “Another Reliable Indicator as defined in Part 2(3)”. It seems that in all these cases reference should be made to Part 2(4)?</w:t>
      </w:r>
    </w:p>
    <w:p w14:paraId="100E9B09" w14:textId="77777777" w:rsidR="008F4BDA" w:rsidRPr="00D90175" w:rsidRDefault="008F4BDA" w:rsidP="008F4BDA">
      <w:pPr>
        <w:spacing w:after="0"/>
        <w:ind w:left="1440"/>
        <w:rPr>
          <w:lang w:val="en-GB"/>
        </w:rPr>
      </w:pPr>
    </w:p>
    <w:p w14:paraId="1B5E74D9" w14:textId="77777777" w:rsidR="008F4BDA" w:rsidRPr="00D90175" w:rsidRDefault="008F4BDA" w:rsidP="004F7A23">
      <w:pPr>
        <w:pStyle w:val="Liststycke"/>
        <w:numPr>
          <w:ilvl w:val="1"/>
          <w:numId w:val="49"/>
        </w:numPr>
        <w:spacing w:after="0"/>
      </w:pPr>
      <w:r w:rsidRPr="004F7A23">
        <w:rPr>
          <w:lang w:val="en-GB"/>
        </w:rPr>
        <w:t>With respect to Part 2(4), it seems likely that reference should be made to Paragraph 5 instead of Article 5.</w:t>
      </w:r>
    </w:p>
    <w:p w14:paraId="11B574BD" w14:textId="77777777" w:rsidR="008F4BDA" w:rsidRPr="00D90175" w:rsidRDefault="008F4BDA" w:rsidP="008F4BDA">
      <w:pPr>
        <w:spacing w:after="0"/>
        <w:ind w:left="720"/>
        <w:rPr>
          <w:szCs w:val="22"/>
          <w:lang w:val="en-GB"/>
        </w:rPr>
      </w:pPr>
    </w:p>
    <w:p w14:paraId="794C2A35" w14:textId="77777777" w:rsidR="008F4BDA" w:rsidRPr="00D90175" w:rsidRDefault="008F4BDA" w:rsidP="008F4BDA">
      <w:pPr>
        <w:spacing w:after="0"/>
        <w:ind w:left="720"/>
        <w:rPr>
          <w:lang w:val="en-GB"/>
        </w:rPr>
      </w:pPr>
      <w:r w:rsidRPr="00D90175">
        <w:rPr>
          <w:szCs w:val="22"/>
          <w:lang w:val="en-GB"/>
        </w:rPr>
        <w:t>ICC therefore recommends checking</w:t>
      </w:r>
      <w:r w:rsidRPr="00D90175">
        <w:rPr>
          <w:rFonts w:eastAsia="Calibri" w:cs="Calibri"/>
          <w:szCs w:val="22"/>
          <w:lang w:val="en-GB"/>
        </w:rPr>
        <w:t xml:space="preserve"> </w:t>
      </w:r>
      <w:r w:rsidRPr="00D90175">
        <w:rPr>
          <w:lang w:val="en-GB"/>
        </w:rPr>
        <w:t>reference to Part 2(3) and Article 5.</w:t>
      </w:r>
    </w:p>
    <w:p w14:paraId="79FC3241" w14:textId="080FB4AD" w:rsidR="0016618F" w:rsidRDefault="0016618F">
      <w:pPr>
        <w:spacing w:after="0"/>
        <w:rPr>
          <w:lang w:val="en-GB"/>
        </w:rPr>
      </w:pPr>
      <w:r>
        <w:rPr>
          <w:lang w:val="en-GB"/>
        </w:rPr>
        <w:br w:type="page"/>
      </w:r>
    </w:p>
    <w:p w14:paraId="5D92F689" w14:textId="77777777" w:rsidR="008F4BDA" w:rsidRPr="00D90175" w:rsidRDefault="008F4BDA" w:rsidP="008F4BDA">
      <w:pPr>
        <w:spacing w:after="0"/>
        <w:ind w:left="720"/>
        <w:rPr>
          <w:lang w:val="en-GB"/>
        </w:rPr>
      </w:pPr>
    </w:p>
    <w:p w14:paraId="17BD966F" w14:textId="4B90AAE6" w:rsidR="008F4BDA" w:rsidRPr="0016618F" w:rsidRDefault="008F4BDA" w:rsidP="00412631">
      <w:pPr>
        <w:pStyle w:val="Liststycke"/>
        <w:numPr>
          <w:ilvl w:val="0"/>
          <w:numId w:val="44"/>
        </w:numPr>
        <w:spacing w:after="0"/>
      </w:pPr>
      <w:r w:rsidRPr="0016618F">
        <w:rPr>
          <w:rFonts w:eastAsia="Microsoft YaHei" w:cstheme="majorHAnsi"/>
          <w:bCs/>
          <w:color w:val="auto"/>
          <w:szCs w:val="22"/>
          <w:lang w:eastAsia="zh-CN"/>
        </w:rPr>
        <w:t>Part 2 -Reliable Metho</w:t>
      </w:r>
      <w:r w:rsidR="00C41CDB">
        <w:rPr>
          <w:rFonts w:eastAsia="Microsoft YaHei" w:cstheme="majorHAnsi"/>
          <w:bCs/>
          <w:color w:val="auto"/>
          <w:szCs w:val="22"/>
          <w:lang w:eastAsia="zh-CN"/>
        </w:rPr>
        <w:t>d [</w:t>
      </w:r>
      <w:r w:rsidRPr="0016618F">
        <w:rPr>
          <w:rFonts w:eastAsia="Microsoft YaHei" w:cstheme="majorHAnsi"/>
          <w:bCs/>
          <w:color w:val="auto"/>
          <w:szCs w:val="22"/>
          <w:lang w:eastAsia="zh-CN"/>
        </w:rPr>
        <w:t>Page 1</w:t>
      </w:r>
      <w:r w:rsidRPr="0016618F">
        <w:rPr>
          <w:rFonts w:cstheme="majorHAnsi"/>
          <w:bCs/>
          <w:szCs w:val="22"/>
        </w:rPr>
        <w:t>0</w:t>
      </w:r>
      <w:r w:rsidR="00C41CDB">
        <w:rPr>
          <w:rFonts w:cstheme="majorHAnsi"/>
          <w:bCs/>
          <w:szCs w:val="22"/>
        </w:rPr>
        <w:t>]</w:t>
      </w:r>
      <w:r w:rsidRPr="0016618F">
        <w:rPr>
          <w:rFonts w:eastAsia="Microsoft YaHei" w:cstheme="majorHAnsi"/>
          <w:bCs/>
          <w:color w:val="auto"/>
          <w:szCs w:val="22"/>
          <w:lang w:eastAsia="zh-CN"/>
        </w:rPr>
        <w:t>, Paragraph 3, b.</w:t>
      </w:r>
      <w:r w:rsidR="0016618F" w:rsidRPr="0016618F">
        <w:rPr>
          <w:rFonts w:eastAsia="Microsoft YaHei" w:cstheme="majorHAnsi"/>
          <w:bCs/>
          <w:color w:val="auto"/>
          <w:szCs w:val="22"/>
          <w:lang w:eastAsia="zh-CN"/>
        </w:rPr>
        <w:t xml:space="preserve"> </w:t>
      </w:r>
      <w:r w:rsidRPr="0016618F">
        <w:t xml:space="preserve">The section notes that as an “indicator” to determine the source of revenue, it must meet at least one “reliability test”. However, the expression of “functionally equivalent” in item IV is not clear and specific enough. Further clarification would be needed for greater certainty and to avoid any potential delays related to agreement between both parties on the selection of the “indicator”. </w:t>
      </w:r>
    </w:p>
    <w:p w14:paraId="5F40EB67" w14:textId="77777777" w:rsidR="008F4BDA" w:rsidRPr="00D90175" w:rsidRDefault="008F4BDA" w:rsidP="008F4BDA">
      <w:pPr>
        <w:pStyle w:val="1"/>
        <w:rPr>
          <w:rFonts w:ascii="Gotham Book" w:hAnsi="Gotham Book"/>
        </w:rPr>
      </w:pPr>
    </w:p>
    <w:p w14:paraId="5893A868" w14:textId="51957EA1" w:rsidR="008F4BDA" w:rsidRPr="00D90175" w:rsidRDefault="008F4BDA" w:rsidP="008F4BDA">
      <w:pPr>
        <w:pStyle w:val="1"/>
        <w:rPr>
          <w:rFonts w:ascii="Gotham Book" w:hAnsi="Gotham Book"/>
          <w:iCs/>
        </w:rPr>
      </w:pPr>
      <w:r w:rsidRPr="00D90175">
        <w:rPr>
          <w:rFonts w:ascii="Gotham Book" w:hAnsi="Gotham Book"/>
        </w:rPr>
        <w:t>In addition, according to the revenue sourcing rules of Amount A, in many cases, the revenue source determination of B2B services, businesses would need to obtain information from B2B customers, including the geographical location the customers use the service for (e.g., page 21-H Revenue from Business</w:t>
      </w:r>
      <w:r w:rsidRPr="759CF12D">
        <w:rPr>
          <w:rFonts w:ascii="Gotham Book" w:hAnsi="Gotham Book"/>
        </w:rPr>
        <w:t>-</w:t>
      </w:r>
      <w:r w:rsidRPr="00D90175">
        <w:rPr>
          <w:rFonts w:ascii="Gotham Book" w:hAnsi="Gotham Book"/>
        </w:rPr>
        <w:t>to</w:t>
      </w:r>
      <w:r w:rsidRPr="759CF12D">
        <w:rPr>
          <w:rFonts w:ascii="Gotham Book" w:hAnsi="Gotham Book"/>
        </w:rPr>
        <w:t>-</w:t>
      </w:r>
      <w:r w:rsidRPr="00D90175">
        <w:rPr>
          <w:rFonts w:ascii="Gotham Book" w:hAnsi="Gotham Book"/>
        </w:rPr>
        <w:t>Business services, Paragraph 2.</w:t>
      </w:r>
      <w:r w:rsidRPr="00D90175">
        <w:rPr>
          <w:rFonts w:ascii="Gotham Book" w:hAnsi="Gotham Book"/>
          <w:i/>
          <w:iCs/>
        </w:rPr>
        <w:t xml:space="preserve"> “a. Information reported to the Covered Group by the Business Customer on the place of use of the service;”</w:t>
      </w:r>
      <w:r w:rsidRPr="00D90175">
        <w:rPr>
          <w:rFonts w:ascii="Gotham Book" w:hAnsi="Gotham Book"/>
          <w:iCs/>
        </w:rPr>
        <w:t>).</w:t>
      </w:r>
    </w:p>
    <w:p w14:paraId="33B07D64" w14:textId="77777777" w:rsidR="008F4BDA" w:rsidRPr="00D90175" w:rsidRDefault="008F4BDA" w:rsidP="008F4BDA">
      <w:pPr>
        <w:pStyle w:val="1"/>
        <w:rPr>
          <w:rFonts w:ascii="Gotham Book" w:hAnsi="Gotham Book"/>
        </w:rPr>
      </w:pPr>
    </w:p>
    <w:p w14:paraId="14C7367A" w14:textId="77777777" w:rsidR="008F4BDA" w:rsidRPr="00D90175" w:rsidRDefault="008F4BDA" w:rsidP="008F4BDA">
      <w:pPr>
        <w:pStyle w:val="1"/>
        <w:rPr>
          <w:rFonts w:ascii="Gotham Book" w:hAnsi="Gotham Book"/>
        </w:rPr>
      </w:pPr>
      <w:r w:rsidRPr="00D90175">
        <w:rPr>
          <w:rFonts w:ascii="Gotham Book" w:hAnsi="Gotham Book"/>
        </w:rPr>
        <w:t>However, in practice, unless the service is a seller’s market, it is difficult to determine the purpose of the customer's purchase. Even if these difficulties are overcome, it is uncertain whether the “functionally equivalent indicator” meets the “reliability test” in the case of unclear terms.</w:t>
      </w:r>
    </w:p>
    <w:p w14:paraId="3981B54C" w14:textId="77777777" w:rsidR="008F4BDA" w:rsidRPr="00D90175" w:rsidRDefault="008F4BDA" w:rsidP="008F4BDA">
      <w:pPr>
        <w:pStyle w:val="1"/>
        <w:rPr>
          <w:rFonts w:ascii="Gotham Book" w:hAnsi="Gotham Book"/>
        </w:rPr>
      </w:pPr>
    </w:p>
    <w:p w14:paraId="4014E952" w14:textId="781689E6" w:rsidR="008F4BDA" w:rsidRPr="00D90175" w:rsidRDefault="008F4BDA" w:rsidP="008F4BDA">
      <w:pPr>
        <w:pStyle w:val="a"/>
        <w:numPr>
          <w:ilvl w:val="0"/>
          <w:numId w:val="44"/>
        </w:numPr>
        <w:spacing w:after="0" w:line="240" w:lineRule="auto"/>
        <w:rPr>
          <w:rFonts w:ascii="Gotham Book" w:hAnsi="Gotham Book"/>
        </w:rPr>
      </w:pPr>
      <w:r w:rsidRPr="00D90175">
        <w:rPr>
          <w:rFonts w:ascii="Gotham Book" w:hAnsi="Gotham Book"/>
        </w:rPr>
        <w:t>According to paragraph 6 [page 11], MNEs need to find their own “reliable indicators” according to the “reliable method”. If MNEs are unable to determine a “reliable indicator” after taking “reasonable steps” to identify one, they may use the “allocation key” to determine the source of revenue.</w:t>
      </w:r>
    </w:p>
    <w:p w14:paraId="7D47B7EA" w14:textId="77777777" w:rsidR="008F4BDA" w:rsidRPr="00D90175" w:rsidRDefault="008F4BDA" w:rsidP="008F4BDA">
      <w:pPr>
        <w:pStyle w:val="1"/>
        <w:rPr>
          <w:rFonts w:ascii="Gotham Book" w:hAnsi="Gotham Book"/>
        </w:rPr>
      </w:pPr>
    </w:p>
    <w:p w14:paraId="43679700" w14:textId="00B94B7F" w:rsidR="008F4BDA" w:rsidRPr="00D90175" w:rsidRDefault="008F4BDA" w:rsidP="008F4BDA">
      <w:pPr>
        <w:pStyle w:val="1"/>
        <w:rPr>
          <w:rFonts w:ascii="Gotham Book" w:hAnsi="Gotham Book"/>
        </w:rPr>
      </w:pPr>
      <w:r w:rsidRPr="00D90175">
        <w:rPr>
          <w:rFonts w:ascii="Gotham Book" w:hAnsi="Gotham Book"/>
        </w:rPr>
        <w:t xml:space="preserve">However, the allocation key is the only solution provided in this </w:t>
      </w:r>
      <w:r w:rsidRPr="00742F3E">
        <w:rPr>
          <w:rFonts w:ascii="Gotham Book" w:hAnsi="Gotham Book"/>
        </w:rPr>
        <w:t>case</w:t>
      </w:r>
      <w:r w:rsidRPr="00D90175">
        <w:rPr>
          <w:rFonts w:ascii="Gotham Book" w:hAnsi="Gotham Book"/>
        </w:rPr>
        <w:t xml:space="preserve"> where a reliable indicator cannot be identified. In this</w:t>
      </w:r>
      <w:r w:rsidR="00742F3E">
        <w:rPr>
          <w:rFonts w:ascii="Gotham Book" w:hAnsi="Gotham Book"/>
        </w:rPr>
        <w:t xml:space="preserve"> regard</w:t>
      </w:r>
      <w:r w:rsidRPr="7099C001">
        <w:rPr>
          <w:rFonts w:ascii="Gotham Book" w:hAnsi="Gotham Book"/>
        </w:rPr>
        <w:t>,</w:t>
      </w:r>
      <w:r w:rsidRPr="00D90175">
        <w:rPr>
          <w:rFonts w:ascii="Gotham Book" w:hAnsi="Gotham Book"/>
        </w:rPr>
        <w:t xml:space="preserve"> can it be reasonably understood that MNEs would select an allocation key to meet the compliance requirements even if there is no corresponding revenue source rule? Furthermore, the reference to “reasonable steps” is not sufficiently specific and could be refined further to enhance certainty.  </w:t>
      </w:r>
    </w:p>
    <w:p w14:paraId="254C1A16" w14:textId="77777777" w:rsidR="00036FFA" w:rsidRPr="008F4BDA" w:rsidRDefault="00036FFA" w:rsidP="00D90175">
      <w:pPr>
        <w:spacing w:after="0"/>
        <w:rPr>
          <w:szCs w:val="22"/>
        </w:rPr>
      </w:pPr>
    </w:p>
    <w:p w14:paraId="0CEBEA94" w14:textId="43EF0FD7" w:rsidR="59CAE839" w:rsidRPr="00D90175" w:rsidRDefault="59CAE839" w:rsidP="00D90175">
      <w:pPr>
        <w:pStyle w:val="Liststycke"/>
        <w:numPr>
          <w:ilvl w:val="0"/>
          <w:numId w:val="44"/>
        </w:numPr>
        <w:spacing w:after="0"/>
        <w:rPr>
          <w:rFonts w:eastAsia="Gotham Book" w:cs="Gotham Book"/>
          <w:szCs w:val="22"/>
          <w:lang w:val="en-GB"/>
        </w:rPr>
      </w:pPr>
      <w:r w:rsidRPr="00D90175">
        <w:rPr>
          <w:lang w:val="en-GB"/>
        </w:rPr>
        <w:t xml:space="preserve">Para 7 </w:t>
      </w:r>
      <w:r w:rsidR="00290BA3">
        <w:rPr>
          <w:lang w:val="en-GB"/>
        </w:rPr>
        <w:t xml:space="preserve">[page 11] </w:t>
      </w:r>
      <w:r w:rsidRPr="00D90175">
        <w:rPr>
          <w:lang w:val="en-GB"/>
        </w:rPr>
        <w:t xml:space="preserve">describes an exceptional situation where the Covered Group must use either the Allocation Key or, in the absence of such an Allocation Key, the Global Allocation Key. </w:t>
      </w:r>
    </w:p>
    <w:p w14:paraId="1425C310" w14:textId="77777777" w:rsidR="00871B7E" w:rsidRPr="00D90175" w:rsidRDefault="00871B7E" w:rsidP="00D90175">
      <w:pPr>
        <w:pStyle w:val="Liststycke"/>
        <w:spacing w:after="0"/>
        <w:rPr>
          <w:rFonts w:eastAsia="Gotham Book" w:cs="Gotham Book"/>
          <w:szCs w:val="22"/>
          <w:lang w:val="en-GB"/>
        </w:rPr>
      </w:pPr>
    </w:p>
    <w:p w14:paraId="4B1D8740" w14:textId="07F8700E" w:rsidR="59CAE839" w:rsidRPr="00D90175" w:rsidRDefault="59CAE839" w:rsidP="00D90175">
      <w:pPr>
        <w:spacing w:after="0"/>
        <w:ind w:left="720"/>
        <w:rPr>
          <w:lang w:val="en-GB"/>
        </w:rPr>
      </w:pPr>
      <w:r w:rsidRPr="00D90175">
        <w:rPr>
          <w:lang w:val="en-GB"/>
        </w:rPr>
        <w:t>These situations have been listed in subparagraphs (letters) a-c.</w:t>
      </w:r>
      <w:r w:rsidR="00871B7E" w:rsidRPr="00D90175">
        <w:rPr>
          <w:lang w:val="en-GB"/>
        </w:rPr>
        <w:t xml:space="preserve">  </w:t>
      </w:r>
      <w:r w:rsidRPr="00D90175">
        <w:rPr>
          <w:lang w:val="en-GB"/>
        </w:rPr>
        <w:t>However, it</w:t>
      </w:r>
      <w:r w:rsidR="00871B7E" w:rsidRPr="00D90175">
        <w:rPr>
          <w:lang w:val="en-GB"/>
        </w:rPr>
        <w:t xml:space="preserve"> is</w:t>
      </w:r>
      <w:r w:rsidRPr="00D90175">
        <w:rPr>
          <w:lang w:val="en-GB"/>
        </w:rPr>
        <w:t xml:space="preserve"> conceivable that </w:t>
      </w:r>
      <w:r w:rsidR="762FF705" w:rsidRPr="00D90175">
        <w:rPr>
          <w:lang w:val="en-GB"/>
        </w:rPr>
        <w:t>these types of situations</w:t>
      </w:r>
      <w:r w:rsidRPr="00D90175">
        <w:rPr>
          <w:lang w:val="en-GB"/>
        </w:rPr>
        <w:t xml:space="preserve"> will only occur in relation to certain jurisdictions, while for other jurisdictions subparagraphs a-c would not be applicable (for instance</w:t>
      </w:r>
      <w:r w:rsidR="5D4045AC" w:rsidRPr="59C77D84">
        <w:rPr>
          <w:lang w:val="en-GB"/>
        </w:rPr>
        <w:t>,</w:t>
      </w:r>
      <w:r w:rsidRPr="00D90175">
        <w:rPr>
          <w:lang w:val="en-GB"/>
        </w:rPr>
        <w:t xml:space="preserve"> because there is a reliable indicator for these jurisdictions, etc). </w:t>
      </w:r>
    </w:p>
    <w:p w14:paraId="6EE20F21" w14:textId="77777777" w:rsidR="00E95FC7" w:rsidRPr="00D90175" w:rsidRDefault="00E95FC7" w:rsidP="00D90175">
      <w:pPr>
        <w:spacing w:after="0"/>
        <w:ind w:left="720"/>
        <w:rPr>
          <w:lang w:val="en-GB"/>
        </w:rPr>
      </w:pPr>
    </w:p>
    <w:p w14:paraId="0C975711" w14:textId="127FEDFB" w:rsidR="35CD63CF" w:rsidRPr="00D90175" w:rsidRDefault="35CD63CF" w:rsidP="00D90175">
      <w:pPr>
        <w:spacing w:after="0"/>
        <w:ind w:left="720"/>
        <w:rPr>
          <w:lang w:val="en-GB"/>
        </w:rPr>
      </w:pPr>
      <w:r w:rsidRPr="00D90175">
        <w:rPr>
          <w:szCs w:val="22"/>
          <w:lang w:val="en-GB"/>
        </w:rPr>
        <w:t xml:space="preserve">ICC recommends </w:t>
      </w:r>
      <w:r w:rsidR="00E95FC7" w:rsidRPr="00D90175">
        <w:rPr>
          <w:szCs w:val="22"/>
          <w:lang w:val="en-GB"/>
        </w:rPr>
        <w:t>adding</w:t>
      </w:r>
      <w:r w:rsidRPr="00D90175">
        <w:rPr>
          <w:lang w:val="en-GB"/>
        </w:rPr>
        <w:t xml:space="preserve"> the following wording (in bold) to the first sentence of para 7</w:t>
      </w:r>
      <w:r w:rsidR="07547A4E" w:rsidRPr="00D90175">
        <w:rPr>
          <w:lang w:val="en-GB"/>
        </w:rPr>
        <w:t>, page 11</w:t>
      </w:r>
      <w:r w:rsidR="7E76F8ED" w:rsidRPr="00D90175">
        <w:rPr>
          <w:lang w:val="en-GB"/>
        </w:rPr>
        <w:t xml:space="preserve"> to make sure that these situations would not be covered under the exception of para 7, and the mandatory application of the (Global) Allocation Key</w:t>
      </w:r>
      <w:r w:rsidRPr="00D90175">
        <w:rPr>
          <w:lang w:val="en-GB"/>
        </w:rPr>
        <w:t>:</w:t>
      </w:r>
    </w:p>
    <w:p w14:paraId="4B733E9A" w14:textId="77777777" w:rsidR="00020D4B" w:rsidRPr="00D90175" w:rsidRDefault="35CD63CF" w:rsidP="00D90175">
      <w:pPr>
        <w:spacing w:after="0"/>
        <w:ind w:left="720"/>
        <w:rPr>
          <w:i/>
          <w:iCs/>
          <w:lang w:val="en-GB"/>
        </w:rPr>
      </w:pPr>
      <w:r w:rsidRPr="00D90175">
        <w:rPr>
          <w:i/>
          <w:iCs/>
          <w:lang w:val="en-GB"/>
        </w:rPr>
        <w:t xml:space="preserve"> </w:t>
      </w:r>
    </w:p>
    <w:p w14:paraId="4F986F7A" w14:textId="255510D3" w:rsidR="35CD63CF" w:rsidRPr="00D90175" w:rsidRDefault="35CD63CF" w:rsidP="00D90175">
      <w:pPr>
        <w:spacing w:after="0"/>
        <w:ind w:left="720"/>
        <w:rPr>
          <w:lang w:val="en-GB"/>
        </w:rPr>
      </w:pPr>
      <w:r w:rsidRPr="00D90175">
        <w:rPr>
          <w:i/>
          <w:iCs/>
          <w:lang w:val="en-GB"/>
        </w:rPr>
        <w:t xml:space="preserve">Notwithstanding paragraph 6, </w:t>
      </w:r>
      <w:r w:rsidRPr="00D90175">
        <w:rPr>
          <w:b/>
          <w:bCs/>
          <w:i/>
          <w:iCs/>
          <w:lang w:val="en-GB"/>
        </w:rPr>
        <w:t>and to the extent</w:t>
      </w:r>
      <w:r w:rsidRPr="00D90175">
        <w:rPr>
          <w:i/>
          <w:iCs/>
          <w:lang w:val="en-GB"/>
        </w:rPr>
        <w:t xml:space="preserve"> where:</w:t>
      </w:r>
    </w:p>
    <w:p w14:paraId="5E227AB1" w14:textId="49861174" w:rsidR="35CD63CF" w:rsidRPr="00D90175" w:rsidRDefault="35CD63CF" w:rsidP="00D90175">
      <w:pPr>
        <w:spacing w:after="0"/>
        <w:ind w:left="720"/>
        <w:rPr>
          <w:lang w:val="en-GB"/>
        </w:rPr>
      </w:pPr>
      <w:r w:rsidRPr="00D90175">
        <w:rPr>
          <w:lang w:val="en-GB"/>
        </w:rPr>
        <w:t>[..]</w:t>
      </w:r>
    </w:p>
    <w:p w14:paraId="2EDCD301" w14:textId="77777777" w:rsidR="00EE2B14" w:rsidRPr="00D90175" w:rsidRDefault="00EE2B14" w:rsidP="00D90175">
      <w:pPr>
        <w:spacing w:after="0"/>
        <w:ind w:left="720"/>
      </w:pPr>
    </w:p>
    <w:p w14:paraId="0A1C19AD" w14:textId="799F5191" w:rsidR="25B3D2E0" w:rsidRPr="00D90175" w:rsidRDefault="25B3D2E0" w:rsidP="00493C7B">
      <w:pPr>
        <w:pStyle w:val="Liststycke"/>
        <w:numPr>
          <w:ilvl w:val="0"/>
          <w:numId w:val="44"/>
        </w:numPr>
        <w:spacing w:after="0"/>
        <w:rPr>
          <w:rFonts w:eastAsia="Gotham Book" w:cs="Gotham Book"/>
          <w:szCs w:val="22"/>
          <w:lang w:val="en-GB"/>
        </w:rPr>
      </w:pPr>
      <w:r w:rsidRPr="00D90175">
        <w:rPr>
          <w:lang w:val="en-GB"/>
        </w:rPr>
        <w:t>Part 2 Para 8</w:t>
      </w:r>
      <w:r w:rsidR="00B47F4B" w:rsidRPr="00D90175">
        <w:rPr>
          <w:lang w:val="en-GB"/>
        </w:rPr>
        <w:t xml:space="preserve"> [page 12]</w:t>
      </w:r>
      <w:r w:rsidRPr="00D90175">
        <w:rPr>
          <w:lang w:val="en-GB"/>
        </w:rPr>
        <w:t xml:space="preserve"> states that a Covered Group must demonstrate that its internal control framework ensures that a Reliable Method is used in accordance with this Part. </w:t>
      </w:r>
    </w:p>
    <w:p w14:paraId="3D27874B" w14:textId="77777777" w:rsidR="006B3FD5" w:rsidRPr="00D90175" w:rsidRDefault="006B3FD5" w:rsidP="00D90175">
      <w:pPr>
        <w:pStyle w:val="Liststycke"/>
        <w:spacing w:after="0"/>
        <w:rPr>
          <w:rFonts w:eastAsia="Gotham Book" w:cs="Gotham Book"/>
          <w:szCs w:val="22"/>
          <w:lang w:val="en-GB"/>
        </w:rPr>
      </w:pPr>
    </w:p>
    <w:p w14:paraId="584D3A3D" w14:textId="0C1D60D1" w:rsidR="3888D6C7" w:rsidRPr="00D90175" w:rsidRDefault="3888D6C7" w:rsidP="00D90175">
      <w:pPr>
        <w:spacing w:after="0"/>
        <w:ind w:left="720"/>
        <w:rPr>
          <w:lang w:val="en-GB"/>
        </w:rPr>
      </w:pPr>
      <w:r w:rsidRPr="00D90175">
        <w:rPr>
          <w:lang w:val="en-GB"/>
        </w:rPr>
        <w:lastRenderedPageBreak/>
        <w:t xml:space="preserve">It </w:t>
      </w:r>
      <w:r w:rsidR="003E1E3C" w:rsidRPr="00D90175">
        <w:rPr>
          <w:lang w:val="en-GB"/>
        </w:rPr>
        <w:t>is</w:t>
      </w:r>
      <w:r w:rsidRPr="00D90175">
        <w:rPr>
          <w:lang w:val="en-GB"/>
        </w:rPr>
        <w:t xml:space="preserve"> recommended to add specific language </w:t>
      </w:r>
      <w:r w:rsidR="00CE5AA9" w:rsidRPr="00D90175">
        <w:rPr>
          <w:lang w:val="en-GB"/>
        </w:rPr>
        <w:t>to clarify in</w:t>
      </w:r>
      <w:r w:rsidR="2E5D49EB" w:rsidRPr="00D90175">
        <w:rPr>
          <w:lang w:val="en-GB"/>
        </w:rPr>
        <w:t xml:space="preserve"> the Commentary</w:t>
      </w:r>
      <w:r w:rsidR="63197661" w:rsidRPr="00D90175">
        <w:rPr>
          <w:lang w:val="en-GB"/>
        </w:rPr>
        <w:t xml:space="preserve"> </w:t>
      </w:r>
      <w:r w:rsidRPr="00D90175">
        <w:rPr>
          <w:lang w:val="en-GB"/>
        </w:rPr>
        <w:t>to ensure that</w:t>
      </w:r>
      <w:r w:rsidR="4F1D1CC7" w:rsidRPr="00D90175">
        <w:rPr>
          <w:lang w:val="en-GB"/>
        </w:rPr>
        <w:t>:</w:t>
      </w:r>
    </w:p>
    <w:p w14:paraId="6F559C55" w14:textId="7F2C60B0" w:rsidR="3888D6C7" w:rsidRPr="00D90175" w:rsidRDefault="3888D6C7" w:rsidP="00D90175">
      <w:pPr>
        <w:pStyle w:val="Liststycke"/>
        <w:numPr>
          <w:ilvl w:val="0"/>
          <w:numId w:val="39"/>
        </w:numPr>
        <w:spacing w:after="0"/>
        <w:ind w:left="1440"/>
        <w:rPr>
          <w:rFonts w:eastAsia="Gotham Book" w:cs="Gotham Book"/>
          <w:szCs w:val="22"/>
          <w:lang w:val="en-GB"/>
        </w:rPr>
      </w:pPr>
      <w:r w:rsidRPr="00D90175">
        <w:rPr>
          <w:lang w:val="en-GB"/>
        </w:rPr>
        <w:t>facts and circumstances can be taken into account when assessing this requirement</w:t>
      </w:r>
      <w:r w:rsidR="000F1186" w:rsidRPr="00D90175">
        <w:rPr>
          <w:lang w:val="en-GB"/>
        </w:rPr>
        <w:t>,</w:t>
      </w:r>
      <w:r w:rsidRPr="00D90175">
        <w:rPr>
          <w:lang w:val="en-GB"/>
        </w:rPr>
        <w:t xml:space="preserve"> and</w:t>
      </w:r>
    </w:p>
    <w:p w14:paraId="1008B153" w14:textId="0582B055" w:rsidR="3888D6C7" w:rsidRPr="00D90175" w:rsidRDefault="3888D6C7" w:rsidP="00D90175">
      <w:pPr>
        <w:pStyle w:val="Liststycke"/>
        <w:numPr>
          <w:ilvl w:val="0"/>
          <w:numId w:val="39"/>
        </w:numPr>
        <w:spacing w:after="0"/>
        <w:ind w:left="1440"/>
        <w:rPr>
          <w:szCs w:val="22"/>
          <w:lang w:val="en-GB"/>
        </w:rPr>
      </w:pPr>
      <w:r w:rsidRPr="00D90175">
        <w:rPr>
          <w:lang w:val="en-GB"/>
        </w:rPr>
        <w:t xml:space="preserve">less substantial issues or shortcomings will not have the (unintended) consequence/result that the requirements of para 8 would </w:t>
      </w:r>
      <w:r w:rsidR="00873E7B" w:rsidRPr="00D90175">
        <w:rPr>
          <w:lang w:val="en-GB"/>
        </w:rPr>
        <w:t xml:space="preserve">be </w:t>
      </w:r>
      <w:r w:rsidRPr="00D90175">
        <w:rPr>
          <w:lang w:val="en-GB"/>
        </w:rPr>
        <w:t>deemed not to be met.</w:t>
      </w:r>
    </w:p>
    <w:p w14:paraId="341BA903" w14:textId="77777777" w:rsidR="008A1355" w:rsidRPr="00D90175" w:rsidRDefault="008A1355" w:rsidP="00D90175">
      <w:pPr>
        <w:spacing w:after="0"/>
        <w:ind w:left="720"/>
        <w:rPr>
          <w:lang w:val="en-GB"/>
        </w:rPr>
      </w:pPr>
    </w:p>
    <w:p w14:paraId="1987D8FB" w14:textId="0D9D2562" w:rsidR="515F35B8" w:rsidRPr="00D90175" w:rsidRDefault="515F35B8" w:rsidP="00D90175">
      <w:pPr>
        <w:spacing w:after="0"/>
        <w:ind w:left="720"/>
        <w:rPr>
          <w:lang w:val="en-GB"/>
        </w:rPr>
      </w:pPr>
      <w:r w:rsidRPr="00D90175">
        <w:rPr>
          <w:lang w:val="en-GB"/>
        </w:rPr>
        <w:t xml:space="preserve">ICC </w:t>
      </w:r>
      <w:r w:rsidR="00476DB9" w:rsidRPr="00D90175">
        <w:rPr>
          <w:lang w:val="en-GB"/>
        </w:rPr>
        <w:t xml:space="preserve">further </w:t>
      </w:r>
      <w:r w:rsidRPr="00D90175">
        <w:rPr>
          <w:lang w:val="en-GB"/>
        </w:rPr>
        <w:t xml:space="preserve">recommends </w:t>
      </w:r>
      <w:r w:rsidR="001C27DE" w:rsidRPr="00D90175">
        <w:rPr>
          <w:lang w:val="en-GB"/>
        </w:rPr>
        <w:t>adding</w:t>
      </w:r>
      <w:r w:rsidRPr="00D90175">
        <w:rPr>
          <w:lang w:val="en-GB"/>
        </w:rPr>
        <w:t xml:space="preserve"> the following wording (in bold) to the first sentence of para 8:</w:t>
      </w:r>
      <w:r w:rsidR="780BB0AA" w:rsidRPr="00D90175">
        <w:rPr>
          <w:lang w:val="en-GB"/>
        </w:rPr>
        <w:t xml:space="preserve"> </w:t>
      </w:r>
    </w:p>
    <w:p w14:paraId="67181146" w14:textId="77777777" w:rsidR="00C373FD" w:rsidRPr="00D90175" w:rsidRDefault="00C373FD" w:rsidP="00D90175">
      <w:pPr>
        <w:spacing w:after="0"/>
        <w:ind w:left="720"/>
        <w:rPr>
          <w:lang w:val="en-GB"/>
        </w:rPr>
      </w:pPr>
    </w:p>
    <w:p w14:paraId="761E36DC" w14:textId="02040E92" w:rsidR="780BB0AA" w:rsidRPr="00D90175" w:rsidRDefault="780BB0AA" w:rsidP="00D90175">
      <w:pPr>
        <w:spacing w:after="0"/>
        <w:ind w:left="720"/>
        <w:rPr>
          <w:i/>
          <w:iCs/>
          <w:lang w:val="en-GB"/>
        </w:rPr>
      </w:pPr>
      <w:r w:rsidRPr="00D90175">
        <w:rPr>
          <w:i/>
          <w:iCs/>
          <w:lang w:val="en-GB"/>
        </w:rPr>
        <w:t xml:space="preserve">“A Covered Group must </w:t>
      </w:r>
      <w:r w:rsidRPr="00D90175">
        <w:rPr>
          <w:b/>
          <w:bCs/>
          <w:i/>
          <w:iCs/>
          <w:lang w:val="en-GB"/>
        </w:rPr>
        <w:t>be able to sufficiently</w:t>
      </w:r>
      <w:r w:rsidRPr="00D90175">
        <w:rPr>
          <w:i/>
          <w:iCs/>
          <w:lang w:val="en-GB"/>
        </w:rPr>
        <w:t xml:space="preserve"> demonstrate that its internal control framework ensures that a Reliable Method is used in accordance with this Part.”</w:t>
      </w:r>
    </w:p>
    <w:p w14:paraId="53DEE3D5" w14:textId="77777777" w:rsidR="00C373FD" w:rsidRPr="00D90175" w:rsidRDefault="00C373FD" w:rsidP="00D90175">
      <w:pPr>
        <w:pStyle w:val="Liststycke"/>
        <w:spacing w:after="0"/>
        <w:rPr>
          <w:rFonts w:eastAsia="Gotham Book" w:cs="Gotham Book"/>
          <w:szCs w:val="22"/>
          <w:lang w:val="en-GB"/>
        </w:rPr>
      </w:pPr>
    </w:p>
    <w:p w14:paraId="1D879D77" w14:textId="3E3ADAC1" w:rsidR="24ADCCC7" w:rsidRPr="00D90175" w:rsidRDefault="24ADCCC7" w:rsidP="00493C7B">
      <w:pPr>
        <w:pStyle w:val="Liststycke"/>
        <w:numPr>
          <w:ilvl w:val="0"/>
          <w:numId w:val="44"/>
        </w:numPr>
        <w:spacing w:after="0"/>
        <w:rPr>
          <w:rFonts w:eastAsia="Gotham Book" w:cs="Gotham Book"/>
          <w:szCs w:val="22"/>
          <w:lang w:val="en-GB"/>
        </w:rPr>
      </w:pPr>
      <w:r w:rsidRPr="00D90175">
        <w:rPr>
          <w:lang w:val="en-GB"/>
        </w:rPr>
        <w:t xml:space="preserve">Para B(3)(b) </w:t>
      </w:r>
      <w:r w:rsidR="00E43E58" w:rsidRPr="00D90175">
        <w:rPr>
          <w:lang w:val="en-GB"/>
        </w:rPr>
        <w:t xml:space="preserve">[page 13] </w:t>
      </w:r>
      <w:r w:rsidRPr="00D90175">
        <w:rPr>
          <w:lang w:val="en-GB"/>
        </w:rPr>
        <w:t xml:space="preserve">indicates that all (remaining) tail-end revenue will be allocated to low </w:t>
      </w:r>
      <w:r w:rsidR="21014C75" w:rsidRPr="00D90175">
        <w:rPr>
          <w:lang w:val="en-GB"/>
        </w:rPr>
        <w:t>I</w:t>
      </w:r>
      <w:r w:rsidRPr="00D90175">
        <w:rPr>
          <w:lang w:val="en-GB"/>
        </w:rPr>
        <w:t xml:space="preserve">ncome jurisdictions, unless the Covered Group demonstrates that Revenues did not arise in </w:t>
      </w:r>
      <w:r w:rsidRPr="00D90175">
        <w:rPr>
          <w:u w:val="single"/>
          <w:lang w:val="en-GB"/>
        </w:rPr>
        <w:t>any</w:t>
      </w:r>
      <w:r w:rsidRPr="00D90175">
        <w:rPr>
          <w:lang w:val="en-GB"/>
        </w:rPr>
        <w:t xml:space="preserve"> Low Income Jurisdiction.  </w:t>
      </w:r>
    </w:p>
    <w:p w14:paraId="6855922A" w14:textId="77777777" w:rsidR="00C373FD" w:rsidRPr="00D90175" w:rsidRDefault="00C373FD" w:rsidP="00D90175">
      <w:pPr>
        <w:spacing w:after="0"/>
        <w:rPr>
          <w:lang w:val="en-GB"/>
        </w:rPr>
      </w:pPr>
    </w:p>
    <w:p w14:paraId="2D5F4A63" w14:textId="6C63E710" w:rsidR="24ADCCC7" w:rsidRPr="00D90175" w:rsidRDefault="00317D8C" w:rsidP="00D90175">
      <w:pPr>
        <w:spacing w:after="0"/>
        <w:ind w:left="720"/>
        <w:rPr>
          <w:lang w:val="en-GB"/>
        </w:rPr>
      </w:pPr>
      <w:r w:rsidRPr="00D90175">
        <w:rPr>
          <w:lang w:val="en-GB"/>
        </w:rPr>
        <w:t xml:space="preserve">ICC submits that </w:t>
      </w:r>
      <w:r w:rsidR="24ADCCC7" w:rsidRPr="00D90175">
        <w:rPr>
          <w:lang w:val="en-GB"/>
        </w:rPr>
        <w:t xml:space="preserve">there could be </w:t>
      </w:r>
      <w:r w:rsidR="006B44DC" w:rsidRPr="00D90175">
        <w:rPr>
          <w:lang w:val="en-GB"/>
        </w:rPr>
        <w:t xml:space="preserve">questions on </w:t>
      </w:r>
      <w:r w:rsidR="24ADCCC7" w:rsidRPr="00D90175">
        <w:rPr>
          <w:lang w:val="en-GB"/>
        </w:rPr>
        <w:t>how to</w:t>
      </w:r>
      <w:r w:rsidR="006E7BCC" w:rsidRPr="00D90175">
        <w:rPr>
          <w:lang w:val="en-GB"/>
        </w:rPr>
        <w:t xml:space="preserve"> address </w:t>
      </w:r>
      <w:r w:rsidR="24ADCCC7" w:rsidRPr="055E1222">
        <w:rPr>
          <w:lang w:val="en-GB"/>
        </w:rPr>
        <w:t>situation</w:t>
      </w:r>
      <w:r w:rsidR="24ADCCC7" w:rsidRPr="00063C01">
        <w:rPr>
          <w:lang w:val="en-GB"/>
        </w:rPr>
        <w:t>s</w:t>
      </w:r>
      <w:r w:rsidR="24ADCCC7" w:rsidRPr="00D90175">
        <w:rPr>
          <w:lang w:val="en-GB"/>
        </w:rPr>
        <w:t xml:space="preserve"> </w:t>
      </w:r>
      <w:r w:rsidR="24ADCCC7" w:rsidRPr="18CF85E4">
        <w:rPr>
          <w:lang w:val="en-GB"/>
        </w:rPr>
        <w:t xml:space="preserve">where </w:t>
      </w:r>
      <w:r w:rsidR="24ADCCC7" w:rsidRPr="00D90175">
        <w:rPr>
          <w:lang w:val="en-GB"/>
        </w:rPr>
        <w:t xml:space="preserve">tail-end revenue did </w:t>
      </w:r>
      <w:r w:rsidR="24ADCCC7" w:rsidRPr="00D90175">
        <w:rPr>
          <w:u w:val="single"/>
          <w:lang w:val="en-GB"/>
        </w:rPr>
        <w:t>not only</w:t>
      </w:r>
      <w:r w:rsidR="24ADCCC7" w:rsidRPr="00D90175">
        <w:rPr>
          <w:lang w:val="en-GB"/>
        </w:rPr>
        <w:t xml:space="preserve"> arise</w:t>
      </w:r>
      <w:r w:rsidR="24ADCCC7" w:rsidRPr="4CC07EA3">
        <w:rPr>
          <w:color w:val="FF0000"/>
          <w:lang w:val="en-GB"/>
        </w:rPr>
        <w:t xml:space="preserve"> </w:t>
      </w:r>
      <w:r w:rsidR="24ADCCC7" w:rsidRPr="00D90175">
        <w:rPr>
          <w:lang w:val="en-GB"/>
        </w:rPr>
        <w:t xml:space="preserve">in low </w:t>
      </w:r>
      <w:r w:rsidR="24ADCCC7" w:rsidRPr="39D60367">
        <w:rPr>
          <w:lang w:val="en-GB"/>
        </w:rPr>
        <w:t>Income</w:t>
      </w:r>
      <w:r w:rsidR="24ADCCC7" w:rsidRPr="00D90175">
        <w:rPr>
          <w:lang w:val="en-GB"/>
        </w:rPr>
        <w:t xml:space="preserve"> jurisdictions. A literal application of Para B(3)(b) could lead to the conclusion that </w:t>
      </w:r>
      <w:r w:rsidR="24ADCCC7" w:rsidRPr="00D90175">
        <w:rPr>
          <w:u w:val="single"/>
          <w:lang w:val="en-GB"/>
        </w:rPr>
        <w:t>all</w:t>
      </w:r>
      <w:r w:rsidR="24ADCCC7" w:rsidRPr="00D90175">
        <w:rPr>
          <w:lang w:val="en-GB"/>
        </w:rPr>
        <w:t xml:space="preserve"> tail-end revenue needs to be allocated to low income jurisdictions. </w:t>
      </w:r>
      <w:r w:rsidR="45532783" w:rsidRPr="00D90175">
        <w:rPr>
          <w:lang w:val="en-GB"/>
        </w:rPr>
        <w:t>T</w:t>
      </w:r>
      <w:r w:rsidR="24ADCCC7" w:rsidRPr="00D90175">
        <w:rPr>
          <w:lang w:val="en-GB"/>
        </w:rPr>
        <w:t>his would represent an unbalanced outcome, potentially even an over-allocation to low income jurisdictions</w:t>
      </w:r>
      <w:r w:rsidR="3E05071E" w:rsidRPr="00D90175">
        <w:rPr>
          <w:lang w:val="en-GB"/>
        </w:rPr>
        <w:t xml:space="preserve"> (even after application of the knock-out rule</w:t>
      </w:r>
      <w:r w:rsidR="07A13D1E" w:rsidRPr="00D90175">
        <w:rPr>
          <w:lang w:val="en-GB"/>
        </w:rPr>
        <w:t xml:space="preserve"> of para B(5))</w:t>
      </w:r>
      <w:r w:rsidR="24ADCCC7" w:rsidRPr="00D90175">
        <w:rPr>
          <w:lang w:val="en-GB"/>
        </w:rPr>
        <w:t xml:space="preserve"> in cases where it is clear that tail-end revenue did </w:t>
      </w:r>
      <w:r w:rsidR="24ADCCC7" w:rsidRPr="00D90175">
        <w:rPr>
          <w:u w:val="single"/>
          <w:lang w:val="en-GB"/>
        </w:rPr>
        <w:t>not only</w:t>
      </w:r>
      <w:r w:rsidR="24ADCCC7" w:rsidRPr="00D90175">
        <w:rPr>
          <w:lang w:val="en-GB"/>
        </w:rPr>
        <w:t xml:space="preserve"> arise in those low income jurisdictions.</w:t>
      </w:r>
    </w:p>
    <w:p w14:paraId="0D952760" w14:textId="77777777" w:rsidR="001B3613" w:rsidRPr="00D90175" w:rsidRDefault="001B3613" w:rsidP="00D90175">
      <w:pPr>
        <w:spacing w:after="0"/>
        <w:ind w:left="720"/>
        <w:rPr>
          <w:lang w:val="en-GB"/>
        </w:rPr>
      </w:pPr>
    </w:p>
    <w:p w14:paraId="7ABB22F1" w14:textId="48F2D811" w:rsidR="54C850CE" w:rsidRPr="00D90175" w:rsidRDefault="54C850CE" w:rsidP="00D90175">
      <w:pPr>
        <w:spacing w:after="0"/>
        <w:ind w:left="720"/>
        <w:rPr>
          <w:rFonts w:eastAsia="Calibri" w:cs="Calibri"/>
          <w:szCs w:val="22"/>
          <w:lang w:val="en-GB"/>
        </w:rPr>
      </w:pPr>
      <w:r w:rsidRPr="00D90175">
        <w:rPr>
          <w:szCs w:val="22"/>
          <w:lang w:val="en-GB"/>
        </w:rPr>
        <w:t xml:space="preserve">ICC recommends </w:t>
      </w:r>
      <w:r w:rsidR="00024BBE" w:rsidRPr="00D90175">
        <w:rPr>
          <w:szCs w:val="22"/>
          <w:lang w:val="en-GB"/>
        </w:rPr>
        <w:t>adding</w:t>
      </w:r>
      <w:r w:rsidRPr="00D90175">
        <w:rPr>
          <w:szCs w:val="22"/>
          <w:lang w:val="en-GB"/>
        </w:rPr>
        <w:t xml:space="preserve"> the following wording (in bold) to the Para B(3)(b)</w:t>
      </w:r>
      <w:r w:rsidR="136D3600" w:rsidRPr="00D90175">
        <w:rPr>
          <w:szCs w:val="22"/>
          <w:lang w:val="en-GB"/>
        </w:rPr>
        <w:t>, page 13</w:t>
      </w:r>
      <w:r w:rsidRPr="00D90175">
        <w:rPr>
          <w:szCs w:val="22"/>
          <w:lang w:val="en-GB"/>
        </w:rPr>
        <w:t xml:space="preserve"> </w:t>
      </w:r>
      <w:r w:rsidR="00FF3820" w:rsidRPr="00D90175">
        <w:rPr>
          <w:szCs w:val="22"/>
          <w:lang w:val="en-GB"/>
        </w:rPr>
        <w:t xml:space="preserve">in order </w:t>
      </w:r>
      <w:r w:rsidRPr="00D90175">
        <w:rPr>
          <w:szCs w:val="22"/>
          <w:lang w:val="en-GB"/>
        </w:rPr>
        <w:t>to ensure a more balanced result:</w:t>
      </w:r>
      <w:r w:rsidRPr="00D90175">
        <w:rPr>
          <w:rFonts w:eastAsia="Calibri" w:cs="Calibri"/>
          <w:szCs w:val="22"/>
          <w:lang w:val="en-GB"/>
        </w:rPr>
        <w:t xml:space="preserve"> </w:t>
      </w:r>
    </w:p>
    <w:p w14:paraId="31F05637" w14:textId="77777777" w:rsidR="00024BBE" w:rsidRPr="00D90175" w:rsidRDefault="00024BBE" w:rsidP="00D90175">
      <w:pPr>
        <w:spacing w:after="0"/>
        <w:ind w:left="720"/>
        <w:rPr>
          <w:szCs w:val="22"/>
          <w:lang w:val="en-GB"/>
        </w:rPr>
      </w:pPr>
    </w:p>
    <w:p w14:paraId="0A0E361C" w14:textId="77777777" w:rsidR="00783324" w:rsidRPr="00D90175" w:rsidRDefault="54C850CE" w:rsidP="00D90175">
      <w:pPr>
        <w:spacing w:after="0"/>
        <w:ind w:left="720"/>
        <w:rPr>
          <w:i/>
          <w:iCs/>
          <w:lang w:val="en-GB"/>
        </w:rPr>
      </w:pPr>
      <w:r w:rsidRPr="00D90175">
        <w:rPr>
          <w:i/>
          <w:iCs/>
          <w:lang w:val="en-GB"/>
        </w:rPr>
        <w:t>“In the event</w:t>
      </w:r>
      <w:r w:rsidRPr="00D90175">
        <w:rPr>
          <w:b/>
          <w:bCs/>
          <w:i/>
          <w:iCs/>
          <w:lang w:val="en-GB"/>
        </w:rPr>
        <w:t xml:space="preserve"> and to extent</w:t>
      </w:r>
      <w:r w:rsidRPr="00D90175">
        <w:rPr>
          <w:i/>
          <w:iCs/>
          <w:lang w:val="en-GB"/>
        </w:rPr>
        <w:t xml:space="preserve"> that the Covered Group demonstrates that Revenues did not arise in any Low Income Jurisdiction, the Tail-End Revenues shall be treated as arising in [a Jurisdiction] using the Global Allocation Key.”</w:t>
      </w:r>
    </w:p>
    <w:p w14:paraId="2127FD9A" w14:textId="52E64258" w:rsidR="00783324" w:rsidRPr="00D90175" w:rsidRDefault="00783324" w:rsidP="00D90175">
      <w:pPr>
        <w:spacing w:after="0"/>
        <w:ind w:left="720"/>
        <w:rPr>
          <w:lang w:val="en-GB"/>
        </w:rPr>
      </w:pPr>
    </w:p>
    <w:p w14:paraId="74B26051" w14:textId="4DF137EC" w:rsidR="72BFA898" w:rsidRPr="00D90175" w:rsidRDefault="72BFA898" w:rsidP="00493C7B">
      <w:pPr>
        <w:pStyle w:val="Liststycke"/>
        <w:numPr>
          <w:ilvl w:val="0"/>
          <w:numId w:val="44"/>
        </w:numPr>
        <w:spacing w:after="0"/>
        <w:rPr>
          <w:rFonts w:eastAsia="Gotham Book" w:cs="Gotham Book"/>
          <w:szCs w:val="22"/>
          <w:lang w:val="en-GB"/>
        </w:rPr>
      </w:pPr>
      <w:r w:rsidRPr="00D90175">
        <w:rPr>
          <w:lang w:val="en-GB"/>
        </w:rPr>
        <w:t>Para B(4)</w:t>
      </w:r>
      <w:r w:rsidR="000E5C5E" w:rsidRPr="00D90175">
        <w:rPr>
          <w:lang w:val="en-GB"/>
        </w:rPr>
        <w:t xml:space="preserve"> [page 13]</w:t>
      </w:r>
      <w:r w:rsidRPr="00D90175">
        <w:rPr>
          <w:lang w:val="en-GB"/>
        </w:rPr>
        <w:t xml:space="preserve"> provides that the Covered Group must take reasonable steps to reduce the size of the Tail-End Revenues [5% max]. Footnote 16 indicates that there will be provisions on non-compliance. </w:t>
      </w:r>
    </w:p>
    <w:p w14:paraId="1EF09E45" w14:textId="77777777" w:rsidR="00FC5201" w:rsidRPr="00D90175" w:rsidRDefault="00FC5201" w:rsidP="00D90175">
      <w:pPr>
        <w:pStyle w:val="Liststycke"/>
        <w:spacing w:after="0"/>
        <w:rPr>
          <w:rFonts w:eastAsia="Gotham Book" w:cs="Gotham Book"/>
          <w:szCs w:val="22"/>
          <w:lang w:val="en-GB"/>
        </w:rPr>
      </w:pPr>
    </w:p>
    <w:p w14:paraId="03A6C494" w14:textId="35EE28D8" w:rsidR="2BF0F232" w:rsidRPr="00D90175" w:rsidRDefault="72BFA898" w:rsidP="00D90175">
      <w:pPr>
        <w:spacing w:after="0"/>
        <w:ind w:left="720"/>
        <w:rPr>
          <w:lang w:val="en-GB"/>
        </w:rPr>
      </w:pPr>
      <w:r w:rsidRPr="00D90175">
        <w:rPr>
          <w:lang w:val="en-GB"/>
        </w:rPr>
        <w:t>It seems that [5]% is rather low, in particular when a Covered Group is predominantly active in developing countries. I</w:t>
      </w:r>
      <w:r w:rsidR="00FB26B5" w:rsidRPr="00D90175">
        <w:rPr>
          <w:lang w:val="en-GB"/>
        </w:rPr>
        <w:t xml:space="preserve">CC suggests that it may be preferable to </w:t>
      </w:r>
      <w:r w:rsidRPr="00D90175">
        <w:rPr>
          <w:lang w:val="en-GB"/>
        </w:rPr>
        <w:t>first gain further experience with the practical application of this particular requirement.</w:t>
      </w:r>
      <w:r w:rsidR="008C6FD2" w:rsidRPr="00D90175">
        <w:rPr>
          <w:lang w:val="en-GB"/>
        </w:rPr>
        <w:t xml:space="preserve"> </w:t>
      </w:r>
      <w:r w:rsidR="2BF0F232" w:rsidRPr="4BD540AE">
        <w:rPr>
          <w:lang w:val="en-GB"/>
        </w:rPr>
        <w:t xml:space="preserve">In this regard, ICC recommends </w:t>
      </w:r>
      <w:r w:rsidR="008C6FD2" w:rsidRPr="4BD540AE">
        <w:rPr>
          <w:lang w:val="en-GB"/>
        </w:rPr>
        <w:t>removing</w:t>
      </w:r>
      <w:r w:rsidR="2BF0F232" w:rsidRPr="4BD540AE">
        <w:rPr>
          <w:lang w:val="en-GB"/>
        </w:rPr>
        <w:t xml:space="preserve"> this requirement, or include a higher percentage (15%, for instance) until further experience is gained with the practical application of this particular requirement.  </w:t>
      </w:r>
    </w:p>
    <w:p w14:paraId="7CE8144B" w14:textId="77777777" w:rsidR="00672727" w:rsidRPr="00D90175" w:rsidRDefault="00672727" w:rsidP="00D90175">
      <w:pPr>
        <w:spacing w:after="0"/>
        <w:ind w:left="720"/>
        <w:rPr>
          <w:lang w:val="en-GB"/>
        </w:rPr>
      </w:pPr>
    </w:p>
    <w:p w14:paraId="526410A3" w14:textId="721DDF93" w:rsidR="4FCAAE3E" w:rsidRPr="00D90175" w:rsidRDefault="4FCAAE3E" w:rsidP="00D90175">
      <w:pPr>
        <w:spacing w:after="0"/>
        <w:ind w:left="720"/>
        <w:rPr>
          <w:lang w:val="en-GB"/>
        </w:rPr>
      </w:pPr>
      <w:r w:rsidRPr="00D90175">
        <w:rPr>
          <w:szCs w:val="22"/>
          <w:lang w:val="en-GB"/>
        </w:rPr>
        <w:t xml:space="preserve">ICC also recommends </w:t>
      </w:r>
      <w:r w:rsidR="00672727" w:rsidRPr="00D90175">
        <w:rPr>
          <w:szCs w:val="22"/>
          <w:lang w:val="en-GB"/>
        </w:rPr>
        <w:t>clarifying</w:t>
      </w:r>
      <w:r w:rsidRPr="00D90175">
        <w:rPr>
          <w:szCs w:val="22"/>
          <w:lang w:val="en-GB"/>
        </w:rPr>
        <w:t xml:space="preserve"> in the Commentary that this does</w:t>
      </w:r>
      <w:r w:rsidR="00D7087E" w:rsidRPr="00D90175">
        <w:rPr>
          <w:szCs w:val="22"/>
          <w:lang w:val="en-GB"/>
        </w:rPr>
        <w:t xml:space="preserve"> not</w:t>
      </w:r>
      <w:r w:rsidRPr="00D90175">
        <w:rPr>
          <w:szCs w:val="22"/>
          <w:lang w:val="en-GB"/>
        </w:rPr>
        <w:t xml:space="preserve"> include any “Non-customer Revenues”, which can be deemed to arise in a jurisdiction in relation (proportion) to certain revenues, including Finished Goods (see for instance Page 25, Part 9) for the avoidance of doubt.</w:t>
      </w:r>
    </w:p>
    <w:p w14:paraId="12C82065" w14:textId="24209F2C" w:rsidR="00FC5201" w:rsidRPr="00D90175" w:rsidRDefault="00FC5201" w:rsidP="00D90175">
      <w:pPr>
        <w:spacing w:after="0"/>
        <w:ind w:left="720"/>
        <w:rPr>
          <w:lang w:val="en-GB"/>
        </w:rPr>
      </w:pPr>
    </w:p>
    <w:p w14:paraId="41CD41E8" w14:textId="77777777" w:rsidR="007A3D05" w:rsidRPr="00D90175" w:rsidRDefault="00E16376" w:rsidP="00D90175">
      <w:pPr>
        <w:pStyle w:val="1"/>
        <w:rPr>
          <w:rFonts w:ascii="Gotham Book" w:hAnsi="Gotham Book"/>
          <w:lang w:val="en-GB"/>
        </w:rPr>
      </w:pPr>
      <w:r w:rsidRPr="00D90175">
        <w:rPr>
          <w:rFonts w:ascii="Gotham Book" w:hAnsi="Gotham Book"/>
          <w:lang w:val="en-GB"/>
        </w:rPr>
        <w:t xml:space="preserve">ICC members hold that </w:t>
      </w:r>
      <w:r w:rsidR="00AE52EB" w:rsidRPr="00D90175">
        <w:rPr>
          <w:rFonts w:ascii="Gotham Book" w:hAnsi="Gotham Book"/>
          <w:lang w:val="en-GB"/>
        </w:rPr>
        <w:t>reducing the tail-end revenue may require MNEs to make overall adjustments at group level</w:t>
      </w:r>
      <w:r w:rsidR="00500F12" w:rsidRPr="00D90175">
        <w:rPr>
          <w:rFonts w:ascii="Gotham Book" w:hAnsi="Gotham Book"/>
          <w:lang w:val="en-GB"/>
        </w:rPr>
        <w:t>, which could entail substantive administrative burden and the potential for bilateral or multilateral ta</w:t>
      </w:r>
      <w:r w:rsidR="006445A3" w:rsidRPr="00D90175">
        <w:rPr>
          <w:rFonts w:ascii="Gotham Book" w:hAnsi="Gotham Book"/>
          <w:lang w:val="en-GB"/>
        </w:rPr>
        <w:t>x</w:t>
      </w:r>
      <w:r w:rsidR="00500F12" w:rsidRPr="00D90175">
        <w:rPr>
          <w:rFonts w:ascii="Gotham Book" w:hAnsi="Gotham Book"/>
          <w:lang w:val="en-GB"/>
        </w:rPr>
        <w:t xml:space="preserve"> disputes. </w:t>
      </w:r>
      <w:r w:rsidR="006445A3" w:rsidRPr="00D90175">
        <w:rPr>
          <w:rFonts w:ascii="Gotham Book" w:hAnsi="Gotham Book"/>
          <w:lang w:val="en-GB"/>
        </w:rPr>
        <w:t xml:space="preserve">In this respect, it </w:t>
      </w:r>
      <w:r w:rsidR="006445A3" w:rsidRPr="00D90175">
        <w:rPr>
          <w:rFonts w:ascii="Gotham Book" w:hAnsi="Gotham Book"/>
          <w:lang w:val="en-GB"/>
        </w:rPr>
        <w:lastRenderedPageBreak/>
        <w:t xml:space="preserve">would be useful to provide supporting measures </w:t>
      </w:r>
      <w:r w:rsidR="00E8703A" w:rsidRPr="00D90175">
        <w:rPr>
          <w:rFonts w:ascii="Gotham Book" w:hAnsi="Gotham Book"/>
          <w:lang w:val="en-GB"/>
        </w:rPr>
        <w:t xml:space="preserve">and a protection period for MNEs for the adjustment of tail-end revenues.  </w:t>
      </w:r>
    </w:p>
    <w:p w14:paraId="642BB5EC" w14:textId="77777777" w:rsidR="007A3D05" w:rsidRPr="00D90175" w:rsidRDefault="007A3D05" w:rsidP="00D90175">
      <w:pPr>
        <w:pStyle w:val="1"/>
        <w:rPr>
          <w:rFonts w:ascii="Gotham Book" w:hAnsi="Gotham Book"/>
          <w:lang w:val="en-GB"/>
        </w:rPr>
      </w:pPr>
    </w:p>
    <w:p w14:paraId="693B1A27" w14:textId="094275A7" w:rsidR="00920AB9" w:rsidRPr="00D90175" w:rsidRDefault="00920AB9" w:rsidP="00493C7B">
      <w:pPr>
        <w:pStyle w:val="1"/>
        <w:numPr>
          <w:ilvl w:val="0"/>
          <w:numId w:val="44"/>
        </w:numPr>
        <w:rPr>
          <w:rFonts w:ascii="Gotham Book" w:hAnsi="Gotham Book"/>
          <w:lang w:val="en-GB"/>
        </w:rPr>
      </w:pPr>
      <w:r w:rsidRPr="00D90175">
        <w:rPr>
          <w:rFonts w:ascii="Gotham Book" w:hAnsi="Gotham Book"/>
        </w:rPr>
        <w:t xml:space="preserve">Para 4 (A), </w:t>
      </w:r>
      <w:r w:rsidR="00082085" w:rsidRPr="00D90175">
        <w:rPr>
          <w:rFonts w:ascii="Gotham Book" w:hAnsi="Gotham Book"/>
        </w:rPr>
        <w:t>[</w:t>
      </w:r>
      <w:r w:rsidRPr="00D90175">
        <w:rPr>
          <w:rFonts w:ascii="Gotham Book" w:hAnsi="Gotham Book"/>
        </w:rPr>
        <w:t>page 15</w:t>
      </w:r>
      <w:r w:rsidR="00082085" w:rsidRPr="00D90175">
        <w:rPr>
          <w:rFonts w:ascii="Gotham Book" w:hAnsi="Gotham Book"/>
        </w:rPr>
        <w:t>]</w:t>
      </w:r>
      <w:r w:rsidRPr="00D90175">
        <w:rPr>
          <w:rFonts w:ascii="Gotham Book" w:hAnsi="Gotham Book"/>
        </w:rPr>
        <w:t xml:space="preserve"> </w:t>
      </w:r>
      <w:r w:rsidRPr="00D90175">
        <w:rPr>
          <w:rFonts w:ascii="Gotham Book" w:hAnsi="Gotham Book" w:cstheme="majorHAnsi"/>
          <w:bCs/>
        </w:rPr>
        <w:t>Revenue source rules related to components.</w:t>
      </w:r>
    </w:p>
    <w:p w14:paraId="5FDA2704" w14:textId="1626720B" w:rsidR="00920AB9" w:rsidRPr="00D90175" w:rsidRDefault="00920AB9" w:rsidP="00D90175">
      <w:pPr>
        <w:pStyle w:val="a"/>
        <w:spacing w:after="0" w:line="240" w:lineRule="auto"/>
        <w:ind w:left="720"/>
        <w:rPr>
          <w:rFonts w:ascii="Gotham Book" w:hAnsi="Gotham Book" w:cstheme="majorHAnsi"/>
        </w:rPr>
      </w:pPr>
      <w:r w:rsidRPr="00D90175">
        <w:rPr>
          <w:rFonts w:ascii="Gotham Book" w:hAnsi="Gotham Book" w:cstheme="majorHAnsi"/>
        </w:rPr>
        <w:t xml:space="preserve">According to Part 4, the revenue source rules of “components” are determined by the delivery place of “finished goods” assembled by them. According to </w:t>
      </w:r>
      <w:r w:rsidR="00213F36" w:rsidRPr="00D90175">
        <w:rPr>
          <w:rFonts w:ascii="Gotham Book" w:hAnsi="Gotham Book" w:cstheme="majorHAnsi"/>
        </w:rPr>
        <w:t xml:space="preserve">the </w:t>
      </w:r>
      <w:r w:rsidRPr="00D90175">
        <w:rPr>
          <w:rFonts w:ascii="Gotham Book" w:hAnsi="Gotham Book" w:cstheme="majorHAnsi"/>
        </w:rPr>
        <w:t xml:space="preserve">draft rules, if </w:t>
      </w:r>
      <w:r w:rsidR="00106E07" w:rsidRPr="00D90175">
        <w:rPr>
          <w:rFonts w:ascii="Gotham Book" w:hAnsi="Gotham Book" w:cstheme="majorHAnsi"/>
        </w:rPr>
        <w:t xml:space="preserve">a reliable indicator is not available for </w:t>
      </w:r>
      <w:r w:rsidRPr="00D90175">
        <w:rPr>
          <w:rFonts w:ascii="Gotham Book" w:hAnsi="Gotham Book" w:cstheme="majorHAnsi"/>
        </w:rPr>
        <w:t>the sale of components</w:t>
      </w:r>
      <w:r w:rsidR="003343DC" w:rsidRPr="00D90175">
        <w:rPr>
          <w:rFonts w:ascii="Gotham Book" w:hAnsi="Gotham Book" w:cstheme="majorHAnsi"/>
        </w:rPr>
        <w:t xml:space="preserve">, then the Global Allocation Key will be used. </w:t>
      </w:r>
    </w:p>
    <w:p w14:paraId="0DFD034B" w14:textId="77777777" w:rsidR="00213F36" w:rsidRPr="00D90175" w:rsidRDefault="00213F36" w:rsidP="00D90175">
      <w:pPr>
        <w:pStyle w:val="1"/>
        <w:rPr>
          <w:rFonts w:ascii="Gotham Book" w:hAnsi="Gotham Book"/>
        </w:rPr>
      </w:pPr>
    </w:p>
    <w:p w14:paraId="5B34117B" w14:textId="6BF27271" w:rsidR="00920AB9" w:rsidRPr="00D90175" w:rsidRDefault="009212F4" w:rsidP="00D90175">
      <w:pPr>
        <w:pStyle w:val="a"/>
        <w:spacing w:after="0" w:line="240" w:lineRule="auto"/>
        <w:ind w:left="720"/>
        <w:rPr>
          <w:rFonts w:ascii="Gotham Book" w:hAnsi="Gotham Book" w:cstheme="majorBidi"/>
        </w:rPr>
      </w:pPr>
      <w:r w:rsidRPr="50D57C82">
        <w:rPr>
          <w:rFonts w:ascii="Gotham Book" w:hAnsi="Gotham Book" w:cstheme="majorBidi"/>
        </w:rPr>
        <w:t xml:space="preserve">In the case of </w:t>
      </w:r>
      <w:r w:rsidRPr="000D2EE2">
        <w:rPr>
          <w:rFonts w:ascii="Gotham Book" w:hAnsi="Gotham Book" w:cstheme="majorBidi"/>
        </w:rPr>
        <w:t>manufactur</w:t>
      </w:r>
      <w:r w:rsidR="00067EB4" w:rsidRPr="000D2EE2">
        <w:rPr>
          <w:rFonts w:ascii="Gotham Book" w:hAnsi="Gotham Book" w:cstheme="majorBidi"/>
        </w:rPr>
        <w:t>ing</w:t>
      </w:r>
      <w:r w:rsidR="00067EB4" w:rsidRPr="50D57C82">
        <w:rPr>
          <w:rFonts w:ascii="Gotham Book" w:hAnsi="Gotham Book" w:cstheme="majorBidi"/>
        </w:rPr>
        <w:t xml:space="preserve"> industr</w:t>
      </w:r>
      <w:r w:rsidR="008A0CF9" w:rsidRPr="50D57C82">
        <w:rPr>
          <w:rFonts w:ascii="Gotham Book" w:hAnsi="Gotham Book" w:cstheme="majorBidi"/>
        </w:rPr>
        <w:t>ies</w:t>
      </w:r>
      <w:r w:rsidR="00067EB4" w:rsidRPr="50D57C82">
        <w:rPr>
          <w:rFonts w:ascii="Gotham Book" w:hAnsi="Gotham Book" w:cstheme="majorBidi"/>
        </w:rPr>
        <w:t xml:space="preserve"> (</w:t>
      </w:r>
      <w:r w:rsidR="00483274" w:rsidRPr="50D57C82">
        <w:rPr>
          <w:rFonts w:ascii="Gotham Book" w:hAnsi="Gotham Book" w:cstheme="majorBidi"/>
        </w:rPr>
        <w:t>e.g.,</w:t>
      </w:r>
      <w:r w:rsidR="00067EB4" w:rsidRPr="50D57C82">
        <w:rPr>
          <w:rFonts w:ascii="Gotham Book" w:hAnsi="Gotham Book" w:cstheme="majorBidi"/>
        </w:rPr>
        <w:t xml:space="preserve"> vehicles)</w:t>
      </w:r>
      <w:r w:rsidR="002A6F89" w:rsidRPr="50D57C82">
        <w:rPr>
          <w:rFonts w:ascii="Gotham Book" w:hAnsi="Gotham Book" w:cstheme="majorBidi"/>
        </w:rPr>
        <w:t xml:space="preserve">, </w:t>
      </w:r>
      <w:r w:rsidR="00920AB9" w:rsidRPr="50D57C82">
        <w:rPr>
          <w:rFonts w:ascii="Gotham Book" w:hAnsi="Gotham Book" w:cstheme="majorBidi"/>
        </w:rPr>
        <w:t xml:space="preserve">the </w:t>
      </w:r>
      <w:r w:rsidR="000D2EE2">
        <w:rPr>
          <w:rFonts w:ascii="Gotham Book" w:hAnsi="Gotham Book" w:cstheme="majorBidi"/>
        </w:rPr>
        <w:t>production</w:t>
      </w:r>
      <w:r w:rsidR="00920AB9" w:rsidRPr="50D57C82">
        <w:rPr>
          <w:rFonts w:ascii="Gotham Book" w:hAnsi="Gotham Book" w:cstheme="majorBidi"/>
        </w:rPr>
        <w:t xml:space="preserve"> of parts and components involves multiple </w:t>
      </w:r>
      <w:r w:rsidR="00A262FF" w:rsidRPr="50D57C82">
        <w:rPr>
          <w:rFonts w:ascii="Gotham Book" w:hAnsi="Gotham Book" w:cstheme="majorBidi"/>
        </w:rPr>
        <w:t>[</w:t>
      </w:r>
      <w:r w:rsidR="00920AB9" w:rsidRPr="50D57C82">
        <w:rPr>
          <w:rFonts w:ascii="Gotham Book" w:hAnsi="Gotham Book" w:cstheme="majorBidi"/>
        </w:rPr>
        <w:t>non-related</w:t>
      </w:r>
      <w:r w:rsidR="00A262FF" w:rsidRPr="50D57C82">
        <w:rPr>
          <w:rFonts w:ascii="Gotham Book" w:hAnsi="Gotham Book" w:cstheme="majorBidi"/>
        </w:rPr>
        <w:t>]</w:t>
      </w:r>
      <w:r w:rsidR="00920AB9" w:rsidRPr="50D57C82">
        <w:rPr>
          <w:rFonts w:ascii="Gotham Book" w:hAnsi="Gotham Book" w:cstheme="majorBidi"/>
        </w:rPr>
        <w:t xml:space="preserve"> parties </w:t>
      </w:r>
      <w:r w:rsidR="00A262FF" w:rsidRPr="50D57C82">
        <w:rPr>
          <w:rFonts w:ascii="Gotham Book" w:hAnsi="Gotham Book" w:cstheme="majorBidi"/>
        </w:rPr>
        <w:t>and a complex supply chain</w:t>
      </w:r>
      <w:r w:rsidR="000B1806" w:rsidRPr="50D57C82">
        <w:rPr>
          <w:rFonts w:ascii="Gotham Book" w:hAnsi="Gotham Book" w:cstheme="majorBidi"/>
        </w:rPr>
        <w:t xml:space="preserve"> before assembly</w:t>
      </w:r>
      <w:r w:rsidR="00067EB4" w:rsidRPr="50D57C82">
        <w:rPr>
          <w:rFonts w:ascii="Gotham Book" w:hAnsi="Gotham Book" w:cstheme="majorBidi"/>
        </w:rPr>
        <w:t xml:space="preserve"> of the final product</w:t>
      </w:r>
      <w:r w:rsidR="000B1806" w:rsidRPr="50D57C82">
        <w:rPr>
          <w:rFonts w:ascii="Gotham Book" w:hAnsi="Gotham Book" w:cstheme="majorBidi"/>
        </w:rPr>
        <w:t>.</w:t>
      </w:r>
      <w:r w:rsidR="0046425A" w:rsidRPr="50D57C82">
        <w:rPr>
          <w:rFonts w:ascii="Gotham Book" w:hAnsi="Gotham Book" w:cstheme="majorBidi"/>
        </w:rPr>
        <w:t xml:space="preserve"> </w:t>
      </w:r>
      <w:r w:rsidR="00D23A82" w:rsidRPr="50D57C82">
        <w:rPr>
          <w:rFonts w:ascii="Gotham Book" w:hAnsi="Gotham Book" w:cstheme="majorBidi"/>
        </w:rPr>
        <w:t>Many</w:t>
      </w:r>
      <w:r w:rsidR="00920AB9" w:rsidRPr="50D57C82">
        <w:rPr>
          <w:rFonts w:ascii="Gotham Book" w:hAnsi="Gotham Book" w:cstheme="majorBidi"/>
        </w:rPr>
        <w:t xml:space="preserve"> MNEs will reduce compliance costs in the future and only use the “global allocation key” to determine the source of revenue of “components”. In addition, some products can be used as “components” or “finished goods”</w:t>
      </w:r>
      <w:r w:rsidR="003F1865" w:rsidRPr="50D57C82">
        <w:rPr>
          <w:rFonts w:ascii="Gotham Book" w:hAnsi="Gotham Book" w:cstheme="majorBidi"/>
        </w:rPr>
        <w:t xml:space="preserve"> (</w:t>
      </w:r>
      <w:r w:rsidR="00483274" w:rsidRPr="50D57C82">
        <w:rPr>
          <w:rFonts w:ascii="Gotham Book" w:hAnsi="Gotham Book" w:cstheme="majorBidi"/>
        </w:rPr>
        <w:t>e.g.,</w:t>
      </w:r>
      <w:r w:rsidR="003F1865" w:rsidRPr="50D57C82">
        <w:rPr>
          <w:rFonts w:ascii="Gotham Book" w:hAnsi="Gotham Book" w:cstheme="majorBidi"/>
        </w:rPr>
        <w:t xml:space="preserve"> </w:t>
      </w:r>
      <w:r w:rsidR="00B82544" w:rsidRPr="50D57C82">
        <w:rPr>
          <w:rFonts w:ascii="Gotham Book" w:hAnsi="Gotham Book" w:cstheme="majorBidi"/>
        </w:rPr>
        <w:t>tires</w:t>
      </w:r>
      <w:r w:rsidR="003F1865" w:rsidRPr="50D57C82">
        <w:rPr>
          <w:rFonts w:ascii="Gotham Book" w:hAnsi="Gotham Book" w:cstheme="majorBidi"/>
        </w:rPr>
        <w:t>)</w:t>
      </w:r>
      <w:r w:rsidR="00920AB9" w:rsidRPr="50D57C82">
        <w:rPr>
          <w:rFonts w:ascii="Gotham Book" w:hAnsi="Gotham Book" w:cstheme="majorBidi"/>
        </w:rPr>
        <w:t>. Therefore, in order to determine the attributes of the products they sell, MNE</w:t>
      </w:r>
      <w:r w:rsidR="006B0DE9" w:rsidRPr="50D57C82">
        <w:rPr>
          <w:rFonts w:ascii="Gotham Book" w:hAnsi="Gotham Book" w:cstheme="majorBidi"/>
        </w:rPr>
        <w:t>s</w:t>
      </w:r>
      <w:r w:rsidR="00920AB9" w:rsidRPr="50D57C82">
        <w:rPr>
          <w:rFonts w:ascii="Gotham Book" w:hAnsi="Gotham Book" w:cstheme="majorBidi"/>
        </w:rPr>
        <w:t xml:space="preserve"> may need to know the purpose for which customers </w:t>
      </w:r>
      <w:r w:rsidR="006B0DE9" w:rsidRPr="50D57C82">
        <w:rPr>
          <w:rFonts w:ascii="Gotham Book" w:hAnsi="Gotham Book" w:cstheme="majorBidi"/>
        </w:rPr>
        <w:t>purchase the products</w:t>
      </w:r>
      <w:r w:rsidR="00920AB9" w:rsidRPr="50D57C82">
        <w:rPr>
          <w:rFonts w:ascii="Gotham Book" w:hAnsi="Gotham Book" w:cstheme="majorBidi"/>
        </w:rPr>
        <w:t>.</w:t>
      </w:r>
    </w:p>
    <w:p w14:paraId="7870748A" w14:textId="77777777" w:rsidR="000432D9" w:rsidRPr="00D90175" w:rsidRDefault="000432D9" w:rsidP="00D90175">
      <w:pPr>
        <w:pStyle w:val="1"/>
        <w:rPr>
          <w:rFonts w:ascii="Gotham Book" w:hAnsi="Gotham Book"/>
        </w:rPr>
      </w:pPr>
    </w:p>
    <w:p w14:paraId="778F8ACD" w14:textId="439FD735" w:rsidR="00920AB9" w:rsidRPr="00D90175" w:rsidRDefault="00920AB9" w:rsidP="00D90175">
      <w:pPr>
        <w:pStyle w:val="1"/>
        <w:rPr>
          <w:rFonts w:ascii="Gotham Book" w:hAnsi="Gotham Book"/>
        </w:rPr>
      </w:pPr>
      <w:r w:rsidRPr="00D90175">
        <w:rPr>
          <w:rFonts w:ascii="Gotham Book" w:hAnsi="Gotham Book"/>
        </w:rPr>
        <w:t>Although the revenue source determination rules are the same for components seller</w:t>
      </w:r>
      <w:r w:rsidR="003F1865" w:rsidRPr="00D90175">
        <w:rPr>
          <w:rFonts w:ascii="Gotham Book" w:hAnsi="Gotham Book"/>
        </w:rPr>
        <w:t>s</w:t>
      </w:r>
      <w:r w:rsidRPr="00D90175">
        <w:rPr>
          <w:rFonts w:ascii="Gotham Book" w:hAnsi="Gotham Book"/>
        </w:rPr>
        <w:t xml:space="preserve"> and independent distributors selling finished goods, there are differences between the two when MNE</w:t>
      </w:r>
      <w:r w:rsidR="00866589" w:rsidRPr="00D90175">
        <w:rPr>
          <w:rFonts w:ascii="Gotham Book" w:hAnsi="Gotham Book"/>
        </w:rPr>
        <w:t>s</w:t>
      </w:r>
      <w:r w:rsidRPr="00D90175">
        <w:rPr>
          <w:rFonts w:ascii="Gotham Book" w:hAnsi="Gotham Book"/>
        </w:rPr>
        <w:t xml:space="preserve"> cannot</w:t>
      </w:r>
      <w:r w:rsidR="00866589" w:rsidRPr="00D90175">
        <w:rPr>
          <w:rFonts w:ascii="Gotham Book" w:hAnsi="Gotham Book"/>
        </w:rPr>
        <w:t xml:space="preserve"> determine</w:t>
      </w:r>
      <w:r w:rsidRPr="00D90175">
        <w:rPr>
          <w:rFonts w:ascii="Gotham Book" w:hAnsi="Gotham Book"/>
        </w:rPr>
        <w:t xml:space="preserve"> an indicator. As “components”, MNEs </w:t>
      </w:r>
      <w:r w:rsidR="00866589" w:rsidRPr="00D90175">
        <w:rPr>
          <w:rFonts w:ascii="Gotham Book" w:hAnsi="Gotham Book"/>
        </w:rPr>
        <w:t>will n</w:t>
      </w:r>
      <w:r w:rsidRPr="00D90175">
        <w:rPr>
          <w:rFonts w:ascii="Gotham Book" w:hAnsi="Gotham Book"/>
        </w:rPr>
        <w:t>eed to apply the “global allocation key”. However, as “finished goods”, it is possible to apply regional allocation key</w:t>
      </w:r>
      <w:r w:rsidR="00866589" w:rsidRPr="00D90175">
        <w:rPr>
          <w:rFonts w:ascii="Gotham Book" w:hAnsi="Gotham Book"/>
        </w:rPr>
        <w:t>s</w:t>
      </w:r>
      <w:r w:rsidRPr="00D90175">
        <w:rPr>
          <w:rFonts w:ascii="Gotham Book" w:hAnsi="Gotham Book"/>
        </w:rPr>
        <w:t xml:space="preserve"> or low income </w:t>
      </w:r>
      <w:r w:rsidR="00DE2585">
        <w:rPr>
          <w:rFonts w:ascii="Gotham Book" w:hAnsi="Gotham Book"/>
        </w:rPr>
        <w:t xml:space="preserve">jurisdiction </w:t>
      </w:r>
      <w:r w:rsidRPr="00D90175">
        <w:rPr>
          <w:rFonts w:ascii="Gotham Book" w:hAnsi="Gotham Book"/>
        </w:rPr>
        <w:t>allocation key</w:t>
      </w:r>
      <w:r w:rsidR="00866589" w:rsidRPr="00D90175">
        <w:rPr>
          <w:rFonts w:ascii="Gotham Book" w:hAnsi="Gotham Book"/>
        </w:rPr>
        <w:t>s</w:t>
      </w:r>
      <w:r w:rsidRPr="00D90175">
        <w:rPr>
          <w:rFonts w:ascii="Gotham Book" w:hAnsi="Gotham Book"/>
        </w:rPr>
        <w:t>.</w:t>
      </w:r>
    </w:p>
    <w:p w14:paraId="12FDA013" w14:textId="77777777" w:rsidR="007A3D05" w:rsidRPr="00D90175" w:rsidRDefault="007A3D05" w:rsidP="00D90175">
      <w:pPr>
        <w:pStyle w:val="1"/>
        <w:rPr>
          <w:rFonts w:ascii="Gotham Book" w:hAnsi="Gotham Book"/>
        </w:rPr>
      </w:pPr>
    </w:p>
    <w:p w14:paraId="72A98AB7" w14:textId="4EB89355" w:rsidR="007A3D05" w:rsidRPr="00D90175" w:rsidRDefault="007A3D05" w:rsidP="00493C7B">
      <w:pPr>
        <w:pStyle w:val="Normalwebb"/>
        <w:numPr>
          <w:ilvl w:val="0"/>
          <w:numId w:val="44"/>
        </w:numPr>
        <w:spacing w:before="0" w:beforeAutospacing="0" w:after="0" w:afterAutospacing="0"/>
        <w:jc w:val="both"/>
        <w:rPr>
          <w:rFonts w:ascii="Gotham Book" w:hAnsi="Gotham Book" w:cstheme="majorBidi"/>
          <w:color w:val="000000"/>
          <w:sz w:val="22"/>
          <w:szCs w:val="22"/>
        </w:rPr>
      </w:pPr>
      <w:r w:rsidRPr="07E8AD48">
        <w:rPr>
          <w:rFonts w:ascii="Gotham Book" w:hAnsi="Gotham Book" w:cstheme="majorBidi"/>
          <w:color w:val="000000"/>
          <w:sz w:val="22"/>
          <w:szCs w:val="22"/>
        </w:rPr>
        <w:t>Part 5, [page 20] - Customer Reward Program</w:t>
      </w:r>
      <w:r w:rsidR="00B12F9A" w:rsidRPr="07E8AD48">
        <w:rPr>
          <w:rFonts w:ascii="Gotham Book" w:hAnsi="Gotham Book" w:cstheme="majorBidi"/>
          <w:color w:val="000000"/>
          <w:sz w:val="22"/>
          <w:szCs w:val="22"/>
        </w:rPr>
        <w:t>s</w:t>
      </w:r>
      <w:r w:rsidRPr="07E8AD48">
        <w:rPr>
          <w:rFonts w:ascii="Gotham Book" w:hAnsi="Gotham Book" w:cstheme="majorBidi"/>
          <w:color w:val="000000"/>
          <w:sz w:val="22"/>
          <w:szCs w:val="22"/>
        </w:rPr>
        <w:t>, E (1) indicate</w:t>
      </w:r>
      <w:r w:rsidR="006A305C">
        <w:rPr>
          <w:rFonts w:ascii="Gotham Book" w:hAnsi="Gotham Book" w:cstheme="majorBidi"/>
          <w:color w:val="000000"/>
          <w:sz w:val="22"/>
          <w:szCs w:val="22"/>
        </w:rPr>
        <w:t>s</w:t>
      </w:r>
      <w:r w:rsidRPr="07E8AD48">
        <w:rPr>
          <w:rFonts w:ascii="Gotham Book" w:hAnsi="Gotham Book" w:cstheme="majorBidi"/>
          <w:color w:val="000000"/>
          <w:sz w:val="22"/>
          <w:szCs w:val="22"/>
        </w:rPr>
        <w:t xml:space="preserve"> that Customer Reward Program Revenues are divided by the proportion of Active Members. </w:t>
      </w:r>
    </w:p>
    <w:p w14:paraId="172672B6" w14:textId="4580A0E7" w:rsidR="007A3D05" w:rsidRPr="00D90175" w:rsidRDefault="007A3D05" w:rsidP="00D90175">
      <w:pPr>
        <w:pStyle w:val="Normalwebb"/>
        <w:spacing w:before="0" w:beforeAutospacing="0" w:after="0" w:afterAutospacing="0"/>
        <w:ind w:left="720"/>
        <w:jc w:val="both"/>
        <w:rPr>
          <w:rFonts w:ascii="Gotham Book" w:hAnsi="Gotham Book" w:cstheme="majorHAnsi"/>
          <w:color w:val="000000"/>
          <w:sz w:val="22"/>
          <w:szCs w:val="22"/>
        </w:rPr>
      </w:pPr>
      <w:r w:rsidRPr="00D90175">
        <w:rPr>
          <w:rFonts w:ascii="Gotham Book" w:hAnsi="Gotham Book" w:cstheme="majorHAnsi"/>
          <w:sz w:val="22"/>
          <w:szCs w:val="22"/>
        </w:rPr>
        <w:t xml:space="preserve"> </w:t>
      </w:r>
    </w:p>
    <w:p w14:paraId="46E5FED6" w14:textId="706AC095" w:rsidR="007A3D05" w:rsidRPr="00D90175" w:rsidRDefault="00BA77B7" w:rsidP="00D90175">
      <w:pPr>
        <w:pStyle w:val="Normalwebb"/>
        <w:spacing w:before="0" w:beforeAutospacing="0" w:after="0" w:afterAutospacing="0"/>
        <w:ind w:left="720"/>
        <w:jc w:val="both"/>
        <w:rPr>
          <w:rFonts w:ascii="Gotham Book" w:hAnsi="Gotham Book" w:cstheme="majorBidi"/>
          <w:color w:val="000000"/>
          <w:sz w:val="22"/>
          <w:szCs w:val="22"/>
        </w:rPr>
      </w:pPr>
      <w:r w:rsidRPr="6828BD35">
        <w:rPr>
          <w:rFonts w:ascii="Gotham Book" w:hAnsi="Gotham Book" w:cstheme="majorBidi"/>
          <w:color w:val="000000"/>
          <w:sz w:val="22"/>
          <w:szCs w:val="22"/>
        </w:rPr>
        <w:t>ICC members believe that t</w:t>
      </w:r>
      <w:r w:rsidR="007A3D05" w:rsidRPr="6828BD35">
        <w:rPr>
          <w:rFonts w:ascii="Gotham Book" w:hAnsi="Gotham Book" w:cstheme="majorBidi"/>
          <w:color w:val="000000"/>
          <w:sz w:val="22"/>
          <w:szCs w:val="22"/>
        </w:rPr>
        <w:t xml:space="preserve">he above allocation may distort the revenue sourcing if the revenue has a strong correlation with the units owned by the Active Members. </w:t>
      </w:r>
      <w:r w:rsidRPr="6828BD35">
        <w:rPr>
          <w:rFonts w:ascii="Gotham Book" w:hAnsi="Gotham Book" w:cstheme="majorBidi"/>
          <w:color w:val="000000"/>
          <w:sz w:val="22"/>
          <w:szCs w:val="22"/>
        </w:rPr>
        <w:t xml:space="preserve">ICC suggests that it could be helpful </w:t>
      </w:r>
      <w:r w:rsidR="007A3D05" w:rsidRPr="6828BD35">
        <w:rPr>
          <w:rFonts w:ascii="Gotham Book" w:hAnsi="Gotham Book" w:cstheme="majorBidi"/>
          <w:color w:val="000000"/>
          <w:sz w:val="22"/>
          <w:szCs w:val="22"/>
        </w:rPr>
        <w:t>to illustrate different scenarios of Customer Reward Program Revenues. In some cases, using the units on the Active Members’ account</w:t>
      </w:r>
      <w:r w:rsidR="00AC1E86">
        <w:rPr>
          <w:rFonts w:ascii="Gotham Book" w:hAnsi="Gotham Book" w:cstheme="majorBidi"/>
          <w:color w:val="000000"/>
          <w:sz w:val="22"/>
          <w:szCs w:val="22"/>
        </w:rPr>
        <w:t>s</w:t>
      </w:r>
      <w:r w:rsidR="10360D7A" w:rsidRPr="6828BD35">
        <w:rPr>
          <w:rFonts w:ascii="Gotham Book" w:hAnsi="Gotham Book" w:cstheme="majorBidi"/>
          <w:color w:val="000000"/>
          <w:sz w:val="22"/>
          <w:szCs w:val="22"/>
        </w:rPr>
        <w:t xml:space="preserve"> </w:t>
      </w:r>
      <w:r w:rsidR="007A3D05" w:rsidRPr="6828BD35">
        <w:rPr>
          <w:rFonts w:ascii="Gotham Book" w:hAnsi="Gotham Book" w:cstheme="majorBidi"/>
          <w:color w:val="000000"/>
          <w:sz w:val="22"/>
          <w:szCs w:val="22"/>
        </w:rPr>
        <w:t>as an allocation key may be more appropriate.</w:t>
      </w:r>
    </w:p>
    <w:p w14:paraId="5B6A98F8" w14:textId="77777777" w:rsidR="00AC5286" w:rsidRPr="00D90175" w:rsidRDefault="00AC5286" w:rsidP="00D90175">
      <w:pPr>
        <w:spacing w:after="0"/>
        <w:ind w:left="720"/>
      </w:pPr>
    </w:p>
    <w:p w14:paraId="32CB7D9C" w14:textId="5D36DB0F" w:rsidR="00514B77" w:rsidRPr="00D90175" w:rsidRDefault="002449ED" w:rsidP="00493C7B">
      <w:pPr>
        <w:pStyle w:val="Liststycke"/>
        <w:numPr>
          <w:ilvl w:val="0"/>
          <w:numId w:val="44"/>
        </w:numPr>
        <w:spacing w:after="0"/>
      </w:pPr>
      <w:r w:rsidRPr="00D90175">
        <w:t>D</w:t>
      </w:r>
      <w:r w:rsidR="00514B77" w:rsidRPr="00D90175">
        <w:t>etermination of B</w:t>
      </w:r>
      <w:r w:rsidRPr="00D90175">
        <w:t>usiness to Business (B2B) Service [page 22]</w:t>
      </w:r>
    </w:p>
    <w:p w14:paraId="439E962C" w14:textId="3287D739" w:rsidR="00514B77" w:rsidRPr="00D90175" w:rsidRDefault="00514B77" w:rsidP="00D90175">
      <w:pPr>
        <w:spacing w:after="0"/>
        <w:ind w:left="720"/>
      </w:pPr>
      <w:r w:rsidRPr="00D90175">
        <w:t xml:space="preserve">By definition, </w:t>
      </w:r>
      <w:r w:rsidR="002449ED" w:rsidRPr="00D90175">
        <w:t xml:space="preserve">a </w:t>
      </w:r>
      <w:r w:rsidRPr="00D90175">
        <w:t xml:space="preserve">“large business customer” is a group entity whose customers meet the country-by-country reporting submission threshold. If the </w:t>
      </w:r>
      <w:r w:rsidR="002E09DC">
        <w:t>business</w:t>
      </w:r>
      <w:r w:rsidRPr="00D90175">
        <w:t xml:space="preserve"> providing B2B services determines that its customer is </w:t>
      </w:r>
      <w:r w:rsidR="00C74D30">
        <w:t>a</w:t>
      </w:r>
      <w:r w:rsidRPr="00D90175">
        <w:t xml:space="preserve"> large business customer, it needs to use the “</w:t>
      </w:r>
      <w:r w:rsidR="00E408DD" w:rsidRPr="00D90175">
        <w:t>H</w:t>
      </w:r>
      <w:r w:rsidRPr="00D90175">
        <w:t xml:space="preserve">eadcount </w:t>
      </w:r>
      <w:r w:rsidR="00E408DD" w:rsidRPr="00D90175">
        <w:t>A</w:t>
      </w:r>
      <w:r w:rsidRPr="00D90175">
        <w:t xml:space="preserve">llocation </w:t>
      </w:r>
      <w:r w:rsidR="00E408DD" w:rsidRPr="00D90175">
        <w:t>K</w:t>
      </w:r>
      <w:r w:rsidRPr="00D90175">
        <w:t>ey” or “</w:t>
      </w:r>
      <w:r w:rsidR="00E408DD" w:rsidRPr="00D90175">
        <w:t>A</w:t>
      </w:r>
      <w:r w:rsidRPr="00D90175">
        <w:t xml:space="preserve">ggregate </w:t>
      </w:r>
      <w:r w:rsidR="00E408DD" w:rsidRPr="00D90175">
        <w:t>H</w:t>
      </w:r>
      <w:r w:rsidRPr="00D90175">
        <w:t xml:space="preserve">eadcount </w:t>
      </w:r>
      <w:r w:rsidR="00E408DD" w:rsidRPr="00D90175">
        <w:t>A</w:t>
      </w:r>
      <w:r w:rsidRPr="00D90175">
        <w:t xml:space="preserve">llocation </w:t>
      </w:r>
      <w:r w:rsidR="00E408DD" w:rsidRPr="00D90175">
        <w:t>K</w:t>
      </w:r>
      <w:r w:rsidRPr="00D90175">
        <w:t>ey” to determine the distribution of its income in each jurisdiction</w:t>
      </w:r>
      <w:r w:rsidR="006A161A">
        <w:t>.  The</w:t>
      </w:r>
      <w:r w:rsidR="00EA649A">
        <w:t xml:space="preserve"> </w:t>
      </w:r>
      <w:r w:rsidRPr="00EA649A">
        <w:t>two indicators need to use the data disclosed in the report submitted by</w:t>
      </w:r>
      <w:r w:rsidRPr="00D90175">
        <w:t xml:space="preserve"> the customer. </w:t>
      </w:r>
      <w:r w:rsidR="00726C14" w:rsidRPr="00D90175">
        <w:t xml:space="preserve">ICC members note </w:t>
      </w:r>
      <w:r w:rsidR="009D1F6E" w:rsidRPr="00D90175">
        <w:t xml:space="preserve">it could be challenging </w:t>
      </w:r>
      <w:r w:rsidRPr="00D90175">
        <w:t>to obtain customer country-by-country reports.</w:t>
      </w:r>
    </w:p>
    <w:p w14:paraId="447C857A" w14:textId="77777777" w:rsidR="00E927BF" w:rsidRPr="00D90175" w:rsidRDefault="00E927BF" w:rsidP="00D90175">
      <w:pPr>
        <w:spacing w:after="0"/>
        <w:ind w:left="720"/>
      </w:pPr>
    </w:p>
    <w:p w14:paraId="4C964540" w14:textId="7F3FEC03" w:rsidR="007F2875" w:rsidRPr="00D90175" w:rsidRDefault="00514B77" w:rsidP="00D90175">
      <w:pPr>
        <w:spacing w:after="0"/>
        <w:ind w:left="720"/>
      </w:pPr>
      <w:r w:rsidRPr="00D90175">
        <w:t xml:space="preserve">At present, not all members have completed the legislation and global exchange of country-by-country reports in accordance with BEPS Action Plan 13. Even if the customer has completed the declaration and submission of the reports, it is difficult for B2B service enterprises to obtain relevant data, because the reports disclose detailed data of the global layout and operation of </w:t>
      </w:r>
      <w:r w:rsidR="00453894">
        <w:t>business</w:t>
      </w:r>
      <w:r w:rsidRPr="00D90175">
        <w:t xml:space="preserve"> groups.</w:t>
      </w:r>
    </w:p>
    <w:p w14:paraId="61AE70F2" w14:textId="7181CF6B" w:rsidR="0071787C" w:rsidRPr="00D90175" w:rsidRDefault="0071787C" w:rsidP="00D90175">
      <w:pPr>
        <w:spacing w:after="0"/>
        <w:ind w:left="720"/>
      </w:pPr>
    </w:p>
    <w:p w14:paraId="1BFF1CFB" w14:textId="5BD2D10F" w:rsidR="0071787C" w:rsidRPr="00D90175" w:rsidRDefault="0071787C" w:rsidP="00493C7B">
      <w:pPr>
        <w:pStyle w:val="Liststycke"/>
        <w:numPr>
          <w:ilvl w:val="0"/>
          <w:numId w:val="44"/>
        </w:numPr>
        <w:spacing w:after="0"/>
      </w:pPr>
      <w:r w:rsidRPr="00D90175">
        <w:t>Part 10 – Definitions</w:t>
      </w:r>
      <w:r w:rsidR="00EF408F" w:rsidRPr="00D90175">
        <w:t xml:space="preserve"> [</w:t>
      </w:r>
      <w:r w:rsidRPr="00D90175">
        <w:t>page 26</w:t>
      </w:r>
      <w:r w:rsidR="00EF408F" w:rsidRPr="00D90175">
        <w:t xml:space="preserve">] </w:t>
      </w:r>
      <w:r w:rsidRPr="00D90175">
        <w:t xml:space="preserve">provides </w:t>
      </w:r>
      <w:r w:rsidR="00EF408F" w:rsidRPr="00D90175">
        <w:t xml:space="preserve">a </w:t>
      </w:r>
      <w:r w:rsidRPr="00D90175">
        <w:t xml:space="preserve">definition of "Allocation Key". The Draft has provided guidance as to the circumstances for particular allocation keys to apply. </w:t>
      </w:r>
      <w:r w:rsidR="00EF408F" w:rsidRPr="00D90175">
        <w:t xml:space="preserve">However, ICC respectfully suggests that it would be useful to include </w:t>
      </w:r>
      <w:r w:rsidR="00EF408F" w:rsidRPr="00D90175">
        <w:lastRenderedPageBreak/>
        <w:t xml:space="preserve">supplementary guidance on how to address </w:t>
      </w:r>
      <w:r w:rsidRPr="00D90175">
        <w:t>possible cases where multiple allocation keys may be applicable.</w:t>
      </w:r>
    </w:p>
    <w:p w14:paraId="06ABC21F" w14:textId="77777777" w:rsidR="00514B77" w:rsidRPr="00D90175" w:rsidRDefault="00514B77" w:rsidP="00D90175">
      <w:pPr>
        <w:spacing w:after="0"/>
        <w:ind w:left="720"/>
      </w:pPr>
    </w:p>
    <w:p w14:paraId="5CCFC832" w14:textId="72521442" w:rsidR="081E6684" w:rsidRPr="00D90175" w:rsidRDefault="081E6684" w:rsidP="00493C7B">
      <w:pPr>
        <w:pStyle w:val="Liststycke"/>
        <w:numPr>
          <w:ilvl w:val="0"/>
          <w:numId w:val="44"/>
        </w:numPr>
        <w:spacing w:after="0"/>
        <w:rPr>
          <w:rFonts w:eastAsia="Gotham Book" w:cs="Gotham Book"/>
          <w:szCs w:val="22"/>
          <w:lang w:val="en-GB"/>
        </w:rPr>
      </w:pPr>
      <w:r w:rsidRPr="00D90175">
        <w:rPr>
          <w:lang w:val="en-GB"/>
        </w:rPr>
        <w:t>Part 1</w:t>
      </w:r>
      <w:r w:rsidR="5871A8D9" w:rsidRPr="00D90175">
        <w:rPr>
          <w:lang w:val="en-GB"/>
        </w:rPr>
        <w:t xml:space="preserve"> “Categorising transactions”</w:t>
      </w:r>
      <w:r w:rsidRPr="00D90175">
        <w:rPr>
          <w:lang w:val="en-GB"/>
        </w:rPr>
        <w:t xml:space="preserve"> </w:t>
      </w:r>
      <w:r w:rsidR="00D7296E">
        <w:rPr>
          <w:lang w:val="en-GB"/>
        </w:rPr>
        <w:t>[</w:t>
      </w:r>
      <w:r w:rsidRPr="00D90175">
        <w:rPr>
          <w:lang w:val="en-GB"/>
        </w:rPr>
        <w:t>page 27</w:t>
      </w:r>
      <w:r w:rsidR="00D7296E">
        <w:rPr>
          <w:lang w:val="en-GB"/>
        </w:rPr>
        <w:t>]</w:t>
      </w:r>
      <w:r w:rsidRPr="00D90175">
        <w:rPr>
          <w:lang w:val="en-GB"/>
        </w:rPr>
        <w:t xml:space="preserve"> provides further clari</w:t>
      </w:r>
      <w:r w:rsidR="73AB9AA8" w:rsidRPr="00D90175">
        <w:rPr>
          <w:lang w:val="en-GB"/>
        </w:rPr>
        <w:t>fications</w:t>
      </w:r>
      <w:r w:rsidRPr="00D90175">
        <w:rPr>
          <w:lang w:val="en-GB"/>
        </w:rPr>
        <w:t xml:space="preserve"> </w:t>
      </w:r>
      <w:r w:rsidR="00026770" w:rsidRPr="00D90175">
        <w:rPr>
          <w:lang w:val="en-GB"/>
        </w:rPr>
        <w:t>with</w:t>
      </w:r>
      <w:r w:rsidRPr="00D90175">
        <w:rPr>
          <w:lang w:val="en-GB"/>
        </w:rPr>
        <w:t xml:space="preserve"> respect </w:t>
      </w:r>
      <w:r w:rsidR="00026770" w:rsidRPr="00D90175">
        <w:rPr>
          <w:lang w:val="en-GB"/>
        </w:rPr>
        <w:t>to</w:t>
      </w:r>
      <w:r w:rsidRPr="00D90175">
        <w:rPr>
          <w:lang w:val="en-GB"/>
        </w:rPr>
        <w:t xml:space="preserve"> the categories “Main Transaction” (12) and “Supplementary </w:t>
      </w:r>
      <w:r w:rsidR="00483274" w:rsidRPr="00D90175">
        <w:rPr>
          <w:lang w:val="en-GB"/>
        </w:rPr>
        <w:t>Transaction” (</w:t>
      </w:r>
      <w:r w:rsidRPr="00D90175">
        <w:rPr>
          <w:lang w:val="en-GB"/>
        </w:rPr>
        <w:t xml:space="preserve">13). </w:t>
      </w:r>
    </w:p>
    <w:p w14:paraId="793EFC12" w14:textId="77777777" w:rsidR="0042321C" w:rsidRPr="00D90175" w:rsidRDefault="0042321C" w:rsidP="00D90175">
      <w:pPr>
        <w:pStyle w:val="Liststycke"/>
        <w:spacing w:after="0"/>
        <w:rPr>
          <w:rFonts w:eastAsia="Gotham Book" w:cs="Gotham Book"/>
          <w:szCs w:val="22"/>
          <w:lang w:val="en-GB"/>
        </w:rPr>
      </w:pPr>
    </w:p>
    <w:p w14:paraId="5E351338" w14:textId="28035E5A" w:rsidR="081E6684" w:rsidRPr="00D90175" w:rsidRDefault="081E6684" w:rsidP="00D90175">
      <w:pPr>
        <w:spacing w:after="0"/>
        <w:ind w:left="720"/>
        <w:rPr>
          <w:lang w:val="en-GB"/>
        </w:rPr>
      </w:pPr>
      <w:r w:rsidRPr="00D90175">
        <w:rPr>
          <w:lang w:val="en-GB"/>
        </w:rPr>
        <w:t>For the latter, it is stated that the gross receipts should not exceed [5]% of the total gross receipts from the Supplementary Transaction(s) and Main Transaction(s) combined.</w:t>
      </w:r>
    </w:p>
    <w:p w14:paraId="4D7B9393" w14:textId="77777777" w:rsidR="008F7985" w:rsidRPr="00D90175" w:rsidRDefault="008F7985" w:rsidP="00D90175">
      <w:pPr>
        <w:spacing w:after="0"/>
        <w:ind w:left="720"/>
        <w:rPr>
          <w:szCs w:val="22"/>
          <w:lang w:val="en-GB"/>
        </w:rPr>
      </w:pPr>
    </w:p>
    <w:p w14:paraId="20A0E380" w14:textId="01D6295A" w:rsidR="7A12310C" w:rsidRPr="00D90175" w:rsidRDefault="081E6684" w:rsidP="00D90175">
      <w:pPr>
        <w:spacing w:after="0"/>
        <w:ind w:left="720"/>
        <w:rPr>
          <w:lang w:val="en-GB"/>
        </w:rPr>
      </w:pPr>
      <w:r w:rsidRPr="00D90175">
        <w:rPr>
          <w:lang w:val="en-GB"/>
        </w:rPr>
        <w:t xml:space="preserve">It seems that [5]% is rather low, </w:t>
      </w:r>
      <w:r w:rsidR="00C50B8C">
        <w:rPr>
          <w:lang w:val="en-GB"/>
        </w:rPr>
        <w:t>in particular</w:t>
      </w:r>
      <w:r w:rsidR="317BA590" w:rsidRPr="3939A12A">
        <w:rPr>
          <w:lang w:val="en-GB"/>
        </w:rPr>
        <w:t xml:space="preserve"> </w:t>
      </w:r>
      <w:r w:rsidRPr="00D90175">
        <w:rPr>
          <w:lang w:val="en-GB"/>
        </w:rPr>
        <w:t>when more than one Supplementary Transaction(s) takes place.</w:t>
      </w:r>
      <w:r w:rsidR="00D2053F" w:rsidRPr="00D90175">
        <w:rPr>
          <w:lang w:val="en-GB"/>
        </w:rPr>
        <w:t xml:space="preserve"> </w:t>
      </w:r>
      <w:r w:rsidR="7A12310C" w:rsidRPr="21EC138E">
        <w:rPr>
          <w:lang w:val="en-GB"/>
        </w:rPr>
        <w:t xml:space="preserve">ICC recommends </w:t>
      </w:r>
      <w:r w:rsidR="00D2053F" w:rsidRPr="21EC138E">
        <w:rPr>
          <w:lang w:val="en-GB"/>
        </w:rPr>
        <w:t>removing</w:t>
      </w:r>
      <w:r w:rsidR="7A12310C" w:rsidRPr="21EC138E">
        <w:rPr>
          <w:lang w:val="en-GB"/>
        </w:rPr>
        <w:t xml:space="preserve"> the [5%] requirement, or include a higher percentage (for instance</w:t>
      </w:r>
      <w:r w:rsidR="006731B9" w:rsidRPr="21EC138E">
        <w:rPr>
          <w:lang w:val="en-GB"/>
        </w:rPr>
        <w:t>, 25</w:t>
      </w:r>
      <w:r w:rsidR="00873675" w:rsidRPr="21EC138E">
        <w:rPr>
          <w:lang w:val="en-GB"/>
        </w:rPr>
        <w:t>%</w:t>
      </w:r>
      <w:r w:rsidR="7A12310C" w:rsidRPr="21EC138E">
        <w:rPr>
          <w:lang w:val="en-GB"/>
        </w:rPr>
        <w:t>).</w:t>
      </w:r>
    </w:p>
    <w:p w14:paraId="7D0AAFE4" w14:textId="77777777" w:rsidR="00AC6DD2" w:rsidRPr="00D90175" w:rsidRDefault="00AC6DD2" w:rsidP="00D90175">
      <w:pPr>
        <w:spacing w:after="0"/>
        <w:ind w:left="720"/>
        <w:rPr>
          <w:szCs w:val="22"/>
        </w:rPr>
      </w:pPr>
    </w:p>
    <w:p w14:paraId="37177881" w14:textId="51E4A93D" w:rsidR="00911B65" w:rsidRDefault="00911B65" w:rsidP="00493C7B">
      <w:pPr>
        <w:pStyle w:val="Liststycke"/>
        <w:numPr>
          <w:ilvl w:val="0"/>
          <w:numId w:val="44"/>
        </w:numPr>
        <w:spacing w:after="0"/>
        <w:rPr>
          <w:lang w:val="en-GB"/>
        </w:rPr>
      </w:pPr>
      <w:r w:rsidRPr="270522E3">
        <w:rPr>
          <w:lang w:val="en-GB"/>
        </w:rPr>
        <w:t xml:space="preserve">Part 5, </w:t>
      </w:r>
      <w:r w:rsidR="61375C3A" w:rsidRPr="64C65749">
        <w:rPr>
          <w:lang w:val="en-GB"/>
        </w:rPr>
        <w:t>Para</w:t>
      </w:r>
      <w:r w:rsidRPr="270522E3">
        <w:rPr>
          <w:lang w:val="en-GB"/>
        </w:rPr>
        <w:t xml:space="preserve"> 31, [page 30] provides the definition of “Customer Reward </w:t>
      </w:r>
      <w:r w:rsidRPr="00E61CAC">
        <w:rPr>
          <w:lang w:val="en-GB"/>
        </w:rPr>
        <w:t>Program</w:t>
      </w:r>
      <w:r w:rsidR="61375C3A" w:rsidRPr="00E61CAC">
        <w:rPr>
          <w:lang w:val="en-GB"/>
        </w:rPr>
        <w:t>”</w:t>
      </w:r>
      <w:r w:rsidR="61375C3A" w:rsidRPr="77F2D41C">
        <w:rPr>
          <w:lang w:val="en-GB"/>
        </w:rPr>
        <w:t xml:space="preserve"> </w:t>
      </w:r>
      <w:r w:rsidRPr="270522E3">
        <w:rPr>
          <w:lang w:val="en-GB"/>
        </w:rPr>
        <w:t xml:space="preserve">which indicates that </w:t>
      </w:r>
      <w:r w:rsidR="00982AB5">
        <w:rPr>
          <w:lang w:val="en-GB"/>
        </w:rPr>
        <w:t>these</w:t>
      </w:r>
      <w:r w:rsidRPr="270522E3">
        <w:rPr>
          <w:lang w:val="en-GB"/>
        </w:rPr>
        <w:t xml:space="preserve"> may include </w:t>
      </w:r>
      <w:r w:rsidRPr="00E61CAC">
        <w:rPr>
          <w:lang w:val="en-GB"/>
        </w:rPr>
        <w:t>marketing programs where</w:t>
      </w:r>
      <w:r w:rsidRPr="270522E3">
        <w:rPr>
          <w:lang w:val="en-GB"/>
        </w:rPr>
        <w:t xml:space="preserve"> the Covered Group sells units to third party Business Customers for award </w:t>
      </w:r>
      <w:r w:rsidR="00E74242">
        <w:rPr>
          <w:lang w:val="en-GB"/>
        </w:rPr>
        <w:t xml:space="preserve">to </w:t>
      </w:r>
      <w:r w:rsidRPr="270522E3">
        <w:rPr>
          <w:lang w:val="en-GB"/>
        </w:rPr>
        <w:t xml:space="preserve">mutual Customers. </w:t>
      </w:r>
    </w:p>
    <w:p w14:paraId="177F6299" w14:textId="77777777" w:rsidR="00153211" w:rsidRPr="00D90175" w:rsidRDefault="00153211" w:rsidP="00153211">
      <w:pPr>
        <w:pStyle w:val="Liststycke"/>
        <w:spacing w:after="0"/>
        <w:rPr>
          <w:szCs w:val="22"/>
          <w:lang w:val="en-GB"/>
        </w:rPr>
      </w:pPr>
    </w:p>
    <w:p w14:paraId="4A69C843" w14:textId="74094278" w:rsidR="006731B9" w:rsidRPr="00D90175" w:rsidRDefault="00911B65" w:rsidP="00D90175">
      <w:pPr>
        <w:spacing w:after="0"/>
        <w:ind w:left="720"/>
        <w:rPr>
          <w:szCs w:val="22"/>
          <w:lang w:val="en-GB"/>
        </w:rPr>
      </w:pPr>
      <w:r w:rsidRPr="00D90175">
        <w:rPr>
          <w:szCs w:val="22"/>
          <w:lang w:val="en-GB"/>
        </w:rPr>
        <w:t xml:space="preserve">The correlation between Active Members of a Covered Group and its selling units to third party Business Customers may not be strong. </w:t>
      </w:r>
      <w:r w:rsidR="00317B60" w:rsidRPr="00D90175">
        <w:rPr>
          <w:szCs w:val="22"/>
          <w:lang w:val="en-GB"/>
        </w:rPr>
        <w:t>ICC suggests that, where appropriate, f</w:t>
      </w:r>
      <w:r w:rsidRPr="00D90175">
        <w:rPr>
          <w:szCs w:val="22"/>
          <w:lang w:val="en-GB"/>
        </w:rPr>
        <w:t xml:space="preserve">or revenues from Business Customers, the revenue sourcing rules </w:t>
      </w:r>
      <w:r w:rsidR="00703EA5" w:rsidRPr="00D90175">
        <w:rPr>
          <w:szCs w:val="22"/>
          <w:lang w:val="en-GB"/>
        </w:rPr>
        <w:t>should be</w:t>
      </w:r>
      <w:r w:rsidRPr="00D90175">
        <w:rPr>
          <w:szCs w:val="22"/>
          <w:lang w:val="en-GB"/>
        </w:rPr>
        <w:t xml:space="preserve"> consistent with the guidance provided under Part 5 H.</w:t>
      </w:r>
    </w:p>
    <w:p w14:paraId="49DFEEF5" w14:textId="77777777" w:rsidR="00317B60" w:rsidRPr="00D90175" w:rsidRDefault="00317B60" w:rsidP="00D90175">
      <w:pPr>
        <w:spacing w:after="0"/>
        <w:ind w:left="720"/>
        <w:rPr>
          <w:szCs w:val="22"/>
          <w:lang w:val="en-GB"/>
        </w:rPr>
      </w:pPr>
    </w:p>
    <w:p w14:paraId="2ED4F317" w14:textId="724BCA5D" w:rsidR="7A12310C" w:rsidRPr="00D90175" w:rsidRDefault="7A12310C" w:rsidP="00493C7B">
      <w:pPr>
        <w:pStyle w:val="Liststycke"/>
        <w:numPr>
          <w:ilvl w:val="0"/>
          <w:numId w:val="44"/>
        </w:numPr>
        <w:spacing w:after="0"/>
        <w:rPr>
          <w:rFonts w:eastAsia="Gotham Book" w:cs="Gotham Book"/>
          <w:lang w:val="en-GB"/>
        </w:rPr>
      </w:pPr>
      <w:r w:rsidRPr="00D90175">
        <w:rPr>
          <w:lang w:val="en-GB"/>
        </w:rPr>
        <w:t>Part 5 – Services para 36</w:t>
      </w:r>
      <w:r w:rsidR="00F53EEB">
        <w:rPr>
          <w:lang w:val="en-GB"/>
        </w:rPr>
        <w:t xml:space="preserve"> [</w:t>
      </w:r>
      <w:r w:rsidR="7FFBC5AC" w:rsidRPr="00D90175">
        <w:rPr>
          <w:lang w:val="en-GB"/>
        </w:rPr>
        <w:t>page 30</w:t>
      </w:r>
      <w:r w:rsidR="00F53EEB">
        <w:rPr>
          <w:lang w:val="en-GB"/>
        </w:rPr>
        <w:t>]</w:t>
      </w:r>
      <w:r w:rsidRPr="00D90175">
        <w:rPr>
          <w:lang w:val="en-GB"/>
        </w:rPr>
        <w:t xml:space="preserve"> –</w:t>
      </w:r>
      <w:r w:rsidR="54E577F8" w:rsidRPr="00D90175">
        <w:rPr>
          <w:lang w:val="en-GB"/>
        </w:rPr>
        <w:t xml:space="preserve"> </w:t>
      </w:r>
      <w:r w:rsidRPr="00D90175">
        <w:rPr>
          <w:lang w:val="en-GB"/>
        </w:rPr>
        <w:t>states “If the total invoice amount for services provided to a Business Customer does not exceed EUR [1-3] million in the Period, the Covered Group may treat the Business Customer as not being a Large Business Customer</w:t>
      </w:r>
      <w:r w:rsidR="2AF08E33" w:rsidRPr="00D90175">
        <w:rPr>
          <w:lang w:val="en-GB"/>
        </w:rPr>
        <w:t>”</w:t>
      </w:r>
      <w:r w:rsidR="20555182" w:rsidRPr="00D90175">
        <w:rPr>
          <w:lang w:val="en-GB"/>
        </w:rPr>
        <w:t>.</w:t>
      </w:r>
      <w:r w:rsidRPr="00D90175">
        <w:rPr>
          <w:lang w:val="en-GB"/>
        </w:rPr>
        <w:t xml:space="preserve"> </w:t>
      </w:r>
    </w:p>
    <w:p w14:paraId="61946EB4" w14:textId="77777777" w:rsidR="00013C82" w:rsidRPr="00D90175" w:rsidRDefault="00013C82" w:rsidP="00D90175">
      <w:pPr>
        <w:spacing w:after="0"/>
        <w:ind w:left="720"/>
        <w:rPr>
          <w:lang w:val="en-GB"/>
        </w:rPr>
      </w:pPr>
    </w:p>
    <w:p w14:paraId="038D84DA" w14:textId="1EB2B99D" w:rsidR="7A12310C" w:rsidRPr="00D90175" w:rsidRDefault="7A12310C" w:rsidP="00D90175">
      <w:pPr>
        <w:spacing w:after="0"/>
        <w:ind w:left="720"/>
        <w:rPr>
          <w:lang w:val="en-GB"/>
        </w:rPr>
      </w:pPr>
      <w:r w:rsidRPr="00D90175">
        <w:rPr>
          <w:lang w:val="en-GB"/>
        </w:rPr>
        <w:t>Footnote 47 further explains that if the invoice amount for services provided to the Business Customer exceeds EUR [1-3] million in the Period, reasonable steps could require the Covered Group to ask the Business Customer if it meets the definition of a Large Business Customer.</w:t>
      </w:r>
    </w:p>
    <w:p w14:paraId="2A79A1C0" w14:textId="77777777" w:rsidR="00013C82" w:rsidRPr="00D90175" w:rsidRDefault="00013C82" w:rsidP="00D90175">
      <w:pPr>
        <w:spacing w:after="0"/>
        <w:ind w:left="720"/>
        <w:rPr>
          <w:lang w:val="en-GB"/>
        </w:rPr>
      </w:pPr>
    </w:p>
    <w:p w14:paraId="3EB50AF4" w14:textId="072D6135" w:rsidR="7A12310C" w:rsidRPr="00D90175" w:rsidRDefault="7A12310C" w:rsidP="00D90175">
      <w:pPr>
        <w:spacing w:after="0"/>
        <w:ind w:left="720"/>
        <w:rPr>
          <w:lang w:val="en-GB"/>
        </w:rPr>
      </w:pPr>
      <w:r w:rsidRPr="00D90175">
        <w:rPr>
          <w:lang w:val="en-GB"/>
        </w:rPr>
        <w:t>In this respect</w:t>
      </w:r>
      <w:r w:rsidR="3D31CD11" w:rsidRPr="00D90175">
        <w:rPr>
          <w:lang w:val="en-GB"/>
        </w:rPr>
        <w:t>,</w:t>
      </w:r>
      <w:r w:rsidRPr="00D90175">
        <w:rPr>
          <w:lang w:val="en-GB"/>
        </w:rPr>
        <w:t xml:space="preserve"> it</w:t>
      </w:r>
      <w:r w:rsidR="00272475" w:rsidRPr="00D90175">
        <w:rPr>
          <w:lang w:val="en-GB"/>
        </w:rPr>
        <w:t xml:space="preserve"> is</w:t>
      </w:r>
      <w:r w:rsidRPr="00D90175">
        <w:rPr>
          <w:lang w:val="en-GB"/>
        </w:rPr>
        <w:t xml:space="preserve"> noted that the Covered Group could be expected to undertake online research </w:t>
      </w:r>
      <w:r w:rsidRPr="00154078">
        <w:rPr>
          <w:lang w:val="en-GB"/>
        </w:rPr>
        <w:t>to review the financial statements of that Customer and whether such statements re</w:t>
      </w:r>
      <w:r w:rsidR="00154078" w:rsidRPr="00154078">
        <w:rPr>
          <w:lang w:val="en-GB"/>
        </w:rPr>
        <w:t>flect</w:t>
      </w:r>
      <w:r w:rsidRPr="00154078">
        <w:rPr>
          <w:lang w:val="en-GB"/>
        </w:rPr>
        <w:t xml:space="preserve"> consolidated group revenue exceeding EUR 750 million</w:t>
      </w:r>
      <w:r w:rsidR="00154078" w:rsidRPr="00154078">
        <w:rPr>
          <w:lang w:val="en-GB"/>
        </w:rPr>
        <w:t xml:space="preserve">. </w:t>
      </w:r>
      <w:r w:rsidRPr="00154078">
        <w:rPr>
          <w:lang w:val="en-GB"/>
        </w:rPr>
        <w:t>In addition, once CBCR data is made publicly available in EU jurisdictions, a</w:t>
      </w:r>
      <w:r w:rsidRPr="00D90175">
        <w:rPr>
          <w:lang w:val="en-GB"/>
        </w:rPr>
        <w:t xml:space="preserve"> Covered Group would be expected to check whether the business customer has made such information </w:t>
      </w:r>
      <w:r w:rsidR="24A3ECF4" w:rsidRPr="00D90175">
        <w:rPr>
          <w:lang w:val="en-GB"/>
        </w:rPr>
        <w:t xml:space="preserve">publicly </w:t>
      </w:r>
      <w:r w:rsidRPr="00D90175">
        <w:rPr>
          <w:lang w:val="en-GB"/>
        </w:rPr>
        <w:t>available.</w:t>
      </w:r>
    </w:p>
    <w:p w14:paraId="664AB74D" w14:textId="77777777" w:rsidR="00013C82" w:rsidRPr="00D90175" w:rsidRDefault="00013C82" w:rsidP="00D90175">
      <w:pPr>
        <w:spacing w:after="0"/>
        <w:ind w:left="720"/>
        <w:rPr>
          <w:szCs w:val="22"/>
          <w:lang w:val="en-GB"/>
        </w:rPr>
      </w:pPr>
    </w:p>
    <w:p w14:paraId="0D47E7B8" w14:textId="61949645" w:rsidR="3600E0A1" w:rsidRPr="00D90175" w:rsidRDefault="004A54BB" w:rsidP="00D90175">
      <w:pPr>
        <w:spacing w:after="0"/>
        <w:ind w:left="720"/>
        <w:rPr>
          <w:szCs w:val="22"/>
          <w:lang w:val="en-GB"/>
        </w:rPr>
      </w:pPr>
      <w:r w:rsidRPr="00D90175">
        <w:rPr>
          <w:szCs w:val="22"/>
          <w:lang w:val="en-GB"/>
        </w:rPr>
        <w:t xml:space="preserve">Given the potential administrative compliance burden (combined amount of invoices), </w:t>
      </w:r>
      <w:r w:rsidR="3600E0A1" w:rsidRPr="00D90175">
        <w:rPr>
          <w:szCs w:val="22"/>
          <w:lang w:val="en-GB"/>
        </w:rPr>
        <w:t xml:space="preserve">ICC recommends </w:t>
      </w:r>
      <w:r w:rsidR="003772BC" w:rsidRPr="00D90175">
        <w:rPr>
          <w:szCs w:val="22"/>
          <w:lang w:val="en-GB"/>
        </w:rPr>
        <w:t>including</w:t>
      </w:r>
      <w:r w:rsidR="3600E0A1" w:rsidRPr="00D90175">
        <w:rPr>
          <w:szCs w:val="22"/>
          <w:lang w:val="en-GB"/>
        </w:rPr>
        <w:t xml:space="preserve"> a relatively high threshold (at least 3 million – preferably higher</w:t>
      </w:r>
      <w:r w:rsidR="002E7181" w:rsidRPr="00D90175">
        <w:rPr>
          <w:szCs w:val="22"/>
          <w:lang w:val="en-GB"/>
        </w:rPr>
        <w:t xml:space="preserve"> </w:t>
      </w:r>
      <w:r w:rsidR="00483274" w:rsidRPr="00D90175">
        <w:rPr>
          <w:szCs w:val="22"/>
          <w:lang w:val="en-GB"/>
        </w:rPr>
        <w:t>e.g.,</w:t>
      </w:r>
      <w:r w:rsidR="002E7181" w:rsidRPr="00D90175">
        <w:rPr>
          <w:szCs w:val="22"/>
          <w:lang w:val="en-GB"/>
        </w:rPr>
        <w:t xml:space="preserve"> 10 million, or a safe harbour of the top 100 customers</w:t>
      </w:r>
      <w:r w:rsidR="3600E0A1" w:rsidRPr="00D90175">
        <w:rPr>
          <w:szCs w:val="22"/>
          <w:lang w:val="en-GB"/>
        </w:rPr>
        <w:t>) in the Period</w:t>
      </w:r>
      <w:r w:rsidRPr="00D90175">
        <w:rPr>
          <w:szCs w:val="22"/>
          <w:lang w:val="en-GB"/>
        </w:rPr>
        <w:t xml:space="preserve">. </w:t>
      </w:r>
    </w:p>
    <w:p w14:paraId="78FE01C0" w14:textId="1AAE5AC1" w:rsidR="004F0762" w:rsidRPr="00D90175" w:rsidRDefault="004F0762" w:rsidP="00D90175">
      <w:pPr>
        <w:spacing w:after="0"/>
        <w:rPr>
          <w:szCs w:val="22"/>
          <w:lang w:val="en-GB"/>
        </w:rPr>
      </w:pPr>
    </w:p>
    <w:p w14:paraId="2DDC716F" w14:textId="65EF12B4" w:rsidR="004F0762" w:rsidRPr="00D90175" w:rsidRDefault="001F7C28" w:rsidP="00493C7B">
      <w:pPr>
        <w:pStyle w:val="Liststycke"/>
        <w:numPr>
          <w:ilvl w:val="0"/>
          <w:numId w:val="44"/>
        </w:numPr>
        <w:spacing w:after="0"/>
        <w:rPr>
          <w:szCs w:val="22"/>
          <w:lang w:val="en-GB"/>
        </w:rPr>
      </w:pPr>
      <w:r w:rsidRPr="00D90175">
        <w:rPr>
          <w:szCs w:val="22"/>
          <w:lang w:val="en-GB"/>
        </w:rPr>
        <w:t xml:space="preserve">Part I- </w:t>
      </w:r>
      <w:r w:rsidR="004F0762" w:rsidRPr="00D90175">
        <w:rPr>
          <w:szCs w:val="22"/>
          <w:lang w:val="en-GB"/>
        </w:rPr>
        <w:t>Government Grants</w:t>
      </w:r>
      <w:r w:rsidRPr="00D90175">
        <w:rPr>
          <w:szCs w:val="22"/>
          <w:lang w:val="en-GB"/>
        </w:rPr>
        <w:t xml:space="preserve"> [</w:t>
      </w:r>
      <w:r w:rsidR="004F0762" w:rsidRPr="00D90175">
        <w:rPr>
          <w:szCs w:val="22"/>
          <w:lang w:val="en-GB"/>
        </w:rPr>
        <w:t>page 34</w:t>
      </w:r>
      <w:r w:rsidRPr="00D90175">
        <w:rPr>
          <w:szCs w:val="22"/>
          <w:lang w:val="en-GB"/>
        </w:rPr>
        <w:t>]</w:t>
      </w:r>
      <w:r w:rsidR="004F0762" w:rsidRPr="00D90175">
        <w:rPr>
          <w:szCs w:val="22"/>
          <w:lang w:val="en-GB"/>
        </w:rPr>
        <w:t xml:space="preserve"> provides </w:t>
      </w:r>
      <w:r w:rsidR="00AD0D10" w:rsidRPr="00D90175">
        <w:rPr>
          <w:szCs w:val="22"/>
          <w:lang w:val="en-GB"/>
        </w:rPr>
        <w:t>a</w:t>
      </w:r>
      <w:r w:rsidR="004F0762" w:rsidRPr="00D90175">
        <w:rPr>
          <w:szCs w:val="22"/>
          <w:lang w:val="en-GB"/>
        </w:rPr>
        <w:t xml:space="preserve"> definition</w:t>
      </w:r>
      <w:r w:rsidR="00AD0D10" w:rsidRPr="00D90175">
        <w:rPr>
          <w:szCs w:val="22"/>
          <w:lang w:val="en-GB"/>
        </w:rPr>
        <w:t xml:space="preserve">, however ICC suggests providing </w:t>
      </w:r>
      <w:r w:rsidR="004F0762" w:rsidRPr="00D90175">
        <w:rPr>
          <w:szCs w:val="22"/>
          <w:lang w:val="en-GB"/>
        </w:rPr>
        <w:t>further explanation and examples</w:t>
      </w:r>
      <w:r w:rsidR="00AD0D10" w:rsidRPr="00D90175">
        <w:rPr>
          <w:szCs w:val="22"/>
          <w:lang w:val="en-GB"/>
        </w:rPr>
        <w:t>, particularly with respect to</w:t>
      </w:r>
      <w:r w:rsidR="004F0762" w:rsidRPr="00D90175">
        <w:rPr>
          <w:szCs w:val="22"/>
          <w:lang w:val="en-GB"/>
        </w:rPr>
        <w:t xml:space="preserve"> “subsidies, grants and refundable credits”.</w:t>
      </w:r>
    </w:p>
    <w:p w14:paraId="161BDF9B" w14:textId="31156BC4" w:rsidR="00703A8A" w:rsidRPr="00D90175" w:rsidRDefault="00703A8A" w:rsidP="00D90175">
      <w:pPr>
        <w:spacing w:after="0"/>
        <w:ind w:left="720"/>
        <w:rPr>
          <w:lang w:val="en-GB"/>
        </w:rPr>
      </w:pPr>
    </w:p>
    <w:p w14:paraId="30B45D07" w14:textId="6B4B3E60" w:rsidR="00D941DC" w:rsidRPr="00B73904" w:rsidRDefault="00207889" w:rsidP="00412631">
      <w:pPr>
        <w:pStyle w:val="Liststycke"/>
        <w:numPr>
          <w:ilvl w:val="0"/>
          <w:numId w:val="44"/>
        </w:numPr>
        <w:spacing w:after="0"/>
        <w:rPr>
          <w:szCs w:val="22"/>
          <w:lang w:val="en-GB"/>
        </w:rPr>
      </w:pPr>
      <w:r>
        <w:t>Part 9 – Non-customer Revenues [page 34]</w:t>
      </w:r>
      <w:r w:rsidR="0078515B">
        <w:t xml:space="preserve">. </w:t>
      </w:r>
      <w:r>
        <w:t>It is noted</w:t>
      </w:r>
      <w:r w:rsidR="0078515B">
        <w:t xml:space="preserve"> that</w:t>
      </w:r>
      <w:r>
        <w:t xml:space="preserve"> the allocation of Non-customer Revenues will be determined in proportion to the other Revenues arising under paragraphs 5 – 11, which appears reasonable and </w:t>
      </w:r>
      <w:r w:rsidR="0078515B">
        <w:t xml:space="preserve">provides </w:t>
      </w:r>
      <w:r w:rsidR="0078515B">
        <w:lastRenderedPageBreak/>
        <w:t>administrative simplification</w:t>
      </w:r>
      <w:r>
        <w:t xml:space="preserve">. </w:t>
      </w:r>
      <w:r w:rsidR="00B61E53">
        <w:t xml:space="preserve">However, </w:t>
      </w:r>
      <w:r w:rsidR="0078515B">
        <w:t>ICC submits a further comment</w:t>
      </w:r>
      <w:r>
        <w:t xml:space="preserve"> for consideration: as in certain countries and </w:t>
      </w:r>
      <w:r w:rsidR="004B486C">
        <w:t xml:space="preserve">according to </w:t>
      </w:r>
      <w:r>
        <w:t>applicable accounting rules, the revenues falling under this category may not be a part of group consolidated revenue</w:t>
      </w:r>
      <w:r w:rsidR="00C919FC">
        <w:t xml:space="preserve">.  </w:t>
      </w:r>
      <w:r w:rsidR="007947E1">
        <w:t xml:space="preserve">As such, </w:t>
      </w:r>
      <w:r w:rsidR="00B73904">
        <w:t xml:space="preserve">further clarification would be useful in this regard. </w:t>
      </w:r>
    </w:p>
    <w:p w14:paraId="2E1DA0C3" w14:textId="77777777" w:rsidR="00B73904" w:rsidRPr="00B73904" w:rsidRDefault="00B73904" w:rsidP="00B73904">
      <w:pPr>
        <w:pStyle w:val="Liststycke"/>
        <w:rPr>
          <w:szCs w:val="22"/>
          <w:lang w:val="en-GB"/>
        </w:rPr>
      </w:pPr>
    </w:p>
    <w:p w14:paraId="1930AF6E" w14:textId="77777777" w:rsidR="00B73904" w:rsidRPr="00D90175" w:rsidRDefault="00B73904" w:rsidP="00B73904">
      <w:pPr>
        <w:pStyle w:val="Liststycke"/>
        <w:spacing w:after="0"/>
        <w:rPr>
          <w:szCs w:val="22"/>
          <w:lang w:val="en-GB"/>
        </w:rPr>
      </w:pPr>
    </w:p>
    <w:p w14:paraId="101402C9" w14:textId="66429F85" w:rsidR="008E5D3E" w:rsidRPr="00D90175" w:rsidRDefault="008E5D3E" w:rsidP="00D90175">
      <w:pPr>
        <w:spacing w:after="0"/>
        <w:rPr>
          <w:lang w:val="en-GB"/>
        </w:rPr>
      </w:pPr>
      <w:r w:rsidRPr="00D90175">
        <w:rPr>
          <w:lang w:val="en-GB"/>
        </w:rPr>
        <w:t xml:space="preserve">ICC remains committed to providing knowledge and expertise on behalf of </w:t>
      </w:r>
      <w:r w:rsidR="00450B23" w:rsidRPr="00D90175">
        <w:rPr>
          <w:lang w:val="en-GB"/>
        </w:rPr>
        <w:t xml:space="preserve">the global </w:t>
      </w:r>
      <w:r w:rsidRPr="00D90175">
        <w:rPr>
          <w:lang w:val="en-GB"/>
        </w:rPr>
        <w:t>business</w:t>
      </w:r>
      <w:r w:rsidR="00450B23" w:rsidRPr="00D90175">
        <w:rPr>
          <w:lang w:val="en-GB"/>
        </w:rPr>
        <w:t xml:space="preserve"> community.</w:t>
      </w:r>
    </w:p>
    <w:p w14:paraId="00E4D418" w14:textId="476CBCD3" w:rsidR="00326C7C" w:rsidRPr="00D90175" w:rsidRDefault="00326C7C" w:rsidP="00D90175">
      <w:pPr>
        <w:spacing w:after="0"/>
        <w:rPr>
          <w:rFonts w:cs="Arial"/>
          <w:szCs w:val="22"/>
          <w:lang w:val="en-GB"/>
        </w:rPr>
      </w:pPr>
    </w:p>
    <w:p w14:paraId="79FDBD87" w14:textId="165CEE4A" w:rsidR="005E5255" w:rsidRDefault="005E5255" w:rsidP="00D90175">
      <w:pPr>
        <w:pStyle w:val="Bullet1"/>
        <w:numPr>
          <w:ilvl w:val="0"/>
          <w:numId w:val="0"/>
        </w:numPr>
        <w:spacing w:after="0"/>
        <w:ind w:left="720" w:hanging="360"/>
        <w:rPr>
          <w:b/>
          <w:bCs/>
        </w:rPr>
      </w:pPr>
    </w:p>
    <w:p w14:paraId="123B5BFE" w14:textId="77777777" w:rsidR="00D941DC" w:rsidRDefault="00D941DC" w:rsidP="00D90175">
      <w:pPr>
        <w:pStyle w:val="Bullet1"/>
        <w:numPr>
          <w:ilvl w:val="0"/>
          <w:numId w:val="0"/>
        </w:numPr>
        <w:spacing w:after="0"/>
        <w:ind w:left="720" w:hanging="360"/>
        <w:rPr>
          <w:b/>
          <w:bCs/>
        </w:rPr>
      </w:pPr>
    </w:p>
    <w:p w14:paraId="0FCE44F9" w14:textId="77777777" w:rsidR="00D941DC" w:rsidRDefault="00D941DC" w:rsidP="00D90175">
      <w:pPr>
        <w:pStyle w:val="Bullet1"/>
        <w:numPr>
          <w:ilvl w:val="0"/>
          <w:numId w:val="0"/>
        </w:numPr>
        <w:spacing w:after="0"/>
        <w:ind w:left="720" w:hanging="360"/>
        <w:rPr>
          <w:b/>
          <w:bCs/>
        </w:rPr>
      </w:pPr>
    </w:p>
    <w:p w14:paraId="580045F5" w14:textId="77777777" w:rsidR="00D941DC" w:rsidRDefault="00D941DC" w:rsidP="00D90175">
      <w:pPr>
        <w:pStyle w:val="Bullet1"/>
        <w:numPr>
          <w:ilvl w:val="0"/>
          <w:numId w:val="0"/>
        </w:numPr>
        <w:spacing w:after="0"/>
        <w:ind w:left="720" w:hanging="360"/>
        <w:rPr>
          <w:b/>
          <w:bCs/>
        </w:rPr>
      </w:pPr>
    </w:p>
    <w:p w14:paraId="2039902D" w14:textId="77777777" w:rsidR="00D941DC" w:rsidRDefault="00D941DC" w:rsidP="00D90175">
      <w:pPr>
        <w:pStyle w:val="Bullet1"/>
        <w:numPr>
          <w:ilvl w:val="0"/>
          <w:numId w:val="0"/>
        </w:numPr>
        <w:spacing w:after="0"/>
        <w:ind w:left="720" w:hanging="360"/>
        <w:rPr>
          <w:b/>
          <w:bCs/>
        </w:rPr>
      </w:pPr>
    </w:p>
    <w:p w14:paraId="1017523E" w14:textId="77777777" w:rsidR="00D941DC" w:rsidRDefault="00D941DC" w:rsidP="00D90175">
      <w:pPr>
        <w:pStyle w:val="Bullet1"/>
        <w:numPr>
          <w:ilvl w:val="0"/>
          <w:numId w:val="0"/>
        </w:numPr>
        <w:spacing w:after="0"/>
        <w:ind w:left="720" w:hanging="360"/>
        <w:rPr>
          <w:b/>
          <w:bCs/>
        </w:rPr>
      </w:pPr>
    </w:p>
    <w:p w14:paraId="3DFEF504" w14:textId="77777777" w:rsidR="00D941DC" w:rsidRDefault="00D941DC" w:rsidP="00D90175">
      <w:pPr>
        <w:pStyle w:val="Bullet1"/>
        <w:numPr>
          <w:ilvl w:val="0"/>
          <w:numId w:val="0"/>
        </w:numPr>
        <w:spacing w:after="0"/>
        <w:ind w:left="720" w:hanging="360"/>
        <w:rPr>
          <w:b/>
          <w:bCs/>
        </w:rPr>
      </w:pPr>
    </w:p>
    <w:p w14:paraId="21CE6AE7" w14:textId="77777777" w:rsidR="00D941DC" w:rsidRDefault="00D941DC" w:rsidP="00D90175">
      <w:pPr>
        <w:pStyle w:val="Bullet1"/>
        <w:numPr>
          <w:ilvl w:val="0"/>
          <w:numId w:val="0"/>
        </w:numPr>
        <w:spacing w:after="0"/>
        <w:ind w:left="720" w:hanging="360"/>
        <w:rPr>
          <w:b/>
          <w:bCs/>
        </w:rPr>
      </w:pPr>
    </w:p>
    <w:p w14:paraId="088885A4" w14:textId="77777777" w:rsidR="00D941DC" w:rsidRDefault="00D941DC" w:rsidP="00D90175">
      <w:pPr>
        <w:pStyle w:val="Bullet1"/>
        <w:numPr>
          <w:ilvl w:val="0"/>
          <w:numId w:val="0"/>
        </w:numPr>
        <w:spacing w:after="0"/>
        <w:ind w:left="720" w:hanging="360"/>
        <w:rPr>
          <w:b/>
          <w:bCs/>
        </w:rPr>
      </w:pPr>
    </w:p>
    <w:p w14:paraId="382EE6A3" w14:textId="77777777" w:rsidR="00D941DC" w:rsidRDefault="00D941DC" w:rsidP="00D90175">
      <w:pPr>
        <w:pStyle w:val="Bullet1"/>
        <w:numPr>
          <w:ilvl w:val="0"/>
          <w:numId w:val="0"/>
        </w:numPr>
        <w:spacing w:after="0"/>
        <w:ind w:left="720" w:hanging="360"/>
        <w:rPr>
          <w:b/>
          <w:bCs/>
        </w:rPr>
      </w:pPr>
    </w:p>
    <w:p w14:paraId="57FABDCA" w14:textId="77777777" w:rsidR="00D941DC" w:rsidRDefault="00D941DC" w:rsidP="00D90175">
      <w:pPr>
        <w:pStyle w:val="Bullet1"/>
        <w:numPr>
          <w:ilvl w:val="0"/>
          <w:numId w:val="0"/>
        </w:numPr>
        <w:spacing w:after="0"/>
        <w:ind w:left="720" w:hanging="360"/>
        <w:rPr>
          <w:b/>
          <w:bCs/>
        </w:rPr>
      </w:pPr>
    </w:p>
    <w:p w14:paraId="16FFEA84" w14:textId="77777777" w:rsidR="00D941DC" w:rsidRDefault="00D941DC" w:rsidP="00D90175">
      <w:pPr>
        <w:pStyle w:val="Bullet1"/>
        <w:numPr>
          <w:ilvl w:val="0"/>
          <w:numId w:val="0"/>
        </w:numPr>
        <w:spacing w:after="0"/>
        <w:ind w:left="720" w:hanging="360"/>
        <w:rPr>
          <w:b/>
          <w:bCs/>
        </w:rPr>
      </w:pPr>
    </w:p>
    <w:p w14:paraId="5FC25544" w14:textId="77777777" w:rsidR="00D941DC" w:rsidRDefault="00D941DC" w:rsidP="00D90175">
      <w:pPr>
        <w:pStyle w:val="Bullet1"/>
        <w:numPr>
          <w:ilvl w:val="0"/>
          <w:numId w:val="0"/>
        </w:numPr>
        <w:spacing w:after="0"/>
        <w:ind w:left="720" w:hanging="360"/>
        <w:rPr>
          <w:b/>
          <w:bCs/>
        </w:rPr>
      </w:pPr>
    </w:p>
    <w:p w14:paraId="72E4730F" w14:textId="77777777" w:rsidR="00D941DC" w:rsidRDefault="00D941DC" w:rsidP="00D90175">
      <w:pPr>
        <w:pStyle w:val="Bullet1"/>
        <w:numPr>
          <w:ilvl w:val="0"/>
          <w:numId w:val="0"/>
        </w:numPr>
        <w:spacing w:after="0"/>
        <w:ind w:left="720" w:hanging="360"/>
        <w:rPr>
          <w:b/>
          <w:bCs/>
        </w:rPr>
      </w:pPr>
    </w:p>
    <w:p w14:paraId="5E0449C7" w14:textId="77777777" w:rsidR="00D941DC" w:rsidRDefault="00D941DC" w:rsidP="00D90175">
      <w:pPr>
        <w:pStyle w:val="Bullet1"/>
        <w:numPr>
          <w:ilvl w:val="0"/>
          <w:numId w:val="0"/>
        </w:numPr>
        <w:spacing w:after="0"/>
        <w:ind w:left="720" w:hanging="360"/>
        <w:rPr>
          <w:b/>
          <w:bCs/>
        </w:rPr>
      </w:pPr>
    </w:p>
    <w:p w14:paraId="4126197B" w14:textId="77777777" w:rsidR="00D941DC" w:rsidRDefault="00D941DC" w:rsidP="00D90175">
      <w:pPr>
        <w:pStyle w:val="Bullet1"/>
        <w:numPr>
          <w:ilvl w:val="0"/>
          <w:numId w:val="0"/>
        </w:numPr>
        <w:spacing w:after="0"/>
        <w:ind w:left="720" w:hanging="360"/>
        <w:rPr>
          <w:b/>
          <w:bCs/>
        </w:rPr>
      </w:pPr>
    </w:p>
    <w:p w14:paraId="08B7CD6A" w14:textId="77777777" w:rsidR="00D941DC" w:rsidRDefault="00D941DC" w:rsidP="00D90175">
      <w:pPr>
        <w:pStyle w:val="Bullet1"/>
        <w:numPr>
          <w:ilvl w:val="0"/>
          <w:numId w:val="0"/>
        </w:numPr>
        <w:spacing w:after="0"/>
        <w:ind w:left="720" w:hanging="360"/>
        <w:rPr>
          <w:b/>
          <w:bCs/>
        </w:rPr>
      </w:pPr>
    </w:p>
    <w:p w14:paraId="32895221" w14:textId="77777777" w:rsidR="00D941DC" w:rsidRDefault="00D941DC" w:rsidP="00D90175">
      <w:pPr>
        <w:pStyle w:val="Bullet1"/>
        <w:numPr>
          <w:ilvl w:val="0"/>
          <w:numId w:val="0"/>
        </w:numPr>
        <w:spacing w:after="0"/>
        <w:ind w:left="720" w:hanging="360"/>
        <w:rPr>
          <w:b/>
          <w:bCs/>
        </w:rPr>
      </w:pPr>
    </w:p>
    <w:p w14:paraId="52FB2DDC" w14:textId="77777777" w:rsidR="00D941DC" w:rsidRDefault="00D941DC" w:rsidP="00D90175">
      <w:pPr>
        <w:pStyle w:val="Bullet1"/>
        <w:numPr>
          <w:ilvl w:val="0"/>
          <w:numId w:val="0"/>
        </w:numPr>
        <w:spacing w:after="0"/>
        <w:ind w:left="720" w:hanging="360"/>
        <w:rPr>
          <w:b/>
          <w:bCs/>
        </w:rPr>
      </w:pPr>
    </w:p>
    <w:p w14:paraId="71419826" w14:textId="77777777" w:rsidR="00D941DC" w:rsidRDefault="00D941DC" w:rsidP="00D90175">
      <w:pPr>
        <w:pStyle w:val="Bullet1"/>
        <w:numPr>
          <w:ilvl w:val="0"/>
          <w:numId w:val="0"/>
        </w:numPr>
        <w:spacing w:after="0"/>
        <w:ind w:left="720" w:hanging="360"/>
        <w:rPr>
          <w:b/>
          <w:bCs/>
        </w:rPr>
      </w:pPr>
    </w:p>
    <w:p w14:paraId="7702373B" w14:textId="77777777" w:rsidR="00D941DC" w:rsidRDefault="00D941DC" w:rsidP="00D90175">
      <w:pPr>
        <w:pStyle w:val="Bullet1"/>
        <w:numPr>
          <w:ilvl w:val="0"/>
          <w:numId w:val="0"/>
        </w:numPr>
        <w:spacing w:after="0"/>
        <w:ind w:left="720" w:hanging="360"/>
        <w:rPr>
          <w:b/>
          <w:bCs/>
        </w:rPr>
      </w:pPr>
    </w:p>
    <w:p w14:paraId="4CC983CA" w14:textId="77777777" w:rsidR="00D941DC" w:rsidRDefault="00D941DC" w:rsidP="00D90175">
      <w:pPr>
        <w:pStyle w:val="Bullet1"/>
        <w:numPr>
          <w:ilvl w:val="0"/>
          <w:numId w:val="0"/>
        </w:numPr>
        <w:spacing w:after="0"/>
        <w:ind w:left="720" w:hanging="360"/>
        <w:rPr>
          <w:b/>
          <w:bCs/>
        </w:rPr>
      </w:pPr>
    </w:p>
    <w:p w14:paraId="2C8DA2C9" w14:textId="77777777" w:rsidR="00D941DC" w:rsidRDefault="00D941DC" w:rsidP="00D90175">
      <w:pPr>
        <w:pStyle w:val="Bullet1"/>
        <w:numPr>
          <w:ilvl w:val="0"/>
          <w:numId w:val="0"/>
        </w:numPr>
        <w:spacing w:after="0"/>
        <w:ind w:left="720" w:hanging="360"/>
        <w:rPr>
          <w:b/>
          <w:bCs/>
        </w:rPr>
      </w:pPr>
    </w:p>
    <w:p w14:paraId="6DE7AEF3" w14:textId="77777777" w:rsidR="00D941DC" w:rsidRDefault="00D941DC" w:rsidP="00D90175">
      <w:pPr>
        <w:pStyle w:val="Bullet1"/>
        <w:numPr>
          <w:ilvl w:val="0"/>
          <w:numId w:val="0"/>
        </w:numPr>
        <w:spacing w:after="0"/>
        <w:ind w:left="720" w:hanging="360"/>
        <w:rPr>
          <w:b/>
          <w:bCs/>
        </w:rPr>
      </w:pPr>
    </w:p>
    <w:p w14:paraId="76668BE2" w14:textId="77777777" w:rsidR="00D941DC" w:rsidRDefault="00D941DC" w:rsidP="00D90175">
      <w:pPr>
        <w:pStyle w:val="Bullet1"/>
        <w:numPr>
          <w:ilvl w:val="0"/>
          <w:numId w:val="0"/>
        </w:numPr>
        <w:spacing w:after="0"/>
        <w:ind w:left="720" w:hanging="360"/>
        <w:rPr>
          <w:b/>
          <w:bCs/>
        </w:rPr>
      </w:pPr>
    </w:p>
    <w:p w14:paraId="4BFC7BB5" w14:textId="77777777" w:rsidR="00D941DC" w:rsidRDefault="00D941DC" w:rsidP="00D90175">
      <w:pPr>
        <w:pStyle w:val="Bullet1"/>
        <w:numPr>
          <w:ilvl w:val="0"/>
          <w:numId w:val="0"/>
        </w:numPr>
        <w:spacing w:after="0"/>
        <w:ind w:left="720" w:hanging="360"/>
        <w:rPr>
          <w:b/>
          <w:bCs/>
        </w:rPr>
      </w:pPr>
    </w:p>
    <w:p w14:paraId="3FE39BC6" w14:textId="77777777" w:rsidR="00D941DC" w:rsidRDefault="00D941DC" w:rsidP="00D90175">
      <w:pPr>
        <w:pStyle w:val="Bullet1"/>
        <w:numPr>
          <w:ilvl w:val="0"/>
          <w:numId w:val="0"/>
        </w:numPr>
        <w:spacing w:after="0"/>
        <w:ind w:left="720" w:hanging="360"/>
        <w:rPr>
          <w:b/>
          <w:bCs/>
        </w:rPr>
      </w:pPr>
    </w:p>
    <w:p w14:paraId="226730C4" w14:textId="77777777" w:rsidR="00D941DC" w:rsidRDefault="00D941DC" w:rsidP="00D90175">
      <w:pPr>
        <w:pStyle w:val="Bullet1"/>
        <w:numPr>
          <w:ilvl w:val="0"/>
          <w:numId w:val="0"/>
        </w:numPr>
        <w:spacing w:after="0"/>
        <w:ind w:left="720" w:hanging="360"/>
        <w:rPr>
          <w:b/>
          <w:bCs/>
        </w:rPr>
      </w:pPr>
    </w:p>
    <w:p w14:paraId="3B36ABDF" w14:textId="77777777" w:rsidR="00D941DC" w:rsidRDefault="00D941DC" w:rsidP="00D90175">
      <w:pPr>
        <w:pStyle w:val="Bullet1"/>
        <w:numPr>
          <w:ilvl w:val="0"/>
          <w:numId w:val="0"/>
        </w:numPr>
        <w:spacing w:after="0"/>
        <w:ind w:left="720" w:hanging="360"/>
        <w:rPr>
          <w:b/>
          <w:bCs/>
        </w:rPr>
      </w:pPr>
    </w:p>
    <w:p w14:paraId="4964A6AD" w14:textId="77777777" w:rsidR="00D941DC" w:rsidRDefault="00D941DC" w:rsidP="00D90175">
      <w:pPr>
        <w:pStyle w:val="Bullet1"/>
        <w:numPr>
          <w:ilvl w:val="0"/>
          <w:numId w:val="0"/>
        </w:numPr>
        <w:spacing w:after="0"/>
        <w:ind w:left="720" w:hanging="360"/>
        <w:rPr>
          <w:b/>
          <w:bCs/>
        </w:rPr>
      </w:pPr>
    </w:p>
    <w:p w14:paraId="0263738B" w14:textId="77777777" w:rsidR="00D941DC" w:rsidRDefault="00D941DC" w:rsidP="00D90175">
      <w:pPr>
        <w:pStyle w:val="Bullet1"/>
        <w:numPr>
          <w:ilvl w:val="0"/>
          <w:numId w:val="0"/>
        </w:numPr>
        <w:spacing w:after="0"/>
        <w:ind w:left="720" w:hanging="360"/>
        <w:rPr>
          <w:b/>
          <w:bCs/>
        </w:rPr>
      </w:pPr>
    </w:p>
    <w:p w14:paraId="0AF3264A" w14:textId="77777777" w:rsidR="00D941DC" w:rsidRDefault="00D941DC" w:rsidP="00D90175">
      <w:pPr>
        <w:pStyle w:val="Bullet1"/>
        <w:numPr>
          <w:ilvl w:val="0"/>
          <w:numId w:val="0"/>
        </w:numPr>
        <w:spacing w:after="0"/>
        <w:ind w:left="720" w:hanging="360"/>
        <w:rPr>
          <w:b/>
          <w:bCs/>
        </w:rPr>
      </w:pPr>
    </w:p>
    <w:p w14:paraId="6F5602BD" w14:textId="77777777" w:rsidR="00D941DC" w:rsidRDefault="00D941DC" w:rsidP="00D90175">
      <w:pPr>
        <w:pStyle w:val="Bullet1"/>
        <w:numPr>
          <w:ilvl w:val="0"/>
          <w:numId w:val="0"/>
        </w:numPr>
        <w:spacing w:after="0"/>
        <w:ind w:left="720" w:hanging="360"/>
        <w:rPr>
          <w:b/>
          <w:bCs/>
        </w:rPr>
      </w:pPr>
    </w:p>
    <w:p w14:paraId="034A2CDE" w14:textId="77777777" w:rsidR="00D941DC" w:rsidRPr="00D90175" w:rsidRDefault="00D941DC" w:rsidP="00D90175">
      <w:pPr>
        <w:pStyle w:val="Bullet1"/>
        <w:numPr>
          <w:ilvl w:val="0"/>
          <w:numId w:val="0"/>
        </w:numPr>
        <w:spacing w:after="0"/>
        <w:ind w:left="720" w:hanging="360"/>
        <w:rPr>
          <w:b/>
          <w:bCs/>
        </w:rPr>
      </w:pPr>
    </w:p>
    <w:tbl>
      <w:tblPr>
        <w:tblStyle w:val="Tabellrutnt"/>
        <w:tblW w:w="9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98" w:type="dxa"/>
          <w:left w:w="198" w:type="dxa"/>
          <w:bottom w:w="198" w:type="dxa"/>
          <w:right w:w="198" w:type="dxa"/>
        </w:tblCellMar>
        <w:tblLook w:val="04A0" w:firstRow="1" w:lastRow="0" w:firstColumn="1" w:lastColumn="0" w:noHBand="0" w:noVBand="1"/>
      </w:tblPr>
      <w:tblGrid>
        <w:gridCol w:w="9742"/>
      </w:tblGrid>
      <w:tr w:rsidR="002A6114" w:rsidRPr="00D90175" w14:paraId="0629DA9A" w14:textId="77777777" w:rsidTr="00E14668">
        <w:trPr>
          <w:trHeight w:val="506"/>
        </w:trPr>
        <w:tc>
          <w:tcPr>
            <w:tcW w:w="9742" w:type="dxa"/>
            <w:shd w:val="clear" w:color="auto" w:fill="636569" w:themeFill="accent4"/>
          </w:tcPr>
          <w:p w14:paraId="67EC75A5" w14:textId="003CFDCC" w:rsidR="00EF188C" w:rsidRPr="00D90175" w:rsidRDefault="00105633" w:rsidP="00D90175">
            <w:pPr>
              <w:pStyle w:val="Aucunstyle"/>
              <w:spacing w:line="240" w:lineRule="auto"/>
              <w:rPr>
                <w:rFonts w:ascii="Gotham Book" w:hAnsi="Gotham Book" w:cs="Gotham Bold"/>
                <w:caps/>
                <w:color w:val="FFFFFF"/>
                <w:spacing w:val="-2"/>
                <w:sz w:val="18"/>
                <w:szCs w:val="18"/>
                <w:lang w:val="en-US"/>
              </w:rPr>
            </w:pPr>
            <w:r w:rsidRPr="00D941DC">
              <w:rPr>
                <w:b/>
                <w:bCs/>
                <w:lang w:val="en-US"/>
              </w:rPr>
              <w:br w:type="page"/>
            </w:r>
            <w:r w:rsidR="00EF188C" w:rsidRPr="00D90175">
              <w:rPr>
                <w:rFonts w:ascii="Gotham Book" w:hAnsi="Gotham Book" w:cs="Gotham Bold"/>
                <w:caps/>
                <w:color w:val="7AAEDE"/>
                <w:spacing w:val="-2"/>
                <w:sz w:val="18"/>
                <w:szCs w:val="18"/>
                <w:lang w:val="en-US"/>
              </w:rPr>
              <w:t>About The International Chamber of Commerce (ICC)</w:t>
            </w:r>
          </w:p>
          <w:p w14:paraId="756A32C0" w14:textId="77777777" w:rsidR="00EF188C" w:rsidRPr="00D90175" w:rsidRDefault="00EF188C" w:rsidP="00D90175">
            <w:pPr>
              <w:pStyle w:val="Aucunstyle"/>
              <w:suppressAutoHyphens/>
              <w:spacing w:line="240" w:lineRule="auto"/>
              <w:rPr>
                <w:rFonts w:ascii="Gotham Book" w:hAnsi="Gotham Book" w:cs="Gotham Book"/>
                <w:color w:val="FFFFFF"/>
                <w:spacing w:val="2"/>
                <w:sz w:val="18"/>
                <w:szCs w:val="18"/>
                <w:lang w:val="en-GB"/>
              </w:rPr>
            </w:pPr>
            <w:r w:rsidRPr="00D90175">
              <w:rPr>
                <w:rFonts w:ascii="Gotham Book" w:hAnsi="Gotham Book" w:cs="Gotham Book"/>
                <w:color w:val="FFFFFF"/>
                <w:spacing w:val="-2"/>
                <w:sz w:val="18"/>
                <w:szCs w:val="18"/>
                <w:lang w:val="en-GB"/>
              </w:rPr>
              <w:t xml:space="preserve">The International Chamber of Commerce (ICC) is the institutional representative of more than 45 million </w:t>
            </w:r>
            <w:r w:rsidRPr="00D90175">
              <w:rPr>
                <w:rFonts w:ascii="Gotham Book" w:hAnsi="Gotham Book" w:cs="Gotham Book"/>
                <w:color w:val="FFFFFF"/>
                <w:spacing w:val="2"/>
                <w:sz w:val="18"/>
                <w:szCs w:val="18"/>
                <w:lang w:val="en-GB"/>
              </w:rPr>
              <w:t xml:space="preserve">companies in over 100 countries. ICC’s core mission is to make business work for everyone, every </w:t>
            </w:r>
            <w:r w:rsidRPr="00D90175">
              <w:rPr>
                <w:rFonts w:ascii="Gotham Book" w:hAnsi="Gotham Book" w:cs="Gotham Book"/>
                <w:color w:val="FFFFFF"/>
                <w:spacing w:val="2"/>
                <w:sz w:val="18"/>
                <w:szCs w:val="18"/>
                <w:lang w:val="en-GB"/>
              </w:rPr>
              <w:br/>
              <w:t xml:space="preserve">day, everywhere. Through a unique mix of advocacy, solutions and standard setting, we promote international trade, responsible business conduct and a global approach to regulation, in addition </w:t>
            </w:r>
            <w:r w:rsidRPr="00D90175">
              <w:rPr>
                <w:rFonts w:ascii="Gotham Book" w:hAnsi="Gotham Book" w:cs="Gotham Book"/>
                <w:color w:val="FFFFFF"/>
                <w:spacing w:val="2"/>
                <w:sz w:val="18"/>
                <w:szCs w:val="18"/>
                <w:lang w:val="en-GB"/>
              </w:rPr>
              <w:br/>
              <w:t>to providing market-leading dispute resolution services. Our members include many of the world’s leading companies, SMEs, business associations and local chambers of commerce.</w:t>
            </w:r>
          </w:p>
        </w:tc>
      </w:tr>
    </w:tbl>
    <w:p w14:paraId="28F32F3B" w14:textId="77777777" w:rsidR="005E5255" w:rsidRPr="00D90175" w:rsidRDefault="005E5255" w:rsidP="00D90175">
      <w:pPr>
        <w:pStyle w:val="Bullet1"/>
        <w:numPr>
          <w:ilvl w:val="0"/>
          <w:numId w:val="0"/>
        </w:numPr>
        <w:spacing w:after="0"/>
        <w:ind w:left="720" w:hanging="360"/>
        <w:rPr>
          <w:b/>
          <w:bCs/>
        </w:rPr>
      </w:pPr>
    </w:p>
    <w:p w14:paraId="55C79B6C" w14:textId="77777777" w:rsidR="005E5255" w:rsidRPr="00D90175" w:rsidRDefault="005E5255" w:rsidP="00D90175">
      <w:pPr>
        <w:pStyle w:val="Bullet1"/>
        <w:numPr>
          <w:ilvl w:val="0"/>
          <w:numId w:val="0"/>
        </w:numPr>
        <w:spacing w:after="0"/>
        <w:ind w:left="720" w:hanging="360"/>
        <w:rPr>
          <w:b/>
          <w:bCs/>
        </w:rPr>
      </w:pPr>
    </w:p>
    <w:p w14:paraId="45918E17" w14:textId="77777777" w:rsidR="006B7D26" w:rsidRPr="00D90175" w:rsidRDefault="006B7D26" w:rsidP="00D90175">
      <w:pPr>
        <w:pStyle w:val="Bullet1"/>
        <w:numPr>
          <w:ilvl w:val="0"/>
          <w:numId w:val="0"/>
        </w:numPr>
        <w:spacing w:after="0"/>
        <w:ind w:left="720" w:hanging="360"/>
        <w:rPr>
          <w:b/>
          <w:bCs/>
        </w:rPr>
      </w:pPr>
    </w:p>
    <w:sectPr w:rsidR="006B7D26" w:rsidRPr="00D90175" w:rsidSect="00833DE3">
      <w:headerReference w:type="even" r:id="rId12"/>
      <w:footerReference w:type="even" r:id="rId13"/>
      <w:footerReference w:type="default" r:id="rId14"/>
      <w:headerReference w:type="first" r:id="rId15"/>
      <w:footerReference w:type="first" r:id="rId16"/>
      <w:pgSz w:w="11900" w:h="16840"/>
      <w:pgMar w:top="1213" w:right="1077" w:bottom="1230" w:left="1077"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0448" w14:textId="77777777" w:rsidR="00F13963" w:rsidRDefault="00F13963" w:rsidP="000222B2">
      <w:r>
        <w:separator/>
      </w:r>
    </w:p>
    <w:p w14:paraId="54B32A94" w14:textId="77777777" w:rsidR="00F13963" w:rsidRDefault="00F13963" w:rsidP="000222B2"/>
    <w:p w14:paraId="7875433C" w14:textId="77777777" w:rsidR="00F13963" w:rsidRDefault="00F13963" w:rsidP="000222B2"/>
    <w:p w14:paraId="45A13BF9" w14:textId="77777777" w:rsidR="00F13963" w:rsidRDefault="00F13963" w:rsidP="000222B2"/>
    <w:p w14:paraId="55869DF1" w14:textId="77777777" w:rsidR="00F13963" w:rsidRDefault="00F13963" w:rsidP="000222B2"/>
    <w:p w14:paraId="28660244" w14:textId="77777777" w:rsidR="00F13963" w:rsidRDefault="00F13963" w:rsidP="000222B2"/>
  </w:endnote>
  <w:endnote w:type="continuationSeparator" w:id="0">
    <w:p w14:paraId="5FB106A8" w14:textId="77777777" w:rsidR="00F13963" w:rsidRDefault="00F13963" w:rsidP="000222B2">
      <w:r>
        <w:continuationSeparator/>
      </w:r>
    </w:p>
    <w:p w14:paraId="255932C6" w14:textId="77777777" w:rsidR="00F13963" w:rsidRDefault="00F13963" w:rsidP="000222B2"/>
    <w:p w14:paraId="69FDA44D" w14:textId="77777777" w:rsidR="00F13963" w:rsidRDefault="00F13963" w:rsidP="000222B2"/>
    <w:p w14:paraId="42951E06" w14:textId="77777777" w:rsidR="00F13963" w:rsidRDefault="00F13963" w:rsidP="000222B2"/>
    <w:p w14:paraId="6DADB647" w14:textId="77777777" w:rsidR="00F13963" w:rsidRDefault="00F13963" w:rsidP="000222B2"/>
    <w:p w14:paraId="3C36A36D" w14:textId="77777777" w:rsidR="00F13963" w:rsidRDefault="00F13963" w:rsidP="000222B2"/>
  </w:endnote>
  <w:endnote w:type="continuationNotice" w:id="1">
    <w:p w14:paraId="02173D93" w14:textId="77777777" w:rsidR="00F13963" w:rsidRDefault="00F139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w:panose1 w:val="020B0300000000000000"/>
    <w:charset w:val="4E"/>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Gotham Book">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Gotham Book"/>
    <w:panose1 w:val="00000000000000000000"/>
    <w:charset w:val="00"/>
    <w:family w:val="roman"/>
    <w:pitch w:val="variable"/>
    <w:sig w:usb0="00000003" w:usb1="00000000" w:usb2="00000000" w:usb3="00000000" w:csb0="00000001" w:csb1="00000000"/>
  </w:font>
  <w:font w:name="Gotham Bold">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Gotham Medium">
    <w:panose1 w:val="00000000000000000000"/>
    <w:charset w:val="00"/>
    <w:family w:val="auto"/>
    <w:notTrueType/>
    <w:pitch w:val="variable"/>
    <w:sig w:usb0="A00002FF" w:usb1="4000005B" w:usb2="00000000" w:usb3="00000000" w:csb0="0000009F" w:csb1="00000000"/>
  </w:font>
  <w:font w:name="MinionPro-Regular">
    <w:altName w:val="Calibri"/>
    <w:panose1 w:val="020B0604020202020204"/>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33719789"/>
      <w:docPartObj>
        <w:docPartGallery w:val="Page Numbers (Bottom of Page)"/>
        <w:docPartUnique/>
      </w:docPartObj>
    </w:sdtPr>
    <w:sdtEndPr>
      <w:rPr>
        <w:rStyle w:val="Sidnummer"/>
      </w:rPr>
    </w:sdtEndPr>
    <w:sdtContent>
      <w:p w14:paraId="15DDC0AB" w14:textId="4DB8BE2A"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308442505"/>
      <w:docPartObj>
        <w:docPartGallery w:val="Page Numbers (Bottom of Page)"/>
        <w:docPartUnique/>
      </w:docPartObj>
    </w:sdtPr>
    <w:sdtEndPr>
      <w:rPr>
        <w:rStyle w:val="Sidnummer"/>
      </w:rPr>
    </w:sdtEndPr>
    <w:sdtContent>
      <w:p w14:paraId="4C8A06F5" w14:textId="50249899"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FDD9149" w14:textId="77777777" w:rsidR="00A83441" w:rsidRDefault="00A83441" w:rsidP="000222B2"/>
  <w:p w14:paraId="5AC3F98B" w14:textId="77777777" w:rsidR="00713BED" w:rsidRDefault="00713BED" w:rsidP="000222B2"/>
  <w:p w14:paraId="322E1C77" w14:textId="77777777" w:rsidR="00713BED" w:rsidRDefault="00713BED" w:rsidP="000222B2"/>
  <w:p w14:paraId="5F3EEE27" w14:textId="77777777" w:rsidR="004D071C" w:rsidRDefault="004D071C" w:rsidP="000222B2"/>
  <w:p w14:paraId="211299CB" w14:textId="77777777" w:rsidR="004D071C" w:rsidRDefault="004D071C" w:rsidP="000222B2"/>
  <w:p w14:paraId="2C655E9B" w14:textId="77777777" w:rsidR="004D071C" w:rsidRDefault="004D071C" w:rsidP="00022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69BF" w14:textId="1A2CB394" w:rsidR="004D071C" w:rsidRDefault="00E77BA3" w:rsidP="000222B2">
    <w:r w:rsidRPr="000804A3">
      <w:rPr>
        <w:noProof/>
        <w:sz w:val="16"/>
        <w:szCs w:val="16"/>
      </w:rPr>
      <mc:AlternateContent>
        <mc:Choice Requires="wps">
          <w:drawing>
            <wp:anchor distT="0" distB="0" distL="114300" distR="114300" simplePos="0" relativeHeight="251658241" behindDoc="1" locked="0" layoutInCell="1" allowOverlap="0" wp14:anchorId="3FF1E9BE" wp14:editId="3EA0E19C">
              <wp:simplePos x="0" y="0"/>
              <wp:positionH relativeFrom="page">
                <wp:posOffset>742950</wp:posOffset>
              </wp:positionH>
              <wp:positionV relativeFrom="page">
                <wp:posOffset>10045700</wp:posOffset>
              </wp:positionV>
              <wp:extent cx="6058800" cy="127710"/>
              <wp:effectExtent l="0" t="0" r="1206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1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FAED" w14:textId="2454E887" w:rsidR="00F400C4" w:rsidRPr="00BC4006" w:rsidRDefault="005F1240" w:rsidP="00F400C4">
                          <w:pPr>
                            <w:pStyle w:val="zFooter"/>
                          </w:pPr>
                          <w:r>
                            <w:t>February 2022</w:t>
                          </w:r>
                          <w:r w:rsidR="00F400C4" w:rsidRPr="00BC4006">
                            <w:t xml:space="preserve"> | </w:t>
                          </w:r>
                          <w:r>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1E9BE" id="_x0000_t202" coordsize="21600,21600" o:spt="202" path="m,l,21600r21600,l21600,xe">
              <v:stroke joinstyle="miter"/>
              <v:path gradientshapeok="t" o:connecttype="rect"/>
            </v:shapetype>
            <v:shape id="Text Box 3" o:spid="_x0000_s1026" type="#_x0000_t202" style="position:absolute;margin-left:58.5pt;margin-top:791pt;width:477.05pt;height:1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" o:allowoverlap="f" filled="f" stroked="f">
              <v:path arrowok="t"/>
              <v:textbox inset="0,0,0,0">
                <w:txbxContent>
                  <w:p w14:paraId="498FFAED" w14:textId="2454E887" w:rsidR="00F400C4" w:rsidRPr="00BC4006" w:rsidRDefault="005F1240" w:rsidP="00F400C4">
                    <w:pPr>
                      <w:pStyle w:val="zFooter"/>
                    </w:pPr>
                    <w:r>
                      <w:t>February 2022</w:t>
                    </w:r>
                    <w:r w:rsidR="00F400C4" w:rsidRPr="00BC4006">
                      <w:t xml:space="preserve"> | </w:t>
                    </w:r>
                    <w:r>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339A28BF" w14:textId="77777777" w:rsidR="00F400C4" w:rsidRPr="00BC4006" w:rsidRDefault="00F400C4" w:rsidP="00F400C4">
                    <w:pPr>
                      <w:pStyle w:val="zFooter"/>
                    </w:pPr>
                  </w:p>
                  <w:p w14:paraId="5093026E" w14:textId="70320252" w:rsidR="00E77BA3" w:rsidRPr="00BC4006" w:rsidRDefault="00E77BA3" w:rsidP="00E77BA3">
                    <w:pPr>
                      <w:pStyle w:val="zFoote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098B" w14:textId="63E8F9FC" w:rsidR="00713BED" w:rsidRPr="003A4365" w:rsidRDefault="002A70D9" w:rsidP="003A4365">
    <w:pPr>
      <w:tabs>
        <w:tab w:val="left" w:pos="5361"/>
      </w:tabs>
      <w:rPr>
        <w:color w:val="636569" w:themeColor="accent4"/>
        <w:sz w:val="16"/>
        <w:szCs w:val="16"/>
      </w:rPr>
    </w:pPr>
    <w:r w:rsidRPr="000804A3">
      <w:rPr>
        <w:noProof/>
        <w:sz w:val="16"/>
        <w:szCs w:val="16"/>
      </w:rPr>
      <mc:AlternateContent>
        <mc:Choice Requires="wps">
          <w:drawing>
            <wp:anchor distT="0" distB="0" distL="114300" distR="114300" simplePos="0" relativeHeight="251658240" behindDoc="1" locked="0" layoutInCell="1" allowOverlap="0" wp14:anchorId="52B084FA" wp14:editId="5CAB8C73">
              <wp:simplePos x="0" y="0"/>
              <wp:positionH relativeFrom="page">
                <wp:posOffset>726552</wp:posOffset>
              </wp:positionH>
              <wp:positionV relativeFrom="page">
                <wp:posOffset>10045700</wp:posOffset>
              </wp:positionV>
              <wp:extent cx="6058800" cy="127710"/>
              <wp:effectExtent l="0" t="0" r="12065" b="1206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8800" cy="1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6BC6" w14:textId="43323981" w:rsidR="00F400C4" w:rsidRPr="00BC4006" w:rsidRDefault="001A3B40" w:rsidP="00F400C4">
                          <w:pPr>
                            <w:pStyle w:val="zFooter"/>
                          </w:pPr>
                          <w:r>
                            <w:t>February 2022</w:t>
                          </w:r>
                          <w:r w:rsidR="00F400C4" w:rsidRPr="00BC4006">
                            <w:t xml:space="preserve"> | </w:t>
                          </w:r>
                          <w:r w:rsidR="005F1240">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84FA" id="_x0000_t202" coordsize="21600,21600" o:spt="202" path="m,l,21600r21600,l21600,xe">
              <v:stroke joinstyle="miter"/>
              <v:path gradientshapeok="t" o:connecttype="rect"/>
            </v:shapetype>
            <v:shape id="_x0000_s1028" type="#_x0000_t202" style="position:absolute;margin-left:57.2pt;margin-top:791pt;width:477.05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" o:allowoverlap="f" filled="f" stroked="f">
              <v:path arrowok="t"/>
              <v:textbox inset="0,0,0,0">
                <w:txbxContent>
                  <w:p w14:paraId="4A456BC6" w14:textId="43323981" w:rsidR="00F400C4" w:rsidRPr="00BC4006" w:rsidRDefault="001A3B40" w:rsidP="00F400C4">
                    <w:pPr>
                      <w:pStyle w:val="zFooter"/>
                    </w:pPr>
                    <w:r>
                      <w:t>February 2022</w:t>
                    </w:r>
                    <w:r w:rsidR="00F400C4" w:rsidRPr="00BC4006">
                      <w:t xml:space="preserve"> | </w:t>
                    </w:r>
                    <w:r w:rsidR="005F1240">
                      <w:t>ICC Response to OECD Pillar 1 consultation on nexus and revenue sourcing</w:t>
                    </w:r>
                    <w:r w:rsidR="00F400C4" w:rsidRPr="00BC4006">
                      <w:t xml:space="preserve"> | </w:t>
                    </w:r>
                    <w:r w:rsidR="00F400C4" w:rsidRPr="00BE6229">
                      <w:rPr>
                        <w:b/>
                        <w:bCs/>
                      </w:rPr>
                      <w:fldChar w:fldCharType="begin"/>
                    </w:r>
                    <w:r w:rsidR="00F400C4" w:rsidRPr="00BE6229">
                      <w:rPr>
                        <w:b/>
                        <w:bCs/>
                      </w:rPr>
                      <w:instrText xml:space="preserve"> PAGE </w:instrText>
                    </w:r>
                    <w:r w:rsidR="00F400C4" w:rsidRPr="00BE6229">
                      <w:rPr>
                        <w:b/>
                        <w:bCs/>
                      </w:rPr>
                      <w:fldChar w:fldCharType="separate"/>
                    </w:r>
                    <w:r w:rsidR="00F400C4">
                      <w:rPr>
                        <w:b/>
                        <w:bCs/>
                      </w:rPr>
                      <w:t>2</w:t>
                    </w:r>
                    <w:r w:rsidR="00F400C4" w:rsidRPr="00BE6229">
                      <w:rPr>
                        <w:b/>
                        <w:bCs/>
                      </w:rPr>
                      <w:fldChar w:fldCharType="end"/>
                    </w:r>
                  </w:p>
                  <w:p w14:paraId="64446165" w14:textId="77777777" w:rsidR="00F400C4" w:rsidRPr="00BC4006" w:rsidRDefault="00F400C4" w:rsidP="00F400C4">
                    <w:pPr>
                      <w:pStyle w:val="zFooter"/>
                    </w:pPr>
                  </w:p>
                  <w:p w14:paraId="3902E5CB" w14:textId="11AA387A" w:rsidR="002A70D9" w:rsidRPr="00BC4006" w:rsidRDefault="002A70D9" w:rsidP="00BC4006">
                    <w:pPr>
                      <w:pStyle w:val="zFoo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F64A" w14:textId="77777777" w:rsidR="00F13963" w:rsidRDefault="00F13963" w:rsidP="000222B2">
      <w:r>
        <w:separator/>
      </w:r>
    </w:p>
  </w:footnote>
  <w:footnote w:type="continuationSeparator" w:id="0">
    <w:p w14:paraId="202AEF6C" w14:textId="77777777" w:rsidR="00F13963" w:rsidRDefault="00F13963" w:rsidP="000222B2">
      <w:r>
        <w:continuationSeparator/>
      </w:r>
    </w:p>
    <w:p w14:paraId="2A2FC872" w14:textId="77777777" w:rsidR="00F13963" w:rsidRDefault="00F13963" w:rsidP="000222B2"/>
    <w:p w14:paraId="06297876" w14:textId="77777777" w:rsidR="00F13963" w:rsidRDefault="00F13963" w:rsidP="000222B2"/>
    <w:p w14:paraId="7FFEFF6F" w14:textId="77777777" w:rsidR="00F13963" w:rsidRDefault="00F13963" w:rsidP="000222B2"/>
    <w:p w14:paraId="749A4AD8" w14:textId="77777777" w:rsidR="00F13963" w:rsidRDefault="00F13963" w:rsidP="000222B2"/>
    <w:p w14:paraId="5E3634AE" w14:textId="77777777" w:rsidR="00F13963" w:rsidRDefault="00F13963" w:rsidP="000222B2"/>
  </w:footnote>
  <w:footnote w:type="continuationNotice" w:id="1">
    <w:p w14:paraId="0C81014A" w14:textId="77777777" w:rsidR="00F13963" w:rsidRDefault="00F13963">
      <w:pPr>
        <w:spacing w:after="0"/>
      </w:pPr>
    </w:p>
  </w:footnote>
  <w:footnote w:id="2">
    <w:p w14:paraId="6E305839" w14:textId="612824E2" w:rsidR="0041230B" w:rsidRPr="0041230B" w:rsidRDefault="0041230B">
      <w:pPr>
        <w:pStyle w:val="Fotnotstext"/>
        <w:rPr>
          <w:rFonts w:ascii="Gotham Book" w:hAnsi="Gotham Book"/>
          <w:sz w:val="16"/>
          <w:szCs w:val="16"/>
          <w:lang w:val="en-US"/>
        </w:rPr>
      </w:pPr>
      <w:r>
        <w:rPr>
          <w:rStyle w:val="Fotnotsreferens"/>
        </w:rPr>
        <w:footnoteRef/>
      </w:r>
      <w:r w:rsidRPr="0041230B">
        <w:rPr>
          <w:lang w:val="en-US"/>
        </w:rPr>
        <w:t xml:space="preserve"> </w:t>
      </w:r>
      <w:r w:rsidRPr="0041230B">
        <w:rPr>
          <w:rFonts w:ascii="Gotham Book" w:hAnsi="Gotham Book"/>
          <w:i/>
          <w:iCs/>
          <w:sz w:val="16"/>
          <w:szCs w:val="16"/>
          <w:lang w:val="en-US"/>
        </w:rPr>
        <w:t>Throughout the Model Rules, Revenues is a defined term and refers to revenue derived from third parties. Revenues means the Total Revenues of a Group after the exclusion of Revenues derived from exclusions of Extractive and Regulated Financial Services. “Total Revenues” means the Revenues reported in the Consolidated Financial Statements of a Group prepared in accordance with an Acceptable Financial Accounting Standard, after applying the agreed adjustments to the tax base, as relevant.</w:t>
      </w:r>
    </w:p>
  </w:footnote>
  <w:footnote w:id="3">
    <w:p w14:paraId="1F650F34" w14:textId="77777777" w:rsidR="00290E3B" w:rsidRPr="00290E3B" w:rsidRDefault="00290E3B" w:rsidP="00290E3B">
      <w:pPr>
        <w:pStyle w:val="Fotnotstext"/>
        <w:rPr>
          <w:rFonts w:ascii="Gotham Book" w:hAnsi="Gotham Book"/>
          <w:sz w:val="16"/>
          <w:szCs w:val="16"/>
          <w:lang w:val="en-US"/>
        </w:rPr>
      </w:pPr>
      <w:r>
        <w:rPr>
          <w:rStyle w:val="Fotnotsreferens"/>
        </w:rPr>
        <w:footnoteRef/>
      </w:r>
      <w:r w:rsidRPr="00290E3B">
        <w:rPr>
          <w:lang w:val="en-US"/>
        </w:rPr>
        <w:t xml:space="preserve"> </w:t>
      </w:r>
      <w:r w:rsidRPr="00290E3B">
        <w:rPr>
          <w:rFonts w:ascii="Gotham Book" w:hAnsi="Gotham Book"/>
          <w:sz w:val="16"/>
          <w:szCs w:val="16"/>
          <w:lang w:val="en-US"/>
        </w:rPr>
        <w:t>The nexus threshold will be EUR 1 million for jurisdictions with annual GDP equal to or greater than EUR 40 billion</w:t>
      </w:r>
    </w:p>
    <w:p w14:paraId="0304F4F8" w14:textId="77777777"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lang w:val="en-US"/>
        </w:rPr>
        <w:t>and EUR 250 thousand for jurisdictions with annual GDP of less than EUR 40 billion. The revenue threshold is currently</w:t>
      </w:r>
    </w:p>
    <w:p w14:paraId="70366E9C" w14:textId="77777777"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lang w:val="en-US"/>
        </w:rPr>
        <w:t>denominated in a single currency in line with the October Statement. This raises a number of coordination issues</w:t>
      </w:r>
    </w:p>
    <w:p w14:paraId="733E506E" w14:textId="77777777"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lang w:val="en-US"/>
        </w:rPr>
        <w:t>related to currency fluctuations which will need to be discussed for the development of the MLC. The suggestion is</w:t>
      </w:r>
    </w:p>
    <w:p w14:paraId="38A0832C" w14:textId="77777777"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lang w:val="en-US"/>
        </w:rPr>
        <w:t>therefore to use bracketed language in the Model Rules until an approach is agreed under the MLC, noting that for</w:t>
      </w:r>
    </w:p>
    <w:p w14:paraId="00D50887" w14:textId="77777777"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lang w:val="en-US"/>
        </w:rPr>
        <w:t>domestic legislation a re-basing mechanism is likely to be required for jurisdictions that would denominate the threshold</w:t>
      </w:r>
    </w:p>
    <w:p w14:paraId="602FF42F" w14:textId="07B4D8D8" w:rsidR="00290E3B" w:rsidRPr="00290E3B" w:rsidRDefault="00290E3B" w:rsidP="00290E3B">
      <w:pPr>
        <w:pStyle w:val="Fotnotstext"/>
        <w:rPr>
          <w:rFonts w:ascii="Gotham Book" w:hAnsi="Gotham Book"/>
          <w:sz w:val="16"/>
          <w:szCs w:val="16"/>
          <w:lang w:val="en-US"/>
        </w:rPr>
      </w:pPr>
      <w:r w:rsidRPr="00290E3B">
        <w:rPr>
          <w:rFonts w:ascii="Gotham Book" w:hAnsi="Gotham Book"/>
          <w:sz w:val="16"/>
          <w:szCs w:val="16"/>
        </w:rPr>
        <w:t>in another currency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4CB0" w14:textId="77777777" w:rsidR="00155E25" w:rsidRDefault="00155E25" w:rsidP="000222B2">
    <w:pPr>
      <w:pStyle w:val="Sidhuvud"/>
    </w:pPr>
  </w:p>
  <w:p w14:paraId="13057920" w14:textId="77777777" w:rsidR="004D071C" w:rsidRDefault="004D071C" w:rsidP="000222B2"/>
  <w:p w14:paraId="3F6D16AE" w14:textId="77777777" w:rsidR="004D071C" w:rsidRDefault="004D071C" w:rsidP="000222B2"/>
  <w:p w14:paraId="6BCA64DF" w14:textId="77777777" w:rsidR="004D071C" w:rsidRDefault="004D071C" w:rsidP="000222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990D" w14:textId="44775268" w:rsidR="00833DE3" w:rsidRDefault="00833DE3" w:rsidP="00833DE3"/>
  <w:p w14:paraId="753F4181" w14:textId="30A13B1F" w:rsidR="00833DE3" w:rsidRDefault="00736581" w:rsidP="00833DE3">
    <w:r w:rsidRPr="00C2349C">
      <w:rPr>
        <w:noProof/>
      </w:rPr>
      <mc:AlternateContent>
        <mc:Choice Requires="wps">
          <w:drawing>
            <wp:anchor distT="0" distB="0" distL="114300" distR="114300" simplePos="0" relativeHeight="251658243" behindDoc="0" locked="0" layoutInCell="1" allowOverlap="1" wp14:anchorId="0D3F5730" wp14:editId="06BA7384">
              <wp:simplePos x="0" y="0"/>
              <wp:positionH relativeFrom="column">
                <wp:posOffset>-463550</wp:posOffset>
              </wp:positionH>
              <wp:positionV relativeFrom="paragraph">
                <wp:posOffset>97155</wp:posOffset>
              </wp:positionV>
              <wp:extent cx="4288790" cy="75057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288790" cy="750570"/>
                      </a:xfrm>
                      <a:prstGeom prst="rect">
                        <a:avLst/>
                      </a:prstGeom>
                      <a:noFill/>
                      <a:ln w="6350">
                        <a:noFill/>
                      </a:ln>
                    </wps:spPr>
                    <wps:txbx>
                      <w:txbxContent>
                        <w:p w14:paraId="73D08350" w14:textId="67D05283" w:rsidR="00C2349C" w:rsidRPr="00732DD0" w:rsidRDefault="00736581" w:rsidP="00C2349C">
                          <w:pPr>
                            <w:pStyle w:val="zBandoTITLE"/>
                            <w:spacing w:after="0"/>
                            <w:rPr>
                              <w:sz w:val="40"/>
                              <w:szCs w:val="40"/>
                            </w:rPr>
                          </w:pPr>
                          <w:r>
                            <w:rPr>
                              <w:sz w:val="40"/>
                              <w:szCs w:val="40"/>
                            </w:rPr>
                            <w:t xml:space="preserve">ICC </w:t>
                          </w:r>
                          <w:r w:rsidR="00EB3B8C">
                            <w:rPr>
                              <w:sz w:val="40"/>
                              <w:szCs w:val="40"/>
                            </w:rPr>
                            <w:t xml:space="preserve">Global Taxation </w:t>
                          </w:r>
                          <w:r>
                            <w:rPr>
                              <w:sz w:val="40"/>
                              <w:szCs w:val="40"/>
                            </w:rPr>
                            <w:t>Commission</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F5730" id="_x0000_t202" coordsize="21600,21600" o:spt="202" path="m,l,21600r21600,l21600,xe">
              <v:stroke joinstyle="miter"/>
              <v:path gradientshapeok="t" o:connecttype="rect"/>
            </v:shapetype>
            <v:shape id="Zone de texte 4" o:spid="_x0000_s1027" type="#_x0000_t202" style="position:absolute;margin-left:-36.5pt;margin-top:7.65pt;width:337.7pt;height:5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" filled="f" stroked="f" strokeweight=".5pt">
              <v:textbox inset="0">
                <w:txbxContent>
                  <w:p w14:paraId="73D08350" w14:textId="67D05283" w:rsidR="00C2349C" w:rsidRPr="00732DD0" w:rsidRDefault="00736581" w:rsidP="00C2349C">
                    <w:pPr>
                      <w:pStyle w:val="zBandoTITLE"/>
                      <w:spacing w:after="0"/>
                      <w:rPr>
                        <w:sz w:val="40"/>
                        <w:szCs w:val="40"/>
                      </w:rPr>
                    </w:pPr>
                    <w:r>
                      <w:rPr>
                        <w:sz w:val="40"/>
                        <w:szCs w:val="40"/>
                      </w:rPr>
                      <w:t xml:space="preserve">ICC </w:t>
                    </w:r>
                    <w:r w:rsidR="00EB3B8C">
                      <w:rPr>
                        <w:sz w:val="40"/>
                        <w:szCs w:val="40"/>
                      </w:rPr>
                      <w:t xml:space="preserve">Global Taxation </w:t>
                    </w:r>
                    <w:r>
                      <w:rPr>
                        <w:sz w:val="40"/>
                        <w:szCs w:val="40"/>
                      </w:rPr>
                      <w:t>Commission</w:t>
                    </w:r>
                  </w:p>
                </w:txbxContent>
              </v:textbox>
            </v:shape>
          </w:pict>
        </mc:Fallback>
      </mc:AlternateContent>
    </w:r>
  </w:p>
  <w:p w14:paraId="7F4D735F" w14:textId="77777777" w:rsidR="00833DE3" w:rsidRDefault="00833DE3" w:rsidP="00833DE3"/>
  <w:p w14:paraId="6F2F63D7" w14:textId="77777777" w:rsidR="00833DE3" w:rsidRDefault="00833DE3" w:rsidP="00833DE3"/>
  <w:p w14:paraId="5544657A" w14:textId="77777777" w:rsidR="00833DE3" w:rsidRDefault="00833DE3" w:rsidP="00833DE3"/>
  <w:p w14:paraId="2764F49D" w14:textId="7A26577E" w:rsidR="00713BED" w:rsidRDefault="00C2349C" w:rsidP="00833DE3">
    <w:r w:rsidRPr="00C2349C">
      <w:rPr>
        <w:noProof/>
      </w:rPr>
      <w:drawing>
        <wp:anchor distT="0" distB="71755" distL="114300" distR="114300" simplePos="0" relativeHeight="251658242" behindDoc="1" locked="1" layoutInCell="1" allowOverlap="1" wp14:anchorId="58631821" wp14:editId="53C3CA3A">
          <wp:simplePos x="0" y="0"/>
          <wp:positionH relativeFrom="page">
            <wp:posOffset>-13970</wp:posOffset>
          </wp:positionH>
          <wp:positionV relativeFrom="page">
            <wp:posOffset>8890</wp:posOffset>
          </wp:positionV>
          <wp:extent cx="7565390" cy="1614805"/>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7565390" cy="1614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69"/>
    <w:multiLevelType w:val="hybridMultilevel"/>
    <w:tmpl w:val="DFDA4444"/>
    <w:lvl w:ilvl="0" w:tplc="849E0BB2">
      <w:start w:val="1"/>
      <w:numFmt w:val="bullet"/>
      <w:lvlText w:val="—"/>
      <w:lvlJc w:val="left"/>
      <w:pPr>
        <w:ind w:left="720" w:hanging="360"/>
      </w:pPr>
      <w:rPr>
        <w:rFonts w:ascii="Arial Black" w:hAnsi="Arial Black" w:hint="default"/>
        <w:color w:val="636569" w:themeColor="accent4"/>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04397"/>
    <w:multiLevelType w:val="hybridMultilevel"/>
    <w:tmpl w:val="71F2DD06"/>
    <w:lvl w:ilvl="0" w:tplc="B9F20378">
      <w:start w:val="1"/>
      <w:numFmt w:val="lowerRoman"/>
      <w:lvlText w:val="%1."/>
      <w:lvlJc w:val="right"/>
      <w:pPr>
        <w:ind w:left="720" w:hanging="360"/>
      </w:pPr>
    </w:lvl>
    <w:lvl w:ilvl="1" w:tplc="5086A1EC">
      <w:start w:val="1"/>
      <w:numFmt w:val="lowerLetter"/>
      <w:lvlText w:val="%2."/>
      <w:lvlJc w:val="left"/>
      <w:pPr>
        <w:ind w:left="1440" w:hanging="360"/>
      </w:pPr>
    </w:lvl>
    <w:lvl w:ilvl="2" w:tplc="45C880D6">
      <w:start w:val="1"/>
      <w:numFmt w:val="lowerRoman"/>
      <w:lvlText w:val="%3."/>
      <w:lvlJc w:val="right"/>
      <w:pPr>
        <w:ind w:left="2160" w:hanging="180"/>
      </w:pPr>
    </w:lvl>
    <w:lvl w:ilvl="3" w:tplc="F43AE71A">
      <w:start w:val="1"/>
      <w:numFmt w:val="decimal"/>
      <w:lvlText w:val="%4."/>
      <w:lvlJc w:val="left"/>
      <w:pPr>
        <w:ind w:left="2880" w:hanging="360"/>
      </w:pPr>
    </w:lvl>
    <w:lvl w:ilvl="4" w:tplc="73202944">
      <w:start w:val="1"/>
      <w:numFmt w:val="lowerLetter"/>
      <w:lvlText w:val="%5."/>
      <w:lvlJc w:val="left"/>
      <w:pPr>
        <w:ind w:left="3600" w:hanging="360"/>
      </w:pPr>
    </w:lvl>
    <w:lvl w:ilvl="5" w:tplc="76A64308">
      <w:start w:val="1"/>
      <w:numFmt w:val="lowerRoman"/>
      <w:lvlText w:val="%6."/>
      <w:lvlJc w:val="right"/>
      <w:pPr>
        <w:ind w:left="4320" w:hanging="180"/>
      </w:pPr>
    </w:lvl>
    <w:lvl w:ilvl="6" w:tplc="EEDC0ED0">
      <w:start w:val="1"/>
      <w:numFmt w:val="decimal"/>
      <w:lvlText w:val="%7."/>
      <w:lvlJc w:val="left"/>
      <w:pPr>
        <w:ind w:left="5040" w:hanging="360"/>
      </w:pPr>
    </w:lvl>
    <w:lvl w:ilvl="7" w:tplc="8E08708A">
      <w:start w:val="1"/>
      <w:numFmt w:val="lowerLetter"/>
      <w:lvlText w:val="%8."/>
      <w:lvlJc w:val="left"/>
      <w:pPr>
        <w:ind w:left="5760" w:hanging="360"/>
      </w:pPr>
    </w:lvl>
    <w:lvl w:ilvl="8" w:tplc="E3921766">
      <w:start w:val="1"/>
      <w:numFmt w:val="lowerRoman"/>
      <w:lvlText w:val="%9."/>
      <w:lvlJc w:val="right"/>
      <w:pPr>
        <w:ind w:left="6480" w:hanging="180"/>
      </w:pPr>
    </w:lvl>
  </w:abstractNum>
  <w:abstractNum w:abstractNumId="2" w15:restartNumberingAfterBreak="0">
    <w:nsid w:val="06F80BEF"/>
    <w:multiLevelType w:val="hybridMultilevel"/>
    <w:tmpl w:val="74A0BE3A"/>
    <w:lvl w:ilvl="0" w:tplc="F5FEA89A">
      <w:start w:val="1"/>
      <w:numFmt w:val="lowerLetter"/>
      <w:lvlText w:val="%1."/>
      <w:lvlJc w:val="left"/>
      <w:pPr>
        <w:ind w:left="1440" w:hanging="360"/>
      </w:pPr>
      <w:rPr>
        <w:rFonts w:ascii="Arial" w:hAnsi="Arial" w:hint="default"/>
        <w:b/>
        <w:i w:val="0"/>
        <w:color w:val="86BBE6"/>
        <w:sz w:val="22"/>
      </w:rPr>
    </w:lvl>
    <w:lvl w:ilvl="1" w:tplc="6EAE70CC">
      <w:start w:val="1"/>
      <w:numFmt w:val="bullet"/>
      <w:pStyle w:val="bullet3"/>
      <w:lvlText w:val=""/>
      <w:lvlJc w:val="left"/>
      <w:pPr>
        <w:ind w:left="2160" w:hanging="360"/>
      </w:pPr>
      <w:rPr>
        <w:rFonts w:ascii="Symbol" w:hAnsi="Symbol" w:hint="default"/>
        <w:b/>
        <w:i w:val="0"/>
        <w:color w:val="868686" w:themeColor="accent3"/>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822242D"/>
    <w:multiLevelType w:val="hybridMultilevel"/>
    <w:tmpl w:val="381E3F10"/>
    <w:lvl w:ilvl="0" w:tplc="40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D533A"/>
    <w:multiLevelType w:val="hybridMultilevel"/>
    <w:tmpl w:val="FFFFFFFF"/>
    <w:lvl w:ilvl="0" w:tplc="1D7C649E">
      <w:start w:val="1"/>
      <w:numFmt w:val="lowerRoman"/>
      <w:lvlText w:val="%1."/>
      <w:lvlJc w:val="right"/>
      <w:pPr>
        <w:ind w:left="720" w:hanging="360"/>
      </w:pPr>
    </w:lvl>
    <w:lvl w:ilvl="1" w:tplc="6F766486">
      <w:start w:val="1"/>
      <w:numFmt w:val="lowerLetter"/>
      <w:lvlText w:val="%2."/>
      <w:lvlJc w:val="left"/>
      <w:pPr>
        <w:ind w:left="1440" w:hanging="360"/>
      </w:pPr>
    </w:lvl>
    <w:lvl w:ilvl="2" w:tplc="EFCAD9A8">
      <w:start w:val="1"/>
      <w:numFmt w:val="lowerRoman"/>
      <w:lvlText w:val="%3."/>
      <w:lvlJc w:val="right"/>
      <w:pPr>
        <w:ind w:left="2160" w:hanging="180"/>
      </w:pPr>
    </w:lvl>
    <w:lvl w:ilvl="3" w:tplc="8F540462">
      <w:start w:val="1"/>
      <w:numFmt w:val="decimal"/>
      <w:lvlText w:val="%4."/>
      <w:lvlJc w:val="left"/>
      <w:pPr>
        <w:ind w:left="2880" w:hanging="360"/>
      </w:pPr>
    </w:lvl>
    <w:lvl w:ilvl="4" w:tplc="6B8AE9A6">
      <w:start w:val="1"/>
      <w:numFmt w:val="lowerLetter"/>
      <w:lvlText w:val="%5."/>
      <w:lvlJc w:val="left"/>
      <w:pPr>
        <w:ind w:left="3600" w:hanging="360"/>
      </w:pPr>
    </w:lvl>
    <w:lvl w:ilvl="5" w:tplc="28D4BE5A">
      <w:start w:val="1"/>
      <w:numFmt w:val="lowerRoman"/>
      <w:lvlText w:val="%6."/>
      <w:lvlJc w:val="right"/>
      <w:pPr>
        <w:ind w:left="4320" w:hanging="180"/>
      </w:pPr>
    </w:lvl>
    <w:lvl w:ilvl="6" w:tplc="2B1E7DC8">
      <w:start w:val="1"/>
      <w:numFmt w:val="decimal"/>
      <w:lvlText w:val="%7."/>
      <w:lvlJc w:val="left"/>
      <w:pPr>
        <w:ind w:left="5040" w:hanging="360"/>
      </w:pPr>
    </w:lvl>
    <w:lvl w:ilvl="7" w:tplc="D5C6AA32">
      <w:start w:val="1"/>
      <w:numFmt w:val="lowerLetter"/>
      <w:lvlText w:val="%8."/>
      <w:lvlJc w:val="left"/>
      <w:pPr>
        <w:ind w:left="5760" w:hanging="360"/>
      </w:pPr>
    </w:lvl>
    <w:lvl w:ilvl="8" w:tplc="AD367BCA">
      <w:start w:val="1"/>
      <w:numFmt w:val="lowerRoman"/>
      <w:lvlText w:val="%9."/>
      <w:lvlJc w:val="right"/>
      <w:pPr>
        <w:ind w:left="6480" w:hanging="180"/>
      </w:pPr>
    </w:lvl>
  </w:abstractNum>
  <w:abstractNum w:abstractNumId="5" w15:restartNumberingAfterBreak="0">
    <w:nsid w:val="0AC85DE7"/>
    <w:multiLevelType w:val="hybridMultilevel"/>
    <w:tmpl w:val="FFFFFFFF"/>
    <w:lvl w:ilvl="0" w:tplc="4348B302">
      <w:start w:val="1"/>
      <w:numFmt w:val="upperRoman"/>
      <w:lvlText w:val="%1."/>
      <w:lvlJc w:val="left"/>
      <w:pPr>
        <w:ind w:left="720" w:hanging="360"/>
      </w:pPr>
    </w:lvl>
    <w:lvl w:ilvl="1" w:tplc="EDD8227A">
      <w:start w:val="1"/>
      <w:numFmt w:val="lowerLetter"/>
      <w:lvlText w:val="%2."/>
      <w:lvlJc w:val="left"/>
      <w:pPr>
        <w:ind w:left="1440" w:hanging="360"/>
      </w:pPr>
    </w:lvl>
    <w:lvl w:ilvl="2" w:tplc="0B82E3B8">
      <w:start w:val="1"/>
      <w:numFmt w:val="lowerRoman"/>
      <w:lvlText w:val="%3."/>
      <w:lvlJc w:val="right"/>
      <w:pPr>
        <w:ind w:left="2160" w:hanging="180"/>
      </w:pPr>
    </w:lvl>
    <w:lvl w:ilvl="3" w:tplc="C0505348">
      <w:start w:val="1"/>
      <w:numFmt w:val="decimal"/>
      <w:lvlText w:val="%4."/>
      <w:lvlJc w:val="left"/>
      <w:pPr>
        <w:ind w:left="2880" w:hanging="360"/>
      </w:pPr>
    </w:lvl>
    <w:lvl w:ilvl="4" w:tplc="6A246520">
      <w:start w:val="1"/>
      <w:numFmt w:val="lowerLetter"/>
      <w:lvlText w:val="%5."/>
      <w:lvlJc w:val="left"/>
      <w:pPr>
        <w:ind w:left="3600" w:hanging="360"/>
      </w:pPr>
    </w:lvl>
    <w:lvl w:ilvl="5" w:tplc="08EA542C">
      <w:start w:val="1"/>
      <w:numFmt w:val="lowerRoman"/>
      <w:lvlText w:val="%6."/>
      <w:lvlJc w:val="right"/>
      <w:pPr>
        <w:ind w:left="4320" w:hanging="180"/>
      </w:pPr>
    </w:lvl>
    <w:lvl w:ilvl="6" w:tplc="899A8184">
      <w:start w:val="1"/>
      <w:numFmt w:val="decimal"/>
      <w:lvlText w:val="%7."/>
      <w:lvlJc w:val="left"/>
      <w:pPr>
        <w:ind w:left="5040" w:hanging="360"/>
      </w:pPr>
    </w:lvl>
    <w:lvl w:ilvl="7" w:tplc="2702DD74">
      <w:start w:val="1"/>
      <w:numFmt w:val="lowerLetter"/>
      <w:lvlText w:val="%8."/>
      <w:lvlJc w:val="left"/>
      <w:pPr>
        <w:ind w:left="5760" w:hanging="360"/>
      </w:pPr>
    </w:lvl>
    <w:lvl w:ilvl="8" w:tplc="31062E60">
      <w:start w:val="1"/>
      <w:numFmt w:val="lowerRoman"/>
      <w:lvlText w:val="%9."/>
      <w:lvlJc w:val="right"/>
      <w:pPr>
        <w:ind w:left="6480" w:hanging="180"/>
      </w:pPr>
    </w:lvl>
  </w:abstractNum>
  <w:abstractNum w:abstractNumId="6" w15:restartNumberingAfterBreak="0">
    <w:nsid w:val="0D5C3A85"/>
    <w:multiLevelType w:val="multilevel"/>
    <w:tmpl w:val="9C1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7786C"/>
    <w:multiLevelType w:val="hybridMultilevel"/>
    <w:tmpl w:val="BCBAB8E4"/>
    <w:lvl w:ilvl="0" w:tplc="020859C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8554BE"/>
    <w:multiLevelType w:val="hybridMultilevel"/>
    <w:tmpl w:val="6EE26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5F10AE"/>
    <w:multiLevelType w:val="hybridMultilevel"/>
    <w:tmpl w:val="32960302"/>
    <w:lvl w:ilvl="0" w:tplc="E488E6E6">
      <w:start w:val="1"/>
      <w:numFmt w:val="bullet"/>
      <w:pStyle w:val="1BulletTitle"/>
      <w:lvlText w:val=""/>
      <w:lvlJc w:val="left"/>
      <w:pPr>
        <w:ind w:left="360" w:hanging="360"/>
      </w:pPr>
      <w:rPr>
        <w:rFonts w:ascii="Symbol" w:hAnsi="Symbol" w:hint="default"/>
        <w:b/>
        <w:i w:val="0"/>
        <w:color w:val="0063A7" w:themeColor="text1"/>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1080" w:hanging="360"/>
      </w:pPr>
      <w:rPr>
        <w:rFonts w:ascii="Symbol" w:hAnsi="Symbol" w:hint="default"/>
      </w:rPr>
    </w:lvl>
    <w:lvl w:ilvl="4" w:tplc="040C0003" w:tentative="1">
      <w:start w:val="1"/>
      <w:numFmt w:val="bullet"/>
      <w:lvlText w:val="o"/>
      <w:lvlJc w:val="left"/>
      <w:pPr>
        <w:ind w:left="180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3240" w:hanging="360"/>
      </w:pPr>
      <w:rPr>
        <w:rFonts w:ascii="Symbol" w:hAnsi="Symbol" w:hint="default"/>
      </w:rPr>
    </w:lvl>
    <w:lvl w:ilvl="7" w:tplc="040C0003" w:tentative="1">
      <w:start w:val="1"/>
      <w:numFmt w:val="bullet"/>
      <w:lvlText w:val="o"/>
      <w:lvlJc w:val="left"/>
      <w:pPr>
        <w:ind w:left="3960" w:hanging="360"/>
      </w:pPr>
      <w:rPr>
        <w:rFonts w:ascii="Courier New" w:hAnsi="Courier New" w:cs="Courier New" w:hint="default"/>
      </w:rPr>
    </w:lvl>
    <w:lvl w:ilvl="8" w:tplc="040C0005" w:tentative="1">
      <w:start w:val="1"/>
      <w:numFmt w:val="bullet"/>
      <w:lvlText w:val=""/>
      <w:lvlJc w:val="left"/>
      <w:pPr>
        <w:ind w:left="4680" w:hanging="360"/>
      </w:pPr>
      <w:rPr>
        <w:rFonts w:ascii="Wingdings" w:hAnsi="Wingdings" w:hint="default"/>
      </w:rPr>
    </w:lvl>
  </w:abstractNum>
  <w:abstractNum w:abstractNumId="10" w15:restartNumberingAfterBreak="0">
    <w:nsid w:val="1D8702F1"/>
    <w:multiLevelType w:val="multilevel"/>
    <w:tmpl w:val="119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06B1D"/>
    <w:multiLevelType w:val="hybridMultilevel"/>
    <w:tmpl w:val="FFFFFFFF"/>
    <w:lvl w:ilvl="0" w:tplc="070EF25C">
      <w:start w:val="1"/>
      <w:numFmt w:val="lowerRoman"/>
      <w:lvlText w:val="%1."/>
      <w:lvlJc w:val="right"/>
      <w:pPr>
        <w:ind w:left="720" w:hanging="360"/>
      </w:pPr>
    </w:lvl>
    <w:lvl w:ilvl="1" w:tplc="624680B2">
      <w:start w:val="1"/>
      <w:numFmt w:val="lowerLetter"/>
      <w:lvlText w:val="%2."/>
      <w:lvlJc w:val="left"/>
      <w:pPr>
        <w:ind w:left="1440" w:hanging="360"/>
      </w:pPr>
    </w:lvl>
    <w:lvl w:ilvl="2" w:tplc="B770F97E">
      <w:start w:val="1"/>
      <w:numFmt w:val="lowerRoman"/>
      <w:lvlText w:val="%3."/>
      <w:lvlJc w:val="right"/>
      <w:pPr>
        <w:ind w:left="2160" w:hanging="180"/>
      </w:pPr>
    </w:lvl>
    <w:lvl w:ilvl="3" w:tplc="02164446">
      <w:start w:val="1"/>
      <w:numFmt w:val="decimal"/>
      <w:lvlText w:val="%4."/>
      <w:lvlJc w:val="left"/>
      <w:pPr>
        <w:ind w:left="2880" w:hanging="360"/>
      </w:pPr>
    </w:lvl>
    <w:lvl w:ilvl="4" w:tplc="C3484518">
      <w:start w:val="1"/>
      <w:numFmt w:val="lowerLetter"/>
      <w:lvlText w:val="%5."/>
      <w:lvlJc w:val="left"/>
      <w:pPr>
        <w:ind w:left="3600" w:hanging="360"/>
      </w:pPr>
    </w:lvl>
    <w:lvl w:ilvl="5" w:tplc="17488DDC">
      <w:start w:val="1"/>
      <w:numFmt w:val="lowerRoman"/>
      <w:lvlText w:val="%6."/>
      <w:lvlJc w:val="right"/>
      <w:pPr>
        <w:ind w:left="4320" w:hanging="180"/>
      </w:pPr>
    </w:lvl>
    <w:lvl w:ilvl="6" w:tplc="DAC2FFE0">
      <w:start w:val="1"/>
      <w:numFmt w:val="decimal"/>
      <w:lvlText w:val="%7."/>
      <w:lvlJc w:val="left"/>
      <w:pPr>
        <w:ind w:left="5040" w:hanging="360"/>
      </w:pPr>
    </w:lvl>
    <w:lvl w:ilvl="7" w:tplc="D1A0726E">
      <w:start w:val="1"/>
      <w:numFmt w:val="lowerLetter"/>
      <w:lvlText w:val="%8."/>
      <w:lvlJc w:val="left"/>
      <w:pPr>
        <w:ind w:left="5760" w:hanging="360"/>
      </w:pPr>
    </w:lvl>
    <w:lvl w:ilvl="8" w:tplc="4C6AE058">
      <w:start w:val="1"/>
      <w:numFmt w:val="lowerRoman"/>
      <w:lvlText w:val="%9."/>
      <w:lvlJc w:val="right"/>
      <w:pPr>
        <w:ind w:left="6480" w:hanging="180"/>
      </w:pPr>
    </w:lvl>
  </w:abstractNum>
  <w:abstractNum w:abstractNumId="12" w15:restartNumberingAfterBreak="0">
    <w:nsid w:val="28CE2291"/>
    <w:multiLevelType w:val="hybridMultilevel"/>
    <w:tmpl w:val="FFFFFFFF"/>
    <w:lvl w:ilvl="0" w:tplc="C08C775A">
      <w:start w:val="1"/>
      <w:numFmt w:val="lowerRoman"/>
      <w:lvlText w:val="%1."/>
      <w:lvlJc w:val="right"/>
      <w:pPr>
        <w:ind w:left="720" w:hanging="360"/>
      </w:pPr>
    </w:lvl>
    <w:lvl w:ilvl="1" w:tplc="1798999C">
      <w:start w:val="1"/>
      <w:numFmt w:val="lowerLetter"/>
      <w:lvlText w:val="%2."/>
      <w:lvlJc w:val="left"/>
      <w:pPr>
        <w:ind w:left="1440" w:hanging="360"/>
      </w:pPr>
    </w:lvl>
    <w:lvl w:ilvl="2" w:tplc="9A8EE10E">
      <w:start w:val="1"/>
      <w:numFmt w:val="lowerRoman"/>
      <w:lvlText w:val="%3."/>
      <w:lvlJc w:val="right"/>
      <w:pPr>
        <w:ind w:left="2160" w:hanging="180"/>
      </w:pPr>
    </w:lvl>
    <w:lvl w:ilvl="3" w:tplc="84EE32D0">
      <w:start w:val="1"/>
      <w:numFmt w:val="decimal"/>
      <w:lvlText w:val="%4."/>
      <w:lvlJc w:val="left"/>
      <w:pPr>
        <w:ind w:left="2880" w:hanging="360"/>
      </w:pPr>
    </w:lvl>
    <w:lvl w:ilvl="4" w:tplc="E0D0249E">
      <w:start w:val="1"/>
      <w:numFmt w:val="lowerLetter"/>
      <w:lvlText w:val="%5."/>
      <w:lvlJc w:val="left"/>
      <w:pPr>
        <w:ind w:left="3600" w:hanging="360"/>
      </w:pPr>
    </w:lvl>
    <w:lvl w:ilvl="5" w:tplc="1556CC64">
      <w:start w:val="1"/>
      <w:numFmt w:val="lowerRoman"/>
      <w:lvlText w:val="%6."/>
      <w:lvlJc w:val="right"/>
      <w:pPr>
        <w:ind w:left="4320" w:hanging="180"/>
      </w:pPr>
    </w:lvl>
    <w:lvl w:ilvl="6" w:tplc="91FE39DC">
      <w:start w:val="1"/>
      <w:numFmt w:val="decimal"/>
      <w:lvlText w:val="%7."/>
      <w:lvlJc w:val="left"/>
      <w:pPr>
        <w:ind w:left="5040" w:hanging="360"/>
      </w:pPr>
    </w:lvl>
    <w:lvl w:ilvl="7" w:tplc="1292B36E">
      <w:start w:val="1"/>
      <w:numFmt w:val="lowerLetter"/>
      <w:lvlText w:val="%8."/>
      <w:lvlJc w:val="left"/>
      <w:pPr>
        <w:ind w:left="5760" w:hanging="360"/>
      </w:pPr>
    </w:lvl>
    <w:lvl w:ilvl="8" w:tplc="2F80B28E">
      <w:start w:val="1"/>
      <w:numFmt w:val="lowerRoman"/>
      <w:lvlText w:val="%9."/>
      <w:lvlJc w:val="right"/>
      <w:pPr>
        <w:ind w:left="6480" w:hanging="180"/>
      </w:pPr>
    </w:lvl>
  </w:abstractNum>
  <w:abstractNum w:abstractNumId="13" w15:restartNumberingAfterBreak="0">
    <w:nsid w:val="2BD551E9"/>
    <w:multiLevelType w:val="hybridMultilevel"/>
    <w:tmpl w:val="FFFFFFFF"/>
    <w:lvl w:ilvl="0" w:tplc="52783EDA">
      <w:start w:val="1"/>
      <w:numFmt w:val="decimal"/>
      <w:lvlText w:val="%1."/>
      <w:lvlJc w:val="left"/>
      <w:pPr>
        <w:ind w:left="720" w:hanging="360"/>
      </w:pPr>
    </w:lvl>
    <w:lvl w:ilvl="1" w:tplc="8E12EEA0">
      <w:start w:val="1"/>
      <w:numFmt w:val="lowerLetter"/>
      <w:lvlText w:val="%2."/>
      <w:lvlJc w:val="left"/>
      <w:pPr>
        <w:ind w:left="1440" w:hanging="360"/>
      </w:pPr>
    </w:lvl>
    <w:lvl w:ilvl="2" w:tplc="17AEDF48">
      <w:start w:val="1"/>
      <w:numFmt w:val="lowerRoman"/>
      <w:lvlText w:val="%3."/>
      <w:lvlJc w:val="right"/>
      <w:pPr>
        <w:ind w:left="2160" w:hanging="180"/>
      </w:pPr>
    </w:lvl>
    <w:lvl w:ilvl="3" w:tplc="80801CD2">
      <w:start w:val="1"/>
      <w:numFmt w:val="decimal"/>
      <w:lvlText w:val="%4."/>
      <w:lvlJc w:val="left"/>
      <w:pPr>
        <w:ind w:left="2880" w:hanging="360"/>
      </w:pPr>
    </w:lvl>
    <w:lvl w:ilvl="4" w:tplc="F0CEAC36">
      <w:start w:val="1"/>
      <w:numFmt w:val="lowerLetter"/>
      <w:lvlText w:val="%5."/>
      <w:lvlJc w:val="left"/>
      <w:pPr>
        <w:ind w:left="3600" w:hanging="360"/>
      </w:pPr>
    </w:lvl>
    <w:lvl w:ilvl="5" w:tplc="3F68C4A2">
      <w:start w:val="1"/>
      <w:numFmt w:val="lowerRoman"/>
      <w:lvlText w:val="%6."/>
      <w:lvlJc w:val="right"/>
      <w:pPr>
        <w:ind w:left="4320" w:hanging="180"/>
      </w:pPr>
    </w:lvl>
    <w:lvl w:ilvl="6" w:tplc="2280D2BE">
      <w:start w:val="1"/>
      <w:numFmt w:val="decimal"/>
      <w:lvlText w:val="%7."/>
      <w:lvlJc w:val="left"/>
      <w:pPr>
        <w:ind w:left="5040" w:hanging="360"/>
      </w:pPr>
    </w:lvl>
    <w:lvl w:ilvl="7" w:tplc="49349E94">
      <w:start w:val="1"/>
      <w:numFmt w:val="lowerLetter"/>
      <w:lvlText w:val="%8."/>
      <w:lvlJc w:val="left"/>
      <w:pPr>
        <w:ind w:left="5760" w:hanging="360"/>
      </w:pPr>
    </w:lvl>
    <w:lvl w:ilvl="8" w:tplc="0BAC129E">
      <w:start w:val="1"/>
      <w:numFmt w:val="lowerRoman"/>
      <w:lvlText w:val="%9."/>
      <w:lvlJc w:val="right"/>
      <w:pPr>
        <w:ind w:left="6480" w:hanging="180"/>
      </w:pPr>
    </w:lvl>
  </w:abstractNum>
  <w:abstractNum w:abstractNumId="14" w15:restartNumberingAfterBreak="0">
    <w:nsid w:val="2E9A1200"/>
    <w:multiLevelType w:val="hybridMultilevel"/>
    <w:tmpl w:val="FFFFFFFF"/>
    <w:lvl w:ilvl="0" w:tplc="852EB5FA">
      <w:start w:val="1"/>
      <w:numFmt w:val="bullet"/>
      <w:lvlText w:val="-"/>
      <w:lvlJc w:val="left"/>
      <w:pPr>
        <w:ind w:left="720" w:hanging="360"/>
      </w:pPr>
      <w:rPr>
        <w:rFonts w:ascii="Calibri" w:hAnsi="Calibri" w:hint="default"/>
      </w:rPr>
    </w:lvl>
    <w:lvl w:ilvl="1" w:tplc="B82ADB52">
      <w:start w:val="1"/>
      <w:numFmt w:val="bullet"/>
      <w:lvlText w:val="o"/>
      <w:lvlJc w:val="left"/>
      <w:pPr>
        <w:ind w:left="1440" w:hanging="360"/>
      </w:pPr>
      <w:rPr>
        <w:rFonts w:ascii="Courier New" w:hAnsi="Courier New" w:hint="default"/>
      </w:rPr>
    </w:lvl>
    <w:lvl w:ilvl="2" w:tplc="7310A076">
      <w:start w:val="1"/>
      <w:numFmt w:val="bullet"/>
      <w:lvlText w:val=""/>
      <w:lvlJc w:val="left"/>
      <w:pPr>
        <w:ind w:left="2160" w:hanging="360"/>
      </w:pPr>
      <w:rPr>
        <w:rFonts w:ascii="Wingdings" w:hAnsi="Wingdings" w:hint="default"/>
      </w:rPr>
    </w:lvl>
    <w:lvl w:ilvl="3" w:tplc="52F60150">
      <w:start w:val="1"/>
      <w:numFmt w:val="bullet"/>
      <w:lvlText w:val=""/>
      <w:lvlJc w:val="left"/>
      <w:pPr>
        <w:ind w:left="2880" w:hanging="360"/>
      </w:pPr>
      <w:rPr>
        <w:rFonts w:ascii="Symbol" w:hAnsi="Symbol" w:hint="default"/>
      </w:rPr>
    </w:lvl>
    <w:lvl w:ilvl="4" w:tplc="CF160802">
      <w:start w:val="1"/>
      <w:numFmt w:val="bullet"/>
      <w:lvlText w:val="o"/>
      <w:lvlJc w:val="left"/>
      <w:pPr>
        <w:ind w:left="3600" w:hanging="360"/>
      </w:pPr>
      <w:rPr>
        <w:rFonts w:ascii="Courier New" w:hAnsi="Courier New" w:hint="default"/>
      </w:rPr>
    </w:lvl>
    <w:lvl w:ilvl="5" w:tplc="B4304012">
      <w:start w:val="1"/>
      <w:numFmt w:val="bullet"/>
      <w:lvlText w:val=""/>
      <w:lvlJc w:val="left"/>
      <w:pPr>
        <w:ind w:left="4320" w:hanging="360"/>
      </w:pPr>
      <w:rPr>
        <w:rFonts w:ascii="Wingdings" w:hAnsi="Wingdings" w:hint="default"/>
      </w:rPr>
    </w:lvl>
    <w:lvl w:ilvl="6" w:tplc="6D549EE2">
      <w:start w:val="1"/>
      <w:numFmt w:val="bullet"/>
      <w:lvlText w:val=""/>
      <w:lvlJc w:val="left"/>
      <w:pPr>
        <w:ind w:left="5040" w:hanging="360"/>
      </w:pPr>
      <w:rPr>
        <w:rFonts w:ascii="Symbol" w:hAnsi="Symbol" w:hint="default"/>
      </w:rPr>
    </w:lvl>
    <w:lvl w:ilvl="7" w:tplc="D068CF2E">
      <w:start w:val="1"/>
      <w:numFmt w:val="bullet"/>
      <w:lvlText w:val="o"/>
      <w:lvlJc w:val="left"/>
      <w:pPr>
        <w:ind w:left="5760" w:hanging="360"/>
      </w:pPr>
      <w:rPr>
        <w:rFonts w:ascii="Courier New" w:hAnsi="Courier New" w:hint="default"/>
      </w:rPr>
    </w:lvl>
    <w:lvl w:ilvl="8" w:tplc="91D88BDE">
      <w:start w:val="1"/>
      <w:numFmt w:val="bullet"/>
      <w:lvlText w:val=""/>
      <w:lvlJc w:val="left"/>
      <w:pPr>
        <w:ind w:left="6480" w:hanging="360"/>
      </w:pPr>
      <w:rPr>
        <w:rFonts w:ascii="Wingdings" w:hAnsi="Wingdings" w:hint="default"/>
      </w:rPr>
    </w:lvl>
  </w:abstractNum>
  <w:abstractNum w:abstractNumId="15" w15:restartNumberingAfterBreak="0">
    <w:nsid w:val="317A45AB"/>
    <w:multiLevelType w:val="hybridMultilevel"/>
    <w:tmpl w:val="F6EA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F2A8C"/>
    <w:multiLevelType w:val="hybridMultilevel"/>
    <w:tmpl w:val="FFFFFFFF"/>
    <w:lvl w:ilvl="0" w:tplc="077673BC">
      <w:start w:val="1"/>
      <w:numFmt w:val="lowerRoman"/>
      <w:lvlText w:val="%1."/>
      <w:lvlJc w:val="right"/>
      <w:pPr>
        <w:ind w:left="720" w:hanging="360"/>
      </w:pPr>
    </w:lvl>
    <w:lvl w:ilvl="1" w:tplc="67BE393E">
      <w:start w:val="1"/>
      <w:numFmt w:val="lowerLetter"/>
      <w:lvlText w:val="%2."/>
      <w:lvlJc w:val="left"/>
      <w:pPr>
        <w:ind w:left="1440" w:hanging="360"/>
      </w:pPr>
    </w:lvl>
    <w:lvl w:ilvl="2" w:tplc="6CE031F0">
      <w:start w:val="1"/>
      <w:numFmt w:val="lowerRoman"/>
      <w:lvlText w:val="%3."/>
      <w:lvlJc w:val="right"/>
      <w:pPr>
        <w:ind w:left="2160" w:hanging="180"/>
      </w:pPr>
    </w:lvl>
    <w:lvl w:ilvl="3" w:tplc="1384F290">
      <w:start w:val="1"/>
      <w:numFmt w:val="decimal"/>
      <w:lvlText w:val="%4."/>
      <w:lvlJc w:val="left"/>
      <w:pPr>
        <w:ind w:left="2880" w:hanging="360"/>
      </w:pPr>
    </w:lvl>
    <w:lvl w:ilvl="4" w:tplc="400A23D6">
      <w:start w:val="1"/>
      <w:numFmt w:val="lowerLetter"/>
      <w:lvlText w:val="%5."/>
      <w:lvlJc w:val="left"/>
      <w:pPr>
        <w:ind w:left="3600" w:hanging="360"/>
      </w:pPr>
    </w:lvl>
    <w:lvl w:ilvl="5" w:tplc="524A47E0">
      <w:start w:val="1"/>
      <w:numFmt w:val="lowerRoman"/>
      <w:lvlText w:val="%6."/>
      <w:lvlJc w:val="right"/>
      <w:pPr>
        <w:ind w:left="4320" w:hanging="180"/>
      </w:pPr>
    </w:lvl>
    <w:lvl w:ilvl="6" w:tplc="CE76400C">
      <w:start w:val="1"/>
      <w:numFmt w:val="decimal"/>
      <w:lvlText w:val="%7."/>
      <w:lvlJc w:val="left"/>
      <w:pPr>
        <w:ind w:left="5040" w:hanging="360"/>
      </w:pPr>
    </w:lvl>
    <w:lvl w:ilvl="7" w:tplc="7FFEBFA2">
      <w:start w:val="1"/>
      <w:numFmt w:val="lowerLetter"/>
      <w:lvlText w:val="%8."/>
      <w:lvlJc w:val="left"/>
      <w:pPr>
        <w:ind w:left="5760" w:hanging="360"/>
      </w:pPr>
    </w:lvl>
    <w:lvl w:ilvl="8" w:tplc="21CCF866">
      <w:start w:val="1"/>
      <w:numFmt w:val="lowerRoman"/>
      <w:lvlText w:val="%9."/>
      <w:lvlJc w:val="right"/>
      <w:pPr>
        <w:ind w:left="6480" w:hanging="180"/>
      </w:pPr>
    </w:lvl>
  </w:abstractNum>
  <w:abstractNum w:abstractNumId="17" w15:restartNumberingAfterBreak="0">
    <w:nsid w:val="3A7E3CCA"/>
    <w:multiLevelType w:val="hybridMultilevel"/>
    <w:tmpl w:val="72024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191A2A"/>
    <w:multiLevelType w:val="hybridMultilevel"/>
    <w:tmpl w:val="4DFC1D18"/>
    <w:lvl w:ilvl="0" w:tplc="993AE094">
      <w:start w:val="1"/>
      <w:numFmt w:val="bullet"/>
      <w:pStyle w:val="Bullet1"/>
      <w:lvlText w:val="—"/>
      <w:lvlJc w:val="left"/>
      <w:pPr>
        <w:ind w:left="720" w:hanging="360"/>
      </w:pPr>
      <w:rPr>
        <w:rFonts w:ascii="Arial Black" w:hAnsi="Arial Black" w:hint="default"/>
        <w:color w:val="86BAE5"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536AF8"/>
    <w:multiLevelType w:val="hybridMultilevel"/>
    <w:tmpl w:val="FFFFFFFF"/>
    <w:lvl w:ilvl="0" w:tplc="D7EE81F4">
      <w:start w:val="1"/>
      <w:numFmt w:val="lowerRoman"/>
      <w:lvlText w:val="%1."/>
      <w:lvlJc w:val="right"/>
      <w:pPr>
        <w:ind w:left="720" w:hanging="360"/>
      </w:pPr>
    </w:lvl>
    <w:lvl w:ilvl="1" w:tplc="0250334E">
      <w:start w:val="1"/>
      <w:numFmt w:val="lowerLetter"/>
      <w:lvlText w:val="%2."/>
      <w:lvlJc w:val="left"/>
      <w:pPr>
        <w:ind w:left="1440" w:hanging="360"/>
      </w:pPr>
    </w:lvl>
    <w:lvl w:ilvl="2" w:tplc="892E3654">
      <w:start w:val="1"/>
      <w:numFmt w:val="lowerRoman"/>
      <w:lvlText w:val="%3."/>
      <w:lvlJc w:val="right"/>
      <w:pPr>
        <w:ind w:left="2160" w:hanging="180"/>
      </w:pPr>
    </w:lvl>
    <w:lvl w:ilvl="3" w:tplc="B3A8DC0C">
      <w:start w:val="1"/>
      <w:numFmt w:val="decimal"/>
      <w:lvlText w:val="%4."/>
      <w:lvlJc w:val="left"/>
      <w:pPr>
        <w:ind w:left="2880" w:hanging="360"/>
      </w:pPr>
    </w:lvl>
    <w:lvl w:ilvl="4" w:tplc="55A40EB8">
      <w:start w:val="1"/>
      <w:numFmt w:val="lowerLetter"/>
      <w:lvlText w:val="%5."/>
      <w:lvlJc w:val="left"/>
      <w:pPr>
        <w:ind w:left="3600" w:hanging="360"/>
      </w:pPr>
    </w:lvl>
    <w:lvl w:ilvl="5" w:tplc="06A09F72">
      <w:start w:val="1"/>
      <w:numFmt w:val="lowerRoman"/>
      <w:lvlText w:val="%6."/>
      <w:lvlJc w:val="right"/>
      <w:pPr>
        <w:ind w:left="4320" w:hanging="180"/>
      </w:pPr>
    </w:lvl>
    <w:lvl w:ilvl="6" w:tplc="56AA1E42">
      <w:start w:val="1"/>
      <w:numFmt w:val="decimal"/>
      <w:lvlText w:val="%7."/>
      <w:lvlJc w:val="left"/>
      <w:pPr>
        <w:ind w:left="5040" w:hanging="360"/>
      </w:pPr>
    </w:lvl>
    <w:lvl w:ilvl="7" w:tplc="46D27132">
      <w:start w:val="1"/>
      <w:numFmt w:val="lowerLetter"/>
      <w:lvlText w:val="%8."/>
      <w:lvlJc w:val="left"/>
      <w:pPr>
        <w:ind w:left="5760" w:hanging="360"/>
      </w:pPr>
    </w:lvl>
    <w:lvl w:ilvl="8" w:tplc="ECCCEA30">
      <w:start w:val="1"/>
      <w:numFmt w:val="lowerRoman"/>
      <w:lvlText w:val="%9."/>
      <w:lvlJc w:val="right"/>
      <w:pPr>
        <w:ind w:left="6480" w:hanging="180"/>
      </w:pPr>
    </w:lvl>
  </w:abstractNum>
  <w:abstractNum w:abstractNumId="20" w15:restartNumberingAfterBreak="0">
    <w:nsid w:val="406A62A2"/>
    <w:multiLevelType w:val="hybridMultilevel"/>
    <w:tmpl w:val="EE9EA5CC"/>
    <w:lvl w:ilvl="0" w:tplc="FB48B046">
      <w:start w:val="1"/>
      <w:numFmt w:val="decimal"/>
      <w:pStyle w:val="Bullet123title"/>
      <w:lvlText w:val="%1."/>
      <w:lvlJc w:val="left"/>
      <w:pPr>
        <w:ind w:left="2062" w:hanging="360"/>
      </w:pPr>
      <w:rPr>
        <w:rFonts w:ascii="Arial" w:hAnsi="Arial" w:hint="default"/>
        <w:b/>
        <w:i w:val="0"/>
        <w:color w:val="0063A7" w:themeColor="text1"/>
      </w:rPr>
    </w:lvl>
    <w:lvl w:ilvl="1" w:tplc="040C0019">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1" w15:restartNumberingAfterBreak="0">
    <w:nsid w:val="43876533"/>
    <w:multiLevelType w:val="hybridMultilevel"/>
    <w:tmpl w:val="4F12FEF2"/>
    <w:lvl w:ilvl="0" w:tplc="147672BE">
      <w:start w:val="1"/>
      <w:numFmt w:val="upperRoman"/>
      <w:lvlText w:val="%1."/>
      <w:lvlJc w:val="left"/>
      <w:pPr>
        <w:ind w:left="720" w:hanging="360"/>
      </w:pPr>
    </w:lvl>
    <w:lvl w:ilvl="1" w:tplc="72E41928">
      <w:start w:val="1"/>
      <w:numFmt w:val="lowerLetter"/>
      <w:lvlText w:val="%2."/>
      <w:lvlJc w:val="left"/>
      <w:pPr>
        <w:ind w:left="1440" w:hanging="360"/>
      </w:pPr>
    </w:lvl>
    <w:lvl w:ilvl="2" w:tplc="8662C21E">
      <w:start w:val="1"/>
      <w:numFmt w:val="lowerRoman"/>
      <w:lvlText w:val="%3."/>
      <w:lvlJc w:val="right"/>
      <w:pPr>
        <w:ind w:left="2160" w:hanging="180"/>
      </w:pPr>
    </w:lvl>
    <w:lvl w:ilvl="3" w:tplc="AA0E6DBE">
      <w:start w:val="1"/>
      <w:numFmt w:val="decimal"/>
      <w:lvlText w:val="%4."/>
      <w:lvlJc w:val="left"/>
      <w:pPr>
        <w:ind w:left="2880" w:hanging="360"/>
      </w:pPr>
    </w:lvl>
    <w:lvl w:ilvl="4" w:tplc="6EC04856">
      <w:start w:val="1"/>
      <w:numFmt w:val="lowerLetter"/>
      <w:lvlText w:val="%5."/>
      <w:lvlJc w:val="left"/>
      <w:pPr>
        <w:ind w:left="3600" w:hanging="360"/>
      </w:pPr>
    </w:lvl>
    <w:lvl w:ilvl="5" w:tplc="9F0CFDFA">
      <w:start w:val="1"/>
      <w:numFmt w:val="lowerRoman"/>
      <w:lvlText w:val="%6."/>
      <w:lvlJc w:val="right"/>
      <w:pPr>
        <w:ind w:left="4320" w:hanging="180"/>
      </w:pPr>
    </w:lvl>
    <w:lvl w:ilvl="6" w:tplc="FFAE4346">
      <w:start w:val="1"/>
      <w:numFmt w:val="decimal"/>
      <w:lvlText w:val="%7."/>
      <w:lvlJc w:val="left"/>
      <w:pPr>
        <w:ind w:left="5040" w:hanging="360"/>
      </w:pPr>
    </w:lvl>
    <w:lvl w:ilvl="7" w:tplc="691E2176">
      <w:start w:val="1"/>
      <w:numFmt w:val="lowerLetter"/>
      <w:lvlText w:val="%8."/>
      <w:lvlJc w:val="left"/>
      <w:pPr>
        <w:ind w:left="5760" w:hanging="360"/>
      </w:pPr>
    </w:lvl>
    <w:lvl w:ilvl="8" w:tplc="FF1C9D44">
      <w:start w:val="1"/>
      <w:numFmt w:val="lowerRoman"/>
      <w:lvlText w:val="%9."/>
      <w:lvlJc w:val="right"/>
      <w:pPr>
        <w:ind w:left="6480" w:hanging="180"/>
      </w:pPr>
    </w:lvl>
  </w:abstractNum>
  <w:abstractNum w:abstractNumId="22" w15:restartNumberingAfterBreak="0">
    <w:nsid w:val="444A16C7"/>
    <w:multiLevelType w:val="hybridMultilevel"/>
    <w:tmpl w:val="FFFFFFFF"/>
    <w:lvl w:ilvl="0" w:tplc="F468EA88">
      <w:start w:val="1"/>
      <w:numFmt w:val="lowerRoman"/>
      <w:lvlText w:val="%1."/>
      <w:lvlJc w:val="right"/>
      <w:pPr>
        <w:ind w:left="720" w:hanging="360"/>
      </w:pPr>
    </w:lvl>
    <w:lvl w:ilvl="1" w:tplc="FCAA9A60">
      <w:start w:val="1"/>
      <w:numFmt w:val="lowerLetter"/>
      <w:lvlText w:val="%2."/>
      <w:lvlJc w:val="left"/>
      <w:pPr>
        <w:ind w:left="1440" w:hanging="360"/>
      </w:pPr>
    </w:lvl>
    <w:lvl w:ilvl="2" w:tplc="D05A9FB4">
      <w:start w:val="1"/>
      <w:numFmt w:val="lowerRoman"/>
      <w:lvlText w:val="%3."/>
      <w:lvlJc w:val="right"/>
      <w:pPr>
        <w:ind w:left="2160" w:hanging="180"/>
      </w:pPr>
    </w:lvl>
    <w:lvl w:ilvl="3" w:tplc="6088C264">
      <w:start w:val="1"/>
      <w:numFmt w:val="decimal"/>
      <w:lvlText w:val="%4."/>
      <w:lvlJc w:val="left"/>
      <w:pPr>
        <w:ind w:left="2880" w:hanging="360"/>
      </w:pPr>
    </w:lvl>
    <w:lvl w:ilvl="4" w:tplc="E8967C80">
      <w:start w:val="1"/>
      <w:numFmt w:val="lowerLetter"/>
      <w:lvlText w:val="%5."/>
      <w:lvlJc w:val="left"/>
      <w:pPr>
        <w:ind w:left="3600" w:hanging="360"/>
      </w:pPr>
    </w:lvl>
    <w:lvl w:ilvl="5" w:tplc="A8B84596">
      <w:start w:val="1"/>
      <w:numFmt w:val="lowerRoman"/>
      <w:lvlText w:val="%6."/>
      <w:lvlJc w:val="right"/>
      <w:pPr>
        <w:ind w:left="4320" w:hanging="180"/>
      </w:pPr>
    </w:lvl>
    <w:lvl w:ilvl="6" w:tplc="1AF0A856">
      <w:start w:val="1"/>
      <w:numFmt w:val="decimal"/>
      <w:lvlText w:val="%7."/>
      <w:lvlJc w:val="left"/>
      <w:pPr>
        <w:ind w:left="5040" w:hanging="360"/>
      </w:pPr>
    </w:lvl>
    <w:lvl w:ilvl="7" w:tplc="55449D82">
      <w:start w:val="1"/>
      <w:numFmt w:val="lowerLetter"/>
      <w:lvlText w:val="%8."/>
      <w:lvlJc w:val="left"/>
      <w:pPr>
        <w:ind w:left="5760" w:hanging="360"/>
      </w:pPr>
    </w:lvl>
    <w:lvl w:ilvl="8" w:tplc="17EC126A">
      <w:start w:val="1"/>
      <w:numFmt w:val="lowerRoman"/>
      <w:lvlText w:val="%9."/>
      <w:lvlJc w:val="right"/>
      <w:pPr>
        <w:ind w:left="6480" w:hanging="180"/>
      </w:pPr>
    </w:lvl>
  </w:abstractNum>
  <w:abstractNum w:abstractNumId="23" w15:restartNumberingAfterBreak="0">
    <w:nsid w:val="4525538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7DD306D"/>
    <w:multiLevelType w:val="hybridMultilevel"/>
    <w:tmpl w:val="F782E5DA"/>
    <w:lvl w:ilvl="0" w:tplc="77C2BB14">
      <w:start w:val="1"/>
      <w:numFmt w:val="decimal"/>
      <w:lvlText w:val="%1."/>
      <w:lvlJc w:val="left"/>
      <w:pPr>
        <w:ind w:left="720" w:hanging="360"/>
      </w:pPr>
    </w:lvl>
    <w:lvl w:ilvl="1" w:tplc="A022E9CC">
      <w:start w:val="1"/>
      <w:numFmt w:val="lowerLetter"/>
      <w:lvlText w:val="%2."/>
      <w:lvlJc w:val="left"/>
      <w:pPr>
        <w:ind w:left="1440" w:hanging="360"/>
      </w:pPr>
    </w:lvl>
    <w:lvl w:ilvl="2" w:tplc="DFECE4F2">
      <w:start w:val="1"/>
      <w:numFmt w:val="lowerRoman"/>
      <w:lvlText w:val="%3."/>
      <w:lvlJc w:val="right"/>
      <w:pPr>
        <w:ind w:left="2160" w:hanging="180"/>
      </w:pPr>
    </w:lvl>
    <w:lvl w:ilvl="3" w:tplc="CFD01678">
      <w:start w:val="1"/>
      <w:numFmt w:val="decimal"/>
      <w:lvlText w:val="%4."/>
      <w:lvlJc w:val="left"/>
      <w:pPr>
        <w:ind w:left="2880" w:hanging="360"/>
      </w:pPr>
    </w:lvl>
    <w:lvl w:ilvl="4" w:tplc="7CF0832A">
      <w:start w:val="1"/>
      <w:numFmt w:val="lowerLetter"/>
      <w:lvlText w:val="%5."/>
      <w:lvlJc w:val="left"/>
      <w:pPr>
        <w:ind w:left="3600" w:hanging="360"/>
      </w:pPr>
    </w:lvl>
    <w:lvl w:ilvl="5" w:tplc="715E9A5E">
      <w:start w:val="1"/>
      <w:numFmt w:val="lowerRoman"/>
      <w:lvlText w:val="%6."/>
      <w:lvlJc w:val="right"/>
      <w:pPr>
        <w:ind w:left="4320" w:hanging="180"/>
      </w:pPr>
    </w:lvl>
    <w:lvl w:ilvl="6" w:tplc="786C5446">
      <w:start w:val="1"/>
      <w:numFmt w:val="decimal"/>
      <w:lvlText w:val="%7."/>
      <w:lvlJc w:val="left"/>
      <w:pPr>
        <w:ind w:left="5040" w:hanging="360"/>
      </w:pPr>
    </w:lvl>
    <w:lvl w:ilvl="7" w:tplc="5F8014B2">
      <w:start w:val="1"/>
      <w:numFmt w:val="lowerLetter"/>
      <w:lvlText w:val="%8."/>
      <w:lvlJc w:val="left"/>
      <w:pPr>
        <w:ind w:left="5760" w:hanging="360"/>
      </w:pPr>
    </w:lvl>
    <w:lvl w:ilvl="8" w:tplc="62B42EB8">
      <w:start w:val="1"/>
      <w:numFmt w:val="lowerRoman"/>
      <w:lvlText w:val="%9."/>
      <w:lvlJc w:val="right"/>
      <w:pPr>
        <w:ind w:left="6480" w:hanging="180"/>
      </w:pPr>
    </w:lvl>
  </w:abstractNum>
  <w:abstractNum w:abstractNumId="25" w15:restartNumberingAfterBreak="0">
    <w:nsid w:val="49BB3CBC"/>
    <w:multiLevelType w:val="hybridMultilevel"/>
    <w:tmpl w:val="FFFFFFFF"/>
    <w:lvl w:ilvl="0" w:tplc="671ABD90">
      <w:start w:val="1"/>
      <w:numFmt w:val="upperRoman"/>
      <w:lvlText w:val="%1."/>
      <w:lvlJc w:val="left"/>
      <w:pPr>
        <w:ind w:left="720" w:hanging="360"/>
      </w:pPr>
    </w:lvl>
    <w:lvl w:ilvl="1" w:tplc="F196C8DC">
      <w:start w:val="1"/>
      <w:numFmt w:val="lowerLetter"/>
      <w:lvlText w:val="%2."/>
      <w:lvlJc w:val="left"/>
      <w:pPr>
        <w:ind w:left="1440" w:hanging="360"/>
      </w:pPr>
    </w:lvl>
    <w:lvl w:ilvl="2" w:tplc="5E9E6564">
      <w:start w:val="1"/>
      <w:numFmt w:val="lowerRoman"/>
      <w:lvlText w:val="%3."/>
      <w:lvlJc w:val="right"/>
      <w:pPr>
        <w:ind w:left="2160" w:hanging="180"/>
      </w:pPr>
    </w:lvl>
    <w:lvl w:ilvl="3" w:tplc="2FA67F0A">
      <w:start w:val="1"/>
      <w:numFmt w:val="decimal"/>
      <w:lvlText w:val="%4."/>
      <w:lvlJc w:val="left"/>
      <w:pPr>
        <w:ind w:left="2880" w:hanging="360"/>
      </w:pPr>
    </w:lvl>
    <w:lvl w:ilvl="4" w:tplc="424E1850">
      <w:start w:val="1"/>
      <w:numFmt w:val="lowerLetter"/>
      <w:lvlText w:val="%5."/>
      <w:lvlJc w:val="left"/>
      <w:pPr>
        <w:ind w:left="3600" w:hanging="360"/>
      </w:pPr>
    </w:lvl>
    <w:lvl w:ilvl="5" w:tplc="FCE474C0">
      <w:start w:val="1"/>
      <w:numFmt w:val="lowerRoman"/>
      <w:lvlText w:val="%6."/>
      <w:lvlJc w:val="right"/>
      <w:pPr>
        <w:ind w:left="4320" w:hanging="180"/>
      </w:pPr>
    </w:lvl>
    <w:lvl w:ilvl="6" w:tplc="81980934">
      <w:start w:val="1"/>
      <w:numFmt w:val="decimal"/>
      <w:lvlText w:val="%7."/>
      <w:lvlJc w:val="left"/>
      <w:pPr>
        <w:ind w:left="5040" w:hanging="360"/>
      </w:pPr>
    </w:lvl>
    <w:lvl w:ilvl="7" w:tplc="50066ABE">
      <w:start w:val="1"/>
      <w:numFmt w:val="lowerLetter"/>
      <w:lvlText w:val="%8."/>
      <w:lvlJc w:val="left"/>
      <w:pPr>
        <w:ind w:left="5760" w:hanging="360"/>
      </w:pPr>
    </w:lvl>
    <w:lvl w:ilvl="8" w:tplc="934C4958">
      <w:start w:val="1"/>
      <w:numFmt w:val="lowerRoman"/>
      <w:lvlText w:val="%9."/>
      <w:lvlJc w:val="right"/>
      <w:pPr>
        <w:ind w:left="6480" w:hanging="180"/>
      </w:pPr>
    </w:lvl>
  </w:abstractNum>
  <w:abstractNum w:abstractNumId="26" w15:restartNumberingAfterBreak="0">
    <w:nsid w:val="4B5C4E50"/>
    <w:multiLevelType w:val="hybridMultilevel"/>
    <w:tmpl w:val="40D226B8"/>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045DA9"/>
    <w:multiLevelType w:val="hybridMultilevel"/>
    <w:tmpl w:val="AD6EF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F6582"/>
    <w:multiLevelType w:val="hybridMultilevel"/>
    <w:tmpl w:val="5D922C3C"/>
    <w:lvl w:ilvl="0" w:tplc="3F368CB2">
      <w:start w:val="1"/>
      <w:numFmt w:val="lowerLetter"/>
      <w:pStyle w:val="Bulletabc"/>
      <w:lvlText w:val="%1."/>
      <w:lvlJc w:val="left"/>
      <w:pPr>
        <w:ind w:left="994" w:hanging="360"/>
      </w:pPr>
      <w:rPr>
        <w:rFonts w:ascii="Arial" w:hAnsi="Arial" w:hint="default"/>
        <w:b/>
        <w:i w:val="0"/>
        <w:color w:val="86BBE6"/>
        <w:sz w:val="22"/>
      </w:rPr>
    </w:lvl>
    <w:lvl w:ilvl="1" w:tplc="67FA7586">
      <w:start w:val="1"/>
      <w:numFmt w:val="bullet"/>
      <w:lvlText w:val=""/>
      <w:lvlJc w:val="left"/>
      <w:pPr>
        <w:ind w:left="1714" w:hanging="360"/>
      </w:pPr>
      <w:rPr>
        <w:rFonts w:ascii="Symbol" w:hAnsi="Symbol" w:hint="default"/>
        <w:b/>
        <w:i w:val="0"/>
        <w:color w:val="A5CF4F" w:themeColor="accent1"/>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29" w15:restartNumberingAfterBreak="0">
    <w:nsid w:val="57F46E78"/>
    <w:multiLevelType w:val="hybridMultilevel"/>
    <w:tmpl w:val="9A88BB00"/>
    <w:lvl w:ilvl="0" w:tplc="5D68C7F6">
      <w:start w:val="1"/>
      <w:numFmt w:val="lowerRoman"/>
      <w:lvlText w:val="%1."/>
      <w:lvlJc w:val="right"/>
      <w:pPr>
        <w:ind w:left="720" w:hanging="360"/>
      </w:pPr>
    </w:lvl>
    <w:lvl w:ilvl="1" w:tplc="C54EC38A">
      <w:start w:val="1"/>
      <w:numFmt w:val="lowerLetter"/>
      <w:lvlText w:val="%2."/>
      <w:lvlJc w:val="left"/>
      <w:pPr>
        <w:ind w:left="1440" w:hanging="360"/>
      </w:pPr>
    </w:lvl>
    <w:lvl w:ilvl="2" w:tplc="2E44718E">
      <w:start w:val="1"/>
      <w:numFmt w:val="lowerRoman"/>
      <w:lvlText w:val="%3."/>
      <w:lvlJc w:val="right"/>
      <w:pPr>
        <w:ind w:left="2160" w:hanging="180"/>
      </w:pPr>
    </w:lvl>
    <w:lvl w:ilvl="3" w:tplc="C63C8F4C">
      <w:start w:val="1"/>
      <w:numFmt w:val="decimal"/>
      <w:lvlText w:val="%4."/>
      <w:lvlJc w:val="left"/>
      <w:pPr>
        <w:ind w:left="2880" w:hanging="360"/>
      </w:pPr>
    </w:lvl>
    <w:lvl w:ilvl="4" w:tplc="D8B2BDCE">
      <w:start w:val="1"/>
      <w:numFmt w:val="lowerLetter"/>
      <w:lvlText w:val="%5."/>
      <w:lvlJc w:val="left"/>
      <w:pPr>
        <w:ind w:left="3600" w:hanging="360"/>
      </w:pPr>
    </w:lvl>
    <w:lvl w:ilvl="5" w:tplc="2F6E079C">
      <w:start w:val="1"/>
      <w:numFmt w:val="lowerRoman"/>
      <w:lvlText w:val="%6."/>
      <w:lvlJc w:val="right"/>
      <w:pPr>
        <w:ind w:left="4320" w:hanging="180"/>
      </w:pPr>
    </w:lvl>
    <w:lvl w:ilvl="6" w:tplc="3B3CC094">
      <w:start w:val="1"/>
      <w:numFmt w:val="decimal"/>
      <w:lvlText w:val="%7."/>
      <w:lvlJc w:val="left"/>
      <w:pPr>
        <w:ind w:left="5040" w:hanging="360"/>
      </w:pPr>
    </w:lvl>
    <w:lvl w:ilvl="7" w:tplc="914A5796">
      <w:start w:val="1"/>
      <w:numFmt w:val="lowerLetter"/>
      <w:lvlText w:val="%8."/>
      <w:lvlJc w:val="left"/>
      <w:pPr>
        <w:ind w:left="5760" w:hanging="360"/>
      </w:pPr>
    </w:lvl>
    <w:lvl w:ilvl="8" w:tplc="6F6847B8">
      <w:start w:val="1"/>
      <w:numFmt w:val="lowerRoman"/>
      <w:lvlText w:val="%9."/>
      <w:lvlJc w:val="right"/>
      <w:pPr>
        <w:ind w:left="6480" w:hanging="180"/>
      </w:pPr>
    </w:lvl>
  </w:abstractNum>
  <w:abstractNum w:abstractNumId="30" w15:restartNumberingAfterBreak="0">
    <w:nsid w:val="5BCB4DC1"/>
    <w:multiLevelType w:val="hybridMultilevel"/>
    <w:tmpl w:val="5B7E60DE"/>
    <w:lvl w:ilvl="0" w:tplc="F826508E">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EE53EA5"/>
    <w:multiLevelType w:val="hybridMultilevel"/>
    <w:tmpl w:val="FFFFFFFF"/>
    <w:lvl w:ilvl="0" w:tplc="FD1C9DEA">
      <w:start w:val="1"/>
      <w:numFmt w:val="decimal"/>
      <w:lvlText w:val="%1."/>
      <w:lvlJc w:val="left"/>
      <w:pPr>
        <w:ind w:left="720" w:hanging="360"/>
      </w:pPr>
    </w:lvl>
    <w:lvl w:ilvl="1" w:tplc="9740FE92">
      <w:start w:val="1"/>
      <w:numFmt w:val="lowerLetter"/>
      <w:lvlText w:val="%2."/>
      <w:lvlJc w:val="left"/>
      <w:pPr>
        <w:ind w:left="1440" w:hanging="360"/>
      </w:pPr>
    </w:lvl>
    <w:lvl w:ilvl="2" w:tplc="E426118E">
      <w:start w:val="1"/>
      <w:numFmt w:val="lowerRoman"/>
      <w:lvlText w:val="%3."/>
      <w:lvlJc w:val="right"/>
      <w:pPr>
        <w:ind w:left="2160" w:hanging="180"/>
      </w:pPr>
    </w:lvl>
    <w:lvl w:ilvl="3" w:tplc="D1EA78B2">
      <w:start w:val="1"/>
      <w:numFmt w:val="decimal"/>
      <w:lvlText w:val="%4."/>
      <w:lvlJc w:val="left"/>
      <w:pPr>
        <w:ind w:left="2880" w:hanging="360"/>
      </w:pPr>
    </w:lvl>
    <w:lvl w:ilvl="4" w:tplc="A8987418">
      <w:start w:val="1"/>
      <w:numFmt w:val="lowerLetter"/>
      <w:lvlText w:val="%5."/>
      <w:lvlJc w:val="left"/>
      <w:pPr>
        <w:ind w:left="3600" w:hanging="360"/>
      </w:pPr>
    </w:lvl>
    <w:lvl w:ilvl="5" w:tplc="3A5AD74A">
      <w:start w:val="1"/>
      <w:numFmt w:val="lowerRoman"/>
      <w:lvlText w:val="%6."/>
      <w:lvlJc w:val="right"/>
      <w:pPr>
        <w:ind w:left="4320" w:hanging="180"/>
      </w:pPr>
    </w:lvl>
    <w:lvl w:ilvl="6" w:tplc="C6A06568">
      <w:start w:val="1"/>
      <w:numFmt w:val="decimal"/>
      <w:lvlText w:val="%7."/>
      <w:lvlJc w:val="left"/>
      <w:pPr>
        <w:ind w:left="5040" w:hanging="360"/>
      </w:pPr>
    </w:lvl>
    <w:lvl w:ilvl="7" w:tplc="E0F6D896">
      <w:start w:val="1"/>
      <w:numFmt w:val="lowerLetter"/>
      <w:lvlText w:val="%8."/>
      <w:lvlJc w:val="left"/>
      <w:pPr>
        <w:ind w:left="5760" w:hanging="360"/>
      </w:pPr>
    </w:lvl>
    <w:lvl w:ilvl="8" w:tplc="98D6BBBC">
      <w:start w:val="1"/>
      <w:numFmt w:val="lowerRoman"/>
      <w:lvlText w:val="%9."/>
      <w:lvlJc w:val="right"/>
      <w:pPr>
        <w:ind w:left="6480" w:hanging="180"/>
      </w:pPr>
    </w:lvl>
  </w:abstractNum>
  <w:abstractNum w:abstractNumId="32" w15:restartNumberingAfterBreak="0">
    <w:nsid w:val="60712815"/>
    <w:multiLevelType w:val="hybridMultilevel"/>
    <w:tmpl w:val="691E1744"/>
    <w:lvl w:ilvl="0" w:tplc="FA8A0930">
      <w:start w:val="1"/>
      <w:numFmt w:val="bullet"/>
      <w:pStyle w:val="Bullet2"/>
      <w:lvlText w:val="&gt;"/>
      <w:lvlJc w:val="left"/>
      <w:pPr>
        <w:ind w:left="720" w:hanging="360"/>
      </w:pPr>
      <w:rPr>
        <w:rFonts w:ascii="Arial" w:hAnsi="Arial" w:hint="default"/>
        <w:color w:val="86BBE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6E6A8A"/>
    <w:multiLevelType w:val="hybridMultilevel"/>
    <w:tmpl w:val="1EC020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2B63062"/>
    <w:multiLevelType w:val="hybridMultilevel"/>
    <w:tmpl w:val="9E6AF7B8"/>
    <w:lvl w:ilvl="0" w:tplc="199E3162">
      <w:start w:val="1"/>
      <w:numFmt w:val="lowerRoman"/>
      <w:lvlText w:val="%1."/>
      <w:lvlJc w:val="right"/>
      <w:pPr>
        <w:ind w:left="720" w:hanging="360"/>
      </w:pPr>
    </w:lvl>
    <w:lvl w:ilvl="1" w:tplc="E99001B2">
      <w:start w:val="1"/>
      <w:numFmt w:val="lowerLetter"/>
      <w:lvlText w:val="%2."/>
      <w:lvlJc w:val="left"/>
      <w:pPr>
        <w:ind w:left="1440" w:hanging="360"/>
      </w:pPr>
    </w:lvl>
    <w:lvl w:ilvl="2" w:tplc="66BEDFA4">
      <w:start w:val="1"/>
      <w:numFmt w:val="lowerRoman"/>
      <w:lvlText w:val="%3."/>
      <w:lvlJc w:val="right"/>
      <w:pPr>
        <w:ind w:left="2160" w:hanging="180"/>
      </w:pPr>
    </w:lvl>
    <w:lvl w:ilvl="3" w:tplc="4718D99E">
      <w:start w:val="1"/>
      <w:numFmt w:val="decimal"/>
      <w:lvlText w:val="%4."/>
      <w:lvlJc w:val="left"/>
      <w:pPr>
        <w:ind w:left="2880" w:hanging="360"/>
      </w:pPr>
    </w:lvl>
    <w:lvl w:ilvl="4" w:tplc="219A5BD2">
      <w:start w:val="1"/>
      <w:numFmt w:val="lowerLetter"/>
      <w:lvlText w:val="%5."/>
      <w:lvlJc w:val="left"/>
      <w:pPr>
        <w:ind w:left="3600" w:hanging="360"/>
      </w:pPr>
    </w:lvl>
    <w:lvl w:ilvl="5" w:tplc="E06064B4">
      <w:start w:val="1"/>
      <w:numFmt w:val="lowerRoman"/>
      <w:lvlText w:val="%6."/>
      <w:lvlJc w:val="right"/>
      <w:pPr>
        <w:ind w:left="4320" w:hanging="180"/>
      </w:pPr>
    </w:lvl>
    <w:lvl w:ilvl="6" w:tplc="C16E2CAE">
      <w:start w:val="1"/>
      <w:numFmt w:val="decimal"/>
      <w:lvlText w:val="%7."/>
      <w:lvlJc w:val="left"/>
      <w:pPr>
        <w:ind w:left="5040" w:hanging="360"/>
      </w:pPr>
    </w:lvl>
    <w:lvl w:ilvl="7" w:tplc="9716AD5E">
      <w:start w:val="1"/>
      <w:numFmt w:val="lowerLetter"/>
      <w:lvlText w:val="%8."/>
      <w:lvlJc w:val="left"/>
      <w:pPr>
        <w:ind w:left="5760" w:hanging="360"/>
      </w:pPr>
    </w:lvl>
    <w:lvl w:ilvl="8" w:tplc="63B23838">
      <w:start w:val="1"/>
      <w:numFmt w:val="lowerRoman"/>
      <w:lvlText w:val="%9."/>
      <w:lvlJc w:val="right"/>
      <w:pPr>
        <w:ind w:left="6480" w:hanging="180"/>
      </w:pPr>
    </w:lvl>
  </w:abstractNum>
  <w:abstractNum w:abstractNumId="35" w15:restartNumberingAfterBreak="0">
    <w:nsid w:val="66093043"/>
    <w:multiLevelType w:val="hybridMultilevel"/>
    <w:tmpl w:val="63F8B8A6"/>
    <w:lvl w:ilvl="0" w:tplc="6BD2CEAC">
      <w:start w:val="1"/>
      <w:numFmt w:val="lowerRoman"/>
      <w:lvlText w:val="%1."/>
      <w:lvlJc w:val="right"/>
      <w:pPr>
        <w:ind w:left="720" w:hanging="360"/>
      </w:pPr>
    </w:lvl>
    <w:lvl w:ilvl="1" w:tplc="1EA61804">
      <w:start w:val="1"/>
      <w:numFmt w:val="lowerLetter"/>
      <w:lvlText w:val="%2."/>
      <w:lvlJc w:val="left"/>
      <w:pPr>
        <w:ind w:left="1440" w:hanging="360"/>
      </w:pPr>
    </w:lvl>
    <w:lvl w:ilvl="2" w:tplc="BD5AC424">
      <w:start w:val="1"/>
      <w:numFmt w:val="lowerRoman"/>
      <w:lvlText w:val="%3."/>
      <w:lvlJc w:val="right"/>
      <w:pPr>
        <w:ind w:left="2160" w:hanging="180"/>
      </w:pPr>
    </w:lvl>
    <w:lvl w:ilvl="3" w:tplc="0D76ACCC">
      <w:start w:val="1"/>
      <w:numFmt w:val="decimal"/>
      <w:lvlText w:val="%4."/>
      <w:lvlJc w:val="left"/>
      <w:pPr>
        <w:ind w:left="2880" w:hanging="360"/>
      </w:pPr>
    </w:lvl>
    <w:lvl w:ilvl="4" w:tplc="9C04BABA">
      <w:start w:val="1"/>
      <w:numFmt w:val="lowerLetter"/>
      <w:lvlText w:val="%5."/>
      <w:lvlJc w:val="left"/>
      <w:pPr>
        <w:ind w:left="3600" w:hanging="360"/>
      </w:pPr>
    </w:lvl>
    <w:lvl w:ilvl="5" w:tplc="F2E01CB8">
      <w:start w:val="1"/>
      <w:numFmt w:val="lowerRoman"/>
      <w:lvlText w:val="%6."/>
      <w:lvlJc w:val="right"/>
      <w:pPr>
        <w:ind w:left="4320" w:hanging="180"/>
      </w:pPr>
    </w:lvl>
    <w:lvl w:ilvl="6" w:tplc="2FF8CD2C">
      <w:start w:val="1"/>
      <w:numFmt w:val="decimal"/>
      <w:lvlText w:val="%7."/>
      <w:lvlJc w:val="left"/>
      <w:pPr>
        <w:ind w:left="5040" w:hanging="360"/>
      </w:pPr>
    </w:lvl>
    <w:lvl w:ilvl="7" w:tplc="A2B0DA9A">
      <w:start w:val="1"/>
      <w:numFmt w:val="lowerLetter"/>
      <w:lvlText w:val="%8."/>
      <w:lvlJc w:val="left"/>
      <w:pPr>
        <w:ind w:left="5760" w:hanging="360"/>
      </w:pPr>
    </w:lvl>
    <w:lvl w:ilvl="8" w:tplc="D5D839FA">
      <w:start w:val="1"/>
      <w:numFmt w:val="lowerRoman"/>
      <w:lvlText w:val="%9."/>
      <w:lvlJc w:val="right"/>
      <w:pPr>
        <w:ind w:left="6480" w:hanging="180"/>
      </w:pPr>
    </w:lvl>
  </w:abstractNum>
  <w:abstractNum w:abstractNumId="36" w15:restartNumberingAfterBreak="0">
    <w:nsid w:val="66522750"/>
    <w:multiLevelType w:val="hybridMultilevel"/>
    <w:tmpl w:val="81CCD788"/>
    <w:lvl w:ilvl="0" w:tplc="31E47510">
      <w:start w:val="8"/>
      <w:numFmt w:val="decimal"/>
      <w:lvlText w:val="%1."/>
      <w:lvlJc w:val="left"/>
      <w:pPr>
        <w:ind w:left="720" w:hanging="360"/>
      </w:pPr>
      <w:rPr>
        <w:rFonts w:eastAsia="ヒラギノ角ゴ Pro W3"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86214"/>
    <w:multiLevelType w:val="hybridMultilevel"/>
    <w:tmpl w:val="477AAA0E"/>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8" w15:restartNumberingAfterBreak="0">
    <w:nsid w:val="69593CC0"/>
    <w:multiLevelType w:val="hybridMultilevel"/>
    <w:tmpl w:val="B5D2F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CC0050"/>
    <w:multiLevelType w:val="hybridMultilevel"/>
    <w:tmpl w:val="FFFFFFFF"/>
    <w:lvl w:ilvl="0" w:tplc="5A18B38C">
      <w:start w:val="1"/>
      <w:numFmt w:val="lowerRoman"/>
      <w:lvlText w:val="%1."/>
      <w:lvlJc w:val="right"/>
      <w:pPr>
        <w:ind w:left="720" w:hanging="360"/>
      </w:pPr>
    </w:lvl>
    <w:lvl w:ilvl="1" w:tplc="B3AEB9AA">
      <w:start w:val="1"/>
      <w:numFmt w:val="lowerLetter"/>
      <w:lvlText w:val="%2."/>
      <w:lvlJc w:val="left"/>
      <w:pPr>
        <w:ind w:left="1440" w:hanging="360"/>
      </w:pPr>
    </w:lvl>
    <w:lvl w:ilvl="2" w:tplc="28742D52">
      <w:start w:val="1"/>
      <w:numFmt w:val="lowerRoman"/>
      <w:lvlText w:val="%3."/>
      <w:lvlJc w:val="right"/>
      <w:pPr>
        <w:ind w:left="2160" w:hanging="180"/>
      </w:pPr>
    </w:lvl>
    <w:lvl w:ilvl="3" w:tplc="EC9CD756">
      <w:start w:val="1"/>
      <w:numFmt w:val="decimal"/>
      <w:lvlText w:val="%4."/>
      <w:lvlJc w:val="left"/>
      <w:pPr>
        <w:ind w:left="2880" w:hanging="360"/>
      </w:pPr>
    </w:lvl>
    <w:lvl w:ilvl="4" w:tplc="91D2CA66">
      <w:start w:val="1"/>
      <w:numFmt w:val="lowerLetter"/>
      <w:lvlText w:val="%5."/>
      <w:lvlJc w:val="left"/>
      <w:pPr>
        <w:ind w:left="3600" w:hanging="360"/>
      </w:pPr>
    </w:lvl>
    <w:lvl w:ilvl="5" w:tplc="34286B58">
      <w:start w:val="1"/>
      <w:numFmt w:val="lowerRoman"/>
      <w:lvlText w:val="%6."/>
      <w:lvlJc w:val="right"/>
      <w:pPr>
        <w:ind w:left="4320" w:hanging="180"/>
      </w:pPr>
    </w:lvl>
    <w:lvl w:ilvl="6" w:tplc="B0B21264">
      <w:start w:val="1"/>
      <w:numFmt w:val="decimal"/>
      <w:lvlText w:val="%7."/>
      <w:lvlJc w:val="left"/>
      <w:pPr>
        <w:ind w:left="5040" w:hanging="360"/>
      </w:pPr>
    </w:lvl>
    <w:lvl w:ilvl="7" w:tplc="CF3A7502">
      <w:start w:val="1"/>
      <w:numFmt w:val="lowerLetter"/>
      <w:lvlText w:val="%8."/>
      <w:lvlJc w:val="left"/>
      <w:pPr>
        <w:ind w:left="5760" w:hanging="360"/>
      </w:pPr>
    </w:lvl>
    <w:lvl w:ilvl="8" w:tplc="4CAE37E4">
      <w:start w:val="1"/>
      <w:numFmt w:val="lowerRoman"/>
      <w:lvlText w:val="%9."/>
      <w:lvlJc w:val="right"/>
      <w:pPr>
        <w:ind w:left="6480" w:hanging="180"/>
      </w:pPr>
    </w:lvl>
  </w:abstractNum>
  <w:abstractNum w:abstractNumId="40" w15:restartNumberingAfterBreak="0">
    <w:nsid w:val="6DF94B47"/>
    <w:multiLevelType w:val="hybridMultilevel"/>
    <w:tmpl w:val="FFFFFFFF"/>
    <w:lvl w:ilvl="0" w:tplc="506496DA">
      <w:start w:val="1"/>
      <w:numFmt w:val="bullet"/>
      <w:lvlText w:val="-"/>
      <w:lvlJc w:val="left"/>
      <w:pPr>
        <w:ind w:left="720" w:hanging="360"/>
      </w:pPr>
      <w:rPr>
        <w:rFonts w:ascii="Calibri" w:hAnsi="Calibri" w:hint="default"/>
      </w:rPr>
    </w:lvl>
    <w:lvl w:ilvl="1" w:tplc="BD1419A6">
      <w:start w:val="1"/>
      <w:numFmt w:val="bullet"/>
      <w:lvlText w:val="o"/>
      <w:lvlJc w:val="left"/>
      <w:pPr>
        <w:ind w:left="1440" w:hanging="360"/>
      </w:pPr>
      <w:rPr>
        <w:rFonts w:ascii="Courier New" w:hAnsi="Courier New" w:hint="default"/>
      </w:rPr>
    </w:lvl>
    <w:lvl w:ilvl="2" w:tplc="72DCFA0E">
      <w:start w:val="1"/>
      <w:numFmt w:val="bullet"/>
      <w:lvlText w:val=""/>
      <w:lvlJc w:val="left"/>
      <w:pPr>
        <w:ind w:left="2160" w:hanging="360"/>
      </w:pPr>
      <w:rPr>
        <w:rFonts w:ascii="Wingdings" w:hAnsi="Wingdings" w:hint="default"/>
      </w:rPr>
    </w:lvl>
    <w:lvl w:ilvl="3" w:tplc="A3F09E62">
      <w:start w:val="1"/>
      <w:numFmt w:val="bullet"/>
      <w:lvlText w:val=""/>
      <w:lvlJc w:val="left"/>
      <w:pPr>
        <w:ind w:left="2880" w:hanging="360"/>
      </w:pPr>
      <w:rPr>
        <w:rFonts w:ascii="Symbol" w:hAnsi="Symbol" w:hint="default"/>
      </w:rPr>
    </w:lvl>
    <w:lvl w:ilvl="4" w:tplc="9C26D16C">
      <w:start w:val="1"/>
      <w:numFmt w:val="bullet"/>
      <w:lvlText w:val="o"/>
      <w:lvlJc w:val="left"/>
      <w:pPr>
        <w:ind w:left="3600" w:hanging="360"/>
      </w:pPr>
      <w:rPr>
        <w:rFonts w:ascii="Courier New" w:hAnsi="Courier New" w:hint="default"/>
      </w:rPr>
    </w:lvl>
    <w:lvl w:ilvl="5" w:tplc="DAE643AA">
      <w:start w:val="1"/>
      <w:numFmt w:val="bullet"/>
      <w:lvlText w:val=""/>
      <w:lvlJc w:val="left"/>
      <w:pPr>
        <w:ind w:left="4320" w:hanging="360"/>
      </w:pPr>
      <w:rPr>
        <w:rFonts w:ascii="Wingdings" w:hAnsi="Wingdings" w:hint="default"/>
      </w:rPr>
    </w:lvl>
    <w:lvl w:ilvl="6" w:tplc="474C9A38">
      <w:start w:val="1"/>
      <w:numFmt w:val="bullet"/>
      <w:lvlText w:val=""/>
      <w:lvlJc w:val="left"/>
      <w:pPr>
        <w:ind w:left="5040" w:hanging="360"/>
      </w:pPr>
      <w:rPr>
        <w:rFonts w:ascii="Symbol" w:hAnsi="Symbol" w:hint="default"/>
      </w:rPr>
    </w:lvl>
    <w:lvl w:ilvl="7" w:tplc="D1785F60">
      <w:start w:val="1"/>
      <w:numFmt w:val="bullet"/>
      <w:lvlText w:val="o"/>
      <w:lvlJc w:val="left"/>
      <w:pPr>
        <w:ind w:left="5760" w:hanging="360"/>
      </w:pPr>
      <w:rPr>
        <w:rFonts w:ascii="Courier New" w:hAnsi="Courier New" w:hint="default"/>
      </w:rPr>
    </w:lvl>
    <w:lvl w:ilvl="8" w:tplc="7B0AA4B8">
      <w:start w:val="1"/>
      <w:numFmt w:val="bullet"/>
      <w:lvlText w:val=""/>
      <w:lvlJc w:val="left"/>
      <w:pPr>
        <w:ind w:left="6480" w:hanging="360"/>
      </w:pPr>
      <w:rPr>
        <w:rFonts w:ascii="Wingdings" w:hAnsi="Wingdings" w:hint="default"/>
      </w:rPr>
    </w:lvl>
  </w:abstractNum>
  <w:abstractNum w:abstractNumId="41" w15:restartNumberingAfterBreak="0">
    <w:nsid w:val="710C3C78"/>
    <w:multiLevelType w:val="hybridMultilevel"/>
    <w:tmpl w:val="11A41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1924C9"/>
    <w:multiLevelType w:val="hybridMultilevel"/>
    <w:tmpl w:val="FFFFFFFF"/>
    <w:lvl w:ilvl="0" w:tplc="C7AE1A88">
      <w:start w:val="1"/>
      <w:numFmt w:val="lowerRoman"/>
      <w:lvlText w:val="%1."/>
      <w:lvlJc w:val="right"/>
      <w:pPr>
        <w:ind w:left="720" w:hanging="360"/>
      </w:pPr>
    </w:lvl>
    <w:lvl w:ilvl="1" w:tplc="393294A6">
      <w:start w:val="1"/>
      <w:numFmt w:val="lowerLetter"/>
      <w:lvlText w:val="%2."/>
      <w:lvlJc w:val="left"/>
      <w:pPr>
        <w:ind w:left="1440" w:hanging="360"/>
      </w:pPr>
    </w:lvl>
    <w:lvl w:ilvl="2" w:tplc="2054B67C">
      <w:start w:val="1"/>
      <w:numFmt w:val="lowerRoman"/>
      <w:lvlText w:val="%3."/>
      <w:lvlJc w:val="right"/>
      <w:pPr>
        <w:ind w:left="2160" w:hanging="180"/>
      </w:pPr>
    </w:lvl>
    <w:lvl w:ilvl="3" w:tplc="25FCBDC4">
      <w:start w:val="1"/>
      <w:numFmt w:val="decimal"/>
      <w:lvlText w:val="%4."/>
      <w:lvlJc w:val="left"/>
      <w:pPr>
        <w:ind w:left="2880" w:hanging="360"/>
      </w:pPr>
    </w:lvl>
    <w:lvl w:ilvl="4" w:tplc="BE3A2666">
      <w:start w:val="1"/>
      <w:numFmt w:val="lowerLetter"/>
      <w:lvlText w:val="%5."/>
      <w:lvlJc w:val="left"/>
      <w:pPr>
        <w:ind w:left="3600" w:hanging="360"/>
      </w:pPr>
    </w:lvl>
    <w:lvl w:ilvl="5" w:tplc="9086D8A8">
      <w:start w:val="1"/>
      <w:numFmt w:val="lowerRoman"/>
      <w:lvlText w:val="%6."/>
      <w:lvlJc w:val="right"/>
      <w:pPr>
        <w:ind w:left="4320" w:hanging="180"/>
      </w:pPr>
    </w:lvl>
    <w:lvl w:ilvl="6" w:tplc="5E904882">
      <w:start w:val="1"/>
      <w:numFmt w:val="decimal"/>
      <w:lvlText w:val="%7."/>
      <w:lvlJc w:val="left"/>
      <w:pPr>
        <w:ind w:left="5040" w:hanging="360"/>
      </w:pPr>
    </w:lvl>
    <w:lvl w:ilvl="7" w:tplc="0FF6D7D4">
      <w:start w:val="1"/>
      <w:numFmt w:val="lowerLetter"/>
      <w:lvlText w:val="%8."/>
      <w:lvlJc w:val="left"/>
      <w:pPr>
        <w:ind w:left="5760" w:hanging="360"/>
      </w:pPr>
    </w:lvl>
    <w:lvl w:ilvl="8" w:tplc="8AE62D4A">
      <w:start w:val="1"/>
      <w:numFmt w:val="lowerRoman"/>
      <w:lvlText w:val="%9."/>
      <w:lvlJc w:val="right"/>
      <w:pPr>
        <w:ind w:left="6480" w:hanging="180"/>
      </w:pPr>
    </w:lvl>
  </w:abstractNum>
  <w:abstractNum w:abstractNumId="43" w15:restartNumberingAfterBreak="0">
    <w:nsid w:val="75A047DF"/>
    <w:multiLevelType w:val="hybridMultilevel"/>
    <w:tmpl w:val="12AED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561DC1"/>
    <w:multiLevelType w:val="hybridMultilevel"/>
    <w:tmpl w:val="5598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E08A2"/>
    <w:multiLevelType w:val="hybridMultilevel"/>
    <w:tmpl w:val="B4860602"/>
    <w:lvl w:ilvl="0" w:tplc="E528F17A">
      <w:start w:val="1"/>
      <w:numFmt w:val="bullet"/>
      <w:lvlText w:val="-"/>
      <w:lvlJc w:val="left"/>
      <w:pPr>
        <w:ind w:left="720" w:hanging="360"/>
      </w:pPr>
      <w:rPr>
        <w:rFonts w:ascii="Calibri" w:hAnsi="Calibri" w:hint="default"/>
      </w:rPr>
    </w:lvl>
    <w:lvl w:ilvl="1" w:tplc="582AA270">
      <w:start w:val="1"/>
      <w:numFmt w:val="bullet"/>
      <w:lvlText w:val="o"/>
      <w:lvlJc w:val="left"/>
      <w:pPr>
        <w:ind w:left="1440" w:hanging="360"/>
      </w:pPr>
      <w:rPr>
        <w:rFonts w:ascii="Courier New" w:hAnsi="Courier New" w:hint="default"/>
      </w:rPr>
    </w:lvl>
    <w:lvl w:ilvl="2" w:tplc="11544AC0">
      <w:start w:val="1"/>
      <w:numFmt w:val="bullet"/>
      <w:lvlText w:val=""/>
      <w:lvlJc w:val="left"/>
      <w:pPr>
        <w:ind w:left="2160" w:hanging="360"/>
      </w:pPr>
      <w:rPr>
        <w:rFonts w:ascii="Wingdings" w:hAnsi="Wingdings" w:hint="default"/>
      </w:rPr>
    </w:lvl>
    <w:lvl w:ilvl="3" w:tplc="FB5A40C2">
      <w:start w:val="1"/>
      <w:numFmt w:val="bullet"/>
      <w:lvlText w:val=""/>
      <w:lvlJc w:val="left"/>
      <w:pPr>
        <w:ind w:left="2880" w:hanging="360"/>
      </w:pPr>
      <w:rPr>
        <w:rFonts w:ascii="Symbol" w:hAnsi="Symbol" w:hint="default"/>
      </w:rPr>
    </w:lvl>
    <w:lvl w:ilvl="4" w:tplc="AE6CD7D6">
      <w:start w:val="1"/>
      <w:numFmt w:val="bullet"/>
      <w:lvlText w:val="o"/>
      <w:lvlJc w:val="left"/>
      <w:pPr>
        <w:ind w:left="3600" w:hanging="360"/>
      </w:pPr>
      <w:rPr>
        <w:rFonts w:ascii="Courier New" w:hAnsi="Courier New" w:hint="default"/>
      </w:rPr>
    </w:lvl>
    <w:lvl w:ilvl="5" w:tplc="D840B792">
      <w:start w:val="1"/>
      <w:numFmt w:val="bullet"/>
      <w:lvlText w:val=""/>
      <w:lvlJc w:val="left"/>
      <w:pPr>
        <w:ind w:left="4320" w:hanging="360"/>
      </w:pPr>
      <w:rPr>
        <w:rFonts w:ascii="Wingdings" w:hAnsi="Wingdings" w:hint="default"/>
      </w:rPr>
    </w:lvl>
    <w:lvl w:ilvl="6" w:tplc="07FC90F8">
      <w:start w:val="1"/>
      <w:numFmt w:val="bullet"/>
      <w:lvlText w:val=""/>
      <w:lvlJc w:val="left"/>
      <w:pPr>
        <w:ind w:left="5040" w:hanging="360"/>
      </w:pPr>
      <w:rPr>
        <w:rFonts w:ascii="Symbol" w:hAnsi="Symbol" w:hint="default"/>
      </w:rPr>
    </w:lvl>
    <w:lvl w:ilvl="7" w:tplc="0A22F5D2">
      <w:start w:val="1"/>
      <w:numFmt w:val="bullet"/>
      <w:lvlText w:val="o"/>
      <w:lvlJc w:val="left"/>
      <w:pPr>
        <w:ind w:left="5760" w:hanging="360"/>
      </w:pPr>
      <w:rPr>
        <w:rFonts w:ascii="Courier New" w:hAnsi="Courier New" w:hint="default"/>
      </w:rPr>
    </w:lvl>
    <w:lvl w:ilvl="8" w:tplc="15BAEA98">
      <w:start w:val="1"/>
      <w:numFmt w:val="bullet"/>
      <w:lvlText w:val=""/>
      <w:lvlJc w:val="left"/>
      <w:pPr>
        <w:ind w:left="6480" w:hanging="360"/>
      </w:pPr>
      <w:rPr>
        <w:rFonts w:ascii="Wingdings" w:hAnsi="Wingdings" w:hint="default"/>
      </w:rPr>
    </w:lvl>
  </w:abstractNum>
  <w:abstractNum w:abstractNumId="46" w15:restartNumberingAfterBreak="0">
    <w:nsid w:val="7B9967B5"/>
    <w:multiLevelType w:val="hybridMultilevel"/>
    <w:tmpl w:val="673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5"/>
  </w:num>
  <w:num w:numId="4">
    <w:abstractNumId w:val="19"/>
  </w:num>
  <w:num w:numId="5">
    <w:abstractNumId w:val="42"/>
  </w:num>
  <w:num w:numId="6">
    <w:abstractNumId w:val="40"/>
  </w:num>
  <w:num w:numId="7">
    <w:abstractNumId w:val="31"/>
  </w:num>
  <w:num w:numId="8">
    <w:abstractNumId w:val="32"/>
  </w:num>
  <w:num w:numId="9">
    <w:abstractNumId w:val="30"/>
  </w:num>
  <w:num w:numId="10">
    <w:abstractNumId w:val="26"/>
  </w:num>
  <w:num w:numId="11">
    <w:abstractNumId w:val="20"/>
  </w:num>
  <w:num w:numId="12">
    <w:abstractNumId w:val="28"/>
  </w:num>
  <w:num w:numId="13">
    <w:abstractNumId w:val="10"/>
  </w:num>
  <w:num w:numId="14">
    <w:abstractNumId w:val="2"/>
  </w:num>
  <w:num w:numId="15">
    <w:abstractNumId w:val="9"/>
  </w:num>
  <w:num w:numId="16">
    <w:abstractNumId w:val="20"/>
    <w:lvlOverride w:ilvl="0">
      <w:startOverride w:val="1"/>
    </w:lvlOverride>
  </w:num>
  <w:num w:numId="17">
    <w:abstractNumId w:val="44"/>
  </w:num>
  <w:num w:numId="18">
    <w:abstractNumId w:val="6"/>
  </w:num>
  <w:num w:numId="19">
    <w:abstractNumId w:val="8"/>
  </w:num>
  <w:num w:numId="20">
    <w:abstractNumId w:val="0"/>
  </w:num>
  <w:num w:numId="21">
    <w:abstractNumId w:val="18"/>
  </w:num>
  <w:num w:numId="22">
    <w:abstractNumId w:val="33"/>
  </w:num>
  <w:num w:numId="23">
    <w:abstractNumId w:val="32"/>
  </w:num>
  <w:num w:numId="24">
    <w:abstractNumId w:val="17"/>
  </w:num>
  <w:num w:numId="25">
    <w:abstractNumId w:val="37"/>
  </w:num>
  <w:num w:numId="26">
    <w:abstractNumId w:val="41"/>
  </w:num>
  <w:num w:numId="27">
    <w:abstractNumId w:val="7"/>
  </w:num>
  <w:num w:numId="28">
    <w:abstractNumId w:val="15"/>
  </w:num>
  <w:num w:numId="29">
    <w:abstractNumId w:val="43"/>
  </w:num>
  <w:num w:numId="30">
    <w:abstractNumId w:val="3"/>
  </w:num>
  <w:num w:numId="31">
    <w:abstractNumId w:val="29"/>
  </w:num>
  <w:num w:numId="32">
    <w:abstractNumId w:val="35"/>
  </w:num>
  <w:num w:numId="33">
    <w:abstractNumId w:val="21"/>
  </w:num>
  <w:num w:numId="34">
    <w:abstractNumId w:val="34"/>
  </w:num>
  <w:num w:numId="35">
    <w:abstractNumId w:val="1"/>
  </w:num>
  <w:num w:numId="36">
    <w:abstractNumId w:val="45"/>
  </w:num>
  <w:num w:numId="37">
    <w:abstractNumId w:val="24"/>
  </w:num>
  <w:num w:numId="38">
    <w:abstractNumId w:val="22"/>
  </w:num>
  <w:num w:numId="39">
    <w:abstractNumId w:val="39"/>
  </w:num>
  <w:num w:numId="40">
    <w:abstractNumId w:val="25"/>
  </w:num>
  <w:num w:numId="41">
    <w:abstractNumId w:val="11"/>
  </w:num>
  <w:num w:numId="42">
    <w:abstractNumId w:val="12"/>
  </w:num>
  <w:num w:numId="43">
    <w:abstractNumId w:val="14"/>
  </w:num>
  <w:num w:numId="44">
    <w:abstractNumId w:val="13"/>
  </w:num>
  <w:num w:numId="45">
    <w:abstractNumId w:val="46"/>
  </w:num>
  <w:num w:numId="46">
    <w:abstractNumId w:val="23"/>
  </w:num>
  <w:num w:numId="47">
    <w:abstractNumId w:val="38"/>
  </w:num>
  <w:num w:numId="48">
    <w:abstractNumId w:val="3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embedSystemFonts/>
  <w:bordersDoNotSurroundHeader/>
  <w:bordersDoNotSurroundFooter/>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C"/>
    <w:rsid w:val="00005179"/>
    <w:rsid w:val="000059E2"/>
    <w:rsid w:val="00005B26"/>
    <w:rsid w:val="000068B5"/>
    <w:rsid w:val="0001124C"/>
    <w:rsid w:val="00013C82"/>
    <w:rsid w:val="00015B9A"/>
    <w:rsid w:val="00020D4B"/>
    <w:rsid w:val="000222B2"/>
    <w:rsid w:val="00022AC7"/>
    <w:rsid w:val="0002434A"/>
    <w:rsid w:val="00024718"/>
    <w:rsid w:val="00024BBE"/>
    <w:rsid w:val="0002521D"/>
    <w:rsid w:val="00025D1F"/>
    <w:rsid w:val="00025E29"/>
    <w:rsid w:val="00026770"/>
    <w:rsid w:val="00030A50"/>
    <w:rsid w:val="00031842"/>
    <w:rsid w:val="0003328E"/>
    <w:rsid w:val="000341D5"/>
    <w:rsid w:val="00034406"/>
    <w:rsid w:val="000347F7"/>
    <w:rsid w:val="0003494A"/>
    <w:rsid w:val="00035F18"/>
    <w:rsid w:val="00036FFA"/>
    <w:rsid w:val="00040811"/>
    <w:rsid w:val="000432D9"/>
    <w:rsid w:val="00043E30"/>
    <w:rsid w:val="00050F67"/>
    <w:rsid w:val="00054C42"/>
    <w:rsid w:val="00055F32"/>
    <w:rsid w:val="00055FE0"/>
    <w:rsid w:val="00063C01"/>
    <w:rsid w:val="00066E2E"/>
    <w:rsid w:val="00066FB3"/>
    <w:rsid w:val="00067EB4"/>
    <w:rsid w:val="00073C9B"/>
    <w:rsid w:val="000756D4"/>
    <w:rsid w:val="00075D3A"/>
    <w:rsid w:val="00076260"/>
    <w:rsid w:val="00076B6D"/>
    <w:rsid w:val="000779A2"/>
    <w:rsid w:val="000804A3"/>
    <w:rsid w:val="0008150D"/>
    <w:rsid w:val="00081CF0"/>
    <w:rsid w:val="00082085"/>
    <w:rsid w:val="0008258A"/>
    <w:rsid w:val="000841BC"/>
    <w:rsid w:val="00085585"/>
    <w:rsid w:val="000904C2"/>
    <w:rsid w:val="0009080B"/>
    <w:rsid w:val="0009104F"/>
    <w:rsid w:val="0009106C"/>
    <w:rsid w:val="00093570"/>
    <w:rsid w:val="00093BD9"/>
    <w:rsid w:val="000956AE"/>
    <w:rsid w:val="000966AB"/>
    <w:rsid w:val="00097B2F"/>
    <w:rsid w:val="000A3105"/>
    <w:rsid w:val="000A6D7D"/>
    <w:rsid w:val="000A7DB9"/>
    <w:rsid w:val="000B1806"/>
    <w:rsid w:val="000B1C79"/>
    <w:rsid w:val="000B430D"/>
    <w:rsid w:val="000B46FC"/>
    <w:rsid w:val="000B4D6C"/>
    <w:rsid w:val="000B6D47"/>
    <w:rsid w:val="000C0090"/>
    <w:rsid w:val="000D14D9"/>
    <w:rsid w:val="000D15D2"/>
    <w:rsid w:val="000D2EE2"/>
    <w:rsid w:val="000D475B"/>
    <w:rsid w:val="000D49B7"/>
    <w:rsid w:val="000D5ED4"/>
    <w:rsid w:val="000E1564"/>
    <w:rsid w:val="000E2C02"/>
    <w:rsid w:val="000E33A2"/>
    <w:rsid w:val="000E5C5E"/>
    <w:rsid w:val="000E67EB"/>
    <w:rsid w:val="000E6CF8"/>
    <w:rsid w:val="000E6F97"/>
    <w:rsid w:val="000E73F6"/>
    <w:rsid w:val="000F1186"/>
    <w:rsid w:val="000F2D91"/>
    <w:rsid w:val="000F4B12"/>
    <w:rsid w:val="000F64C9"/>
    <w:rsid w:val="00103386"/>
    <w:rsid w:val="00105633"/>
    <w:rsid w:val="001068A9"/>
    <w:rsid w:val="00106E07"/>
    <w:rsid w:val="00110AD5"/>
    <w:rsid w:val="00110DCD"/>
    <w:rsid w:val="001111BB"/>
    <w:rsid w:val="00115D47"/>
    <w:rsid w:val="0011614F"/>
    <w:rsid w:val="001167E2"/>
    <w:rsid w:val="0012051A"/>
    <w:rsid w:val="0012295E"/>
    <w:rsid w:val="00123C2D"/>
    <w:rsid w:val="001246FE"/>
    <w:rsid w:val="001276AC"/>
    <w:rsid w:val="00130777"/>
    <w:rsid w:val="00132711"/>
    <w:rsid w:val="00132A41"/>
    <w:rsid w:val="00135A76"/>
    <w:rsid w:val="00135CA4"/>
    <w:rsid w:val="00136F6B"/>
    <w:rsid w:val="00140345"/>
    <w:rsid w:val="0014173F"/>
    <w:rsid w:val="001432B7"/>
    <w:rsid w:val="00144AE5"/>
    <w:rsid w:val="00150573"/>
    <w:rsid w:val="00153211"/>
    <w:rsid w:val="001534CB"/>
    <w:rsid w:val="00154078"/>
    <w:rsid w:val="00155E25"/>
    <w:rsid w:val="00160CE9"/>
    <w:rsid w:val="0016357F"/>
    <w:rsid w:val="00163DDF"/>
    <w:rsid w:val="0016618F"/>
    <w:rsid w:val="00167134"/>
    <w:rsid w:val="001672B7"/>
    <w:rsid w:val="00167A50"/>
    <w:rsid w:val="0017162D"/>
    <w:rsid w:val="00171C24"/>
    <w:rsid w:val="00172D0E"/>
    <w:rsid w:val="001747B3"/>
    <w:rsid w:val="001770C9"/>
    <w:rsid w:val="00180686"/>
    <w:rsid w:val="001817A7"/>
    <w:rsid w:val="00182412"/>
    <w:rsid w:val="00184185"/>
    <w:rsid w:val="00185D6E"/>
    <w:rsid w:val="00186483"/>
    <w:rsid w:val="00187D16"/>
    <w:rsid w:val="0019153A"/>
    <w:rsid w:val="00194940"/>
    <w:rsid w:val="001A0240"/>
    <w:rsid w:val="001A0EC3"/>
    <w:rsid w:val="001A23D5"/>
    <w:rsid w:val="001A247F"/>
    <w:rsid w:val="001A3B40"/>
    <w:rsid w:val="001A57E2"/>
    <w:rsid w:val="001A7E77"/>
    <w:rsid w:val="001B118C"/>
    <w:rsid w:val="001B3613"/>
    <w:rsid w:val="001B692F"/>
    <w:rsid w:val="001B6C0F"/>
    <w:rsid w:val="001B7AC8"/>
    <w:rsid w:val="001C11C7"/>
    <w:rsid w:val="001C1B14"/>
    <w:rsid w:val="001C27DE"/>
    <w:rsid w:val="001C3083"/>
    <w:rsid w:val="001C30D7"/>
    <w:rsid w:val="001C4133"/>
    <w:rsid w:val="001C4283"/>
    <w:rsid w:val="001C7D6E"/>
    <w:rsid w:val="001D001D"/>
    <w:rsid w:val="001D0973"/>
    <w:rsid w:val="001D373D"/>
    <w:rsid w:val="001D63AB"/>
    <w:rsid w:val="001D71DD"/>
    <w:rsid w:val="001D74BB"/>
    <w:rsid w:val="001D76F4"/>
    <w:rsid w:val="001E0D4A"/>
    <w:rsid w:val="001E274D"/>
    <w:rsid w:val="001E58AF"/>
    <w:rsid w:val="001E7B2A"/>
    <w:rsid w:val="001F0A19"/>
    <w:rsid w:val="001F14CC"/>
    <w:rsid w:val="001F2F2B"/>
    <w:rsid w:val="001F387D"/>
    <w:rsid w:val="001F38BC"/>
    <w:rsid w:val="001F7C28"/>
    <w:rsid w:val="00200339"/>
    <w:rsid w:val="00200C98"/>
    <w:rsid w:val="00202AF6"/>
    <w:rsid w:val="00203C79"/>
    <w:rsid w:val="002067D5"/>
    <w:rsid w:val="002077D0"/>
    <w:rsid w:val="00207889"/>
    <w:rsid w:val="00210D94"/>
    <w:rsid w:val="002133CC"/>
    <w:rsid w:val="002134B6"/>
    <w:rsid w:val="00213B82"/>
    <w:rsid w:val="00213EFC"/>
    <w:rsid w:val="00213F36"/>
    <w:rsid w:val="00214717"/>
    <w:rsid w:val="002169CB"/>
    <w:rsid w:val="0022032A"/>
    <w:rsid w:val="00220931"/>
    <w:rsid w:val="002255B1"/>
    <w:rsid w:val="00226431"/>
    <w:rsid w:val="00226602"/>
    <w:rsid w:val="00232D94"/>
    <w:rsid w:val="00236A78"/>
    <w:rsid w:val="00237982"/>
    <w:rsid w:val="002400A4"/>
    <w:rsid w:val="00241080"/>
    <w:rsid w:val="002449ED"/>
    <w:rsid w:val="00245F3C"/>
    <w:rsid w:val="002470E5"/>
    <w:rsid w:val="002516D3"/>
    <w:rsid w:val="002517C5"/>
    <w:rsid w:val="002518B4"/>
    <w:rsid w:val="00260717"/>
    <w:rsid w:val="00265BAB"/>
    <w:rsid w:val="0026785D"/>
    <w:rsid w:val="00270284"/>
    <w:rsid w:val="002706B1"/>
    <w:rsid w:val="00272475"/>
    <w:rsid w:val="00272F95"/>
    <w:rsid w:val="00273F36"/>
    <w:rsid w:val="002740AA"/>
    <w:rsid w:val="00274109"/>
    <w:rsid w:val="0027423C"/>
    <w:rsid w:val="002761B4"/>
    <w:rsid w:val="00276918"/>
    <w:rsid w:val="00276BA1"/>
    <w:rsid w:val="00276C83"/>
    <w:rsid w:val="00280347"/>
    <w:rsid w:val="00282B87"/>
    <w:rsid w:val="0028507C"/>
    <w:rsid w:val="00285704"/>
    <w:rsid w:val="00286336"/>
    <w:rsid w:val="0028633F"/>
    <w:rsid w:val="00290BA3"/>
    <w:rsid w:val="00290E3B"/>
    <w:rsid w:val="00291E76"/>
    <w:rsid w:val="00293640"/>
    <w:rsid w:val="00294CAA"/>
    <w:rsid w:val="002A3761"/>
    <w:rsid w:val="002A47EC"/>
    <w:rsid w:val="002A4A12"/>
    <w:rsid w:val="002A6114"/>
    <w:rsid w:val="002A6F89"/>
    <w:rsid w:val="002A70D9"/>
    <w:rsid w:val="002A725E"/>
    <w:rsid w:val="002B2CD7"/>
    <w:rsid w:val="002B5995"/>
    <w:rsid w:val="002B5D42"/>
    <w:rsid w:val="002B7196"/>
    <w:rsid w:val="002C3439"/>
    <w:rsid w:val="002C70CF"/>
    <w:rsid w:val="002C7D44"/>
    <w:rsid w:val="002D1D33"/>
    <w:rsid w:val="002D663A"/>
    <w:rsid w:val="002D7032"/>
    <w:rsid w:val="002E09DC"/>
    <w:rsid w:val="002E230A"/>
    <w:rsid w:val="002E31D7"/>
    <w:rsid w:val="002E3C5B"/>
    <w:rsid w:val="002E3FC3"/>
    <w:rsid w:val="002E66B8"/>
    <w:rsid w:val="002E6F18"/>
    <w:rsid w:val="002E7181"/>
    <w:rsid w:val="002F0081"/>
    <w:rsid w:val="002F127E"/>
    <w:rsid w:val="002F5425"/>
    <w:rsid w:val="002F59F1"/>
    <w:rsid w:val="002F61E0"/>
    <w:rsid w:val="002F79EA"/>
    <w:rsid w:val="00300E8C"/>
    <w:rsid w:val="00301681"/>
    <w:rsid w:val="00304400"/>
    <w:rsid w:val="003044E3"/>
    <w:rsid w:val="0030491F"/>
    <w:rsid w:val="00307F62"/>
    <w:rsid w:val="0031627C"/>
    <w:rsid w:val="003171FC"/>
    <w:rsid w:val="00317B60"/>
    <w:rsid w:val="00317D8C"/>
    <w:rsid w:val="00317F1D"/>
    <w:rsid w:val="0032162B"/>
    <w:rsid w:val="00323524"/>
    <w:rsid w:val="00324CEE"/>
    <w:rsid w:val="00324DD6"/>
    <w:rsid w:val="00325623"/>
    <w:rsid w:val="00325F18"/>
    <w:rsid w:val="00326C7C"/>
    <w:rsid w:val="00331899"/>
    <w:rsid w:val="003331D4"/>
    <w:rsid w:val="003343DC"/>
    <w:rsid w:val="003343DD"/>
    <w:rsid w:val="003347E5"/>
    <w:rsid w:val="00334FE0"/>
    <w:rsid w:val="00336527"/>
    <w:rsid w:val="00336AE0"/>
    <w:rsid w:val="00337DD7"/>
    <w:rsid w:val="00344E7D"/>
    <w:rsid w:val="003454B9"/>
    <w:rsid w:val="00345BBA"/>
    <w:rsid w:val="00346031"/>
    <w:rsid w:val="003501A4"/>
    <w:rsid w:val="00351F78"/>
    <w:rsid w:val="0035342B"/>
    <w:rsid w:val="0035620D"/>
    <w:rsid w:val="00356ABD"/>
    <w:rsid w:val="0036104D"/>
    <w:rsid w:val="003614F0"/>
    <w:rsid w:val="00362CCE"/>
    <w:rsid w:val="00367115"/>
    <w:rsid w:val="00371F2F"/>
    <w:rsid w:val="00372EC8"/>
    <w:rsid w:val="003754A1"/>
    <w:rsid w:val="003772BC"/>
    <w:rsid w:val="003914A8"/>
    <w:rsid w:val="003928D0"/>
    <w:rsid w:val="00394E3C"/>
    <w:rsid w:val="003A06E9"/>
    <w:rsid w:val="003A31AE"/>
    <w:rsid w:val="003A4365"/>
    <w:rsid w:val="003A4487"/>
    <w:rsid w:val="003A496F"/>
    <w:rsid w:val="003A4AFA"/>
    <w:rsid w:val="003A4D98"/>
    <w:rsid w:val="003A673B"/>
    <w:rsid w:val="003B13B1"/>
    <w:rsid w:val="003B3192"/>
    <w:rsid w:val="003C43E7"/>
    <w:rsid w:val="003C559E"/>
    <w:rsid w:val="003C7D63"/>
    <w:rsid w:val="003C7FC1"/>
    <w:rsid w:val="003D0933"/>
    <w:rsid w:val="003D1B0C"/>
    <w:rsid w:val="003D3A98"/>
    <w:rsid w:val="003D3EA1"/>
    <w:rsid w:val="003D4AA2"/>
    <w:rsid w:val="003D7890"/>
    <w:rsid w:val="003E0CE3"/>
    <w:rsid w:val="003E1E3C"/>
    <w:rsid w:val="003E2622"/>
    <w:rsid w:val="003E4D93"/>
    <w:rsid w:val="003E578E"/>
    <w:rsid w:val="003E659C"/>
    <w:rsid w:val="003E69F9"/>
    <w:rsid w:val="003E7C13"/>
    <w:rsid w:val="003F1865"/>
    <w:rsid w:val="003F29EC"/>
    <w:rsid w:val="003F2C01"/>
    <w:rsid w:val="003F390B"/>
    <w:rsid w:val="003F4AF0"/>
    <w:rsid w:val="00403026"/>
    <w:rsid w:val="0040651B"/>
    <w:rsid w:val="0040796F"/>
    <w:rsid w:val="0041073F"/>
    <w:rsid w:val="0041230B"/>
    <w:rsid w:val="00412418"/>
    <w:rsid w:val="00412631"/>
    <w:rsid w:val="00414791"/>
    <w:rsid w:val="004206B8"/>
    <w:rsid w:val="0042321C"/>
    <w:rsid w:val="00423364"/>
    <w:rsid w:val="00423B29"/>
    <w:rsid w:val="00424223"/>
    <w:rsid w:val="00424E4F"/>
    <w:rsid w:val="00426DA3"/>
    <w:rsid w:val="00432F5D"/>
    <w:rsid w:val="00433389"/>
    <w:rsid w:val="00434620"/>
    <w:rsid w:val="004346D8"/>
    <w:rsid w:val="004358DE"/>
    <w:rsid w:val="00435D9F"/>
    <w:rsid w:val="00436216"/>
    <w:rsid w:val="00440C96"/>
    <w:rsid w:val="00443AD5"/>
    <w:rsid w:val="0044728C"/>
    <w:rsid w:val="00447E8F"/>
    <w:rsid w:val="00450B23"/>
    <w:rsid w:val="00451115"/>
    <w:rsid w:val="00453283"/>
    <w:rsid w:val="00453894"/>
    <w:rsid w:val="00457BDE"/>
    <w:rsid w:val="00460DD1"/>
    <w:rsid w:val="0046280F"/>
    <w:rsid w:val="0046425A"/>
    <w:rsid w:val="00464490"/>
    <w:rsid w:val="00466D7E"/>
    <w:rsid w:val="004704E0"/>
    <w:rsid w:val="004725E6"/>
    <w:rsid w:val="00475C22"/>
    <w:rsid w:val="00476DB9"/>
    <w:rsid w:val="00483274"/>
    <w:rsid w:val="004845A3"/>
    <w:rsid w:val="00485E43"/>
    <w:rsid w:val="0048606A"/>
    <w:rsid w:val="00486DCE"/>
    <w:rsid w:val="004900AE"/>
    <w:rsid w:val="00491058"/>
    <w:rsid w:val="004923C4"/>
    <w:rsid w:val="00493C7B"/>
    <w:rsid w:val="004A1195"/>
    <w:rsid w:val="004A54BB"/>
    <w:rsid w:val="004A5657"/>
    <w:rsid w:val="004A791D"/>
    <w:rsid w:val="004B00E8"/>
    <w:rsid w:val="004B280F"/>
    <w:rsid w:val="004B486C"/>
    <w:rsid w:val="004B4EAD"/>
    <w:rsid w:val="004B7677"/>
    <w:rsid w:val="004C135E"/>
    <w:rsid w:val="004C16CC"/>
    <w:rsid w:val="004C330F"/>
    <w:rsid w:val="004C45ED"/>
    <w:rsid w:val="004C7BBF"/>
    <w:rsid w:val="004D071C"/>
    <w:rsid w:val="004D1651"/>
    <w:rsid w:val="004D2C05"/>
    <w:rsid w:val="004D351D"/>
    <w:rsid w:val="004D428B"/>
    <w:rsid w:val="004D6619"/>
    <w:rsid w:val="004D6E93"/>
    <w:rsid w:val="004D7A5B"/>
    <w:rsid w:val="004E077B"/>
    <w:rsid w:val="004E3C5C"/>
    <w:rsid w:val="004E4DC5"/>
    <w:rsid w:val="004E535D"/>
    <w:rsid w:val="004F0762"/>
    <w:rsid w:val="004F109D"/>
    <w:rsid w:val="004F37C1"/>
    <w:rsid w:val="004F3EE1"/>
    <w:rsid w:val="004F5470"/>
    <w:rsid w:val="004F7A23"/>
    <w:rsid w:val="00500F12"/>
    <w:rsid w:val="00502589"/>
    <w:rsid w:val="00502E89"/>
    <w:rsid w:val="00504E87"/>
    <w:rsid w:val="005064A4"/>
    <w:rsid w:val="00506A06"/>
    <w:rsid w:val="0051239E"/>
    <w:rsid w:val="005125E1"/>
    <w:rsid w:val="00512F34"/>
    <w:rsid w:val="005133AB"/>
    <w:rsid w:val="00514B77"/>
    <w:rsid w:val="00516255"/>
    <w:rsid w:val="005212F2"/>
    <w:rsid w:val="00524B02"/>
    <w:rsid w:val="00527A46"/>
    <w:rsid w:val="00527A51"/>
    <w:rsid w:val="005338CA"/>
    <w:rsid w:val="005428D3"/>
    <w:rsid w:val="00543203"/>
    <w:rsid w:val="0054332D"/>
    <w:rsid w:val="00543F5E"/>
    <w:rsid w:val="00547183"/>
    <w:rsid w:val="00547A47"/>
    <w:rsid w:val="005510B2"/>
    <w:rsid w:val="00551AE3"/>
    <w:rsid w:val="00551F5A"/>
    <w:rsid w:val="0055363F"/>
    <w:rsid w:val="00557C9B"/>
    <w:rsid w:val="0056385B"/>
    <w:rsid w:val="005707B6"/>
    <w:rsid w:val="00570A45"/>
    <w:rsid w:val="00571AD1"/>
    <w:rsid w:val="005737F5"/>
    <w:rsid w:val="00580B5B"/>
    <w:rsid w:val="00585F3B"/>
    <w:rsid w:val="005912B9"/>
    <w:rsid w:val="005949F3"/>
    <w:rsid w:val="005A14C4"/>
    <w:rsid w:val="005A1FC4"/>
    <w:rsid w:val="005A3040"/>
    <w:rsid w:val="005A419B"/>
    <w:rsid w:val="005A644E"/>
    <w:rsid w:val="005A6F12"/>
    <w:rsid w:val="005B2476"/>
    <w:rsid w:val="005B6593"/>
    <w:rsid w:val="005C058E"/>
    <w:rsid w:val="005C2919"/>
    <w:rsid w:val="005C51F8"/>
    <w:rsid w:val="005D0176"/>
    <w:rsid w:val="005D29E0"/>
    <w:rsid w:val="005D306B"/>
    <w:rsid w:val="005D4128"/>
    <w:rsid w:val="005D742A"/>
    <w:rsid w:val="005D7720"/>
    <w:rsid w:val="005E0323"/>
    <w:rsid w:val="005E1568"/>
    <w:rsid w:val="005E2859"/>
    <w:rsid w:val="005E3F31"/>
    <w:rsid w:val="005E45B5"/>
    <w:rsid w:val="005E5255"/>
    <w:rsid w:val="005E7E2B"/>
    <w:rsid w:val="005F1240"/>
    <w:rsid w:val="005F2EFE"/>
    <w:rsid w:val="005F3522"/>
    <w:rsid w:val="005F3598"/>
    <w:rsid w:val="005F584D"/>
    <w:rsid w:val="0060706D"/>
    <w:rsid w:val="00615B44"/>
    <w:rsid w:val="006178AF"/>
    <w:rsid w:val="00622006"/>
    <w:rsid w:val="00622169"/>
    <w:rsid w:val="00622427"/>
    <w:rsid w:val="006244AB"/>
    <w:rsid w:val="006250B4"/>
    <w:rsid w:val="006267C5"/>
    <w:rsid w:val="00626CF7"/>
    <w:rsid w:val="00627C16"/>
    <w:rsid w:val="00632169"/>
    <w:rsid w:val="006322AC"/>
    <w:rsid w:val="00634591"/>
    <w:rsid w:val="0063574F"/>
    <w:rsid w:val="00640337"/>
    <w:rsid w:val="00640DDC"/>
    <w:rsid w:val="006420D4"/>
    <w:rsid w:val="006445A3"/>
    <w:rsid w:val="0064506C"/>
    <w:rsid w:val="0064672D"/>
    <w:rsid w:val="00650333"/>
    <w:rsid w:val="00651228"/>
    <w:rsid w:val="00653054"/>
    <w:rsid w:val="006556D5"/>
    <w:rsid w:val="00661556"/>
    <w:rsid w:val="00661C68"/>
    <w:rsid w:val="00662599"/>
    <w:rsid w:val="00663B9C"/>
    <w:rsid w:val="00667669"/>
    <w:rsid w:val="00672727"/>
    <w:rsid w:val="00672759"/>
    <w:rsid w:val="006731B9"/>
    <w:rsid w:val="006738A4"/>
    <w:rsid w:val="0067603C"/>
    <w:rsid w:val="006845AF"/>
    <w:rsid w:val="00686EDC"/>
    <w:rsid w:val="00691AF1"/>
    <w:rsid w:val="00691CA3"/>
    <w:rsid w:val="00692150"/>
    <w:rsid w:val="0069323F"/>
    <w:rsid w:val="006934D2"/>
    <w:rsid w:val="006953AD"/>
    <w:rsid w:val="006966AB"/>
    <w:rsid w:val="0069699A"/>
    <w:rsid w:val="006A0381"/>
    <w:rsid w:val="006A03A1"/>
    <w:rsid w:val="006A0A14"/>
    <w:rsid w:val="006A161A"/>
    <w:rsid w:val="006A181E"/>
    <w:rsid w:val="006A22C9"/>
    <w:rsid w:val="006A305C"/>
    <w:rsid w:val="006A391F"/>
    <w:rsid w:val="006A5618"/>
    <w:rsid w:val="006A5982"/>
    <w:rsid w:val="006A700E"/>
    <w:rsid w:val="006B0488"/>
    <w:rsid w:val="006B0DE9"/>
    <w:rsid w:val="006B2ADE"/>
    <w:rsid w:val="006B2E2D"/>
    <w:rsid w:val="006B3FD5"/>
    <w:rsid w:val="006B44DC"/>
    <w:rsid w:val="006B5EC7"/>
    <w:rsid w:val="006B7001"/>
    <w:rsid w:val="006B73BF"/>
    <w:rsid w:val="006B7D26"/>
    <w:rsid w:val="006B7ED1"/>
    <w:rsid w:val="006C3827"/>
    <w:rsid w:val="006D3F0F"/>
    <w:rsid w:val="006D459A"/>
    <w:rsid w:val="006D4796"/>
    <w:rsid w:val="006D7596"/>
    <w:rsid w:val="006D7848"/>
    <w:rsid w:val="006D7B23"/>
    <w:rsid w:val="006E25A2"/>
    <w:rsid w:val="006E2665"/>
    <w:rsid w:val="006E482C"/>
    <w:rsid w:val="006E616D"/>
    <w:rsid w:val="006E7326"/>
    <w:rsid w:val="006E7BCC"/>
    <w:rsid w:val="006E7C8A"/>
    <w:rsid w:val="006F0BA8"/>
    <w:rsid w:val="00701480"/>
    <w:rsid w:val="00703A8A"/>
    <w:rsid w:val="00703EA5"/>
    <w:rsid w:val="007073BC"/>
    <w:rsid w:val="00707608"/>
    <w:rsid w:val="00710098"/>
    <w:rsid w:val="00710225"/>
    <w:rsid w:val="0071133C"/>
    <w:rsid w:val="0071387E"/>
    <w:rsid w:val="00713BED"/>
    <w:rsid w:val="00715ACB"/>
    <w:rsid w:val="00715BB6"/>
    <w:rsid w:val="00715C28"/>
    <w:rsid w:val="00715D67"/>
    <w:rsid w:val="0071787C"/>
    <w:rsid w:val="0071BEB5"/>
    <w:rsid w:val="0072065C"/>
    <w:rsid w:val="00722CD7"/>
    <w:rsid w:val="00725E20"/>
    <w:rsid w:val="00726C14"/>
    <w:rsid w:val="007277BB"/>
    <w:rsid w:val="0073285A"/>
    <w:rsid w:val="00736581"/>
    <w:rsid w:val="00736EA1"/>
    <w:rsid w:val="007407A2"/>
    <w:rsid w:val="00742F3E"/>
    <w:rsid w:val="00743375"/>
    <w:rsid w:val="00746099"/>
    <w:rsid w:val="00751B80"/>
    <w:rsid w:val="00751B89"/>
    <w:rsid w:val="0076063A"/>
    <w:rsid w:val="00761394"/>
    <w:rsid w:val="00761494"/>
    <w:rsid w:val="00761A72"/>
    <w:rsid w:val="00761E6C"/>
    <w:rsid w:val="007633C6"/>
    <w:rsid w:val="00767B7A"/>
    <w:rsid w:val="0077065B"/>
    <w:rsid w:val="007707E6"/>
    <w:rsid w:val="00770C28"/>
    <w:rsid w:val="0077335A"/>
    <w:rsid w:val="007748FA"/>
    <w:rsid w:val="007772AA"/>
    <w:rsid w:val="0077772D"/>
    <w:rsid w:val="00781468"/>
    <w:rsid w:val="00783324"/>
    <w:rsid w:val="0078515B"/>
    <w:rsid w:val="0078704E"/>
    <w:rsid w:val="00790FC7"/>
    <w:rsid w:val="00793427"/>
    <w:rsid w:val="0079383D"/>
    <w:rsid w:val="007947E1"/>
    <w:rsid w:val="007A3D05"/>
    <w:rsid w:val="007A4008"/>
    <w:rsid w:val="007A6F0E"/>
    <w:rsid w:val="007A7D9F"/>
    <w:rsid w:val="007B2D82"/>
    <w:rsid w:val="007B611B"/>
    <w:rsid w:val="007B6C07"/>
    <w:rsid w:val="007B7111"/>
    <w:rsid w:val="007B7E6C"/>
    <w:rsid w:val="007C1EFE"/>
    <w:rsid w:val="007C3C25"/>
    <w:rsid w:val="007C66D5"/>
    <w:rsid w:val="007C741C"/>
    <w:rsid w:val="007D0530"/>
    <w:rsid w:val="007D0B87"/>
    <w:rsid w:val="007D0BCB"/>
    <w:rsid w:val="007D15C4"/>
    <w:rsid w:val="007D1F1D"/>
    <w:rsid w:val="007D2C72"/>
    <w:rsid w:val="007D2D44"/>
    <w:rsid w:val="007D4117"/>
    <w:rsid w:val="007D4EF0"/>
    <w:rsid w:val="007D5435"/>
    <w:rsid w:val="007E1DE3"/>
    <w:rsid w:val="007E1E43"/>
    <w:rsid w:val="007E612E"/>
    <w:rsid w:val="007E66DA"/>
    <w:rsid w:val="007E730C"/>
    <w:rsid w:val="007E762B"/>
    <w:rsid w:val="007F120F"/>
    <w:rsid w:val="007F2875"/>
    <w:rsid w:val="007F325D"/>
    <w:rsid w:val="007F4122"/>
    <w:rsid w:val="007F6427"/>
    <w:rsid w:val="007F6754"/>
    <w:rsid w:val="007F7060"/>
    <w:rsid w:val="007F7371"/>
    <w:rsid w:val="007F73A4"/>
    <w:rsid w:val="008017BB"/>
    <w:rsid w:val="00803A90"/>
    <w:rsid w:val="008070AD"/>
    <w:rsid w:val="008073B5"/>
    <w:rsid w:val="00814055"/>
    <w:rsid w:val="00815327"/>
    <w:rsid w:val="00816A7E"/>
    <w:rsid w:val="008171DB"/>
    <w:rsid w:val="00826EC6"/>
    <w:rsid w:val="00826ED9"/>
    <w:rsid w:val="00830D37"/>
    <w:rsid w:val="008323D1"/>
    <w:rsid w:val="00833DE3"/>
    <w:rsid w:val="00835D33"/>
    <w:rsid w:val="00845793"/>
    <w:rsid w:val="00847619"/>
    <w:rsid w:val="008520EB"/>
    <w:rsid w:val="00852A96"/>
    <w:rsid w:val="00853713"/>
    <w:rsid w:val="00854205"/>
    <w:rsid w:val="00855839"/>
    <w:rsid w:val="00860147"/>
    <w:rsid w:val="00866589"/>
    <w:rsid w:val="00867D39"/>
    <w:rsid w:val="00870D09"/>
    <w:rsid w:val="00871B7E"/>
    <w:rsid w:val="00873675"/>
    <w:rsid w:val="00873C68"/>
    <w:rsid w:val="00873E7B"/>
    <w:rsid w:val="00875AD8"/>
    <w:rsid w:val="008760B7"/>
    <w:rsid w:val="00877FBC"/>
    <w:rsid w:val="00880752"/>
    <w:rsid w:val="00880DDF"/>
    <w:rsid w:val="00880EB9"/>
    <w:rsid w:val="008836DE"/>
    <w:rsid w:val="00885DF1"/>
    <w:rsid w:val="00887849"/>
    <w:rsid w:val="00893BCA"/>
    <w:rsid w:val="0089462E"/>
    <w:rsid w:val="008977D8"/>
    <w:rsid w:val="008978C6"/>
    <w:rsid w:val="00897AFC"/>
    <w:rsid w:val="008A065D"/>
    <w:rsid w:val="008A0CF9"/>
    <w:rsid w:val="008A1355"/>
    <w:rsid w:val="008A1FD9"/>
    <w:rsid w:val="008A22E9"/>
    <w:rsid w:val="008A32F5"/>
    <w:rsid w:val="008A3A99"/>
    <w:rsid w:val="008A5826"/>
    <w:rsid w:val="008A7A9F"/>
    <w:rsid w:val="008B3AD2"/>
    <w:rsid w:val="008B6DA3"/>
    <w:rsid w:val="008B6F92"/>
    <w:rsid w:val="008B7D2C"/>
    <w:rsid w:val="008C56A6"/>
    <w:rsid w:val="008C6FD2"/>
    <w:rsid w:val="008D0750"/>
    <w:rsid w:val="008D0A62"/>
    <w:rsid w:val="008D250E"/>
    <w:rsid w:val="008D4F09"/>
    <w:rsid w:val="008E081D"/>
    <w:rsid w:val="008E1D6A"/>
    <w:rsid w:val="008E5D3E"/>
    <w:rsid w:val="008F0864"/>
    <w:rsid w:val="008F4BDA"/>
    <w:rsid w:val="008F4CA6"/>
    <w:rsid w:val="008F7815"/>
    <w:rsid w:val="008F7985"/>
    <w:rsid w:val="008F7BB2"/>
    <w:rsid w:val="00901416"/>
    <w:rsid w:val="00901B37"/>
    <w:rsid w:val="00903FD8"/>
    <w:rsid w:val="0090472C"/>
    <w:rsid w:val="00905DCE"/>
    <w:rsid w:val="0090626B"/>
    <w:rsid w:val="009067B3"/>
    <w:rsid w:val="00906DDD"/>
    <w:rsid w:val="00907CAC"/>
    <w:rsid w:val="009118D2"/>
    <w:rsid w:val="00911B65"/>
    <w:rsid w:val="00911C1C"/>
    <w:rsid w:val="0091347C"/>
    <w:rsid w:val="00913EDD"/>
    <w:rsid w:val="00920AB9"/>
    <w:rsid w:val="009212F4"/>
    <w:rsid w:val="009214D5"/>
    <w:rsid w:val="00921E80"/>
    <w:rsid w:val="0092267A"/>
    <w:rsid w:val="009248D0"/>
    <w:rsid w:val="00924F9C"/>
    <w:rsid w:val="00925C0E"/>
    <w:rsid w:val="00926781"/>
    <w:rsid w:val="009276A7"/>
    <w:rsid w:val="00927C0F"/>
    <w:rsid w:val="00930549"/>
    <w:rsid w:val="00931E8F"/>
    <w:rsid w:val="00933F15"/>
    <w:rsid w:val="00936F45"/>
    <w:rsid w:val="0094276A"/>
    <w:rsid w:val="00944490"/>
    <w:rsid w:val="00945FD7"/>
    <w:rsid w:val="009462A3"/>
    <w:rsid w:val="00946F08"/>
    <w:rsid w:val="00951FC9"/>
    <w:rsid w:val="009526AC"/>
    <w:rsid w:val="009532DC"/>
    <w:rsid w:val="00953F1A"/>
    <w:rsid w:val="00961056"/>
    <w:rsid w:val="009618CC"/>
    <w:rsid w:val="00962114"/>
    <w:rsid w:val="00965350"/>
    <w:rsid w:val="00965959"/>
    <w:rsid w:val="00965D15"/>
    <w:rsid w:val="00966A11"/>
    <w:rsid w:val="00972ECD"/>
    <w:rsid w:val="00973105"/>
    <w:rsid w:val="00973404"/>
    <w:rsid w:val="0097411F"/>
    <w:rsid w:val="009802DF"/>
    <w:rsid w:val="00980BAF"/>
    <w:rsid w:val="00981D39"/>
    <w:rsid w:val="00982AB5"/>
    <w:rsid w:val="009841D1"/>
    <w:rsid w:val="009850D0"/>
    <w:rsid w:val="0099005F"/>
    <w:rsid w:val="00992C7B"/>
    <w:rsid w:val="00993373"/>
    <w:rsid w:val="0099406D"/>
    <w:rsid w:val="009A0157"/>
    <w:rsid w:val="009A1B4C"/>
    <w:rsid w:val="009A270C"/>
    <w:rsid w:val="009A31FE"/>
    <w:rsid w:val="009A4611"/>
    <w:rsid w:val="009A4B88"/>
    <w:rsid w:val="009A6A46"/>
    <w:rsid w:val="009A7998"/>
    <w:rsid w:val="009B024E"/>
    <w:rsid w:val="009B0E91"/>
    <w:rsid w:val="009B39E8"/>
    <w:rsid w:val="009B4D3A"/>
    <w:rsid w:val="009B60C2"/>
    <w:rsid w:val="009C0927"/>
    <w:rsid w:val="009C5439"/>
    <w:rsid w:val="009C6478"/>
    <w:rsid w:val="009C7A2B"/>
    <w:rsid w:val="009D051F"/>
    <w:rsid w:val="009D1F6E"/>
    <w:rsid w:val="009D3AE2"/>
    <w:rsid w:val="009D4641"/>
    <w:rsid w:val="009D6331"/>
    <w:rsid w:val="009D76CC"/>
    <w:rsid w:val="009E2437"/>
    <w:rsid w:val="009E464C"/>
    <w:rsid w:val="009F0E22"/>
    <w:rsid w:val="009F0E56"/>
    <w:rsid w:val="009F431B"/>
    <w:rsid w:val="009F5411"/>
    <w:rsid w:val="00A02F07"/>
    <w:rsid w:val="00A03AFF"/>
    <w:rsid w:val="00A04D81"/>
    <w:rsid w:val="00A06AB2"/>
    <w:rsid w:val="00A06FD3"/>
    <w:rsid w:val="00A07FAB"/>
    <w:rsid w:val="00A10801"/>
    <w:rsid w:val="00A125AF"/>
    <w:rsid w:val="00A14783"/>
    <w:rsid w:val="00A15620"/>
    <w:rsid w:val="00A1594F"/>
    <w:rsid w:val="00A16110"/>
    <w:rsid w:val="00A21940"/>
    <w:rsid w:val="00A2334C"/>
    <w:rsid w:val="00A262FF"/>
    <w:rsid w:val="00A26B8C"/>
    <w:rsid w:val="00A27FB4"/>
    <w:rsid w:val="00A3023B"/>
    <w:rsid w:val="00A31464"/>
    <w:rsid w:val="00A320F2"/>
    <w:rsid w:val="00A32DEC"/>
    <w:rsid w:val="00A342B1"/>
    <w:rsid w:val="00A36E83"/>
    <w:rsid w:val="00A44A18"/>
    <w:rsid w:val="00A47BC3"/>
    <w:rsid w:val="00A537DD"/>
    <w:rsid w:val="00A54713"/>
    <w:rsid w:val="00A577BC"/>
    <w:rsid w:val="00A57C61"/>
    <w:rsid w:val="00A619AE"/>
    <w:rsid w:val="00A63662"/>
    <w:rsid w:val="00A669F1"/>
    <w:rsid w:val="00A70D7A"/>
    <w:rsid w:val="00A71055"/>
    <w:rsid w:val="00A733FA"/>
    <w:rsid w:val="00A7383D"/>
    <w:rsid w:val="00A73D5D"/>
    <w:rsid w:val="00A75CAF"/>
    <w:rsid w:val="00A77119"/>
    <w:rsid w:val="00A80C77"/>
    <w:rsid w:val="00A81E27"/>
    <w:rsid w:val="00A8265F"/>
    <w:rsid w:val="00A82B1F"/>
    <w:rsid w:val="00A83229"/>
    <w:rsid w:val="00A83441"/>
    <w:rsid w:val="00A8382B"/>
    <w:rsid w:val="00A85CE1"/>
    <w:rsid w:val="00A922B7"/>
    <w:rsid w:val="00A92717"/>
    <w:rsid w:val="00A93CCE"/>
    <w:rsid w:val="00A961DF"/>
    <w:rsid w:val="00A96738"/>
    <w:rsid w:val="00AA3347"/>
    <w:rsid w:val="00AA4341"/>
    <w:rsid w:val="00AA4B69"/>
    <w:rsid w:val="00AB01AF"/>
    <w:rsid w:val="00AB1A1B"/>
    <w:rsid w:val="00AB25AC"/>
    <w:rsid w:val="00AB4F1B"/>
    <w:rsid w:val="00AB59ED"/>
    <w:rsid w:val="00AC028C"/>
    <w:rsid w:val="00AC1E24"/>
    <w:rsid w:val="00AC1E86"/>
    <w:rsid w:val="00AC4163"/>
    <w:rsid w:val="00AC5286"/>
    <w:rsid w:val="00AC6DD2"/>
    <w:rsid w:val="00AD013E"/>
    <w:rsid w:val="00AD02C8"/>
    <w:rsid w:val="00AD0D10"/>
    <w:rsid w:val="00AD1792"/>
    <w:rsid w:val="00AD2825"/>
    <w:rsid w:val="00AD3E68"/>
    <w:rsid w:val="00AD5555"/>
    <w:rsid w:val="00AD67C4"/>
    <w:rsid w:val="00AD7326"/>
    <w:rsid w:val="00AE006D"/>
    <w:rsid w:val="00AE0497"/>
    <w:rsid w:val="00AE16F1"/>
    <w:rsid w:val="00AE38D7"/>
    <w:rsid w:val="00AE4F91"/>
    <w:rsid w:val="00AE52EB"/>
    <w:rsid w:val="00AF3B5A"/>
    <w:rsid w:val="00AF3CD4"/>
    <w:rsid w:val="00AF45C6"/>
    <w:rsid w:val="00AF46DF"/>
    <w:rsid w:val="00B02CD1"/>
    <w:rsid w:val="00B02E66"/>
    <w:rsid w:val="00B1153D"/>
    <w:rsid w:val="00B12E60"/>
    <w:rsid w:val="00B12F9A"/>
    <w:rsid w:val="00B20144"/>
    <w:rsid w:val="00B20248"/>
    <w:rsid w:val="00B20BA4"/>
    <w:rsid w:val="00B2454B"/>
    <w:rsid w:val="00B246C7"/>
    <w:rsid w:val="00B260C8"/>
    <w:rsid w:val="00B312E8"/>
    <w:rsid w:val="00B313E3"/>
    <w:rsid w:val="00B31F78"/>
    <w:rsid w:val="00B32C48"/>
    <w:rsid w:val="00B3374A"/>
    <w:rsid w:val="00B354F8"/>
    <w:rsid w:val="00B36F84"/>
    <w:rsid w:val="00B375E7"/>
    <w:rsid w:val="00B4143F"/>
    <w:rsid w:val="00B43724"/>
    <w:rsid w:val="00B43A02"/>
    <w:rsid w:val="00B46DF9"/>
    <w:rsid w:val="00B4743A"/>
    <w:rsid w:val="00B47F4B"/>
    <w:rsid w:val="00B502AB"/>
    <w:rsid w:val="00B5323B"/>
    <w:rsid w:val="00B551DB"/>
    <w:rsid w:val="00B61E53"/>
    <w:rsid w:val="00B629BC"/>
    <w:rsid w:val="00B653DC"/>
    <w:rsid w:val="00B67FBC"/>
    <w:rsid w:val="00B725B6"/>
    <w:rsid w:val="00B73904"/>
    <w:rsid w:val="00B763F5"/>
    <w:rsid w:val="00B801EC"/>
    <w:rsid w:val="00B80680"/>
    <w:rsid w:val="00B817B4"/>
    <w:rsid w:val="00B82544"/>
    <w:rsid w:val="00B832C0"/>
    <w:rsid w:val="00B84CD5"/>
    <w:rsid w:val="00B865F2"/>
    <w:rsid w:val="00B90041"/>
    <w:rsid w:val="00B9387D"/>
    <w:rsid w:val="00B95D91"/>
    <w:rsid w:val="00BA2CFE"/>
    <w:rsid w:val="00BA77B7"/>
    <w:rsid w:val="00BB1EB9"/>
    <w:rsid w:val="00BB6DC0"/>
    <w:rsid w:val="00BC0812"/>
    <w:rsid w:val="00BC28CC"/>
    <w:rsid w:val="00BC4006"/>
    <w:rsid w:val="00BD5D65"/>
    <w:rsid w:val="00BD73B0"/>
    <w:rsid w:val="00BD73BC"/>
    <w:rsid w:val="00BD7834"/>
    <w:rsid w:val="00BE26B9"/>
    <w:rsid w:val="00BF046A"/>
    <w:rsid w:val="00BF3826"/>
    <w:rsid w:val="00BF6FF9"/>
    <w:rsid w:val="00C0070A"/>
    <w:rsid w:val="00C02C32"/>
    <w:rsid w:val="00C037B1"/>
    <w:rsid w:val="00C04C10"/>
    <w:rsid w:val="00C0544F"/>
    <w:rsid w:val="00C05A6F"/>
    <w:rsid w:val="00C062B2"/>
    <w:rsid w:val="00C132C5"/>
    <w:rsid w:val="00C14130"/>
    <w:rsid w:val="00C154AB"/>
    <w:rsid w:val="00C15E8A"/>
    <w:rsid w:val="00C15EBB"/>
    <w:rsid w:val="00C16252"/>
    <w:rsid w:val="00C21860"/>
    <w:rsid w:val="00C22A9D"/>
    <w:rsid w:val="00C2349C"/>
    <w:rsid w:val="00C238F3"/>
    <w:rsid w:val="00C24BAB"/>
    <w:rsid w:val="00C258B1"/>
    <w:rsid w:val="00C25994"/>
    <w:rsid w:val="00C31994"/>
    <w:rsid w:val="00C357EF"/>
    <w:rsid w:val="00C35BAC"/>
    <w:rsid w:val="00C37151"/>
    <w:rsid w:val="00C373FD"/>
    <w:rsid w:val="00C3747F"/>
    <w:rsid w:val="00C41CDB"/>
    <w:rsid w:val="00C45915"/>
    <w:rsid w:val="00C50B8C"/>
    <w:rsid w:val="00C51B83"/>
    <w:rsid w:val="00C52200"/>
    <w:rsid w:val="00C526F0"/>
    <w:rsid w:val="00C52980"/>
    <w:rsid w:val="00C53256"/>
    <w:rsid w:val="00C53BDB"/>
    <w:rsid w:val="00C56643"/>
    <w:rsid w:val="00C5668A"/>
    <w:rsid w:val="00C575F3"/>
    <w:rsid w:val="00C6120C"/>
    <w:rsid w:val="00C63312"/>
    <w:rsid w:val="00C63EFA"/>
    <w:rsid w:val="00C657D1"/>
    <w:rsid w:val="00C65AB4"/>
    <w:rsid w:val="00C703F5"/>
    <w:rsid w:val="00C7178D"/>
    <w:rsid w:val="00C71F0E"/>
    <w:rsid w:val="00C74D30"/>
    <w:rsid w:val="00C74FA2"/>
    <w:rsid w:val="00C7545C"/>
    <w:rsid w:val="00C7734E"/>
    <w:rsid w:val="00C80D2E"/>
    <w:rsid w:val="00C80DBB"/>
    <w:rsid w:val="00C815A1"/>
    <w:rsid w:val="00C8203F"/>
    <w:rsid w:val="00C83656"/>
    <w:rsid w:val="00C83CA5"/>
    <w:rsid w:val="00C851F1"/>
    <w:rsid w:val="00C85B95"/>
    <w:rsid w:val="00C8671F"/>
    <w:rsid w:val="00C87D49"/>
    <w:rsid w:val="00C91859"/>
    <w:rsid w:val="00C919FC"/>
    <w:rsid w:val="00C92275"/>
    <w:rsid w:val="00C959FE"/>
    <w:rsid w:val="00C97655"/>
    <w:rsid w:val="00C97896"/>
    <w:rsid w:val="00CA0CDE"/>
    <w:rsid w:val="00CA38AC"/>
    <w:rsid w:val="00CA4A90"/>
    <w:rsid w:val="00CA4BDE"/>
    <w:rsid w:val="00CB0683"/>
    <w:rsid w:val="00CB0C14"/>
    <w:rsid w:val="00CB50DD"/>
    <w:rsid w:val="00CB5626"/>
    <w:rsid w:val="00CB60BE"/>
    <w:rsid w:val="00CB7647"/>
    <w:rsid w:val="00CB7F58"/>
    <w:rsid w:val="00CC35B4"/>
    <w:rsid w:val="00CC3A48"/>
    <w:rsid w:val="00CD1F12"/>
    <w:rsid w:val="00CD2A09"/>
    <w:rsid w:val="00CD4FFF"/>
    <w:rsid w:val="00CD5740"/>
    <w:rsid w:val="00CE2043"/>
    <w:rsid w:val="00CE2793"/>
    <w:rsid w:val="00CE3E64"/>
    <w:rsid w:val="00CE5AA9"/>
    <w:rsid w:val="00CF07B8"/>
    <w:rsid w:val="00CF3126"/>
    <w:rsid w:val="00CF3549"/>
    <w:rsid w:val="00CF3690"/>
    <w:rsid w:val="00CF5024"/>
    <w:rsid w:val="00CF5391"/>
    <w:rsid w:val="00CF7630"/>
    <w:rsid w:val="00D0121C"/>
    <w:rsid w:val="00D026C0"/>
    <w:rsid w:val="00D037E2"/>
    <w:rsid w:val="00D04009"/>
    <w:rsid w:val="00D112B4"/>
    <w:rsid w:val="00D15AE3"/>
    <w:rsid w:val="00D2053F"/>
    <w:rsid w:val="00D22066"/>
    <w:rsid w:val="00D23233"/>
    <w:rsid w:val="00D23A82"/>
    <w:rsid w:val="00D2427C"/>
    <w:rsid w:val="00D259DC"/>
    <w:rsid w:val="00D26572"/>
    <w:rsid w:val="00D33238"/>
    <w:rsid w:val="00D333F4"/>
    <w:rsid w:val="00D3553D"/>
    <w:rsid w:val="00D40D4D"/>
    <w:rsid w:val="00D43092"/>
    <w:rsid w:val="00D44590"/>
    <w:rsid w:val="00D44BE9"/>
    <w:rsid w:val="00D465D5"/>
    <w:rsid w:val="00D511B2"/>
    <w:rsid w:val="00D53DCD"/>
    <w:rsid w:val="00D54BD5"/>
    <w:rsid w:val="00D55C84"/>
    <w:rsid w:val="00D6002B"/>
    <w:rsid w:val="00D60246"/>
    <w:rsid w:val="00D613B9"/>
    <w:rsid w:val="00D62E67"/>
    <w:rsid w:val="00D631F7"/>
    <w:rsid w:val="00D65DA0"/>
    <w:rsid w:val="00D66CEF"/>
    <w:rsid w:val="00D7087E"/>
    <w:rsid w:val="00D724B2"/>
    <w:rsid w:val="00D7296E"/>
    <w:rsid w:val="00D73206"/>
    <w:rsid w:val="00D73895"/>
    <w:rsid w:val="00D74067"/>
    <w:rsid w:val="00D74EED"/>
    <w:rsid w:val="00D80AB5"/>
    <w:rsid w:val="00D838E7"/>
    <w:rsid w:val="00D84645"/>
    <w:rsid w:val="00D84D27"/>
    <w:rsid w:val="00D850E0"/>
    <w:rsid w:val="00D8598D"/>
    <w:rsid w:val="00D90175"/>
    <w:rsid w:val="00D941DC"/>
    <w:rsid w:val="00D950B0"/>
    <w:rsid w:val="00D96290"/>
    <w:rsid w:val="00DA1CBF"/>
    <w:rsid w:val="00DA2B09"/>
    <w:rsid w:val="00DA2FD4"/>
    <w:rsid w:val="00DA40EA"/>
    <w:rsid w:val="00DA512B"/>
    <w:rsid w:val="00DA77D4"/>
    <w:rsid w:val="00DB05A7"/>
    <w:rsid w:val="00DB1EDB"/>
    <w:rsid w:val="00DB2100"/>
    <w:rsid w:val="00DB4C40"/>
    <w:rsid w:val="00DB4C8F"/>
    <w:rsid w:val="00DB5365"/>
    <w:rsid w:val="00DC08A8"/>
    <w:rsid w:val="00DC1EB3"/>
    <w:rsid w:val="00DC1F39"/>
    <w:rsid w:val="00DC2B0E"/>
    <w:rsid w:val="00DC2E59"/>
    <w:rsid w:val="00DC2EC5"/>
    <w:rsid w:val="00DD2C59"/>
    <w:rsid w:val="00DD3E1E"/>
    <w:rsid w:val="00DD4B2E"/>
    <w:rsid w:val="00DD4EEF"/>
    <w:rsid w:val="00DD550F"/>
    <w:rsid w:val="00DD60CD"/>
    <w:rsid w:val="00DD611D"/>
    <w:rsid w:val="00DE16D0"/>
    <w:rsid w:val="00DE18C0"/>
    <w:rsid w:val="00DE2585"/>
    <w:rsid w:val="00DE3FC3"/>
    <w:rsid w:val="00DE4F42"/>
    <w:rsid w:val="00DE625C"/>
    <w:rsid w:val="00DF0377"/>
    <w:rsid w:val="00DF3CC2"/>
    <w:rsid w:val="00DF3E96"/>
    <w:rsid w:val="00DF46E7"/>
    <w:rsid w:val="00E00CF6"/>
    <w:rsid w:val="00E02372"/>
    <w:rsid w:val="00E03766"/>
    <w:rsid w:val="00E05651"/>
    <w:rsid w:val="00E0780C"/>
    <w:rsid w:val="00E1231D"/>
    <w:rsid w:val="00E13AAE"/>
    <w:rsid w:val="00E1453E"/>
    <w:rsid w:val="00E14668"/>
    <w:rsid w:val="00E16376"/>
    <w:rsid w:val="00E16C71"/>
    <w:rsid w:val="00E2072A"/>
    <w:rsid w:val="00E2207D"/>
    <w:rsid w:val="00E22AF8"/>
    <w:rsid w:val="00E25BAC"/>
    <w:rsid w:val="00E25E76"/>
    <w:rsid w:val="00E25FF8"/>
    <w:rsid w:val="00E261BF"/>
    <w:rsid w:val="00E408DD"/>
    <w:rsid w:val="00E4183C"/>
    <w:rsid w:val="00E430BE"/>
    <w:rsid w:val="00E43E58"/>
    <w:rsid w:val="00E459BE"/>
    <w:rsid w:val="00E50730"/>
    <w:rsid w:val="00E52DEE"/>
    <w:rsid w:val="00E53683"/>
    <w:rsid w:val="00E53DAC"/>
    <w:rsid w:val="00E54EAB"/>
    <w:rsid w:val="00E61386"/>
    <w:rsid w:val="00E61B21"/>
    <w:rsid w:val="00E61CAC"/>
    <w:rsid w:val="00E64353"/>
    <w:rsid w:val="00E656EF"/>
    <w:rsid w:val="00E74242"/>
    <w:rsid w:val="00E75913"/>
    <w:rsid w:val="00E77BA3"/>
    <w:rsid w:val="00E81AA4"/>
    <w:rsid w:val="00E84C3A"/>
    <w:rsid w:val="00E84EC1"/>
    <w:rsid w:val="00E84F04"/>
    <w:rsid w:val="00E860D5"/>
    <w:rsid w:val="00E8703A"/>
    <w:rsid w:val="00E9053A"/>
    <w:rsid w:val="00E92212"/>
    <w:rsid w:val="00E927BF"/>
    <w:rsid w:val="00E92D99"/>
    <w:rsid w:val="00E95B9E"/>
    <w:rsid w:val="00E95FC7"/>
    <w:rsid w:val="00E960BF"/>
    <w:rsid w:val="00EA3B6A"/>
    <w:rsid w:val="00EA649A"/>
    <w:rsid w:val="00EA6A0C"/>
    <w:rsid w:val="00EA7675"/>
    <w:rsid w:val="00EB063C"/>
    <w:rsid w:val="00EB0D42"/>
    <w:rsid w:val="00EB1359"/>
    <w:rsid w:val="00EB254E"/>
    <w:rsid w:val="00EB3B8C"/>
    <w:rsid w:val="00EB4D4A"/>
    <w:rsid w:val="00EB70F1"/>
    <w:rsid w:val="00EC141D"/>
    <w:rsid w:val="00EC1AAD"/>
    <w:rsid w:val="00EC3BD2"/>
    <w:rsid w:val="00EC5A72"/>
    <w:rsid w:val="00EC6AC0"/>
    <w:rsid w:val="00EC6DB6"/>
    <w:rsid w:val="00EC7EC7"/>
    <w:rsid w:val="00ED01E1"/>
    <w:rsid w:val="00ED4726"/>
    <w:rsid w:val="00ED54EC"/>
    <w:rsid w:val="00ED5EA7"/>
    <w:rsid w:val="00ED7B31"/>
    <w:rsid w:val="00EE0EAD"/>
    <w:rsid w:val="00EE0F2B"/>
    <w:rsid w:val="00EE1EB3"/>
    <w:rsid w:val="00EE2B14"/>
    <w:rsid w:val="00EF04D0"/>
    <w:rsid w:val="00EF188C"/>
    <w:rsid w:val="00EF25A1"/>
    <w:rsid w:val="00EF408F"/>
    <w:rsid w:val="00EF661F"/>
    <w:rsid w:val="00F10F71"/>
    <w:rsid w:val="00F11658"/>
    <w:rsid w:val="00F13963"/>
    <w:rsid w:val="00F15564"/>
    <w:rsid w:val="00F165C1"/>
    <w:rsid w:val="00F20F84"/>
    <w:rsid w:val="00F221FF"/>
    <w:rsid w:val="00F2385E"/>
    <w:rsid w:val="00F246D4"/>
    <w:rsid w:val="00F24FB5"/>
    <w:rsid w:val="00F26041"/>
    <w:rsid w:val="00F26B2D"/>
    <w:rsid w:val="00F32FC1"/>
    <w:rsid w:val="00F35D3A"/>
    <w:rsid w:val="00F370A7"/>
    <w:rsid w:val="00F400C4"/>
    <w:rsid w:val="00F41813"/>
    <w:rsid w:val="00F43989"/>
    <w:rsid w:val="00F45B57"/>
    <w:rsid w:val="00F46EF8"/>
    <w:rsid w:val="00F51476"/>
    <w:rsid w:val="00F51692"/>
    <w:rsid w:val="00F52341"/>
    <w:rsid w:val="00F533E9"/>
    <w:rsid w:val="00F53EEB"/>
    <w:rsid w:val="00F5704F"/>
    <w:rsid w:val="00F57C08"/>
    <w:rsid w:val="00F608B4"/>
    <w:rsid w:val="00F626D7"/>
    <w:rsid w:val="00F65A8F"/>
    <w:rsid w:val="00F71925"/>
    <w:rsid w:val="00F7668E"/>
    <w:rsid w:val="00F76876"/>
    <w:rsid w:val="00F7696E"/>
    <w:rsid w:val="00F87027"/>
    <w:rsid w:val="00F95589"/>
    <w:rsid w:val="00FA0402"/>
    <w:rsid w:val="00FA0B3C"/>
    <w:rsid w:val="00FA24E1"/>
    <w:rsid w:val="00FA41C8"/>
    <w:rsid w:val="00FA53DE"/>
    <w:rsid w:val="00FA7600"/>
    <w:rsid w:val="00FB26B5"/>
    <w:rsid w:val="00FB438D"/>
    <w:rsid w:val="00FB522C"/>
    <w:rsid w:val="00FB5622"/>
    <w:rsid w:val="00FB78E7"/>
    <w:rsid w:val="00FC1258"/>
    <w:rsid w:val="00FC3824"/>
    <w:rsid w:val="00FC5201"/>
    <w:rsid w:val="00FC61D9"/>
    <w:rsid w:val="00FC6C61"/>
    <w:rsid w:val="00FC74A9"/>
    <w:rsid w:val="00FC7E40"/>
    <w:rsid w:val="00FCD2D6"/>
    <w:rsid w:val="00FD02A7"/>
    <w:rsid w:val="00FD034C"/>
    <w:rsid w:val="00FD04E4"/>
    <w:rsid w:val="00FD2CF4"/>
    <w:rsid w:val="00FD2F9C"/>
    <w:rsid w:val="00FD4757"/>
    <w:rsid w:val="00FD635F"/>
    <w:rsid w:val="00FE0A90"/>
    <w:rsid w:val="00FE34D1"/>
    <w:rsid w:val="00FE5125"/>
    <w:rsid w:val="00FF3820"/>
    <w:rsid w:val="00FF3B95"/>
    <w:rsid w:val="00FF51C7"/>
    <w:rsid w:val="01517105"/>
    <w:rsid w:val="016FEAA7"/>
    <w:rsid w:val="0194C615"/>
    <w:rsid w:val="01EFF3BC"/>
    <w:rsid w:val="02377A61"/>
    <w:rsid w:val="028E10CE"/>
    <w:rsid w:val="02F0D795"/>
    <w:rsid w:val="03144D29"/>
    <w:rsid w:val="03475A6D"/>
    <w:rsid w:val="03647D7F"/>
    <w:rsid w:val="037AFD3F"/>
    <w:rsid w:val="04C169B9"/>
    <w:rsid w:val="05183DBC"/>
    <w:rsid w:val="055E1222"/>
    <w:rsid w:val="062A1030"/>
    <w:rsid w:val="06908A8A"/>
    <w:rsid w:val="06B744F8"/>
    <w:rsid w:val="06BAD549"/>
    <w:rsid w:val="0715031E"/>
    <w:rsid w:val="07544326"/>
    <w:rsid w:val="07547A4E"/>
    <w:rsid w:val="07A13D1E"/>
    <w:rsid w:val="07A74DC1"/>
    <w:rsid w:val="07E8AD48"/>
    <w:rsid w:val="07FDCB9D"/>
    <w:rsid w:val="081E6684"/>
    <w:rsid w:val="0894AC2D"/>
    <w:rsid w:val="08D6EB2A"/>
    <w:rsid w:val="0901BDA0"/>
    <w:rsid w:val="09315B6A"/>
    <w:rsid w:val="0946C4C8"/>
    <w:rsid w:val="0948A235"/>
    <w:rsid w:val="0959C930"/>
    <w:rsid w:val="09801CF3"/>
    <w:rsid w:val="098A5EC8"/>
    <w:rsid w:val="09925E81"/>
    <w:rsid w:val="09D8EDF0"/>
    <w:rsid w:val="09E1C8E7"/>
    <w:rsid w:val="09F023BE"/>
    <w:rsid w:val="0A6B12B2"/>
    <w:rsid w:val="0ADD822A"/>
    <w:rsid w:val="0AEED363"/>
    <w:rsid w:val="0B227919"/>
    <w:rsid w:val="0B6CCEE6"/>
    <w:rsid w:val="0BA9A470"/>
    <w:rsid w:val="0C501E47"/>
    <w:rsid w:val="0CF927D4"/>
    <w:rsid w:val="0DCF9485"/>
    <w:rsid w:val="0E5EE9D0"/>
    <w:rsid w:val="0ECDB571"/>
    <w:rsid w:val="0EF5E4A0"/>
    <w:rsid w:val="0F1F9E6B"/>
    <w:rsid w:val="0F24104E"/>
    <w:rsid w:val="0F6A8AB8"/>
    <w:rsid w:val="100394C2"/>
    <w:rsid w:val="10076279"/>
    <w:rsid w:val="100B9061"/>
    <w:rsid w:val="100E2017"/>
    <w:rsid w:val="1023BC9F"/>
    <w:rsid w:val="10360D7A"/>
    <w:rsid w:val="10ACD59C"/>
    <w:rsid w:val="10B2F83E"/>
    <w:rsid w:val="10F9C3AE"/>
    <w:rsid w:val="110924EF"/>
    <w:rsid w:val="113E188D"/>
    <w:rsid w:val="11526435"/>
    <w:rsid w:val="11C51113"/>
    <w:rsid w:val="12129798"/>
    <w:rsid w:val="1219CE19"/>
    <w:rsid w:val="1266FB67"/>
    <w:rsid w:val="129B4AF3"/>
    <w:rsid w:val="12F3F801"/>
    <w:rsid w:val="13092A1C"/>
    <w:rsid w:val="133F033B"/>
    <w:rsid w:val="136D3600"/>
    <w:rsid w:val="13A744BC"/>
    <w:rsid w:val="14032D66"/>
    <w:rsid w:val="14EFA5DE"/>
    <w:rsid w:val="150D60C4"/>
    <w:rsid w:val="151E9B9B"/>
    <w:rsid w:val="158E9AF1"/>
    <w:rsid w:val="15A13B66"/>
    <w:rsid w:val="15C50ADD"/>
    <w:rsid w:val="15D603AA"/>
    <w:rsid w:val="160AF1F8"/>
    <w:rsid w:val="1676A3FD"/>
    <w:rsid w:val="17139E3A"/>
    <w:rsid w:val="174F6D96"/>
    <w:rsid w:val="17507548"/>
    <w:rsid w:val="177DDD9F"/>
    <w:rsid w:val="182CB868"/>
    <w:rsid w:val="18619EFF"/>
    <w:rsid w:val="18CF85E4"/>
    <w:rsid w:val="18FE49CB"/>
    <w:rsid w:val="19DC0658"/>
    <w:rsid w:val="19FDC385"/>
    <w:rsid w:val="1A149B18"/>
    <w:rsid w:val="1A83B459"/>
    <w:rsid w:val="1AA43D5C"/>
    <w:rsid w:val="1AA6CD12"/>
    <w:rsid w:val="1AE2FE19"/>
    <w:rsid w:val="1B09D75A"/>
    <w:rsid w:val="1B3B5E77"/>
    <w:rsid w:val="1BE911AB"/>
    <w:rsid w:val="1C24AFB6"/>
    <w:rsid w:val="1C5069B9"/>
    <w:rsid w:val="1CFF4A4C"/>
    <w:rsid w:val="1EAEBAF2"/>
    <w:rsid w:val="1F5ABCE4"/>
    <w:rsid w:val="1F5C5078"/>
    <w:rsid w:val="20555182"/>
    <w:rsid w:val="20569F33"/>
    <w:rsid w:val="205E2717"/>
    <w:rsid w:val="208A8289"/>
    <w:rsid w:val="208DB103"/>
    <w:rsid w:val="20F820D9"/>
    <w:rsid w:val="21014C75"/>
    <w:rsid w:val="2175F34F"/>
    <w:rsid w:val="21BAEA3E"/>
    <w:rsid w:val="21CC5A74"/>
    <w:rsid w:val="21EC138E"/>
    <w:rsid w:val="22A52C11"/>
    <w:rsid w:val="22B8EDEE"/>
    <w:rsid w:val="22BDEECF"/>
    <w:rsid w:val="235DDF93"/>
    <w:rsid w:val="23A01860"/>
    <w:rsid w:val="23A76901"/>
    <w:rsid w:val="24116F3D"/>
    <w:rsid w:val="24178232"/>
    <w:rsid w:val="241C28E7"/>
    <w:rsid w:val="2437AF21"/>
    <w:rsid w:val="2498CD65"/>
    <w:rsid w:val="24A3ECF4"/>
    <w:rsid w:val="24ADCCC7"/>
    <w:rsid w:val="2535695C"/>
    <w:rsid w:val="25449955"/>
    <w:rsid w:val="25487B6A"/>
    <w:rsid w:val="259B62B7"/>
    <w:rsid w:val="25B3D2E0"/>
    <w:rsid w:val="25D37F82"/>
    <w:rsid w:val="25DCCCD3"/>
    <w:rsid w:val="25ECE44D"/>
    <w:rsid w:val="26D79D97"/>
    <w:rsid w:val="270522E3"/>
    <w:rsid w:val="279B49E9"/>
    <w:rsid w:val="28B02829"/>
    <w:rsid w:val="28ED178C"/>
    <w:rsid w:val="28FB3426"/>
    <w:rsid w:val="291FADDF"/>
    <w:rsid w:val="29F5F995"/>
    <w:rsid w:val="2A0CEB50"/>
    <w:rsid w:val="2A318E0F"/>
    <w:rsid w:val="2AAC1014"/>
    <w:rsid w:val="2AF08E33"/>
    <w:rsid w:val="2AF85C16"/>
    <w:rsid w:val="2B822988"/>
    <w:rsid w:val="2BAE3751"/>
    <w:rsid w:val="2BF0F232"/>
    <w:rsid w:val="2C113000"/>
    <w:rsid w:val="2C4B5087"/>
    <w:rsid w:val="2C52FEC6"/>
    <w:rsid w:val="2D68FA98"/>
    <w:rsid w:val="2DAE0FB6"/>
    <w:rsid w:val="2DDACBEE"/>
    <w:rsid w:val="2DEA6E71"/>
    <w:rsid w:val="2E0E4C5E"/>
    <w:rsid w:val="2E2D77BA"/>
    <w:rsid w:val="2E5D49EB"/>
    <w:rsid w:val="2E726EA9"/>
    <w:rsid w:val="2E8B75C4"/>
    <w:rsid w:val="2ED6C8E7"/>
    <w:rsid w:val="2EEB161D"/>
    <w:rsid w:val="2F212B99"/>
    <w:rsid w:val="2F9747D3"/>
    <w:rsid w:val="2FAA7252"/>
    <w:rsid w:val="2FC44555"/>
    <w:rsid w:val="2FFCD368"/>
    <w:rsid w:val="305C01F3"/>
    <w:rsid w:val="3109E3F0"/>
    <w:rsid w:val="317BA590"/>
    <w:rsid w:val="319E1C39"/>
    <w:rsid w:val="3327A0F9"/>
    <w:rsid w:val="335DA668"/>
    <w:rsid w:val="3360361E"/>
    <w:rsid w:val="344BD9B5"/>
    <w:rsid w:val="35146493"/>
    <w:rsid w:val="35374A7B"/>
    <w:rsid w:val="35CD63CF"/>
    <w:rsid w:val="35D4FC58"/>
    <w:rsid w:val="3600E0A1"/>
    <w:rsid w:val="36B3030B"/>
    <w:rsid w:val="376C4B50"/>
    <w:rsid w:val="382E08E3"/>
    <w:rsid w:val="3840B433"/>
    <w:rsid w:val="3888D6C7"/>
    <w:rsid w:val="39028C0E"/>
    <w:rsid w:val="3939A12A"/>
    <w:rsid w:val="39B7EB00"/>
    <w:rsid w:val="39D60367"/>
    <w:rsid w:val="39E2B647"/>
    <w:rsid w:val="3ACD400C"/>
    <w:rsid w:val="3B05C90C"/>
    <w:rsid w:val="3B126A13"/>
    <w:rsid w:val="3B14F292"/>
    <w:rsid w:val="3B7E86A8"/>
    <w:rsid w:val="3C610EC4"/>
    <w:rsid w:val="3C72499B"/>
    <w:rsid w:val="3C786529"/>
    <w:rsid w:val="3C8B9939"/>
    <w:rsid w:val="3C91B209"/>
    <w:rsid w:val="3CAD4674"/>
    <w:rsid w:val="3CBD8EE9"/>
    <w:rsid w:val="3D057E32"/>
    <w:rsid w:val="3D31CD11"/>
    <w:rsid w:val="3D4FD98C"/>
    <w:rsid w:val="3D519461"/>
    <w:rsid w:val="3D8375A9"/>
    <w:rsid w:val="3DA8A7D6"/>
    <w:rsid w:val="3DB67BE0"/>
    <w:rsid w:val="3DD8BC14"/>
    <w:rsid w:val="3DD99499"/>
    <w:rsid w:val="3DE3C83F"/>
    <w:rsid w:val="3E05071E"/>
    <w:rsid w:val="3E1AC14F"/>
    <w:rsid w:val="3E7033D7"/>
    <w:rsid w:val="3EEC911F"/>
    <w:rsid w:val="403409CD"/>
    <w:rsid w:val="4041EBE7"/>
    <w:rsid w:val="4093BCF7"/>
    <w:rsid w:val="4167017F"/>
    <w:rsid w:val="41741272"/>
    <w:rsid w:val="41D3A839"/>
    <w:rsid w:val="42E18B1F"/>
    <w:rsid w:val="42EFE0E3"/>
    <w:rsid w:val="42F1FCAB"/>
    <w:rsid w:val="43371C2B"/>
    <w:rsid w:val="4385CF52"/>
    <w:rsid w:val="438FE6EC"/>
    <w:rsid w:val="43C54133"/>
    <w:rsid w:val="446C20A9"/>
    <w:rsid w:val="447C2C93"/>
    <w:rsid w:val="44EFDABD"/>
    <w:rsid w:val="44F7968E"/>
    <w:rsid w:val="44F89E40"/>
    <w:rsid w:val="454FCC22"/>
    <w:rsid w:val="45532783"/>
    <w:rsid w:val="459F0F65"/>
    <w:rsid w:val="4684C587"/>
    <w:rsid w:val="468C94E4"/>
    <w:rsid w:val="4696DD18"/>
    <w:rsid w:val="46A2824A"/>
    <w:rsid w:val="4713A1DA"/>
    <w:rsid w:val="472B6876"/>
    <w:rsid w:val="478C33BA"/>
    <w:rsid w:val="47A3C16B"/>
    <w:rsid w:val="47B335DD"/>
    <w:rsid w:val="47B90B89"/>
    <w:rsid w:val="47BABDC1"/>
    <w:rsid w:val="47ED8373"/>
    <w:rsid w:val="48022CC2"/>
    <w:rsid w:val="4876320D"/>
    <w:rsid w:val="48B9FE44"/>
    <w:rsid w:val="48F7FF97"/>
    <w:rsid w:val="493F91CC"/>
    <w:rsid w:val="4A08A98D"/>
    <w:rsid w:val="4A426957"/>
    <w:rsid w:val="4A55979F"/>
    <w:rsid w:val="4A6CEEFC"/>
    <w:rsid w:val="4AAE4976"/>
    <w:rsid w:val="4B1E227D"/>
    <w:rsid w:val="4B20E504"/>
    <w:rsid w:val="4B3C9481"/>
    <w:rsid w:val="4B9D56B1"/>
    <w:rsid w:val="4BD540AE"/>
    <w:rsid w:val="4C023E30"/>
    <w:rsid w:val="4C671B14"/>
    <w:rsid w:val="4C709B39"/>
    <w:rsid w:val="4CC07EA3"/>
    <w:rsid w:val="4CFABBE8"/>
    <w:rsid w:val="4D6307FB"/>
    <w:rsid w:val="4D7828F5"/>
    <w:rsid w:val="4DB7CE63"/>
    <w:rsid w:val="4DC99447"/>
    <w:rsid w:val="4DF32FE2"/>
    <w:rsid w:val="4E1302EF"/>
    <w:rsid w:val="4E210C03"/>
    <w:rsid w:val="4E607DE4"/>
    <w:rsid w:val="4EF4508B"/>
    <w:rsid w:val="4F049BB8"/>
    <w:rsid w:val="4F1D1CC7"/>
    <w:rsid w:val="4FCAAE3E"/>
    <w:rsid w:val="4FD53A78"/>
    <w:rsid w:val="500D2475"/>
    <w:rsid w:val="5015EA36"/>
    <w:rsid w:val="503E7399"/>
    <w:rsid w:val="508143F2"/>
    <w:rsid w:val="50AC4939"/>
    <w:rsid w:val="50D57C82"/>
    <w:rsid w:val="514279BD"/>
    <w:rsid w:val="514AA3B1"/>
    <w:rsid w:val="514FEA20"/>
    <w:rsid w:val="515F35B8"/>
    <w:rsid w:val="51924A12"/>
    <w:rsid w:val="52C74CD3"/>
    <w:rsid w:val="52EBC1D6"/>
    <w:rsid w:val="539E5B94"/>
    <w:rsid w:val="54026E32"/>
    <w:rsid w:val="547C7D55"/>
    <w:rsid w:val="548C1E82"/>
    <w:rsid w:val="54A0F0E6"/>
    <w:rsid w:val="54ABDD61"/>
    <w:rsid w:val="54C850CE"/>
    <w:rsid w:val="54DF34CF"/>
    <w:rsid w:val="54E577F8"/>
    <w:rsid w:val="550315DE"/>
    <w:rsid w:val="5574683F"/>
    <w:rsid w:val="55FCC283"/>
    <w:rsid w:val="5685B445"/>
    <w:rsid w:val="56EC109A"/>
    <w:rsid w:val="5739AA4D"/>
    <w:rsid w:val="57B9E535"/>
    <w:rsid w:val="5871A8D9"/>
    <w:rsid w:val="58BAC0C0"/>
    <w:rsid w:val="5952AEF6"/>
    <w:rsid w:val="59628FBA"/>
    <w:rsid w:val="598018CA"/>
    <w:rsid w:val="59C77D84"/>
    <w:rsid w:val="59CAE839"/>
    <w:rsid w:val="59CEFF1D"/>
    <w:rsid w:val="5AADBDF8"/>
    <w:rsid w:val="5BA8A330"/>
    <w:rsid w:val="5C19C2C0"/>
    <w:rsid w:val="5D1D9295"/>
    <w:rsid w:val="5D4045AC"/>
    <w:rsid w:val="5D792BC5"/>
    <w:rsid w:val="5DA40FB9"/>
    <w:rsid w:val="5DB0DD3A"/>
    <w:rsid w:val="5E5B767B"/>
    <w:rsid w:val="5E84DC95"/>
    <w:rsid w:val="5E9C995C"/>
    <w:rsid w:val="5EBB8474"/>
    <w:rsid w:val="5EC9D384"/>
    <w:rsid w:val="5EE26EFE"/>
    <w:rsid w:val="5F0C07EC"/>
    <w:rsid w:val="5F0CDCCD"/>
    <w:rsid w:val="5F14FC26"/>
    <w:rsid w:val="5F3F5F5A"/>
    <w:rsid w:val="5F51D3BC"/>
    <w:rsid w:val="5FAC89F5"/>
    <w:rsid w:val="60A1EF93"/>
    <w:rsid w:val="60B8BA0D"/>
    <w:rsid w:val="60D4EE8C"/>
    <w:rsid w:val="61375C3A"/>
    <w:rsid w:val="61782973"/>
    <w:rsid w:val="61D2D84A"/>
    <w:rsid w:val="61D64C4A"/>
    <w:rsid w:val="627A5923"/>
    <w:rsid w:val="628CD434"/>
    <w:rsid w:val="629595DB"/>
    <w:rsid w:val="62DE8B64"/>
    <w:rsid w:val="62F2C65E"/>
    <w:rsid w:val="63197661"/>
    <w:rsid w:val="63BDCDA7"/>
    <w:rsid w:val="64738E26"/>
    <w:rsid w:val="64C65749"/>
    <w:rsid w:val="66A37398"/>
    <w:rsid w:val="66B4FF71"/>
    <w:rsid w:val="66ED80E3"/>
    <w:rsid w:val="673F95F7"/>
    <w:rsid w:val="681B5EF6"/>
    <w:rsid w:val="6828BD35"/>
    <w:rsid w:val="68618EA3"/>
    <w:rsid w:val="68A279A1"/>
    <w:rsid w:val="68B91150"/>
    <w:rsid w:val="6A348782"/>
    <w:rsid w:val="6AB59B4B"/>
    <w:rsid w:val="6B0CD3C8"/>
    <w:rsid w:val="6B7E2629"/>
    <w:rsid w:val="6BE52E1F"/>
    <w:rsid w:val="6C01DE2B"/>
    <w:rsid w:val="6C122BA1"/>
    <w:rsid w:val="6C1FA451"/>
    <w:rsid w:val="6C5534EA"/>
    <w:rsid w:val="6C6B8E40"/>
    <w:rsid w:val="6C923F4B"/>
    <w:rsid w:val="6D57CA3C"/>
    <w:rsid w:val="6D57FD0D"/>
    <w:rsid w:val="6D5ABF94"/>
    <w:rsid w:val="6DB33754"/>
    <w:rsid w:val="6E95E0F3"/>
    <w:rsid w:val="6ED7407A"/>
    <w:rsid w:val="6F2756B5"/>
    <w:rsid w:val="6F64C5C0"/>
    <w:rsid w:val="6F6C4DA4"/>
    <w:rsid w:val="6F776CF0"/>
    <w:rsid w:val="6FD455EC"/>
    <w:rsid w:val="6FD8BD07"/>
    <w:rsid w:val="6FEDEC13"/>
    <w:rsid w:val="70478A47"/>
    <w:rsid w:val="7099C001"/>
    <w:rsid w:val="71503C22"/>
    <w:rsid w:val="715DF6AD"/>
    <w:rsid w:val="715F1D4C"/>
    <w:rsid w:val="716BB7A6"/>
    <w:rsid w:val="719D8FD6"/>
    <w:rsid w:val="71D23A5E"/>
    <w:rsid w:val="71D3B688"/>
    <w:rsid w:val="72BFA898"/>
    <w:rsid w:val="730F5712"/>
    <w:rsid w:val="73309F56"/>
    <w:rsid w:val="735683A5"/>
    <w:rsid w:val="735F3A7C"/>
    <w:rsid w:val="73AB9AA8"/>
    <w:rsid w:val="73DC1B65"/>
    <w:rsid w:val="751176E3"/>
    <w:rsid w:val="759CF12D"/>
    <w:rsid w:val="75E57F84"/>
    <w:rsid w:val="75ECD497"/>
    <w:rsid w:val="762FF705"/>
    <w:rsid w:val="7753AF58"/>
    <w:rsid w:val="7781E75D"/>
    <w:rsid w:val="77F2D41C"/>
    <w:rsid w:val="780BB0AA"/>
    <w:rsid w:val="78B89D6B"/>
    <w:rsid w:val="78C67E46"/>
    <w:rsid w:val="78D20236"/>
    <w:rsid w:val="792D863C"/>
    <w:rsid w:val="795A83BE"/>
    <w:rsid w:val="79FE3F6C"/>
    <w:rsid w:val="7A12310C"/>
    <w:rsid w:val="7A25A569"/>
    <w:rsid w:val="7A3B456F"/>
    <w:rsid w:val="7A6C5067"/>
    <w:rsid w:val="7AB8F0A7"/>
    <w:rsid w:val="7ACAF000"/>
    <w:rsid w:val="7AF5B926"/>
    <w:rsid w:val="7BE850AA"/>
    <w:rsid w:val="7CA0758F"/>
    <w:rsid w:val="7CB4A5C1"/>
    <w:rsid w:val="7D0F288A"/>
    <w:rsid w:val="7D3B2F08"/>
    <w:rsid w:val="7D5AEEDB"/>
    <w:rsid w:val="7D7C52FB"/>
    <w:rsid w:val="7D881D1A"/>
    <w:rsid w:val="7D926785"/>
    <w:rsid w:val="7DF57A61"/>
    <w:rsid w:val="7E76F8ED"/>
    <w:rsid w:val="7ED6D28A"/>
    <w:rsid w:val="7F0A88B0"/>
    <w:rsid w:val="7F6BD8C7"/>
    <w:rsid w:val="7FFBC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5E7F9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135CA4"/>
    <w:pPr>
      <w:spacing w:after="120"/>
    </w:pPr>
    <w:rPr>
      <w:rFonts w:ascii="Gotham Book" w:eastAsia="ヒラギノ角ゴ Pro W3" w:hAnsi="Gotham Book"/>
      <w:color w:val="000000"/>
      <w:sz w:val="22"/>
      <w:szCs w:val="24"/>
    </w:rPr>
  </w:style>
  <w:style w:type="paragraph" w:styleId="Rubrik1">
    <w:name w:val="heading 1"/>
    <w:aliases w:val="Subtitle"/>
    <w:basedOn w:val="Normal"/>
    <w:next w:val="Normal"/>
    <w:link w:val="Rubrik1Char"/>
    <w:qFormat/>
    <w:locked/>
    <w:rsid w:val="00AF3CD4"/>
    <w:pPr>
      <w:keepNext/>
      <w:keepLines/>
      <w:outlineLvl w:val="0"/>
    </w:pPr>
    <w:rPr>
      <w:rFonts w:eastAsiaTheme="majorEastAsia" w:cstheme="majorBidi"/>
      <w:color w:val="86BBE6"/>
      <w:sz w:val="28"/>
      <w:szCs w:val="32"/>
    </w:rPr>
  </w:style>
  <w:style w:type="paragraph" w:styleId="Rubrik2">
    <w:name w:val="heading 2"/>
    <w:basedOn w:val="Rubrik3"/>
    <w:next w:val="Normal"/>
    <w:link w:val="Rubrik2Char"/>
    <w:unhideWhenUsed/>
    <w:qFormat/>
    <w:locked/>
    <w:rsid w:val="00B832C0"/>
    <w:pPr>
      <w:spacing w:before="360"/>
      <w:outlineLvl w:val="1"/>
    </w:pPr>
    <w:rPr>
      <w:b/>
      <w:sz w:val="26"/>
      <w:szCs w:val="26"/>
    </w:rPr>
  </w:style>
  <w:style w:type="paragraph" w:styleId="Rubrik3">
    <w:name w:val="heading 3"/>
    <w:basedOn w:val="Normal"/>
    <w:next w:val="Normal"/>
    <w:link w:val="Rubrik3Char"/>
    <w:unhideWhenUsed/>
    <w:locked/>
    <w:rsid w:val="00185D6E"/>
    <w:pPr>
      <w:keepNext/>
      <w:keepLines/>
      <w:spacing w:before="40"/>
      <w:outlineLvl w:val="2"/>
    </w:pPr>
    <w:rPr>
      <w:rFonts w:eastAsiaTheme="majorEastAsia" w:cstheme="majorBidi"/>
      <w:color w:val="0063A7" w:themeColor="text1"/>
    </w:rPr>
  </w:style>
  <w:style w:type="paragraph" w:styleId="Rubrik4">
    <w:name w:val="heading 4"/>
    <w:aliases w:val="bullet"/>
    <w:basedOn w:val="Normal"/>
    <w:next w:val="Normal"/>
    <w:link w:val="Rubrik4Char"/>
    <w:unhideWhenUsed/>
    <w:qFormat/>
    <w:locked/>
    <w:rsid w:val="000E33A2"/>
    <w:pPr>
      <w:spacing w:before="280" w:after="60"/>
      <w:ind w:left="714" w:hanging="357"/>
      <w:outlineLvl w:val="3"/>
    </w:pPr>
    <w:rPr>
      <w:b/>
      <w:color w:val="0063A7" w:themeColor="text1"/>
    </w:rPr>
  </w:style>
  <w:style w:type="paragraph" w:styleId="Rubrik5">
    <w:name w:val="heading 5"/>
    <w:basedOn w:val="Normal"/>
    <w:next w:val="Normal"/>
    <w:link w:val="Rubrik5Char"/>
    <w:unhideWhenUsed/>
    <w:locked/>
    <w:rsid w:val="00185D6E"/>
    <w:pPr>
      <w:keepNext/>
      <w:keepLines/>
      <w:spacing w:before="40"/>
      <w:outlineLvl w:val="4"/>
    </w:pPr>
    <w:rPr>
      <w:rFonts w:eastAsiaTheme="majorEastAsia" w:cstheme="majorBidi"/>
      <w:color w:val="636569" w:themeColor="accent4"/>
      <w:u w:val="single"/>
    </w:rPr>
  </w:style>
  <w:style w:type="paragraph" w:styleId="Rubrik6">
    <w:name w:val="heading 6"/>
    <w:basedOn w:val="Normal"/>
    <w:next w:val="Normal"/>
    <w:link w:val="Rubrik6Char"/>
    <w:semiHidden/>
    <w:unhideWhenUsed/>
    <w:locked/>
    <w:rsid w:val="00B832C0"/>
    <w:pPr>
      <w:keepNext/>
      <w:keepLines/>
      <w:spacing w:before="40"/>
      <w:outlineLvl w:val="5"/>
    </w:pPr>
    <w:rPr>
      <w:rFonts w:eastAsiaTheme="majorEastAsia" w:cstheme="majorBidi"/>
      <w:i/>
      <w:color w:val="636569" w:themeColor="accent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zFooter">
    <w:name w:val="z Footer"/>
    <w:basedOn w:val="Normal"/>
    <w:qFormat/>
    <w:rsid w:val="00BC4006"/>
    <w:pPr>
      <w:spacing w:after="0"/>
      <w:jc w:val="center"/>
    </w:pPr>
    <w:rPr>
      <w:color w:val="374149" w:themeColor="accent5"/>
      <w:sz w:val="16"/>
      <w:szCs w:val="16"/>
    </w:rPr>
  </w:style>
  <w:style w:type="paragraph" w:customStyle="1" w:styleId="Bullet1">
    <w:name w:val="Bullet 1"/>
    <w:basedOn w:val="Normal"/>
    <w:qFormat/>
    <w:rsid w:val="008B6F92"/>
    <w:pPr>
      <w:numPr>
        <w:numId w:val="21"/>
      </w:numPr>
    </w:pPr>
    <w:rPr>
      <w:color w:val="auto"/>
    </w:rPr>
  </w:style>
  <w:style w:type="paragraph" w:customStyle="1" w:styleId="Bullet123title">
    <w:name w:val="Bullet 123 title"/>
    <w:basedOn w:val="Normal"/>
    <w:qFormat/>
    <w:rsid w:val="00076260"/>
    <w:pPr>
      <w:numPr>
        <w:numId w:val="11"/>
      </w:numPr>
      <w:spacing w:before="120" w:after="60"/>
      <w:ind w:left="714" w:hanging="357"/>
    </w:pPr>
    <w:rPr>
      <w:color w:val="auto"/>
    </w:rPr>
  </w:style>
  <w:style w:type="character" w:customStyle="1" w:styleId="Rubrik6Char">
    <w:name w:val="Rubrik 6 Char"/>
    <w:basedOn w:val="Standardstycketeckensnitt"/>
    <w:link w:val="Rubrik6"/>
    <w:semiHidden/>
    <w:rsid w:val="00B832C0"/>
    <w:rPr>
      <w:rFonts w:ascii="Arial" w:eastAsiaTheme="majorEastAsia" w:hAnsi="Arial" w:cstheme="majorBidi"/>
      <w:i/>
      <w:color w:val="636569" w:themeColor="accent4"/>
      <w:sz w:val="22"/>
      <w:szCs w:val="24"/>
    </w:rPr>
  </w:style>
  <w:style w:type="paragraph" w:customStyle="1" w:styleId="Address">
    <w:name w:val="Address"/>
    <w:basedOn w:val="Normal"/>
    <w:uiPriority w:val="99"/>
    <w:rsid w:val="002F59F1"/>
    <w:pPr>
      <w:tabs>
        <w:tab w:val="left" w:pos="1680"/>
      </w:tabs>
      <w:autoSpaceDE w:val="0"/>
      <w:autoSpaceDN w:val="0"/>
      <w:adjustRightInd w:val="0"/>
      <w:spacing w:line="220" w:lineRule="exact"/>
      <w:textAlignment w:val="center"/>
    </w:pPr>
    <w:rPr>
      <w:rFonts w:eastAsia="Times New Roman" w:cs="Gotham-Book"/>
      <w:spacing w:val="5"/>
      <w:sz w:val="17"/>
      <w:szCs w:val="17"/>
      <w:lang w:val="en-GB"/>
    </w:rPr>
  </w:style>
  <w:style w:type="paragraph" w:customStyle="1" w:styleId="Bulletabc">
    <w:name w:val="Bullet a b c"/>
    <w:basedOn w:val="Normal"/>
    <w:qFormat/>
    <w:rsid w:val="00EB254E"/>
    <w:pPr>
      <w:numPr>
        <w:numId w:val="12"/>
      </w:numPr>
      <w:spacing w:before="120"/>
      <w:ind w:left="1094" w:hanging="357"/>
    </w:pPr>
  </w:style>
  <w:style w:type="character" w:styleId="Sidnummer">
    <w:name w:val="page number"/>
    <w:basedOn w:val="Standardstycketeckensnitt"/>
    <w:semiHidden/>
    <w:unhideWhenUsed/>
    <w:locked/>
    <w:rsid w:val="00A83441"/>
  </w:style>
  <w:style w:type="paragraph" w:styleId="Liststycke">
    <w:name w:val="List Paragraph"/>
    <w:basedOn w:val="Normal"/>
    <w:uiPriority w:val="34"/>
    <w:qFormat/>
    <w:rsid w:val="000E33A2"/>
    <w:pPr>
      <w:ind w:left="720"/>
      <w:contextualSpacing/>
    </w:pPr>
  </w:style>
  <w:style w:type="character" w:styleId="Stark">
    <w:name w:val="Strong"/>
    <w:aliases w:val="Bold"/>
    <w:basedOn w:val="Standardstycketeckensnitt"/>
    <w:uiPriority w:val="22"/>
    <w:qFormat/>
    <w:locked/>
    <w:rsid w:val="002169CB"/>
    <w:rPr>
      <w:b/>
      <w:bCs/>
      <w:color w:val="374149" w:themeColor="accent5"/>
    </w:rPr>
  </w:style>
  <w:style w:type="character" w:customStyle="1" w:styleId="Rubrik5Char">
    <w:name w:val="Rubrik 5 Char"/>
    <w:basedOn w:val="Standardstycketeckensnitt"/>
    <w:link w:val="Rubrik5"/>
    <w:rsid w:val="00185D6E"/>
    <w:rPr>
      <w:rFonts w:ascii="Arial" w:eastAsiaTheme="majorEastAsia" w:hAnsi="Arial" w:cstheme="majorBidi"/>
      <w:color w:val="636569" w:themeColor="accent4"/>
      <w:sz w:val="22"/>
      <w:szCs w:val="24"/>
      <w:u w:val="single"/>
    </w:rPr>
  </w:style>
  <w:style w:type="paragraph" w:styleId="Rubrik">
    <w:name w:val="Title"/>
    <w:basedOn w:val="zBandoTITLE"/>
    <w:next w:val="Normal"/>
    <w:link w:val="RubrikChar"/>
    <w:qFormat/>
    <w:locked/>
    <w:rsid w:val="001F387D"/>
    <w:pPr>
      <w:spacing w:before="240" w:after="0" w:line="264" w:lineRule="auto"/>
    </w:pPr>
    <w:rPr>
      <w:color w:val="0063A7" w:themeColor="text1"/>
      <w:sz w:val="40"/>
      <w:szCs w:val="40"/>
    </w:rPr>
  </w:style>
  <w:style w:type="character" w:customStyle="1" w:styleId="RubrikChar">
    <w:name w:val="Rubrik Char"/>
    <w:basedOn w:val="Standardstycketeckensnitt"/>
    <w:link w:val="Rubrik"/>
    <w:rsid w:val="001F387D"/>
    <w:rPr>
      <w:rFonts w:ascii="Gotham Book" w:eastAsia="ヒラギノ角ゴ Pro W3" w:hAnsi="Gotham Book"/>
      <w:b/>
      <w:bCs/>
      <w:color w:val="0063A7" w:themeColor="text1"/>
      <w:sz w:val="40"/>
      <w:szCs w:val="40"/>
    </w:rPr>
  </w:style>
  <w:style w:type="character" w:customStyle="1" w:styleId="Rubrik1Char">
    <w:name w:val="Rubrik 1 Char"/>
    <w:aliases w:val="Subtitle Char"/>
    <w:basedOn w:val="Standardstycketeckensnitt"/>
    <w:link w:val="Rubrik1"/>
    <w:rsid w:val="00AF3CD4"/>
    <w:rPr>
      <w:rFonts w:ascii="Arial" w:eastAsiaTheme="majorEastAsia" w:hAnsi="Arial" w:cstheme="majorBidi"/>
      <w:color w:val="86BBE6"/>
      <w:sz w:val="28"/>
      <w:szCs w:val="32"/>
    </w:rPr>
  </w:style>
  <w:style w:type="character" w:customStyle="1" w:styleId="Rubrik2Char">
    <w:name w:val="Rubrik 2 Char"/>
    <w:basedOn w:val="Standardstycketeckensnitt"/>
    <w:link w:val="Rubrik2"/>
    <w:rsid w:val="00B832C0"/>
    <w:rPr>
      <w:rFonts w:ascii="Arial" w:eastAsiaTheme="majorEastAsia" w:hAnsi="Arial" w:cstheme="majorBidi"/>
      <w:b/>
      <w:color w:val="0063A7" w:themeColor="text1"/>
      <w:sz w:val="26"/>
      <w:szCs w:val="26"/>
    </w:rPr>
  </w:style>
  <w:style w:type="character" w:customStyle="1" w:styleId="Rubrik3Char">
    <w:name w:val="Rubrik 3 Char"/>
    <w:basedOn w:val="Standardstycketeckensnitt"/>
    <w:link w:val="Rubrik3"/>
    <w:rsid w:val="00185D6E"/>
    <w:rPr>
      <w:rFonts w:ascii="Arial" w:eastAsiaTheme="majorEastAsia" w:hAnsi="Arial" w:cstheme="majorBidi"/>
      <w:color w:val="0063A7" w:themeColor="text1"/>
      <w:sz w:val="22"/>
      <w:szCs w:val="24"/>
    </w:rPr>
  </w:style>
  <w:style w:type="character" w:customStyle="1" w:styleId="Rubrik4Char">
    <w:name w:val="Rubrik 4 Char"/>
    <w:aliases w:val="bullet Char"/>
    <w:basedOn w:val="Standardstycketeckensnitt"/>
    <w:link w:val="Rubrik4"/>
    <w:rsid w:val="000F4B12"/>
    <w:rPr>
      <w:rFonts w:ascii="Arial" w:eastAsia="ヒラギノ角ゴ Pro W3" w:hAnsi="Arial"/>
      <w:b/>
      <w:color w:val="0063A7" w:themeColor="text1"/>
      <w:sz w:val="22"/>
      <w:szCs w:val="24"/>
    </w:rPr>
  </w:style>
  <w:style w:type="paragraph" w:styleId="Citat">
    <w:name w:val="Quote"/>
    <w:aliases w:val="&quot;Citation&quot;"/>
    <w:basedOn w:val="Normal"/>
    <w:next w:val="Normal"/>
    <w:link w:val="CitatChar"/>
    <w:uiPriority w:val="29"/>
    <w:qFormat/>
    <w:rsid w:val="00AF3CD4"/>
    <w:pPr>
      <w:spacing w:before="200" w:after="160"/>
      <w:ind w:left="864" w:right="864"/>
      <w:jc w:val="center"/>
    </w:pPr>
    <w:rPr>
      <w:i/>
      <w:iCs/>
      <w:color w:val="0063A7" w:themeColor="text1"/>
    </w:rPr>
  </w:style>
  <w:style w:type="character" w:customStyle="1" w:styleId="CitatChar">
    <w:name w:val="Citat Char"/>
    <w:aliases w:val="&quot;Citation&quot; Char"/>
    <w:basedOn w:val="Standardstycketeckensnitt"/>
    <w:link w:val="Citat"/>
    <w:uiPriority w:val="29"/>
    <w:rsid w:val="00AF3CD4"/>
    <w:rPr>
      <w:rFonts w:ascii="Arial" w:eastAsia="ヒラギノ角ゴ Pro W3" w:hAnsi="Arial"/>
      <w:i/>
      <w:iCs/>
      <w:color w:val="0063A7" w:themeColor="text1"/>
      <w:sz w:val="22"/>
      <w:szCs w:val="24"/>
    </w:rPr>
  </w:style>
  <w:style w:type="paragraph" w:customStyle="1" w:styleId="Bullet2">
    <w:name w:val="Bullet 2"/>
    <w:basedOn w:val="Normal"/>
    <w:qFormat/>
    <w:rsid w:val="000E33A2"/>
    <w:pPr>
      <w:numPr>
        <w:numId w:val="8"/>
      </w:numPr>
    </w:pPr>
  </w:style>
  <w:style w:type="paragraph" w:styleId="Sidhuvud">
    <w:name w:val="header"/>
    <w:basedOn w:val="Normal"/>
    <w:link w:val="SidhuvudChar"/>
    <w:unhideWhenUsed/>
    <w:locked/>
    <w:rsid w:val="00D40D4D"/>
    <w:pPr>
      <w:tabs>
        <w:tab w:val="center" w:pos="4536"/>
        <w:tab w:val="right" w:pos="9072"/>
      </w:tabs>
    </w:pPr>
  </w:style>
  <w:style w:type="character" w:customStyle="1" w:styleId="SidhuvudChar">
    <w:name w:val="Sidhuvud Char"/>
    <w:basedOn w:val="Standardstycketeckensnitt"/>
    <w:link w:val="Sidhuvud"/>
    <w:rsid w:val="00D40D4D"/>
    <w:rPr>
      <w:rFonts w:ascii="Arial" w:eastAsia="ヒラギノ角ゴ Pro W3" w:hAnsi="Arial"/>
      <w:color w:val="000000"/>
      <w:sz w:val="22"/>
      <w:szCs w:val="24"/>
    </w:rPr>
  </w:style>
  <w:style w:type="paragraph" w:customStyle="1" w:styleId="xmsolistparagraph">
    <w:name w:val="x_msolistparagraph"/>
    <w:basedOn w:val="Normal"/>
    <w:rsid w:val="00A06FD3"/>
    <w:pPr>
      <w:spacing w:before="100" w:beforeAutospacing="1" w:after="100" w:afterAutospacing="1"/>
    </w:pPr>
    <w:rPr>
      <w:rFonts w:ascii="Times New Roman" w:eastAsia="Times New Roman" w:hAnsi="Times New Roman"/>
      <w:color w:val="auto"/>
      <w:sz w:val="24"/>
      <w:lang w:val="fr-FR" w:eastAsia="fr-FR"/>
    </w:rPr>
  </w:style>
  <w:style w:type="paragraph" w:customStyle="1" w:styleId="1BulletTitle">
    <w:name w:val="1 Bullet Title"/>
    <w:qFormat/>
    <w:rsid w:val="00135CA4"/>
    <w:pPr>
      <w:numPr>
        <w:numId w:val="15"/>
      </w:numPr>
      <w:spacing w:before="360" w:after="120"/>
      <w:ind w:left="284" w:hanging="284"/>
    </w:pPr>
    <w:rPr>
      <w:rFonts w:ascii="Gotham Bold" w:eastAsia="ヒラギノ角ゴ Pro W3" w:hAnsi="Gotham Bold"/>
      <w:b/>
      <w:color w:val="0063A7" w:themeColor="text1"/>
      <w:sz w:val="24"/>
      <w:szCs w:val="24"/>
    </w:rPr>
  </w:style>
  <w:style w:type="paragraph" w:customStyle="1" w:styleId="bullet3">
    <w:name w:val="bullet 3"/>
    <w:basedOn w:val="Normal"/>
    <w:qFormat/>
    <w:rsid w:val="00DF3E96"/>
    <w:pPr>
      <w:numPr>
        <w:ilvl w:val="1"/>
        <w:numId w:val="14"/>
      </w:numPr>
      <w:ind w:left="1494"/>
    </w:pPr>
  </w:style>
  <w:style w:type="paragraph" w:customStyle="1" w:styleId="zBandoTalkingPoints">
    <w:name w:val="zBando Talking Points"/>
    <w:qFormat/>
    <w:rsid w:val="005B2476"/>
    <w:pPr>
      <w:spacing w:line="288" w:lineRule="auto"/>
    </w:pPr>
    <w:rPr>
      <w:rFonts w:ascii="Arial" w:eastAsia="ヒラギノ角ゴ Pro W3" w:hAnsi="Arial"/>
      <w:color w:val="86BAE5" w:themeColor="background1"/>
      <w:sz w:val="24"/>
      <w:szCs w:val="24"/>
    </w:rPr>
  </w:style>
  <w:style w:type="paragraph" w:customStyle="1" w:styleId="zBandoTITLE">
    <w:name w:val="zBando TITLE"/>
    <w:basedOn w:val="Normal"/>
    <w:qFormat/>
    <w:rsid w:val="006E7C8A"/>
    <w:pPr>
      <w:spacing w:line="288" w:lineRule="auto"/>
    </w:pPr>
    <w:rPr>
      <w:b/>
      <w:bCs/>
      <w:color w:val="FFFFFF"/>
      <w:sz w:val="24"/>
    </w:rPr>
  </w:style>
  <w:style w:type="paragraph" w:customStyle="1" w:styleId="zBandoDateandPlace">
    <w:name w:val="zBando Date and Place"/>
    <w:basedOn w:val="Normal"/>
    <w:qFormat/>
    <w:rsid w:val="006E7C8A"/>
    <w:pPr>
      <w:spacing w:line="288" w:lineRule="auto"/>
    </w:pPr>
    <w:rPr>
      <w:color w:val="FFFFFF"/>
      <w:sz w:val="20"/>
      <w:szCs w:val="20"/>
    </w:rPr>
  </w:style>
  <w:style w:type="paragraph" w:customStyle="1" w:styleId="Titre3">
    <w:name w:val="Titre3"/>
    <w:basedOn w:val="Rubrik2"/>
    <w:link w:val="Titre3Car"/>
    <w:qFormat/>
    <w:rsid w:val="00B260C8"/>
    <w:rPr>
      <w:sz w:val="22"/>
      <w:szCs w:val="28"/>
    </w:rPr>
  </w:style>
  <w:style w:type="character" w:customStyle="1" w:styleId="Titre3Car">
    <w:name w:val="Titre3 Car"/>
    <w:basedOn w:val="Rubrik2Char"/>
    <w:link w:val="Titre3"/>
    <w:rsid w:val="00B260C8"/>
    <w:rPr>
      <w:rFonts w:ascii="Gotham Book" w:eastAsiaTheme="majorEastAsia" w:hAnsi="Gotham Book" w:cstheme="majorBidi"/>
      <w:b/>
      <w:color w:val="0063A7" w:themeColor="text1"/>
      <w:sz w:val="22"/>
      <w:szCs w:val="28"/>
    </w:rPr>
  </w:style>
  <w:style w:type="paragraph" w:customStyle="1" w:styleId="Default">
    <w:name w:val="Default"/>
    <w:rsid w:val="004358D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4358DE"/>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Standardstycketeckensnitt"/>
    <w:rsid w:val="004358DE"/>
  </w:style>
  <w:style w:type="character" w:customStyle="1" w:styleId="eop">
    <w:name w:val="eop"/>
    <w:basedOn w:val="Standardstycketeckensnitt"/>
    <w:rsid w:val="004358DE"/>
  </w:style>
  <w:style w:type="paragraph" w:customStyle="1" w:styleId="Subbullet">
    <w:name w:val="Sub bullet"/>
    <w:basedOn w:val="1BulletTitle"/>
    <w:qFormat/>
    <w:rsid w:val="00516255"/>
    <w:pPr>
      <w:spacing w:before="120" w:after="115"/>
    </w:pPr>
    <w:rPr>
      <w:b w:val="0"/>
      <w:bCs/>
      <w:color w:val="374149" w:themeColor="accent5"/>
    </w:rPr>
  </w:style>
  <w:style w:type="table" w:styleId="Tabellrutnt">
    <w:name w:val="Table Grid"/>
    <w:basedOn w:val="Normaltabell"/>
    <w:locked/>
    <w:rsid w:val="009A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siontitle">
    <w:name w:val="Session title"/>
    <w:basedOn w:val="Normal"/>
    <w:qFormat/>
    <w:rsid w:val="00F87027"/>
    <w:pPr>
      <w:spacing w:after="200" w:line="276" w:lineRule="auto"/>
      <w:ind w:left="2130" w:hanging="2130"/>
    </w:pPr>
    <w:rPr>
      <w:rFonts w:ascii="Gotham Medium" w:eastAsia="Calibri" w:hAnsi="Gotham Medium" w:cs="Arial"/>
      <w:color w:val="0063A7" w:themeColor="text1"/>
      <w:sz w:val="24"/>
      <w:lang w:val="en-GB"/>
    </w:rPr>
  </w:style>
  <w:style w:type="paragraph" w:customStyle="1" w:styleId="Aucunstyle">
    <w:name w:val="[Aucun style]"/>
    <w:rsid w:val="006B7D26"/>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 w:type="character" w:styleId="Hyperlnk">
    <w:name w:val="Hyperlink"/>
    <w:basedOn w:val="Standardstycketeckensnitt"/>
    <w:uiPriority w:val="99"/>
    <w:unhideWhenUsed/>
    <w:locked/>
    <w:rsid w:val="00326C7C"/>
    <w:rPr>
      <w:color w:val="0064A8" w:themeColor="hyperlink"/>
      <w:u w:val="single"/>
    </w:rPr>
  </w:style>
  <w:style w:type="paragraph" w:styleId="Fotnotstext">
    <w:name w:val="footnote text"/>
    <w:basedOn w:val="Normal"/>
    <w:link w:val="FotnotstextChar"/>
    <w:uiPriority w:val="99"/>
    <w:semiHidden/>
    <w:unhideWhenUsed/>
    <w:locked/>
    <w:rsid w:val="00326C7C"/>
    <w:pPr>
      <w:spacing w:after="0"/>
    </w:pPr>
    <w:rPr>
      <w:rFonts w:asciiTheme="minorHAnsi" w:eastAsiaTheme="minorEastAsia" w:hAnsiTheme="minorHAnsi" w:cstheme="minorBidi"/>
      <w:color w:val="auto"/>
      <w:sz w:val="20"/>
      <w:szCs w:val="20"/>
      <w:lang w:val="fr-FR" w:eastAsia="zh-CN"/>
    </w:rPr>
  </w:style>
  <w:style w:type="character" w:customStyle="1" w:styleId="FotnotstextChar">
    <w:name w:val="Fotnotstext Char"/>
    <w:basedOn w:val="Standardstycketeckensnitt"/>
    <w:link w:val="Fotnotstext"/>
    <w:uiPriority w:val="99"/>
    <w:semiHidden/>
    <w:rsid w:val="00326C7C"/>
    <w:rPr>
      <w:rFonts w:asciiTheme="minorHAnsi" w:eastAsiaTheme="minorEastAsia" w:hAnsiTheme="minorHAnsi" w:cstheme="minorBidi"/>
      <w:lang w:val="fr-FR" w:eastAsia="zh-CN"/>
    </w:rPr>
  </w:style>
  <w:style w:type="character" w:styleId="Fotnotsreferens">
    <w:name w:val="footnote reference"/>
    <w:basedOn w:val="Standardstycketeckensnitt"/>
    <w:uiPriority w:val="99"/>
    <w:semiHidden/>
    <w:unhideWhenUsed/>
    <w:locked/>
    <w:rsid w:val="00326C7C"/>
    <w:rPr>
      <w:vertAlign w:val="superscript"/>
    </w:rPr>
  </w:style>
  <w:style w:type="character" w:styleId="Kommentarsreferens">
    <w:name w:val="annotation reference"/>
    <w:basedOn w:val="Standardstycketeckensnitt"/>
    <w:semiHidden/>
    <w:unhideWhenUsed/>
    <w:locked/>
    <w:rsid w:val="00C83CA5"/>
    <w:rPr>
      <w:sz w:val="16"/>
      <w:szCs w:val="16"/>
    </w:rPr>
  </w:style>
  <w:style w:type="paragraph" w:styleId="Kommentarer">
    <w:name w:val="annotation text"/>
    <w:basedOn w:val="Normal"/>
    <w:link w:val="KommentarerChar"/>
    <w:unhideWhenUsed/>
    <w:locked/>
    <w:rsid w:val="00C83CA5"/>
    <w:rPr>
      <w:sz w:val="20"/>
      <w:szCs w:val="20"/>
    </w:rPr>
  </w:style>
  <w:style w:type="character" w:customStyle="1" w:styleId="KommentarerChar">
    <w:name w:val="Kommentarer Char"/>
    <w:basedOn w:val="Standardstycketeckensnitt"/>
    <w:link w:val="Kommentarer"/>
    <w:rsid w:val="00C83CA5"/>
    <w:rPr>
      <w:rFonts w:ascii="Gotham Book" w:eastAsia="ヒラギノ角ゴ Pro W3" w:hAnsi="Gotham Book"/>
      <w:color w:val="000000"/>
    </w:rPr>
  </w:style>
  <w:style w:type="paragraph" w:styleId="Kommentarsmne">
    <w:name w:val="annotation subject"/>
    <w:basedOn w:val="Kommentarer"/>
    <w:next w:val="Kommentarer"/>
    <w:link w:val="KommentarsmneChar"/>
    <w:semiHidden/>
    <w:unhideWhenUsed/>
    <w:locked/>
    <w:rsid w:val="00C83CA5"/>
    <w:rPr>
      <w:b/>
      <w:bCs/>
    </w:rPr>
  </w:style>
  <w:style w:type="character" w:customStyle="1" w:styleId="KommentarsmneChar">
    <w:name w:val="Kommentarsämne Char"/>
    <w:basedOn w:val="KommentarerChar"/>
    <w:link w:val="Kommentarsmne"/>
    <w:semiHidden/>
    <w:rsid w:val="00C83CA5"/>
    <w:rPr>
      <w:rFonts w:ascii="Gotham Book" w:eastAsia="ヒラギノ角ゴ Pro W3" w:hAnsi="Gotham Book"/>
      <w:b/>
      <w:bCs/>
      <w:color w:val="000000"/>
    </w:rPr>
  </w:style>
  <w:style w:type="character" w:styleId="Olstomnmnande">
    <w:name w:val="Unresolved Mention"/>
    <w:basedOn w:val="Standardstycketeckensnitt"/>
    <w:rsid w:val="00FB438D"/>
    <w:rPr>
      <w:color w:val="605E5C"/>
      <w:shd w:val="clear" w:color="auto" w:fill="E1DFDD"/>
    </w:rPr>
  </w:style>
  <w:style w:type="paragraph" w:styleId="Sidfot">
    <w:name w:val="footer"/>
    <w:basedOn w:val="Normal"/>
    <w:link w:val="SidfotChar"/>
    <w:semiHidden/>
    <w:unhideWhenUsed/>
    <w:locked/>
    <w:rsid w:val="0012051A"/>
    <w:pPr>
      <w:tabs>
        <w:tab w:val="center" w:pos="4703"/>
        <w:tab w:val="right" w:pos="9406"/>
      </w:tabs>
      <w:spacing w:after="0"/>
    </w:pPr>
  </w:style>
  <w:style w:type="character" w:customStyle="1" w:styleId="SidfotChar">
    <w:name w:val="Sidfot Char"/>
    <w:basedOn w:val="Standardstycketeckensnitt"/>
    <w:link w:val="Sidfot"/>
    <w:semiHidden/>
    <w:rsid w:val="0012051A"/>
    <w:rPr>
      <w:rFonts w:ascii="Gotham Book" w:eastAsia="ヒラギノ角ゴ Pro W3" w:hAnsi="Gotham Book"/>
      <w:color w:val="000000"/>
      <w:sz w:val="22"/>
      <w:szCs w:val="24"/>
    </w:rPr>
  </w:style>
  <w:style w:type="paragraph" w:styleId="Ballongtext">
    <w:name w:val="Balloon Text"/>
    <w:basedOn w:val="Normal"/>
    <w:link w:val="BallongtextChar"/>
    <w:semiHidden/>
    <w:unhideWhenUsed/>
    <w:locked/>
    <w:rsid w:val="00F7696E"/>
    <w:pPr>
      <w:spacing w:after="0"/>
    </w:pPr>
    <w:rPr>
      <w:rFonts w:ascii="Segoe UI" w:hAnsi="Segoe UI" w:cs="Segoe UI"/>
      <w:sz w:val="18"/>
      <w:szCs w:val="18"/>
    </w:rPr>
  </w:style>
  <w:style w:type="character" w:customStyle="1" w:styleId="BallongtextChar">
    <w:name w:val="Ballongtext Char"/>
    <w:basedOn w:val="Standardstycketeckensnitt"/>
    <w:link w:val="Ballongtext"/>
    <w:semiHidden/>
    <w:rsid w:val="00F7696E"/>
    <w:rPr>
      <w:rFonts w:ascii="Segoe UI" w:eastAsia="ヒラギノ角ゴ Pro W3" w:hAnsi="Segoe UI" w:cs="Segoe UI"/>
      <w:color w:val="000000"/>
      <w:sz w:val="18"/>
      <w:szCs w:val="18"/>
    </w:rPr>
  </w:style>
  <w:style w:type="paragraph" w:styleId="Revision">
    <w:name w:val="Revision"/>
    <w:hidden/>
    <w:uiPriority w:val="99"/>
    <w:semiHidden/>
    <w:rsid w:val="00A619AE"/>
    <w:rPr>
      <w:rFonts w:ascii="Gotham Book" w:eastAsia="ヒラギノ角ゴ Pro W3" w:hAnsi="Gotham Book"/>
      <w:color w:val="000000"/>
      <w:sz w:val="22"/>
      <w:szCs w:val="24"/>
    </w:rPr>
  </w:style>
  <w:style w:type="paragraph" w:styleId="Normalwebb">
    <w:name w:val="Normal (Web)"/>
    <w:basedOn w:val="Normal"/>
    <w:uiPriority w:val="99"/>
    <w:unhideWhenUsed/>
    <w:locked/>
    <w:rsid w:val="00A619AE"/>
    <w:pPr>
      <w:spacing w:before="100" w:beforeAutospacing="1" w:after="100" w:afterAutospacing="1"/>
    </w:pPr>
    <w:rPr>
      <w:rFonts w:ascii="SimSun" w:eastAsia="SimSun" w:hAnsi="SimSun" w:cs="SimSun"/>
      <w:color w:val="auto"/>
      <w:sz w:val="24"/>
      <w:lang w:eastAsia="zh-CN"/>
    </w:rPr>
  </w:style>
  <w:style w:type="paragraph" w:customStyle="1" w:styleId="a">
    <w:name w:val="标题行"/>
    <w:basedOn w:val="Normal"/>
    <w:next w:val="1"/>
    <w:link w:val="Char"/>
    <w:qFormat/>
    <w:rsid w:val="00A619AE"/>
    <w:pPr>
      <w:spacing w:after="160" w:line="259" w:lineRule="auto"/>
      <w:jc w:val="both"/>
      <w:outlineLvl w:val="0"/>
    </w:pPr>
    <w:rPr>
      <w:rFonts w:ascii="Microsoft YaHei" w:eastAsia="Microsoft YaHei" w:hAnsi="Microsoft YaHei" w:cstheme="minorBidi"/>
      <w:color w:val="auto"/>
      <w:szCs w:val="22"/>
      <w:lang w:eastAsia="zh-CN"/>
    </w:rPr>
  </w:style>
  <w:style w:type="paragraph" w:customStyle="1" w:styleId="1">
    <w:name w:val="正文1"/>
    <w:basedOn w:val="Normal"/>
    <w:link w:val="1Char"/>
    <w:autoRedefine/>
    <w:qFormat/>
    <w:rsid w:val="00EC141D"/>
    <w:pPr>
      <w:spacing w:after="0"/>
      <w:ind w:left="720"/>
      <w:jc w:val="both"/>
    </w:pPr>
    <w:rPr>
      <w:rFonts w:ascii="Microsoft YaHei" w:eastAsia="Microsoft YaHei" w:hAnsi="Microsoft YaHei" w:cstheme="minorBidi"/>
      <w:color w:val="auto"/>
      <w:szCs w:val="22"/>
      <w:lang w:eastAsia="zh-CN"/>
    </w:rPr>
  </w:style>
  <w:style w:type="character" w:customStyle="1" w:styleId="Char">
    <w:name w:val="标题行 Char"/>
    <w:basedOn w:val="Standardstycketeckensnitt"/>
    <w:link w:val="a"/>
    <w:rsid w:val="00A619AE"/>
    <w:rPr>
      <w:rFonts w:ascii="Microsoft YaHei" w:eastAsia="Microsoft YaHei" w:hAnsi="Microsoft YaHei" w:cstheme="minorBidi"/>
      <w:sz w:val="22"/>
      <w:szCs w:val="22"/>
      <w:lang w:eastAsia="zh-CN"/>
    </w:rPr>
  </w:style>
  <w:style w:type="character" w:customStyle="1" w:styleId="1Char">
    <w:name w:val="正文1 Char"/>
    <w:basedOn w:val="Standardstycketeckensnitt"/>
    <w:link w:val="1"/>
    <w:rsid w:val="00EC141D"/>
    <w:rPr>
      <w:rFonts w:ascii="Microsoft YaHei" w:eastAsia="Microsoft YaHei" w:hAnsi="Microsoft YaHei" w:cstheme="minorBidi"/>
      <w:sz w:val="22"/>
      <w:szCs w:val="22"/>
      <w:lang w:eastAsia="zh-CN"/>
    </w:rPr>
  </w:style>
  <w:style w:type="character" w:styleId="AnvndHyperlnk">
    <w:name w:val="FollowedHyperlink"/>
    <w:basedOn w:val="Standardstycketeckensnitt"/>
    <w:semiHidden/>
    <w:unhideWhenUsed/>
    <w:locked/>
    <w:rsid w:val="004206B8"/>
    <w:rPr>
      <w:color w:val="0064A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71053">
      <w:bodyDiv w:val="1"/>
      <w:marLeft w:val="0"/>
      <w:marRight w:val="0"/>
      <w:marTop w:val="0"/>
      <w:marBottom w:val="0"/>
      <w:divBdr>
        <w:top w:val="none" w:sz="0" w:space="0" w:color="auto"/>
        <w:left w:val="none" w:sz="0" w:space="0" w:color="auto"/>
        <w:bottom w:val="none" w:sz="0" w:space="0" w:color="auto"/>
        <w:right w:val="none" w:sz="0" w:space="0" w:color="auto"/>
      </w:divBdr>
    </w:div>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1222252993">
      <w:bodyDiv w:val="1"/>
      <w:marLeft w:val="0"/>
      <w:marRight w:val="0"/>
      <w:marTop w:val="0"/>
      <w:marBottom w:val="0"/>
      <w:divBdr>
        <w:top w:val="none" w:sz="0" w:space="0" w:color="auto"/>
        <w:left w:val="none" w:sz="0" w:space="0" w:color="auto"/>
        <w:bottom w:val="none" w:sz="0" w:space="0" w:color="auto"/>
        <w:right w:val="none" w:sz="0" w:space="0" w:color="auto"/>
      </w:divBdr>
    </w:div>
    <w:div w:id="1420104426">
      <w:bodyDiv w:val="1"/>
      <w:marLeft w:val="0"/>
      <w:marRight w:val="0"/>
      <w:marTop w:val="0"/>
      <w:marBottom w:val="0"/>
      <w:divBdr>
        <w:top w:val="none" w:sz="0" w:space="0" w:color="auto"/>
        <w:left w:val="none" w:sz="0" w:space="0" w:color="auto"/>
        <w:bottom w:val="none" w:sz="0" w:space="0" w:color="auto"/>
        <w:right w:val="none" w:sz="0" w:space="0" w:color="auto"/>
      </w:divBdr>
    </w:div>
    <w:div w:id="159770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oecd.org%2Ftax%2Fbeps%2Fpublic-consultation-document-pillar-one-amount-a-nexus-revenue-sourcing.pdf&amp;data=04%7C01%7Craelene.martin%40iccwbo.org%7Ce2749036c9e748e5950508d9e7ee49a7%7Cc541a3c6520b49ce82202228ac7c3626%7C0%7C0%7C637795832919665851%7CUnknown%7CTWFpbGZsb3d8eyJWIjoiMC4wLjAwMDAiLCJQIjoiV2luMzIiLCJBTiI6Ik1haWwiLCJXVCI6Mn0%3D%7C3000&amp;sdata=UYR9vZfdddVSkrpPSuMa18t49EI6UWOD3vcNOYs1Ozg%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ICC 2019">
      <a:dk1>
        <a:srgbClr val="0063A7"/>
      </a:dk1>
      <a:lt1>
        <a:srgbClr val="86BAE5"/>
      </a:lt1>
      <a:dk2>
        <a:srgbClr val="00A790"/>
      </a:dk2>
      <a:lt2>
        <a:srgbClr val="00BCE6"/>
      </a:lt2>
      <a:accent1>
        <a:srgbClr val="A5CF4F"/>
      </a:accent1>
      <a:accent2>
        <a:srgbClr val="FAA328"/>
      </a:accent2>
      <a:accent3>
        <a:srgbClr val="868686"/>
      </a:accent3>
      <a:accent4>
        <a:srgbClr val="636569"/>
      </a:accent4>
      <a:accent5>
        <a:srgbClr val="374149"/>
      </a:accent5>
      <a:accent6>
        <a:srgbClr val="00BCE7"/>
      </a:accent6>
      <a:hlink>
        <a:srgbClr val="0064A8"/>
      </a:hlink>
      <a:folHlink>
        <a:srgbClr val="0064A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65ae127-5d1e-48f1-8bba-a4710e9de403">
      <UserInfo>
        <DisplayName>ASTORE Alice</DisplayName>
        <AccountId>7313</AccountId>
        <AccountType/>
      </UserInfo>
      <UserInfo>
        <DisplayName>LEONOVA Kseniia</DisplayName>
        <AccountId>7392</AccountId>
        <AccountType/>
      </UserInfo>
    </SharedWithUsers>
    <TaxCatchAll xmlns="598f140b-4145-4024-8bcc-6d7083f15a24" xsi:nil="true"/>
    <cd566fe4f739453c890791ece589dd09 xmlns="6e0672cc-2b49-4aef-a692-9dbb21d7e3f3">
      <Terms xmlns="http://schemas.microsoft.com/office/infopath/2007/PartnerControls"/>
    </cd566fe4f739453c890791ece589dd09>
  </documentManagement>
</p:properties>
</file>

<file path=customXml/itemProps1.xml><?xml version="1.0" encoding="utf-8"?>
<ds:datastoreItem xmlns:ds="http://schemas.openxmlformats.org/officeDocument/2006/customXml" ds:itemID="{D44A25FE-6988-46E7-AE6E-6650221DA2DB}">
  <ds:schemaRefs>
    <ds:schemaRef ds:uri="http://schemas.openxmlformats.org/officeDocument/2006/bibliography"/>
  </ds:schemaRefs>
</ds:datastoreItem>
</file>

<file path=customXml/itemProps2.xml><?xml version="1.0" encoding="utf-8"?>
<ds:datastoreItem xmlns:ds="http://schemas.openxmlformats.org/officeDocument/2006/customXml" ds:itemID="{B431A5F5-7E2C-40F3-A189-02C73FC3A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02A18-FE74-4A3F-99D7-949F815DB460}">
  <ds:schemaRefs>
    <ds:schemaRef ds:uri="http://schemas.microsoft.com/sharepoint/v3/contenttype/forms"/>
  </ds:schemaRefs>
</ds:datastoreItem>
</file>

<file path=customXml/itemProps4.xml><?xml version="1.0" encoding="utf-8"?>
<ds:datastoreItem xmlns:ds="http://schemas.openxmlformats.org/officeDocument/2006/customXml" ds:itemID="{5E77F472-6955-4041-B663-9BD5AFFD3DA2}">
  <ds:schemaRefs>
    <ds:schemaRef ds:uri="http://schemas.microsoft.com/office/2006/metadata/properties"/>
    <ds:schemaRef ds:uri="http://schemas.microsoft.com/office/infopath/2007/PartnerControls"/>
    <ds:schemaRef ds:uri="465ae127-5d1e-48f1-8bba-a4710e9de403"/>
    <ds:schemaRef ds:uri="598f140b-4145-4024-8bcc-6d7083f15a24"/>
    <ds:schemaRef ds:uri="6e0672cc-2b49-4aef-a692-9dbb21d7e3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3962</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24916</CharactersWithSpaces>
  <SharedDoc>false</SharedDoc>
  <HLinks>
    <vt:vector size="6" baseType="variant">
      <vt:variant>
        <vt:i4>3145846</vt:i4>
      </vt:variant>
      <vt:variant>
        <vt:i4>0</vt:i4>
      </vt:variant>
      <vt:variant>
        <vt:i4>0</vt:i4>
      </vt:variant>
      <vt:variant>
        <vt:i4>5</vt:i4>
      </vt:variant>
      <vt:variant>
        <vt:lpwstr>https://eur01.safelinks.protection.outlook.com/?url=https%3A%2F%2Fwww.oecd.org%2Ftax%2Fbeps%2Fpublic-consultation-document-pillar-one-amount-a-nexus-revenue-sourcing.pdf&amp;data=04%7C01%7Craelene.martin%40iccwbo.org%7Ce2749036c9e748e5950508d9e7ee49a7%7Cc541a3c6520b49ce82202228ac7c3626%7C0%7C0%7C637795832919665851%7CUnknown%7CTWFpbGZsb3d8eyJWIjoiMC4wLjAwMDAiLCJQIjoiV2luMzIiLCJBTiI6Ik1haWwiLCJXVCI6Mn0%3D%7C3000&amp;sdata=UYR9vZfdddVSkrpPSuMa18t49EI6UWOD3vcNOYs1Oz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2022-02-16T10:56:00Z</dcterms:created>
  <dcterms:modified xsi:type="dcterms:W3CDTF">2022-02-16T10:56:00Z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venance">
    <vt:lpwstr/>
  </property>
  <property fmtid="{D5CDD505-2E9C-101B-9397-08002B2CF9AE}" pid="3" name="Order">
    <vt:r8>100</vt:r8>
  </property>
  <property fmtid="{D5CDD505-2E9C-101B-9397-08002B2CF9AE}" pid="4" name="ContentTypeId">
    <vt:lpwstr>0x010100C9E3D1B2D00823408CE8450BC0946B1D</vt:lpwstr>
  </property>
  <property fmtid="{D5CDD505-2E9C-101B-9397-08002B2CF9AE}" pid="5" name="_dlc_DocIdItemGuid">
    <vt:lpwstr>1fc9c78e-8737-4081-8b50-4364117de0e5</vt:lpwstr>
  </property>
</Properties>
</file>