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A5B1" w14:textId="0CA39B9E" w:rsidR="009D157F" w:rsidRPr="00854C04" w:rsidRDefault="009D157F" w:rsidP="00BC3D93">
      <w:pPr>
        <w:pStyle w:val="Title"/>
        <w:spacing w:line="276" w:lineRule="auto"/>
        <w:rPr>
          <w:rFonts w:eastAsia="Arial" w:cs="Arial"/>
          <w:b w:val="0"/>
          <w:spacing w:val="0"/>
          <w:kern w:val="0"/>
          <w:sz w:val="28"/>
          <w:szCs w:val="28"/>
          <w:lang w:val="en-GB"/>
        </w:rPr>
      </w:pPr>
      <w:r w:rsidRPr="00854C04">
        <w:rPr>
          <w:rFonts w:eastAsia="Arial" w:cs="Arial"/>
          <w:b w:val="0"/>
          <w:spacing w:val="0"/>
          <w:kern w:val="0"/>
          <w:sz w:val="28"/>
          <w:szCs w:val="28"/>
          <w:lang w:val="en-GB"/>
        </w:rPr>
        <w:t>1</w:t>
      </w:r>
      <w:r w:rsidRPr="00854C04">
        <w:rPr>
          <w:rFonts w:eastAsia="Arial" w:cs="Arial"/>
          <w:b w:val="0"/>
          <w:spacing w:val="0"/>
          <w:kern w:val="0"/>
          <w:sz w:val="28"/>
          <w:szCs w:val="28"/>
          <w:vertAlign w:val="superscript"/>
          <w:lang w:val="en-GB"/>
        </w:rPr>
        <w:t>ST</w:t>
      </w:r>
      <w:r w:rsidRPr="00854C04">
        <w:rPr>
          <w:rFonts w:eastAsia="Arial" w:cs="Arial"/>
          <w:b w:val="0"/>
          <w:spacing w:val="0"/>
          <w:kern w:val="0"/>
          <w:sz w:val="28"/>
          <w:szCs w:val="28"/>
          <w:lang w:val="en-GB"/>
        </w:rPr>
        <w:t xml:space="preserve"> DRAFT for </w:t>
      </w:r>
    </w:p>
    <w:p w14:paraId="5055503D" w14:textId="77777777" w:rsidR="009D157F" w:rsidRPr="00854C04" w:rsidRDefault="009D157F" w:rsidP="00BC3D93">
      <w:pPr>
        <w:pStyle w:val="Title"/>
        <w:spacing w:line="276" w:lineRule="auto"/>
        <w:rPr>
          <w:rFonts w:eastAsia="Arial" w:cs="Arial"/>
          <w:spacing w:val="0"/>
          <w:kern w:val="0"/>
          <w:sz w:val="28"/>
          <w:szCs w:val="28"/>
          <w:lang w:val="en-GB"/>
        </w:rPr>
      </w:pPr>
      <w:r w:rsidRPr="00854C04">
        <w:rPr>
          <w:rFonts w:eastAsia="Arial" w:cs="Arial"/>
          <w:spacing w:val="0"/>
          <w:kern w:val="0"/>
          <w:sz w:val="28"/>
          <w:szCs w:val="28"/>
          <w:lang w:val="en-GB"/>
        </w:rPr>
        <w:t>ICC White Paper on Delivering Universal Meaningful Connectivity</w:t>
      </w:r>
    </w:p>
    <w:p w14:paraId="73F4254D" w14:textId="77777777" w:rsidR="009D157F" w:rsidRPr="00854C04" w:rsidRDefault="009D157F" w:rsidP="00BC3D93">
      <w:pPr>
        <w:spacing w:before="240" w:after="240" w:line="276" w:lineRule="auto"/>
        <w:rPr>
          <w:rFonts w:ascii="Arial" w:eastAsia="Arial" w:hAnsi="Arial" w:cs="Arial"/>
          <w:b/>
          <w:bCs/>
          <w:color w:val="FF0000"/>
          <w:sz w:val="24"/>
          <w:szCs w:val="24"/>
          <w:lang w:val="en-GB"/>
        </w:rPr>
      </w:pPr>
      <w:r w:rsidRPr="00854C04">
        <w:rPr>
          <w:rFonts w:ascii="Arial" w:eastAsia="Arial" w:hAnsi="Arial" w:cs="Arial"/>
          <w:b/>
          <w:bCs/>
          <w:color w:val="FF0000"/>
          <w:sz w:val="24"/>
          <w:szCs w:val="24"/>
          <w:lang w:val="en-GB"/>
        </w:rPr>
        <w:t>INTERNAL WORKING DOCUMENT – PLEASE DO NOT CIRCULATE</w:t>
      </w:r>
    </w:p>
    <w:p w14:paraId="2F7F6BBF" w14:textId="77777777" w:rsidR="00082A2C" w:rsidRPr="00854C04" w:rsidRDefault="00082A2C" w:rsidP="00BC3D93">
      <w:pPr>
        <w:pStyle w:val="Heading1"/>
        <w:spacing w:before="0" w:line="276" w:lineRule="auto"/>
        <w:rPr>
          <w:rFonts w:ascii="Arial" w:eastAsia="Arial" w:hAnsi="Arial" w:cs="Arial"/>
          <w:b/>
          <w:bCs/>
          <w:sz w:val="24"/>
          <w:szCs w:val="24"/>
          <w:lang w:val="en-GB"/>
        </w:rPr>
      </w:pPr>
      <w:r w:rsidRPr="00854C04">
        <w:rPr>
          <w:rFonts w:ascii="Arial" w:eastAsia="Arial" w:hAnsi="Arial" w:cs="Arial"/>
          <w:b/>
          <w:bCs/>
          <w:sz w:val="24"/>
          <w:szCs w:val="24"/>
          <w:lang w:val="en-GB"/>
        </w:rPr>
        <w:t>Introduction</w:t>
      </w:r>
    </w:p>
    <w:p w14:paraId="465552D5" w14:textId="77777777"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 xml:space="preserve">Connectivity has rapidly become one of the most defining feature of our everyday lives, the way we study, work, do business, consume content or connect with our communities. A recent report suggests that the digital economy is worth US $11.5 trillion globally, equivalent to 15.5% of global GDP and that has grown two and a half times faster than global GDP over the past 15 years, almost doubling in size since the year 2000. [Oxford, 2020] And, as we know, the effects of connectivity reach a lot further than that. Information and communication technologies (ICTs) and digital technologies (DTs) are transforming essential social services, such as education and health care, as well as the ways in which people interact with their governments. </w:t>
      </w:r>
    </w:p>
    <w:p w14:paraId="5257840E" w14:textId="77777777"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In recent years we have seen enormous progress in expanding connectivity and the opportunities it brings across the globe, the International Telecommunication Union estimates that 93% of the world’s population has access to a mobile-broadband network.  However, only 57% of households have Internet access at home and only a little more that 51% per cent of the global population, or 4 billion people, are using the Internet.​</w:t>
      </w:r>
    </w:p>
    <w:p w14:paraId="0271DC4A" w14:textId="4774AA85"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 xml:space="preserve">The COVID-19 pandemic clearly showed the value of such meaningful connectivity. Throughout the worldwide lockdowns of 2020 the Internet became our lifeline due to its unique ability to foster societal resilience in the face of the crisis, enabling us to continue our usual economic and social activities. Then again, this was the reality only for those who possessed all three key ingredients of meaningful connectivity: robust infrastructure, relevant digital services and effective skills. The </w:t>
      </w:r>
      <w:r w:rsidR="007F29BF" w:rsidRPr="00854C04">
        <w:rPr>
          <w:rFonts w:ascii="Arial" w:eastAsia="Arial" w:hAnsi="Arial" w:cs="Arial"/>
          <w:lang w:val="en-GB"/>
        </w:rPr>
        <w:t>lockdowns</w:t>
      </w:r>
      <w:r w:rsidRPr="00854C04">
        <w:rPr>
          <w:rFonts w:ascii="Arial" w:eastAsia="Arial" w:hAnsi="Arial" w:cs="Arial"/>
          <w:lang w:val="en-GB"/>
        </w:rPr>
        <w:t xml:space="preserve"> were also a brutally honest demonstration of the schism between the connected and unconnected. The International Labour Organization (ILO) estimates that in 2020 the world lost 8.8% of global working hours (compared to previous years), with an equivalence of 255 million full-time jobs (based on a 48-hour work week). This figure represents nearly four times the losses incurred during the global financial crisis of 2008.</w:t>
      </w:r>
      <w:r w:rsidR="00BC51CD" w:rsidRPr="00854C04">
        <w:rPr>
          <w:rStyle w:val="FootnoteReference"/>
          <w:rFonts w:ascii="Arial" w:eastAsia="Arial" w:hAnsi="Arial" w:cs="Arial"/>
          <w:lang w:val="en-GB"/>
        </w:rPr>
        <w:footnoteReference w:id="2"/>
      </w:r>
      <w:r w:rsidRPr="00854C04">
        <w:rPr>
          <w:rFonts w:ascii="Arial" w:eastAsia="Arial" w:hAnsi="Arial" w:cs="Arial"/>
          <w:lang w:val="en-GB"/>
        </w:rPr>
        <w:t xml:space="preserve"> </w:t>
      </w:r>
    </w:p>
    <w:p w14:paraId="651CB622" w14:textId="37E2FB45"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​​The connectivity gap and its causes are not uniform. The unconnected are either ‘uncovered’ or ‘covered but not connected’. The ‘uncovered’ are those who do not live in an area covered by a mobile broadband network. We refer to this as the coverage gap. The ‘covered but not connected’ are those who live within the footprint of a mobile broadband network but are not using mobile internet services. We refer to this as the usage gap. Although there continue to be significant increases in mobile internet adoption, GSMA Intelligence forecasts that by 2025 around 40% of the world’s population will remain unconnected, unless both the coverage and usage gaps are addressed.</w:t>
      </w:r>
      <w:r w:rsidR="00D029DA" w:rsidRPr="00854C04">
        <w:rPr>
          <w:rStyle w:val="FootnoteReference"/>
          <w:rFonts w:ascii="Arial" w:eastAsia="Arial" w:hAnsi="Arial" w:cs="Arial"/>
          <w:lang w:val="en-GB"/>
        </w:rPr>
        <w:footnoteReference w:id="3"/>
      </w:r>
    </w:p>
    <w:p w14:paraId="1984197D" w14:textId="77777777"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 xml:space="preserve">For this, dedicated and effective actions are needed on both the supply and demand side of connectivity. It takes more than access to the Internet to fully benefit from the opportunities it offers. An interoperable, seamless ICT ecosystem is crucial to help populations reap the </w:t>
      </w:r>
      <w:r w:rsidRPr="00854C04">
        <w:rPr>
          <w:rFonts w:ascii="Arial" w:eastAsia="Arial" w:hAnsi="Arial" w:cs="Arial"/>
          <w:lang w:val="en-GB"/>
        </w:rPr>
        <w:lastRenderedPageBreak/>
        <w:t xml:space="preserve">benefits of ICT and further development opportunity. Such an ecosystem consists of three layers : </w:t>
      </w:r>
    </w:p>
    <w:p w14:paraId="7BD28070" w14:textId="77777777" w:rsidR="00082A2C" w:rsidRPr="00854C04" w:rsidRDefault="00082A2C" w:rsidP="00BC3D93">
      <w:pPr>
        <w:pStyle w:val="ListParagraph"/>
        <w:numPr>
          <w:ilvl w:val="0"/>
          <w:numId w:val="1"/>
        </w:numPr>
        <w:spacing w:line="276" w:lineRule="auto"/>
        <w:rPr>
          <w:rFonts w:ascii="Arial" w:eastAsia="Arial" w:hAnsi="Arial" w:cs="Arial"/>
          <w:lang w:val="en-GB"/>
        </w:rPr>
      </w:pPr>
      <w:r w:rsidRPr="00854C04">
        <w:rPr>
          <w:rFonts w:ascii="Arial" w:eastAsia="Arial" w:hAnsi="Arial" w:cs="Arial"/>
          <w:lang w:val="en-GB"/>
        </w:rPr>
        <w:t xml:space="preserve">an infrastructure that is accessible and affordable for all, </w:t>
      </w:r>
    </w:p>
    <w:p w14:paraId="55963316" w14:textId="77777777" w:rsidR="00082A2C" w:rsidRPr="00854C04" w:rsidRDefault="00082A2C" w:rsidP="00BC3D93">
      <w:pPr>
        <w:pStyle w:val="ListParagraph"/>
        <w:numPr>
          <w:ilvl w:val="0"/>
          <w:numId w:val="1"/>
        </w:numPr>
        <w:spacing w:line="276" w:lineRule="auto"/>
        <w:rPr>
          <w:rFonts w:ascii="Arial" w:eastAsia="Arial" w:hAnsi="Arial" w:cs="Arial"/>
          <w:lang w:val="en-GB"/>
        </w:rPr>
      </w:pPr>
      <w:r w:rsidRPr="00854C04">
        <w:rPr>
          <w:rFonts w:ascii="Arial" w:eastAsia="Arial" w:hAnsi="Arial" w:cs="Arial"/>
          <w:lang w:val="en-GB"/>
        </w:rPr>
        <w:t>built on top of the infrastructure , the appropriate applications and services</w:t>
      </w:r>
    </w:p>
    <w:p w14:paraId="7E32AA21" w14:textId="77777777" w:rsidR="00082A2C" w:rsidRPr="00854C04" w:rsidRDefault="00082A2C" w:rsidP="00BC3D93">
      <w:pPr>
        <w:pStyle w:val="ListParagraph"/>
        <w:numPr>
          <w:ilvl w:val="0"/>
          <w:numId w:val="1"/>
        </w:numPr>
        <w:spacing w:line="276" w:lineRule="auto"/>
        <w:rPr>
          <w:rFonts w:ascii="Arial" w:eastAsia="Arial" w:hAnsi="Arial" w:cs="Arial"/>
          <w:lang w:val="en-GB"/>
        </w:rPr>
      </w:pPr>
      <w:r w:rsidRPr="00854C04">
        <w:rPr>
          <w:rFonts w:ascii="Arial" w:eastAsia="Arial" w:hAnsi="Arial" w:cs="Arial"/>
          <w:lang w:val="en-GB"/>
        </w:rPr>
        <w:t>ability for the user to actively and independently use the device and understand the application’s features. This can be done by reading or calculating information transmitted.</w:t>
      </w:r>
    </w:p>
    <w:p w14:paraId="78B5BDB4" w14:textId="77777777"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User digital skills and literacy are therefore important and the ICT ecosystem as described underscores the need for developing both supply and demand side of connectivity issues. User engagement is crucial for the infrastructure and application to be meaningfully applied. These mutually reinforcing layers are important for basic functioning and the ability of the user to reap the potential benefits of the ICT application.</w:t>
      </w:r>
    </w:p>
    <w:p w14:paraId="3D78E3BB" w14:textId="0764EDDA"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 xml:space="preserve">Closing the coverage and usage gaps depends on identifying and addressing the barriers that block either of the three layers of the ecosystem, which requires a right mix of economic, technical and regulatory considerations. This paper explores these three main sets of barriers and showcase innovative approaches to overcome them. It is built on </w:t>
      </w:r>
      <w:r w:rsidRPr="00854C04">
        <w:rPr>
          <w:rFonts w:ascii="Arial" w:eastAsia="Arial" w:hAnsi="Arial" w:cs="Arial"/>
          <w:highlight w:val="yellow"/>
          <w:lang w:val="en-GB"/>
        </w:rPr>
        <w:t>[number</w:t>
      </w:r>
      <w:r w:rsidR="00976FFA" w:rsidRPr="00854C04">
        <w:rPr>
          <w:rFonts w:ascii="Arial" w:eastAsia="Arial" w:hAnsi="Arial" w:cs="Arial"/>
          <w:highlight w:val="yellow"/>
          <w:lang w:val="en-GB"/>
        </w:rPr>
        <w:t xml:space="preserve"> TBD, once paper completed</w:t>
      </w:r>
      <w:r w:rsidRPr="00854C04">
        <w:rPr>
          <w:rFonts w:ascii="Arial" w:eastAsia="Arial" w:hAnsi="Arial" w:cs="Arial"/>
          <w:highlight w:val="yellow"/>
          <w:lang w:val="en-GB"/>
        </w:rPr>
        <w:t>]</w:t>
      </w:r>
      <w:r w:rsidRPr="00854C04">
        <w:rPr>
          <w:rFonts w:ascii="Arial" w:eastAsia="Arial" w:hAnsi="Arial" w:cs="Arial"/>
          <w:lang w:val="en-GB"/>
        </w:rPr>
        <w:t xml:space="preserve"> of real-life case studies: projects across the world implemented by businesses and private-public partnerships to provide meaningful connectivity to unconnected or underserved communities of different demographic, geographic and economic circumstances. Each case study brings an illustrative example of an innovative business model, technology or regulatory approach that helped address connectivity barriers. </w:t>
      </w:r>
    </w:p>
    <w:p w14:paraId="61C55C77" w14:textId="025929B6" w:rsidR="00082A2C" w:rsidRPr="00854C04" w:rsidRDefault="00082A2C" w:rsidP="00BC3D93">
      <w:pPr>
        <w:spacing w:line="276" w:lineRule="auto"/>
        <w:rPr>
          <w:rFonts w:ascii="Arial" w:eastAsia="Arial" w:hAnsi="Arial" w:cs="Arial"/>
          <w:lang w:val="en-GB"/>
        </w:rPr>
      </w:pPr>
      <w:r w:rsidRPr="00854C04">
        <w:rPr>
          <w:rFonts w:ascii="Arial" w:eastAsia="Arial" w:hAnsi="Arial" w:cs="Arial"/>
          <w:lang w:val="en-GB"/>
        </w:rPr>
        <w:t>Our main take-away from examining these projects is that there is no one-size-fits-all model that can be applied everywhere. It takes a unique mix of technology, regulatory approaches and business models that respond to the needs of each community. With this paper, we aim to provide a menu of concrete policy actions distilled from these case studies, that can, when implemented, empower relevant stakeholders to achieve universal meaningful connectivity. We hope that these learning offer a valuable resource to policymakers worldwide looking to bring to their own communities the opportunities for social and economic development offered by meaningful connectivity.</w:t>
      </w:r>
    </w:p>
    <w:p w14:paraId="362416F4" w14:textId="77777777" w:rsidR="001056E9" w:rsidRPr="00854C04" w:rsidRDefault="001056E9" w:rsidP="00BC3D93">
      <w:pPr>
        <w:pStyle w:val="Heading1"/>
        <w:spacing w:after="240" w:line="276" w:lineRule="auto"/>
        <w:rPr>
          <w:rFonts w:ascii="Arial" w:eastAsia="Arial" w:hAnsi="Arial" w:cs="Arial"/>
          <w:b/>
          <w:bCs/>
          <w:sz w:val="24"/>
          <w:szCs w:val="24"/>
          <w:lang w:val="en-US"/>
        </w:rPr>
      </w:pPr>
      <w:r w:rsidRPr="00854C04">
        <w:rPr>
          <w:rFonts w:ascii="Arial" w:eastAsia="Arial" w:hAnsi="Arial" w:cs="Arial"/>
          <w:b/>
          <w:bCs/>
          <w:sz w:val="24"/>
          <w:szCs w:val="24"/>
          <w:lang w:val="en-US"/>
        </w:rPr>
        <w:t>Part 1: Exploring the barriers to connectivity</w:t>
      </w:r>
    </w:p>
    <w:p w14:paraId="22F566A0" w14:textId="77777777" w:rsidR="00484C1E" w:rsidRDefault="001056E9" w:rsidP="00BC3D93">
      <w:pPr>
        <w:spacing w:after="0" w:line="276" w:lineRule="auto"/>
        <w:rPr>
          <w:rFonts w:ascii="Arial" w:hAnsi="Arial" w:cs="Arial"/>
          <w:i/>
          <w:iCs/>
          <w:lang w:val="en-US"/>
        </w:rPr>
      </w:pPr>
      <w:commentRangeStart w:id="0"/>
      <w:r w:rsidRPr="00854C04">
        <w:rPr>
          <w:rFonts w:ascii="Arial" w:hAnsi="Arial" w:cs="Arial"/>
          <w:i/>
          <w:iCs/>
          <w:lang w:val="en-US"/>
        </w:rPr>
        <w:t>This section will expand on the difficulties that stand in the way of delivering connectivity for everyone, everywhere, especially in areas where market forces are not sufficient. The section will note how delivering connectivity depends on the right mix of economic, technical and regulatory considerations.</w:t>
      </w:r>
    </w:p>
    <w:p w14:paraId="3DD2301D" w14:textId="50EA8935" w:rsidR="002F5827" w:rsidRDefault="00484C1E" w:rsidP="00BC3D93">
      <w:pPr>
        <w:spacing w:after="0" w:line="276" w:lineRule="auto"/>
        <w:rPr>
          <w:rFonts w:ascii="Arial" w:hAnsi="Arial" w:cs="Arial"/>
          <w:i/>
          <w:iCs/>
          <w:lang w:val="en-US"/>
        </w:rPr>
      </w:pPr>
      <w:r>
        <w:rPr>
          <w:rFonts w:ascii="Arial" w:hAnsi="Arial" w:cs="Arial"/>
          <w:i/>
          <w:iCs/>
          <w:lang w:val="en-US"/>
        </w:rPr>
        <w:t xml:space="preserve">The section can be </w:t>
      </w:r>
      <w:r w:rsidR="000267DD">
        <w:rPr>
          <w:rFonts w:ascii="Arial" w:hAnsi="Arial" w:cs="Arial"/>
          <w:i/>
          <w:iCs/>
          <w:lang w:val="en-US"/>
        </w:rPr>
        <w:t xml:space="preserve">developed here separately or included with the </w:t>
      </w:r>
      <w:r w:rsidR="0089217C">
        <w:rPr>
          <w:rFonts w:ascii="Arial" w:hAnsi="Arial" w:cs="Arial"/>
          <w:i/>
          <w:iCs/>
          <w:lang w:val="en-US"/>
        </w:rPr>
        <w:t>introduction above.</w:t>
      </w:r>
      <w:commentRangeEnd w:id="0"/>
      <w:r w:rsidR="0089217C">
        <w:rPr>
          <w:rStyle w:val="CommentReference"/>
        </w:rPr>
        <w:commentReference w:id="0"/>
      </w:r>
    </w:p>
    <w:p w14:paraId="24C39D40" w14:textId="6248F15C" w:rsidR="0089217C" w:rsidRDefault="0089217C" w:rsidP="00BC3D93">
      <w:pPr>
        <w:spacing w:after="0" w:line="276" w:lineRule="auto"/>
        <w:rPr>
          <w:rFonts w:ascii="Arial" w:eastAsia="Arial" w:hAnsi="Arial" w:cs="Arial"/>
          <w:lang w:val="en-GB"/>
        </w:rPr>
      </w:pPr>
      <w:commentRangeStart w:id="1"/>
      <w:r w:rsidRPr="00A02C92">
        <w:rPr>
          <w:rFonts w:ascii="Arial" w:eastAsia="Arial" w:hAnsi="Arial" w:cs="Arial"/>
          <w:lang w:val="en-GB"/>
        </w:rPr>
        <w:t>[…]</w:t>
      </w:r>
      <w:commentRangeEnd w:id="1"/>
      <w:r w:rsidR="00A02C92">
        <w:rPr>
          <w:rStyle w:val="CommentReference"/>
        </w:rPr>
        <w:commentReference w:id="1"/>
      </w:r>
    </w:p>
    <w:p w14:paraId="23602EEA" w14:textId="77777777" w:rsidR="00F13770" w:rsidRPr="00A02C92" w:rsidRDefault="00F13770" w:rsidP="00BC3D93">
      <w:pPr>
        <w:spacing w:after="0" w:line="276" w:lineRule="auto"/>
        <w:rPr>
          <w:rFonts w:ascii="Arial" w:eastAsia="Arial" w:hAnsi="Arial" w:cs="Arial"/>
          <w:lang w:val="en-GB"/>
        </w:rPr>
      </w:pPr>
    </w:p>
    <w:p w14:paraId="10F58214" w14:textId="77777777" w:rsidR="008C1618" w:rsidRPr="00854C04" w:rsidRDefault="008C1618" w:rsidP="00BC3D93">
      <w:pPr>
        <w:pStyle w:val="Heading1"/>
        <w:spacing w:after="240" w:line="276" w:lineRule="auto"/>
        <w:rPr>
          <w:rFonts w:ascii="Arial" w:eastAsia="Arial" w:hAnsi="Arial" w:cs="Arial"/>
          <w:b/>
          <w:bCs/>
          <w:sz w:val="24"/>
          <w:szCs w:val="24"/>
          <w:lang w:val="en-US"/>
        </w:rPr>
      </w:pPr>
      <w:r w:rsidRPr="00854C04">
        <w:rPr>
          <w:rFonts w:ascii="Arial" w:eastAsia="Arial" w:hAnsi="Arial" w:cs="Arial"/>
          <w:b/>
          <w:bCs/>
          <w:sz w:val="24"/>
          <w:szCs w:val="24"/>
          <w:lang w:val="en-US"/>
        </w:rPr>
        <w:t>Part 2: Addressing barriers to connectivity</w:t>
      </w:r>
    </w:p>
    <w:p w14:paraId="560FFB25" w14:textId="305B0395" w:rsidR="00F52F96" w:rsidRPr="00854C04" w:rsidRDefault="00F52F96" w:rsidP="00BC3D93">
      <w:pPr>
        <w:pStyle w:val="Heading1"/>
        <w:spacing w:before="0" w:line="276" w:lineRule="auto"/>
        <w:rPr>
          <w:rFonts w:ascii="Arial" w:eastAsia="Arial" w:hAnsi="Arial" w:cs="Arial"/>
          <w:b/>
          <w:bCs/>
          <w:sz w:val="24"/>
          <w:szCs w:val="24"/>
          <w:lang w:val="en-GB"/>
        </w:rPr>
      </w:pPr>
      <w:r w:rsidRPr="00854C04">
        <w:rPr>
          <w:rFonts w:ascii="Arial" w:eastAsia="Arial" w:hAnsi="Arial" w:cs="Arial"/>
          <w:b/>
          <w:bCs/>
          <w:sz w:val="24"/>
          <w:szCs w:val="24"/>
          <w:lang w:val="en-US"/>
        </w:rPr>
        <w:t xml:space="preserve">2.1 Enabling innovative business models </w:t>
      </w:r>
      <w:r w:rsidRPr="00854C04">
        <w:rPr>
          <w:rFonts w:ascii="Arial" w:eastAsia="Arial" w:hAnsi="Arial" w:cs="Arial"/>
          <w:b/>
          <w:bCs/>
          <w:sz w:val="24"/>
          <w:szCs w:val="24"/>
          <w:lang w:val="en-GB"/>
        </w:rPr>
        <w:t>to deliver universal meaningful connectivity</w:t>
      </w:r>
    </w:p>
    <w:p w14:paraId="5F7B7C8B" w14:textId="77777777"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In this section, we draw on two distinct case studies to highlight how innovative business models can help bridge digital divides in access, application, and digital skills in some of the </w:t>
      </w:r>
      <w:r w:rsidRPr="00854C04">
        <w:rPr>
          <w:rFonts w:ascii="Arial" w:eastAsia="Arial" w:hAnsi="Arial" w:cs="Arial"/>
          <w:lang w:val="en-GB"/>
        </w:rPr>
        <w:lastRenderedPageBreak/>
        <w:t xml:space="preserve">most challenging rural and remote areas by addressing locally specific challenges in a holistic manner. While the examples described below are tailored to local socioeconomic particularities, they also provide generalisable insights that underpin the policy recommendations formulated at the end of the section. </w:t>
      </w:r>
    </w:p>
    <w:p w14:paraId="206A5BB9" w14:textId="77777777" w:rsidR="00F52F96" w:rsidRPr="00854C04" w:rsidRDefault="00F52F96" w:rsidP="00BC3D93">
      <w:pPr>
        <w:spacing w:line="276" w:lineRule="auto"/>
        <w:rPr>
          <w:rFonts w:ascii="Arial" w:eastAsia="Arial" w:hAnsi="Arial" w:cs="Arial"/>
          <w:b/>
          <w:bCs/>
          <w:lang w:val="en-GB"/>
        </w:rPr>
      </w:pPr>
      <w:r w:rsidRPr="00854C04">
        <w:rPr>
          <w:rFonts w:ascii="Arial" w:eastAsia="Arial" w:hAnsi="Arial" w:cs="Arial"/>
          <w:b/>
          <w:bCs/>
          <w:lang w:val="en-GB"/>
        </w:rPr>
        <w:t>Case Study #1: Internet Para Todos Peru</w:t>
      </w:r>
    </w:p>
    <w:p w14:paraId="2B4D7FE1" w14:textId="77FC2B61"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Internet para Todos Peru (IpT Peru) was launched in </w:t>
      </w:r>
      <w:r w:rsidR="002F5827" w:rsidRPr="00854C04">
        <w:rPr>
          <w:rFonts w:ascii="Arial" w:eastAsia="Arial" w:hAnsi="Arial" w:cs="Arial"/>
          <w:highlight w:val="yellow"/>
          <w:lang w:val="en-GB"/>
        </w:rPr>
        <w:t>[</w:t>
      </w:r>
      <w:r w:rsidR="002F5827">
        <w:rPr>
          <w:rFonts w:ascii="Arial" w:eastAsia="Arial" w:hAnsi="Arial" w:cs="Arial"/>
          <w:highlight w:val="yellow"/>
          <w:lang w:val="en-GB"/>
        </w:rPr>
        <w:t xml:space="preserve">FOR ACTION: add </w:t>
      </w:r>
      <w:r w:rsidR="002F5827" w:rsidRPr="00854C04">
        <w:rPr>
          <w:rFonts w:ascii="Arial" w:eastAsia="Arial" w:hAnsi="Arial" w:cs="Arial"/>
          <w:highlight w:val="yellow"/>
          <w:lang w:val="en-GB"/>
        </w:rPr>
        <w:t>date]</w:t>
      </w:r>
      <w:r w:rsidRPr="00854C04">
        <w:rPr>
          <w:rFonts w:ascii="Arial" w:eastAsia="Arial" w:hAnsi="Arial" w:cs="Arial"/>
          <w:lang w:val="en-GB"/>
        </w:rPr>
        <w:t xml:space="preserve"> as a global collaborative initiative between an established network operator, Telefonica, an Internet based company, Facebook, and regional development banks, IDB Invest and CAF, developing a sustainable and innovative model to overcome the obstacles posed by carrying connectivity to rural areas with high geographical complexity in Peru. IpT Peru aims to provide high speed internet access to all Peruvians living in remote areas to put an end to the connectivity divide in Peru. The project featured and innovative investment and partnership structure, as well as a distinct operational model that helped address underlying challenges. IpT Peru has brought the benefits of the digital world to more than 6,000 locations across Peru, with the target to get to over 31.000 locations by 2021 year end. So far, IpT has over 1,600 3G and 4G base stations, with the challenge of deploying 4G overlay to more than 3,130 base stations by 2021 year end. IpT’s goal is, by 2021, when celebrating the bicentenary of Peru, to have connected more than 6 million of Peruvians to mobile internet.</w:t>
      </w:r>
    </w:p>
    <w:p w14:paraId="5BF30627" w14:textId="77777777" w:rsidR="00F52F96" w:rsidRPr="00854C04" w:rsidRDefault="00F52F96" w:rsidP="00BC3D93">
      <w:pPr>
        <w:spacing w:line="276" w:lineRule="auto"/>
        <w:rPr>
          <w:rFonts w:ascii="Arial" w:eastAsia="Arial" w:hAnsi="Arial" w:cs="Arial"/>
          <w:b/>
          <w:bCs/>
          <w:lang w:val="en-GB"/>
        </w:rPr>
      </w:pPr>
      <w:r w:rsidRPr="00854C04">
        <w:rPr>
          <w:rFonts w:ascii="Arial" w:eastAsia="Arial" w:hAnsi="Arial" w:cs="Arial"/>
          <w:b/>
          <w:bCs/>
          <w:lang w:val="en-GB"/>
        </w:rPr>
        <w:t>Case Study #2: Anditel and the Microsoft Airband Initiative</w:t>
      </w:r>
    </w:p>
    <w:p w14:paraId="153FE960" w14:textId="7DE28395"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Anditel, a Colombia-based Internet Service Provider, has been connecting the most remote areas of Colombia for decades by providing solutions that are at the forefront of technology and business innovation. In </w:t>
      </w:r>
      <w:r w:rsidRPr="00854C04">
        <w:rPr>
          <w:rFonts w:ascii="Arial" w:eastAsia="Arial" w:hAnsi="Arial" w:cs="Arial"/>
          <w:highlight w:val="yellow"/>
          <w:lang w:val="en-GB"/>
        </w:rPr>
        <w:t>[</w:t>
      </w:r>
      <w:r w:rsidR="002F5827">
        <w:rPr>
          <w:rFonts w:ascii="Arial" w:eastAsia="Arial" w:hAnsi="Arial" w:cs="Arial"/>
          <w:highlight w:val="yellow"/>
          <w:lang w:val="en-GB"/>
        </w:rPr>
        <w:t xml:space="preserve">FOR ACTION: add </w:t>
      </w:r>
      <w:r w:rsidRPr="00854C04">
        <w:rPr>
          <w:rFonts w:ascii="Arial" w:eastAsia="Arial" w:hAnsi="Arial" w:cs="Arial"/>
          <w:highlight w:val="yellow"/>
          <w:lang w:val="en-GB"/>
        </w:rPr>
        <w:t>date]</w:t>
      </w:r>
      <w:r w:rsidRPr="00854C04">
        <w:rPr>
          <w:rFonts w:ascii="Arial" w:eastAsia="Arial" w:hAnsi="Arial" w:cs="Arial"/>
          <w:lang w:val="en-GB"/>
        </w:rPr>
        <w:t xml:space="preserve">, Anditel led a project that addressed local challenges through innovative business models that involved partnering with both private sector and public sector stakeholders to reduce and de-risk its capital and operational expenditures. Anditel worked closely with Microsoft’s Airband Initiative and a coalition of private sector and public sector stakeholders that are united around a common cause: to connect the coffee grower communities in the Mesetas region of Colombia, a war-torn region that was in dire need of greater connection, growth, and reintegration into the mainstream economy. The coalition included Italian coffee company Lavazza, the energy and agricultural supply chain innovator ALO &amp; Partners, a Colombian non-profit organization MAKAIA, and Colombia’s national spectrum agency ANE. Each stakeholder contributed to the project through its unique strengths and collectively helped connect </w:t>
      </w:r>
      <w:r w:rsidRPr="00854C04">
        <w:rPr>
          <w:rFonts w:ascii="Arial" w:eastAsia="Arial" w:hAnsi="Arial" w:cs="Arial"/>
          <w:highlight w:val="yellow"/>
          <w:lang w:val="en-GB"/>
        </w:rPr>
        <w:t>[</w:t>
      </w:r>
      <w:r w:rsidR="002F5827">
        <w:rPr>
          <w:rFonts w:ascii="Arial" w:eastAsia="Arial" w:hAnsi="Arial" w:cs="Arial"/>
          <w:highlight w:val="yellow"/>
          <w:lang w:val="en-GB"/>
        </w:rPr>
        <w:t xml:space="preserve">FOR ACTION: Add </w:t>
      </w:r>
      <w:r w:rsidRPr="00854C04">
        <w:rPr>
          <w:rFonts w:ascii="Arial" w:eastAsia="Arial" w:hAnsi="Arial" w:cs="Arial"/>
          <w:highlight w:val="yellow"/>
          <w:lang w:val="en-GB"/>
        </w:rPr>
        <w:t>data on the outcomes of the projects]</w:t>
      </w:r>
      <w:r w:rsidR="00F079CE" w:rsidRPr="00854C04">
        <w:rPr>
          <w:rFonts w:ascii="Arial" w:eastAsia="Arial" w:hAnsi="Arial" w:cs="Arial"/>
          <w:lang w:val="en-GB"/>
        </w:rPr>
        <w:t>.</w:t>
      </w:r>
    </w:p>
    <w:p w14:paraId="313C9CC7" w14:textId="75D4964A" w:rsidR="00F52F96" w:rsidRPr="00854C04" w:rsidRDefault="00F52F96" w:rsidP="00BC3D93">
      <w:pPr>
        <w:pStyle w:val="ListParagraph"/>
        <w:numPr>
          <w:ilvl w:val="0"/>
          <w:numId w:val="3"/>
        </w:numPr>
        <w:spacing w:line="276" w:lineRule="auto"/>
        <w:rPr>
          <w:rFonts w:ascii="Arial" w:eastAsia="Arial" w:hAnsi="Arial" w:cs="Arial"/>
          <w:b/>
          <w:bCs/>
          <w:lang w:val="en-GB"/>
        </w:rPr>
      </w:pPr>
      <w:r w:rsidRPr="00854C04">
        <w:rPr>
          <w:rFonts w:ascii="Arial" w:eastAsia="Arial" w:hAnsi="Arial" w:cs="Arial"/>
          <w:b/>
          <w:bCs/>
          <w:lang w:val="en-GB"/>
        </w:rPr>
        <w:t>Bridging divides in access</w:t>
      </w:r>
    </w:p>
    <w:p w14:paraId="1A642775" w14:textId="77777777"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Most telecommunication carrier and Internet Service Provider (ISP) business models are predicated on network capital expenditure (CAPEX) and operational expenditure (OPEX) on the cost side of the equation and the concept of Average Revenue Per User (ARPU) on the right-hand side of the equation. However, decisions on deployment and on the provision of a new service in a specific region or market depend on the comparison of the incremental cost of deployment or service relative to the incremental revenues generated. The unserved and underserved population are often characterized by relatively lower disposable income and relatively lower population density, resulting in lower revenue potential and thus higher incremental cost per customer, to the extent that it is challenging to prove a positive business </w:t>
      </w:r>
      <w:r w:rsidRPr="00854C04">
        <w:rPr>
          <w:rFonts w:ascii="Arial" w:eastAsia="Arial" w:hAnsi="Arial" w:cs="Arial"/>
          <w:lang w:val="en-GB"/>
        </w:rPr>
        <w:lastRenderedPageBreak/>
        <w:t>case for the carriers or ISPs. Addressing the connectivity divide in remote and rural areas does not only imply providing services to low-income communities in low density areas, but also deploying networks in remote areas which are difficult to access. The latter results in higher investment requirements than in more accessible urban areas, but also higher maintenance and operating costs. The combination of these two factors, i.e. low revenues and higher costs, leads to lower returns on investment and higher risk profiles that might dissuade private companies when operating alone.</w:t>
      </w:r>
    </w:p>
    <w:p w14:paraId="373D5BC0" w14:textId="77777777"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To solve such challenges, connectivity providers need to design and implement innovative approaches to connectivity infrastructure that address the inherent risks involved in building costly network infrastructure and sustaining it, with little assurance of user uptake and ability to pay, therefore uncertain return on investment (ROI). For underserved areas, the high initial capital outlay cannot be justified by the low population density and low incremental ARPU potentials, and the ongoing operations expenditures make it even less sustainable. </w:t>
      </w:r>
    </w:p>
    <w:p w14:paraId="34468A69" w14:textId="2946C5CE"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To address these complex challenges, Internet Para Todos Peru (IpT Peru) was started as a new company, a Rural Mobile Infrastructure Operator developing a new business model with a different risk investment profile and lower requirements of ROI. As a Rural Mobile Infrastructure Operator, IpT Peru deploys and runs an open wholesale only mobile network providing an access service to other mobile service providers, Telefonica and Entel, who in turn provide the mobile service to end customers. IpT Peru ensures the network service quality to mobile providers, and mobile providers ensure the quality of service provided to end customers. This open model aggregates the disperse end-user demand of the low population density rural areas of Peru in a unique network, thus resulting in more efficient investments aiming to achieve the long-term sustainability of the business model. Ultimately, IpT Peru leverages an open model that incorporates the use of shared access infrastructure (RAN Sharing), network virtualization and automation of operational processes for cost reduction, thereby enabling the country's mobile operators, under a wholesale business model, to extend their mobile services to rural areas of the country, providing 4G mobile broadband to underserved communities across Peru</w:t>
      </w:r>
      <w:commentRangeStart w:id="2"/>
      <w:r w:rsidRPr="00854C04">
        <w:rPr>
          <w:rFonts w:ascii="Arial" w:eastAsia="Arial" w:hAnsi="Arial" w:cs="Arial"/>
          <w:lang w:val="en-GB"/>
        </w:rPr>
        <w:t>.</w:t>
      </w:r>
      <w:commentRangeEnd w:id="2"/>
      <w:r w:rsidR="00D43CE5">
        <w:rPr>
          <w:rStyle w:val="CommentReference"/>
        </w:rPr>
        <w:commentReference w:id="2"/>
      </w:r>
    </w:p>
    <w:p w14:paraId="48BA876D" w14:textId="2C2395E8"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Another effective measure in further reducing CAPEX is to minimize spending on spectrum fees by effectively leveraging shared and unlicensed spectrum resources. In Colombia, Anditel received strong support from Colombia’s ICT Ministry and the national spectrum regulator, ANE, who put in place a regulatory framework to enable unlicensed, secondary access to vacant TV channels in the UHF band, known as TV White Space. With the support of the Microsoft Airband Initiative that provided the technical expertise to deploy TV White Spade (TVWS), Anditel is able to offer a cost-effective last-mile connectivity solution that can provide long-range coverage in rural and remote areas, making the connectivity offer much more affordable, and thus connect the coffee grower communities in the Mesetas region of Colombia to new markets. When making the business case for connecting underserved communities, hard numbers like return on investment or percent increase of productivity are the most commonly used indicators. However, there is much more to it as shown by this examples in rural Colombia</w:t>
      </w:r>
      <w:commentRangeStart w:id="3"/>
      <w:r w:rsidRPr="00854C04">
        <w:rPr>
          <w:rFonts w:ascii="Arial" w:eastAsia="Arial" w:hAnsi="Arial" w:cs="Arial"/>
          <w:lang w:val="en-GB"/>
        </w:rPr>
        <w:t>.</w:t>
      </w:r>
      <w:commentRangeEnd w:id="3"/>
      <w:r w:rsidR="00181AAC">
        <w:rPr>
          <w:rStyle w:val="CommentReference"/>
        </w:rPr>
        <w:commentReference w:id="3"/>
      </w:r>
    </w:p>
    <w:p w14:paraId="50FF014F" w14:textId="77777777" w:rsidR="00F52F96" w:rsidRPr="00854C04" w:rsidRDefault="00F52F96" w:rsidP="00BC3D93">
      <w:pPr>
        <w:pStyle w:val="ListParagraph"/>
        <w:numPr>
          <w:ilvl w:val="0"/>
          <w:numId w:val="3"/>
        </w:numPr>
        <w:spacing w:line="276" w:lineRule="auto"/>
        <w:rPr>
          <w:rFonts w:ascii="Arial" w:eastAsia="Arial" w:hAnsi="Arial" w:cs="Arial"/>
          <w:b/>
          <w:bCs/>
          <w:lang w:val="en-GB"/>
        </w:rPr>
      </w:pPr>
      <w:r w:rsidRPr="00854C04">
        <w:rPr>
          <w:rFonts w:ascii="Arial" w:eastAsia="Arial" w:hAnsi="Arial" w:cs="Arial"/>
          <w:b/>
          <w:bCs/>
          <w:lang w:val="en-GB"/>
        </w:rPr>
        <w:t xml:space="preserve">Bridging divides in application </w:t>
      </w:r>
    </w:p>
    <w:p w14:paraId="3A6D1EF1" w14:textId="77777777"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The digital divide in applications and contents often contribute to the digital divide in access, resulting in a vicious circle of perpetuating or even further widening the digital divide. Indeed, connectivity recipients are often passive, if not unaware or reluctant, due to lack of local </w:t>
      </w:r>
      <w:r w:rsidRPr="00854C04">
        <w:rPr>
          <w:rFonts w:ascii="Arial" w:eastAsia="Arial" w:hAnsi="Arial" w:cs="Arial"/>
          <w:lang w:val="en-GB"/>
        </w:rPr>
        <w:lastRenderedPageBreak/>
        <w:t>content and relevance, making it even harder for service providers to make the decision to invest. The Anditel and Microsoft Airband Initiative illustrates the importance of associating enhanced connectivity with locally-specific and meaningful applications.</w:t>
      </w:r>
    </w:p>
    <w:p w14:paraId="0E87F7DA" w14:textId="77777777" w:rsidR="00F52F96" w:rsidRPr="001E730D" w:rsidRDefault="00F52F96" w:rsidP="00BC3D93">
      <w:pPr>
        <w:spacing w:line="276" w:lineRule="auto"/>
        <w:rPr>
          <w:rFonts w:ascii="Arial" w:eastAsia="Arial" w:hAnsi="Arial" w:cs="Arial"/>
          <w:i/>
          <w:iCs/>
          <w:lang w:val="en-GB"/>
        </w:rPr>
      </w:pPr>
      <w:r w:rsidRPr="00854C04">
        <w:rPr>
          <w:rFonts w:ascii="Arial" w:eastAsia="Arial" w:hAnsi="Arial" w:cs="Arial"/>
          <w:lang w:val="en-GB"/>
        </w:rPr>
        <w:t xml:space="preserve">The underlying objective of the Anditel and Microsoft Airband Initiative was not only to connect populations that had remained at the margins of the network but, importantly, to leverage new and enhanced connectivity to drive entrepreneurship. By including partners such as the Lavazza Foundation and Carcafé, the project was able to bring meaningful and connectivity to local coffee growers. While the Lavazza Foundation developed the initial project design to connect this coffee-growing region and the funding to do so, Carcafé provide coffee technicians to support growers online and in person. Therefore this alliance of private companies, nonprofits and governmental agencies was able to connect dispersed pocket of coffee growers and help farmers produce more and better beans, and reach new customers. This has had a positive effect on the wider community by helping strengthen families, improve community health and even preserve peace. Before this region was connected to the internet, coffee growers like Oveida Quinceno were all but cut off from the rest of the world—including their contacts at Lavazza, where they sold their coffee beans. The result: Local farmers weren’t taking advantage of opportunities to improve their crops and strengthen relationships with buyers. Oveida Quinceno began cultivating coffee after her first husband was killed by paramilitary fighters, was one of five recently connected to high-speed broadband via TVWS technology. Before this project was deployed, she had to travelled two hours to the closest Wi-Fi hotspot in order to send and receive WhatsApp messages to agriculture experts or her coffee buyer representatives. Now she has instant access to her business partners as well as to online trainings on coffee cultivation, data on market demands and an open line of communication with experts who can help her troubleshoot cultivation problems. </w:t>
      </w:r>
      <w:r w:rsidRPr="001E730D">
        <w:rPr>
          <w:rFonts w:ascii="Arial" w:eastAsia="Arial" w:hAnsi="Arial" w:cs="Arial"/>
          <w:i/>
          <w:iCs/>
          <w:lang w:val="en-GB"/>
        </w:rPr>
        <w:t>“We didn’t use to have internet access, but now we can depend on it,”</w:t>
      </w:r>
      <w:r w:rsidRPr="00854C04">
        <w:rPr>
          <w:rFonts w:ascii="Arial" w:eastAsia="Arial" w:hAnsi="Arial" w:cs="Arial"/>
          <w:lang w:val="en-GB"/>
        </w:rPr>
        <w:t xml:space="preserve"> Quinceno says. </w:t>
      </w:r>
      <w:r w:rsidRPr="001E730D">
        <w:rPr>
          <w:rFonts w:ascii="Arial" w:eastAsia="Arial" w:hAnsi="Arial" w:cs="Arial"/>
          <w:i/>
          <w:iCs/>
          <w:lang w:val="en-GB"/>
        </w:rPr>
        <w:t>“We’ve all benefited from it.”</w:t>
      </w:r>
    </w:p>
    <w:p w14:paraId="4B441B0D" w14:textId="14718F47"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By supporting local communities through meaningful connectivity, the Anditel and Microsoft Airband Initiative are also helping preserve peace in a region that has long been fraught with tensions, crisis and conflicts. When the Colombian government and rebel groups signed an end to the decades-long armed conflict in 2016, part of that peace treaty included plans to connect all regions of Colombia to the internet. Realizing that inclusion in 21st century economies and education opportunities is a key aspect to preventing outbreaks of violence, former Colombian President Juan Manuel Santos threw his support behind projects such as the pilot in the Meta region. </w:t>
      </w:r>
      <w:commentRangeStart w:id="4"/>
      <w:r w:rsidRPr="00854C04">
        <w:rPr>
          <w:rFonts w:ascii="Arial" w:eastAsia="Arial" w:hAnsi="Arial" w:cs="Arial"/>
          <w:lang w:val="en-GB"/>
        </w:rPr>
        <w:t>Escobar</w:t>
      </w:r>
      <w:commentRangeEnd w:id="4"/>
      <w:r w:rsidR="00181AAC">
        <w:rPr>
          <w:rStyle w:val="CommentReference"/>
        </w:rPr>
        <w:commentReference w:id="4"/>
      </w:r>
      <w:r w:rsidRPr="00854C04">
        <w:rPr>
          <w:rFonts w:ascii="Arial" w:eastAsia="Arial" w:hAnsi="Arial" w:cs="Arial"/>
          <w:lang w:val="en-GB"/>
        </w:rPr>
        <w:t xml:space="preserve"> agrees. </w:t>
      </w:r>
      <w:r w:rsidRPr="00C338E6">
        <w:rPr>
          <w:rFonts w:ascii="Arial" w:eastAsia="Arial" w:hAnsi="Arial" w:cs="Arial"/>
          <w:i/>
          <w:iCs/>
          <w:lang w:val="en-GB"/>
        </w:rPr>
        <w:t>“If you think about isolated communities like this one, which was one of the former epicenters of the conflict in Colombia, they’re the perfect environment for conflict. But when the public is connected, informed, and with access to information and government institutions, there’s less chance conflict will reemerge.”</w:t>
      </w:r>
      <w:r w:rsidRPr="00854C04">
        <w:rPr>
          <w:rFonts w:ascii="Arial" w:eastAsia="Arial" w:hAnsi="Arial" w:cs="Arial"/>
          <w:lang w:val="en-GB"/>
        </w:rPr>
        <w:t xml:space="preserve"> Many of the coffee growers of this isolated region used to produce coca, the source of cocaine and a money-maker that funded the violence that displaced more than 5 million civilians. Growing coffee requires more up-front investment and agricultural expertise—but yields higher profits in the long term. </w:t>
      </w:r>
      <w:r w:rsidRPr="00970B1F">
        <w:rPr>
          <w:rFonts w:ascii="Arial" w:eastAsia="Arial" w:hAnsi="Arial" w:cs="Arial"/>
          <w:i/>
          <w:iCs/>
          <w:lang w:val="en-GB"/>
        </w:rPr>
        <w:t>“If growers see that coffee can continue to improve their quality of life, they’re going to stay with coffee and legal crops,”</w:t>
      </w:r>
      <w:r w:rsidRPr="00854C04">
        <w:rPr>
          <w:rFonts w:ascii="Arial" w:eastAsia="Arial" w:hAnsi="Arial" w:cs="Arial"/>
          <w:lang w:val="en-GB"/>
        </w:rPr>
        <w:t xml:space="preserve"> says Escobar.</w:t>
      </w:r>
    </w:p>
    <w:p w14:paraId="26E7F859" w14:textId="20CEB0AE" w:rsidR="00F52F96" w:rsidRPr="000554FE" w:rsidRDefault="00F52F96" w:rsidP="000554FE">
      <w:pPr>
        <w:pStyle w:val="ListParagraph"/>
        <w:numPr>
          <w:ilvl w:val="0"/>
          <w:numId w:val="3"/>
        </w:numPr>
        <w:spacing w:line="276" w:lineRule="auto"/>
        <w:rPr>
          <w:rFonts w:ascii="Arial" w:eastAsia="Arial" w:hAnsi="Arial" w:cs="Arial"/>
          <w:b/>
          <w:bCs/>
          <w:lang w:val="en-GB"/>
        </w:rPr>
      </w:pPr>
      <w:r w:rsidRPr="000554FE">
        <w:rPr>
          <w:rFonts w:ascii="Arial" w:eastAsia="Arial" w:hAnsi="Arial" w:cs="Arial"/>
          <w:b/>
          <w:bCs/>
          <w:lang w:val="en-GB"/>
        </w:rPr>
        <w:t>Bridging divides in skills</w:t>
      </w:r>
    </w:p>
    <w:p w14:paraId="2BAEA024" w14:textId="77777777"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Digital skills and literacy are critical to make meaningful use of both Internet access and digital technologies beyond basic communications and entertainment values. UNESCO defines digital skills “as a range of abilities to use digital devices, communication </w:t>
      </w:r>
      <w:r w:rsidRPr="00854C04">
        <w:rPr>
          <w:rFonts w:ascii="Arial" w:eastAsia="Arial" w:hAnsi="Arial" w:cs="Arial"/>
          <w:lang w:val="en-GB"/>
        </w:rPr>
        <w:lastRenderedPageBreak/>
        <w:t xml:space="preserve">applications, and networks to access and manage information. They enable people “to create and share digital content, communicate and collaborate, and solve problems for effective and creative self-fulfillment in life, learning, work, and social activities at large.” Crucially, the Anditel and IpT Peru projects focused on digital skills and literacy to maximize the impact of the project. </w:t>
      </w:r>
    </w:p>
    <w:p w14:paraId="3E5CEDC0" w14:textId="51BC0F33"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The coalition that enabled Anditel and the Microsoft Airband Initiative to deploy the project in Colombia included MAKAIA, a social organization created and based in Colombia that focuses on digital transformation. MAKAIA provided on-the-ground digital skills training and capacity building to secluded communities, building their competencies and skills to leverage the new tools and connectivity that was now available to them. </w:t>
      </w:r>
      <w:r w:rsidRPr="00E15EFF">
        <w:rPr>
          <w:rFonts w:ascii="Arial" w:eastAsia="Arial" w:hAnsi="Arial" w:cs="Arial"/>
          <w:i/>
          <w:iCs/>
          <w:lang w:val="en-GB"/>
        </w:rPr>
        <w:t>“We make sure coffee growers see technology as an enabler and friend, not an enemy,”</w:t>
      </w:r>
      <w:r w:rsidRPr="00854C04">
        <w:rPr>
          <w:rFonts w:ascii="Arial" w:eastAsia="Arial" w:hAnsi="Arial" w:cs="Arial"/>
          <w:lang w:val="en-GB"/>
        </w:rPr>
        <w:t xml:space="preserve"> Escobar says. </w:t>
      </w:r>
      <w:r w:rsidRPr="00E15EFF">
        <w:rPr>
          <w:rFonts w:ascii="Arial" w:eastAsia="Arial" w:hAnsi="Arial" w:cs="Arial"/>
          <w:i/>
          <w:iCs/>
          <w:lang w:val="en-GB"/>
        </w:rPr>
        <w:t xml:space="preserve">“We build their capacity based on daily needs, like social development, health, and communications so they can take advantage of more advanced opportunities like technical agricultural training.” </w:t>
      </w:r>
      <w:r w:rsidRPr="00854C04">
        <w:rPr>
          <w:rFonts w:ascii="Arial" w:eastAsia="Arial" w:hAnsi="Arial" w:cs="Arial"/>
          <w:lang w:val="en-GB"/>
        </w:rPr>
        <w:t xml:space="preserve">While the project was initially designed to empower coffee growers, the combination of enhanced connectivity, new and applications and broad digital literacy greatly benefited the wider community. Indeed, the impact of connectivity extends beyond coffee value chains. </w:t>
      </w:r>
      <w:r w:rsidRPr="00587010">
        <w:rPr>
          <w:rFonts w:ascii="Arial" w:eastAsia="Arial" w:hAnsi="Arial" w:cs="Arial"/>
          <w:i/>
          <w:iCs/>
          <w:lang w:val="en-GB"/>
        </w:rPr>
        <w:t>“If young people don’t have possibility in this region, they leave,”</w:t>
      </w:r>
      <w:r w:rsidRPr="00854C04">
        <w:rPr>
          <w:rFonts w:ascii="Arial" w:eastAsia="Arial" w:hAnsi="Arial" w:cs="Arial"/>
          <w:lang w:val="en-GB"/>
        </w:rPr>
        <w:t xml:space="preserve"> explains Andrea Londono, a representative at ALO Partners who also worked on the accessibility project with Anditel. The project’s partners ensured that internet access can help keep communities growing—and thriving. </w:t>
      </w:r>
      <w:r w:rsidRPr="00587010">
        <w:rPr>
          <w:rFonts w:ascii="Arial" w:eastAsia="Arial" w:hAnsi="Arial" w:cs="Arial"/>
          <w:i/>
          <w:iCs/>
          <w:lang w:val="en-GB"/>
        </w:rPr>
        <w:t>“An important aspect of connectivity is the idea of a generation of renewal—that now young people can do a lot of things they couldn’t before, like study through the internet. This brings more opportunity to entire families.”</w:t>
      </w:r>
      <w:r w:rsidRPr="00854C04">
        <w:rPr>
          <w:rFonts w:ascii="Arial" w:eastAsia="Arial" w:hAnsi="Arial" w:cs="Arial"/>
          <w:lang w:val="en-GB"/>
        </w:rPr>
        <w:t xml:space="preserve"> For example, until a few months ago Quincena’s son Juan Pablo couldn’t research school projects or find help on subjects where he struggled. Now he can do his homework online, look up answers to questions his parents can’t answer, and learn more about his dream career—civil engineering.</w:t>
      </w:r>
    </w:p>
    <w:p w14:paraId="0B4CD039" w14:textId="77777777" w:rsidR="00F52F96" w:rsidRPr="004F5662" w:rsidRDefault="00F52F96" w:rsidP="00BC3D93">
      <w:pPr>
        <w:spacing w:line="276" w:lineRule="auto"/>
        <w:rPr>
          <w:rFonts w:ascii="Arial" w:eastAsia="Arial" w:hAnsi="Arial" w:cs="Arial"/>
          <w:i/>
          <w:iCs/>
          <w:lang w:val="en-GB"/>
        </w:rPr>
      </w:pPr>
      <w:r w:rsidRPr="00854C04">
        <w:rPr>
          <w:rFonts w:ascii="Arial" w:eastAsia="Arial" w:hAnsi="Arial" w:cs="Arial"/>
          <w:lang w:val="en-GB"/>
        </w:rPr>
        <w:t xml:space="preserve">What’s more, she has taken advantage of local digital skills trainings offered through the pilot. Connectivity can also help bring specialized skills closer to the needs of local communities. A telemedicine pilot ran by Anditel in coordination with the University of Antioquia, isolated residents in rural Colombia are being treated by specialists in Medellin, a 14-hour drive away. </w:t>
      </w:r>
      <w:r w:rsidRPr="0050190F">
        <w:rPr>
          <w:rFonts w:ascii="Arial" w:eastAsia="Arial" w:hAnsi="Arial" w:cs="Arial"/>
          <w:i/>
          <w:iCs/>
          <w:lang w:val="en-GB"/>
        </w:rPr>
        <w:t>“With telemedicine, the people wouldn’t need to leave the countryside, and they could stay here working,”</w:t>
      </w:r>
      <w:r w:rsidRPr="00854C04">
        <w:rPr>
          <w:rFonts w:ascii="Arial" w:eastAsia="Arial" w:hAnsi="Arial" w:cs="Arial"/>
          <w:lang w:val="en-GB"/>
        </w:rPr>
        <w:t xml:space="preserve"> says Jose Leonel Buitrago, a coffee grower who participated in the pilot. The alliance is now embarking on the next phase of the pilot, says Giuseppe Lavazza, group Vice President. By incorporating precision agriculture technology and data collection with smart devices, growers will be able to fine-tune their production—and grow peace in the long-term. Lavazza explains, </w:t>
      </w:r>
      <w:r w:rsidRPr="004F5662">
        <w:rPr>
          <w:rFonts w:ascii="Arial" w:eastAsia="Arial" w:hAnsi="Arial" w:cs="Arial"/>
          <w:i/>
          <w:iCs/>
          <w:lang w:val="en-GB"/>
        </w:rPr>
        <w:t>“Deeper integration of economic growth, social inclusion and environmental protection are the way to protect the world we live in.”</w:t>
      </w:r>
    </w:p>
    <w:p w14:paraId="5C3B05A0" w14:textId="38F8DC0E" w:rsidR="00F52F96" w:rsidRPr="00854C04" w:rsidRDefault="00537B58" w:rsidP="00BC3D93">
      <w:pPr>
        <w:spacing w:line="276" w:lineRule="auto"/>
        <w:rPr>
          <w:rFonts w:ascii="Arial" w:eastAsia="Arial" w:hAnsi="Arial" w:cs="Arial"/>
          <w:lang w:val="en-GB"/>
        </w:rPr>
      </w:pPr>
      <w:commentRangeStart w:id="5"/>
      <w:r>
        <w:rPr>
          <w:rFonts w:ascii="Arial" w:eastAsia="Arial" w:hAnsi="Arial" w:cs="Arial"/>
          <w:highlight w:val="yellow"/>
          <w:lang w:val="en-GB"/>
        </w:rPr>
        <w:t>[…]</w:t>
      </w:r>
      <w:commentRangeEnd w:id="5"/>
      <w:r>
        <w:rPr>
          <w:rStyle w:val="CommentReference"/>
        </w:rPr>
        <w:commentReference w:id="5"/>
      </w:r>
    </w:p>
    <w:p w14:paraId="2AC93CEA" w14:textId="5E7AE7BF" w:rsidR="00F52F96" w:rsidRPr="00515A12" w:rsidRDefault="00515A12" w:rsidP="00515A12">
      <w:pPr>
        <w:spacing w:line="276" w:lineRule="auto"/>
        <w:rPr>
          <w:rFonts w:ascii="Arial" w:eastAsia="Arial" w:hAnsi="Arial" w:cs="Arial"/>
          <w:b/>
          <w:bCs/>
          <w:lang w:val="en-GB"/>
        </w:rPr>
      </w:pPr>
      <w:r w:rsidRPr="00515A12">
        <w:rPr>
          <w:rFonts w:ascii="Arial" w:eastAsia="Arial" w:hAnsi="Arial" w:cs="Arial"/>
          <w:b/>
          <w:bCs/>
          <w:lang w:val="en-GB"/>
        </w:rPr>
        <w:t>Conclusion</w:t>
      </w:r>
    </w:p>
    <w:p w14:paraId="0532B833" w14:textId="77777777" w:rsidR="00F52F96" w:rsidRPr="00854C04" w:rsidRDefault="00F52F96" w:rsidP="00BC3D93">
      <w:pPr>
        <w:spacing w:line="276" w:lineRule="auto"/>
        <w:rPr>
          <w:rFonts w:ascii="Arial" w:eastAsia="Arial" w:hAnsi="Arial" w:cs="Arial"/>
          <w:lang w:val="en-GB"/>
        </w:rPr>
      </w:pPr>
    </w:p>
    <w:p w14:paraId="05D1322E" w14:textId="77777777" w:rsidR="00F52F96" w:rsidRPr="00854C04" w:rsidRDefault="00F52F96" w:rsidP="00BC3D93">
      <w:pPr>
        <w:spacing w:line="276" w:lineRule="auto"/>
        <w:rPr>
          <w:rFonts w:ascii="Arial" w:eastAsia="Arial" w:hAnsi="Arial" w:cs="Arial"/>
          <w:lang w:val="en-GB"/>
        </w:rPr>
      </w:pPr>
      <w:r w:rsidRPr="00854C04">
        <w:rPr>
          <w:rFonts w:ascii="Arial" w:eastAsia="Arial" w:hAnsi="Arial" w:cs="Arial"/>
          <w:lang w:val="en-GB"/>
        </w:rPr>
        <w:t xml:space="preserve">In summary, where conventional business model suggested going alone, Anditel, ItP Peru, and many others, decided to go together with a broad range of public and private partnerships, in order to leverage more funding and resources, and to share risks, responsibilities and rewards. Where conventional business model tends to be transactional, with a simplistic access revenue model, these innovative business models aimed to be </w:t>
      </w:r>
      <w:r w:rsidRPr="00854C04">
        <w:rPr>
          <w:rFonts w:ascii="Arial" w:eastAsia="Arial" w:hAnsi="Arial" w:cs="Arial"/>
          <w:lang w:val="en-GB"/>
        </w:rPr>
        <w:lastRenderedPageBreak/>
        <w:t>transformational to help customers make the best out of connectivity and improve people’s livelihoods.  Where conventional business model focuses on value extraction and competing for a (however thin) wallet share, these partnerships chose to focus first on value creation by investing in skills training, capacity building, local contents and relevant applications. Where conventional business model struggled with extracting enough value out of consumers, these new models thrived in creating economic value in producer surplus, as its connectivity-enabled applications and services helped local communities and businesses to grow and flourish. Where conventional business model deemed the end-user largely passive and prone to churn, customers turned out to be much more proactive and participative, even demanding, and committed to utilizing the connectivity to improve their livelihoods, elevate the education of their next generation, improve access to healthcare through tele-medicine, and restore and sustain peace and economic growth.</w:t>
      </w:r>
    </w:p>
    <w:p w14:paraId="2B3CF97D" w14:textId="553D48D9" w:rsidR="00F52F96" w:rsidRPr="00515A12" w:rsidRDefault="00F52F96" w:rsidP="00BC3D93">
      <w:pPr>
        <w:spacing w:line="276" w:lineRule="auto"/>
        <w:rPr>
          <w:rFonts w:ascii="Arial" w:eastAsia="Arial" w:hAnsi="Arial" w:cs="Arial"/>
          <w:b/>
          <w:bCs/>
          <w:lang w:val="en-GB"/>
        </w:rPr>
      </w:pPr>
      <w:commentRangeStart w:id="6"/>
      <w:r w:rsidRPr="00515A12">
        <w:rPr>
          <w:rFonts w:ascii="Arial" w:eastAsia="Arial" w:hAnsi="Arial" w:cs="Arial"/>
          <w:b/>
          <w:bCs/>
          <w:lang w:val="en-GB"/>
        </w:rPr>
        <w:t>R</w:t>
      </w:r>
      <w:r w:rsidR="00515A12">
        <w:rPr>
          <w:rFonts w:ascii="Arial" w:eastAsia="Arial" w:hAnsi="Arial" w:cs="Arial"/>
          <w:b/>
          <w:bCs/>
          <w:lang w:val="en-GB"/>
        </w:rPr>
        <w:t>ecommendation</w:t>
      </w:r>
    </w:p>
    <w:p w14:paraId="63454C37" w14:textId="2D416140" w:rsidR="00F52F96" w:rsidRDefault="00F52F96" w:rsidP="00BC3D93">
      <w:pPr>
        <w:spacing w:line="276" w:lineRule="auto"/>
        <w:rPr>
          <w:rFonts w:ascii="Arial" w:eastAsia="Arial" w:hAnsi="Arial" w:cs="Arial"/>
          <w:lang w:val="en-GB"/>
        </w:rPr>
      </w:pPr>
      <w:r w:rsidRPr="00854C04">
        <w:rPr>
          <w:rFonts w:ascii="Arial" w:eastAsia="Arial" w:hAnsi="Arial" w:cs="Arial"/>
          <w:lang w:val="en-GB"/>
        </w:rPr>
        <w:t>Policy makers must support and empower the business model innovations that create a virtuous circle of affordable infrastructure, relevant local content and applications, skills training, digital transformation, value creation, informed and incremental demand, resulting in greater investment and greater supply.</w:t>
      </w:r>
      <w:commentRangeEnd w:id="6"/>
      <w:r w:rsidR="00CF037F">
        <w:rPr>
          <w:rStyle w:val="CommentReference"/>
        </w:rPr>
        <w:commentReference w:id="6"/>
      </w:r>
    </w:p>
    <w:p w14:paraId="76E4BC9D" w14:textId="77777777" w:rsidR="00B31237" w:rsidRPr="00D45E4A" w:rsidRDefault="00B31237" w:rsidP="00EB77F7">
      <w:pPr>
        <w:pStyle w:val="Heading1"/>
        <w:spacing w:after="240" w:line="276" w:lineRule="auto"/>
        <w:rPr>
          <w:rFonts w:ascii="Arial" w:eastAsia="Arial" w:hAnsi="Arial" w:cs="Arial"/>
          <w:b/>
          <w:bCs/>
          <w:sz w:val="24"/>
          <w:szCs w:val="24"/>
          <w:lang w:val="en-GB"/>
        </w:rPr>
      </w:pPr>
      <w:r w:rsidRPr="00D45E4A">
        <w:rPr>
          <w:rFonts w:ascii="Arial" w:eastAsia="Arial" w:hAnsi="Arial" w:cs="Arial"/>
          <w:b/>
          <w:bCs/>
          <w:sz w:val="24"/>
          <w:szCs w:val="24"/>
          <w:lang w:val="en-GB"/>
        </w:rPr>
        <w:t xml:space="preserve">2.2: Leveraging innovative technologies to deliver universal meaningful connectivity </w:t>
      </w:r>
    </w:p>
    <w:p w14:paraId="4024BD82" w14:textId="77777777" w:rsidR="00B31237" w:rsidRPr="00FB0D72" w:rsidRDefault="00B31237" w:rsidP="00B31237">
      <w:pPr>
        <w:spacing w:after="120"/>
        <w:rPr>
          <w:rFonts w:ascii="Arial" w:eastAsia="Arial" w:hAnsi="Arial" w:cs="Arial"/>
          <w:lang w:val="en-GB"/>
        </w:rPr>
      </w:pPr>
      <w:r w:rsidRPr="7100BD5F">
        <w:rPr>
          <w:rFonts w:ascii="Arial" w:hAnsi="Arial" w:cs="Arial"/>
          <w:lang w:val="en-GB"/>
        </w:rPr>
        <w:t xml:space="preserve">In addition to the examples shared above, this section draws on further a two case studies to highlight how various technologies have been deployed to help </w:t>
      </w:r>
      <w:r w:rsidRPr="7100BD5F">
        <w:rPr>
          <w:rFonts w:ascii="Arial" w:eastAsia="Arial" w:hAnsi="Arial" w:cs="Arial"/>
          <w:lang w:val="en-GB"/>
        </w:rPr>
        <w:t xml:space="preserve">bridge digital divides in access, application, and digital skills in remote areas. As highlighted previously, while </w:t>
      </w:r>
      <w:r w:rsidRPr="7100BD5F">
        <w:rPr>
          <w:rFonts w:ascii="Arial" w:hAnsi="Arial" w:cs="Arial"/>
          <w:lang w:val="en-GB"/>
        </w:rPr>
        <w:t xml:space="preserve">the examples shared below are illustrative of local socioeconomic particularities, they also provide generalisable insights that underpin the policy </w:t>
      </w:r>
      <w:r w:rsidRPr="7100BD5F">
        <w:rPr>
          <w:rFonts w:ascii="Arial" w:eastAsia="Arial" w:hAnsi="Arial" w:cs="Arial"/>
          <w:lang w:val="en-GB"/>
        </w:rPr>
        <w:t xml:space="preserve">recommendations formulated at the end of the section. </w:t>
      </w:r>
    </w:p>
    <w:p w14:paraId="5C870269" w14:textId="77777777" w:rsidR="00B31237" w:rsidRPr="00A26FB3" w:rsidRDefault="00B31237" w:rsidP="00B31237">
      <w:pPr>
        <w:spacing w:after="120"/>
        <w:rPr>
          <w:rFonts w:ascii="Arial" w:hAnsi="Arial" w:cs="Arial"/>
          <w:b/>
          <w:bCs/>
          <w:lang w:val="en-GB"/>
        </w:rPr>
      </w:pPr>
      <w:r w:rsidRPr="00A26FB3">
        <w:rPr>
          <w:rFonts w:ascii="Arial" w:hAnsi="Arial" w:cs="Arial"/>
          <w:b/>
          <w:bCs/>
          <w:lang w:val="en-GB"/>
        </w:rPr>
        <w:t>Case Study #3 Ericsson and MTN: delivering fixed wireless access in South Africa</w:t>
      </w:r>
    </w:p>
    <w:p w14:paraId="42745C59" w14:textId="77777777" w:rsidR="00B31237" w:rsidRPr="0093270F" w:rsidRDefault="00B31237" w:rsidP="00B31237">
      <w:pPr>
        <w:spacing w:after="120"/>
        <w:rPr>
          <w:rFonts w:ascii="Arial" w:hAnsi="Arial" w:cs="Arial"/>
          <w:lang w:val="en-GB"/>
        </w:rPr>
      </w:pPr>
      <w:r w:rsidRPr="7100BD5F">
        <w:rPr>
          <w:rFonts w:ascii="Arial" w:hAnsi="Arial" w:cs="Arial"/>
          <w:lang w:val="en-GB"/>
        </w:rPr>
        <w:t>South Africa’s rapid digital transformation has the potential of creating new business opportunities and boosting the nation’s economy. To enable and speed up this process, MTN South Africa, in partnership with Ericsson, is working to upgrade local networks to optimize the quality, capacity, and overall performance of the infrastructure.</w:t>
      </w:r>
      <w:r>
        <w:rPr>
          <w:rFonts w:ascii="Arial" w:hAnsi="Arial" w:cs="Arial"/>
          <w:lang w:val="en-GB"/>
        </w:rPr>
        <w:t xml:space="preserve"> In 2020 the partnership </w:t>
      </w:r>
      <w:r w:rsidRPr="0093270F">
        <w:rPr>
          <w:rFonts w:ascii="Arial" w:hAnsi="Arial" w:cs="Arial"/>
          <w:lang w:val="en-GB"/>
        </w:rPr>
        <w:t>won the Building a Better, More Inclusive, Digital World award at AfricaCom 2020 for their collaboration to launch 5G in South Africa.</w:t>
      </w:r>
      <w:r>
        <w:rPr>
          <w:rStyle w:val="FootnoteReference"/>
          <w:rFonts w:ascii="Arial" w:hAnsi="Arial" w:cs="Arial"/>
          <w:lang w:val="en-GB"/>
        </w:rPr>
        <w:footnoteReference w:id="4"/>
      </w:r>
    </w:p>
    <w:p w14:paraId="050792E2" w14:textId="77777777" w:rsidR="00B31237" w:rsidRPr="00A26FB3" w:rsidRDefault="00B31237" w:rsidP="00B31237">
      <w:pPr>
        <w:spacing w:after="120"/>
        <w:rPr>
          <w:rFonts w:ascii="Arial" w:hAnsi="Arial" w:cs="Arial"/>
          <w:lang w:val="en-GB"/>
        </w:rPr>
      </w:pPr>
      <w:r>
        <w:rPr>
          <w:rFonts w:ascii="Arial" w:hAnsi="Arial" w:cs="Arial"/>
          <w:lang w:val="en-GB"/>
        </w:rPr>
        <w:t xml:space="preserve">The Ericsson – MTN </w:t>
      </w:r>
      <w:r w:rsidRPr="0093270F">
        <w:rPr>
          <w:rFonts w:ascii="Arial" w:hAnsi="Arial" w:cs="Arial"/>
          <w:lang w:val="en-GB"/>
        </w:rPr>
        <w:t>South Africa</w:t>
      </w:r>
      <w:r>
        <w:rPr>
          <w:rFonts w:ascii="Arial" w:hAnsi="Arial" w:cs="Arial"/>
          <w:lang w:val="en-GB"/>
        </w:rPr>
        <w:t xml:space="preserve"> partnership</w:t>
      </w:r>
      <w:r w:rsidRPr="0093270F">
        <w:rPr>
          <w:rFonts w:ascii="Arial" w:hAnsi="Arial" w:cs="Arial"/>
          <w:lang w:val="en-GB"/>
        </w:rPr>
        <w:t xml:space="preserve"> dates back to 1994 with the deployment of MTN’s mobile system networks. Ever since</w:t>
      </w:r>
      <w:r>
        <w:rPr>
          <w:rFonts w:ascii="Arial" w:hAnsi="Arial" w:cs="Arial"/>
          <w:lang w:val="en-GB"/>
        </w:rPr>
        <w:t xml:space="preserve">, it </w:t>
      </w:r>
      <w:r w:rsidRPr="0093270F">
        <w:rPr>
          <w:rFonts w:ascii="Arial" w:hAnsi="Arial" w:cs="Arial"/>
          <w:lang w:val="en-GB"/>
        </w:rPr>
        <w:t xml:space="preserve">has continued to grow through building the ICT infrastructure of the country. </w:t>
      </w:r>
    </w:p>
    <w:p w14:paraId="0E9AA5B2" w14:textId="77777777" w:rsidR="00B31237" w:rsidRPr="00A26FB3" w:rsidRDefault="00B31237" w:rsidP="00B31237">
      <w:pPr>
        <w:spacing w:after="120"/>
        <w:rPr>
          <w:rFonts w:ascii="Arial" w:hAnsi="Arial" w:cs="Arial"/>
          <w:lang w:val="en-GB"/>
        </w:rPr>
      </w:pPr>
      <w:r w:rsidRPr="7100BD5F">
        <w:rPr>
          <w:rFonts w:ascii="Arial" w:hAnsi="Arial" w:cs="Arial"/>
          <w:lang w:val="en-GB"/>
        </w:rPr>
        <w:t xml:space="preserve">MTN’s fixed wireless access (FWA) offering in South Africa </w:t>
      </w:r>
      <w:r>
        <w:rPr>
          <w:rFonts w:ascii="Arial" w:hAnsi="Arial" w:cs="Arial"/>
          <w:lang w:val="en-GB"/>
        </w:rPr>
        <w:t xml:space="preserve">with Ericsson </w:t>
      </w:r>
      <w:r w:rsidRPr="7100BD5F">
        <w:rPr>
          <w:rFonts w:ascii="Arial" w:hAnsi="Arial" w:cs="Arial"/>
          <w:lang w:val="en-GB"/>
        </w:rPr>
        <w:t>was launched in 2019 via SuperSonic, an MTN-owned ISP, to complement the fibre offering. The FWA service is sold through MTN commercial channels and external ISPs. FWA is enabled nation-wide using Ericsson’s core and charging systems.</w:t>
      </w:r>
      <w:r>
        <w:rPr>
          <w:rStyle w:val="FootnoteReference"/>
          <w:rFonts w:ascii="Arial" w:hAnsi="Arial" w:cs="Arial"/>
          <w:lang w:val="en-GB"/>
        </w:rPr>
        <w:footnoteReference w:id="5"/>
      </w:r>
    </w:p>
    <w:p w14:paraId="5DD35CFA" w14:textId="77777777" w:rsidR="00B31237" w:rsidRPr="00A26FB3" w:rsidRDefault="00B31237" w:rsidP="00B31237">
      <w:pPr>
        <w:spacing w:after="120"/>
        <w:rPr>
          <w:rFonts w:ascii="Arial" w:hAnsi="Arial" w:cs="Arial"/>
          <w:lang w:val="en-GB"/>
        </w:rPr>
      </w:pPr>
      <w:r w:rsidRPr="7100BD5F">
        <w:rPr>
          <w:rFonts w:ascii="Arial" w:hAnsi="Arial" w:cs="Arial"/>
          <w:lang w:val="en-GB"/>
        </w:rPr>
        <w:lastRenderedPageBreak/>
        <w:t>As part of its transformation strategy, MTN South Africa is upgrading its core network to support 3GPP-compliant 5G Non-Standalone (NSA) architecture</w:t>
      </w:r>
      <w:r>
        <w:rPr>
          <w:rFonts w:ascii="Arial" w:hAnsi="Arial" w:cs="Arial"/>
          <w:lang w:val="en-GB"/>
        </w:rPr>
        <w:t>, whereby the 5G is</w:t>
      </w:r>
      <w:r w:rsidRPr="00F13770">
        <w:rPr>
          <w:lang w:val="en-GB"/>
        </w:rPr>
        <w:t xml:space="preserve"> </w:t>
      </w:r>
      <w:r w:rsidRPr="0017042E">
        <w:rPr>
          <w:rFonts w:ascii="Arial" w:hAnsi="Arial" w:cs="Arial"/>
          <w:lang w:val="en-GB"/>
        </w:rPr>
        <w:t xml:space="preserve">used in conjunction with the existing infrastructure </w:t>
      </w:r>
      <w:r>
        <w:rPr>
          <w:rFonts w:ascii="Arial" w:hAnsi="Arial" w:cs="Arial"/>
          <w:lang w:val="en-GB"/>
        </w:rPr>
        <w:t>c</w:t>
      </w:r>
      <w:r w:rsidRPr="0017042E">
        <w:rPr>
          <w:rFonts w:ascii="Arial" w:hAnsi="Arial" w:cs="Arial"/>
          <w:lang w:val="en-GB"/>
        </w:rPr>
        <w:t xml:space="preserve">ore </w:t>
      </w:r>
      <w:r>
        <w:rPr>
          <w:rFonts w:ascii="Arial" w:hAnsi="Arial" w:cs="Arial"/>
          <w:lang w:val="en-GB"/>
        </w:rPr>
        <w:t>n</w:t>
      </w:r>
      <w:r w:rsidRPr="0017042E">
        <w:rPr>
          <w:rFonts w:ascii="Arial" w:hAnsi="Arial" w:cs="Arial"/>
          <w:lang w:val="en-GB"/>
        </w:rPr>
        <w:t>etwork, thus making the technology available without network replacement.</w:t>
      </w:r>
      <w:r w:rsidRPr="7100BD5F">
        <w:rPr>
          <w:rFonts w:ascii="Arial" w:hAnsi="Arial" w:cs="Arial"/>
          <w:lang w:val="en-GB"/>
        </w:rPr>
        <w:t xml:space="preserve"> 5G commercialization is planned between 2020 and 2022, with a focus on use cases and applications relevant in the South African context. These include Enhanced Mobile Broadband, Fixed Wireless Access, and the Internet of Things (IoT). MTN and Ericsson are working together to identify and develop 5G use cases and applications that will contribute to the digital transformation of industry verticals.</w:t>
      </w:r>
    </w:p>
    <w:p w14:paraId="5C777157" w14:textId="67638C2D" w:rsidR="00B31237" w:rsidRDefault="00B31237" w:rsidP="00B31237">
      <w:pPr>
        <w:spacing w:after="120"/>
        <w:rPr>
          <w:rFonts w:ascii="Arial" w:hAnsi="Arial" w:cs="Arial"/>
          <w:b/>
          <w:bCs/>
          <w:lang w:val="en-GB"/>
        </w:rPr>
      </w:pPr>
      <w:r w:rsidRPr="7100BD5F">
        <w:rPr>
          <w:rFonts w:ascii="Arial" w:hAnsi="Arial" w:cs="Arial"/>
          <w:lang w:val="en-GB"/>
        </w:rPr>
        <w:t>In addition to providing end-to-end 5G capabilities, Ericsson also helps modernize MTN South Africa’s existing Long Term Evolution (LTE) and legacy radio access networks, aimed at accelerating MTN South Africa’s digitalization ambitions in the expanding South African market</w:t>
      </w:r>
      <w:commentRangeStart w:id="7"/>
      <w:r w:rsidRPr="7100BD5F">
        <w:rPr>
          <w:rFonts w:ascii="Arial" w:hAnsi="Arial" w:cs="Arial"/>
          <w:lang w:val="en-GB"/>
        </w:rPr>
        <w:t>.</w:t>
      </w:r>
      <w:commentRangeEnd w:id="7"/>
      <w:r>
        <w:rPr>
          <w:rStyle w:val="CommentReference"/>
        </w:rPr>
        <w:commentReference w:id="7"/>
      </w:r>
      <w:r w:rsidRPr="7100BD5F">
        <w:rPr>
          <w:rFonts w:ascii="Arial" w:hAnsi="Arial" w:cs="Arial"/>
          <w:lang w:val="en-GB"/>
        </w:rPr>
        <w:t xml:space="preserve"> </w:t>
      </w:r>
    </w:p>
    <w:p w14:paraId="6D43F563" w14:textId="710577C8" w:rsidR="00B31237" w:rsidRPr="00A26FB3" w:rsidRDefault="00B31237" w:rsidP="00B31237">
      <w:pPr>
        <w:spacing w:after="120"/>
        <w:rPr>
          <w:rFonts w:ascii="Arial" w:hAnsi="Arial" w:cs="Arial"/>
          <w:b/>
          <w:bCs/>
          <w:lang w:val="en-GB"/>
        </w:rPr>
      </w:pPr>
      <w:r w:rsidRPr="00A26FB3">
        <w:rPr>
          <w:rFonts w:ascii="Arial" w:hAnsi="Arial" w:cs="Arial"/>
          <w:b/>
          <w:bCs/>
          <w:lang w:val="en-GB"/>
        </w:rPr>
        <w:t>Case Study #4 AirJaldi and Microsoft Airband: delivering connectivity to rural India</w:t>
      </w:r>
    </w:p>
    <w:p w14:paraId="6329CE8C" w14:textId="77777777" w:rsidR="00B31237" w:rsidRPr="00A26FB3" w:rsidRDefault="00B31237" w:rsidP="00B31237">
      <w:pPr>
        <w:spacing w:after="120"/>
        <w:rPr>
          <w:rFonts w:ascii="Arial" w:hAnsi="Arial" w:cs="Arial"/>
          <w:lang w:val="en-GB"/>
        </w:rPr>
      </w:pPr>
      <w:r w:rsidRPr="7100BD5F">
        <w:rPr>
          <w:rFonts w:ascii="Arial" w:hAnsi="Arial" w:cs="Arial"/>
          <w:lang w:val="en-GB"/>
        </w:rPr>
        <w:t>In much of rural India, internet connection is only partially available. One town might have fast and reliable connectivity while others nearby have patchy and unreliable access. AirJaldi is an ISP focused on investing in scalable solutions to expand connectivity into rural India, currently offering Internet access to more than 1,500 villages across eight states. AirJaldi began partnering with the Microsoft Airband Initiative in 2016, when it received a grant to expand its work bringing internet access to more people in India, primarily in underserved rural areas. The ISP provides broadband via Wi-Fi and fibre, and TV White Space (TVWS) as a last-mile solution.  In addition to connectivity, the AirJaldi and Airband teams are cooperating on developing suitable offerings to rural areas in areas of women empowerment, economic development, IoT for rural areas and introduction of technological solutions to rural internet operations</w:t>
      </w:r>
      <w:commentRangeStart w:id="8"/>
      <w:r w:rsidRPr="7100BD5F">
        <w:rPr>
          <w:rFonts w:ascii="Arial" w:hAnsi="Arial" w:cs="Arial"/>
          <w:lang w:val="en-GB"/>
        </w:rPr>
        <w:t>.</w:t>
      </w:r>
      <w:commentRangeEnd w:id="8"/>
      <w:r w:rsidR="008D1B95">
        <w:rPr>
          <w:rStyle w:val="CommentReference"/>
        </w:rPr>
        <w:commentReference w:id="8"/>
      </w:r>
    </w:p>
    <w:p w14:paraId="6BFCAB35" w14:textId="77777777" w:rsidR="00B31237" w:rsidRPr="00FB0D72" w:rsidRDefault="00B31237" w:rsidP="00B31237">
      <w:pPr>
        <w:pStyle w:val="ListParagraph"/>
        <w:numPr>
          <w:ilvl w:val="0"/>
          <w:numId w:val="9"/>
        </w:numPr>
        <w:spacing w:before="240" w:after="240" w:line="276" w:lineRule="auto"/>
        <w:contextualSpacing w:val="0"/>
        <w:rPr>
          <w:rFonts w:ascii="Arial" w:eastAsia="Arial" w:hAnsi="Arial" w:cs="Arial"/>
          <w:b/>
          <w:bCs/>
          <w:lang w:val="en-GB"/>
        </w:rPr>
      </w:pPr>
      <w:r w:rsidRPr="7100BD5F">
        <w:rPr>
          <w:rFonts w:ascii="Arial" w:eastAsia="Arial" w:hAnsi="Arial" w:cs="Arial"/>
          <w:b/>
          <w:bCs/>
          <w:lang w:val="en-GB"/>
        </w:rPr>
        <w:t>Bridging divides in access</w:t>
      </w:r>
    </w:p>
    <w:p w14:paraId="5741001F" w14:textId="77777777" w:rsidR="00B31237" w:rsidRPr="00A26FB3" w:rsidRDefault="00B31237" w:rsidP="00B31237">
      <w:pPr>
        <w:spacing w:after="120"/>
        <w:rPr>
          <w:rFonts w:ascii="Arial" w:hAnsi="Arial" w:cs="Arial"/>
          <w:lang w:val="en-GB"/>
        </w:rPr>
      </w:pPr>
      <w:r w:rsidRPr="7100BD5F">
        <w:rPr>
          <w:rFonts w:ascii="Arial" w:hAnsi="Arial" w:cs="Arial"/>
          <w:lang w:val="en-GB"/>
        </w:rPr>
        <w:t xml:space="preserve">Innovative technologies are key to addressing the high cost of deploying and running a network in low income and low population density remote areas.  </w:t>
      </w:r>
    </w:p>
    <w:p w14:paraId="73AE8671" w14:textId="77777777" w:rsidR="00B31237" w:rsidRPr="00A26FB3" w:rsidRDefault="00B31237" w:rsidP="00B31237">
      <w:pPr>
        <w:spacing w:after="120"/>
        <w:rPr>
          <w:rFonts w:ascii="Arial" w:hAnsi="Arial" w:cs="Arial"/>
          <w:lang w:val="en-GB"/>
        </w:rPr>
      </w:pPr>
      <w:r w:rsidRPr="7100BD5F">
        <w:rPr>
          <w:rFonts w:ascii="Arial" w:hAnsi="Arial" w:cs="Arial"/>
          <w:lang w:val="en-GB"/>
        </w:rPr>
        <w:t xml:space="preserve">Microsoft’s Airband initiative, that supports AirJaldi’s efforts to bring connectivity to rural India, uses TV white spaces - frequencies that have not been assigned or are otherwise not being used by broadcasters and other licensees in the VHF and UHF broadcast bands. The TV white spaces are in lower band frequencies and signals can travel over longer distances and penetrate many obstacles. Because of competition for lower band spectrum, availability of TV white spaces is somewhat limited, so the delivered throughput of TV white space connections typically measures in the 5s or 10s of Mbps, similar to 3G and 4G mobile wireless technologies using 700 MHz frequencies. With access to additional TV white spaces spectrum (beyond one or two channels), throughputs can increase, so long as the spectrum is interference-free. </w:t>
      </w:r>
    </w:p>
    <w:p w14:paraId="09688D72" w14:textId="77777777" w:rsidR="00B31237" w:rsidRPr="00FB0D72" w:rsidRDefault="00B31237" w:rsidP="00B31237">
      <w:pPr>
        <w:spacing w:after="120"/>
        <w:rPr>
          <w:rFonts w:ascii="Calibri" w:eastAsia="Times New Roman" w:hAnsi="Calibri" w:cs="Calibri"/>
          <w:lang w:val="en-GB" w:eastAsia="en-GB"/>
        </w:rPr>
      </w:pPr>
      <w:r w:rsidRPr="00A26FB3">
        <w:rPr>
          <w:rFonts w:ascii="Arial" w:hAnsi="Arial" w:cs="Arial"/>
          <w:lang w:val="en-GB"/>
        </w:rPr>
        <w:t xml:space="preserve">Internet service provider utilize different technologies for customers located in different urban, suburban, and rural areas, leveraging different spectrum bands. For example, millimeter wave technologies (e.g., on 60 GHz spectrum) is ideal for flexible urban deployments (extending fibre by perhaps up to 300 feet). Wi-Fi and microwave technologies (e.g., on 3.5 GHz and 5 GHz spectrum) can be used to reach consumers in higher density areas up to four miles from a tower. TV white space technologies on UHF spectrum are ideal for reaching consumers in lower density areas typically located up to seven miles from a tower (farther on UHF spectrum under ideal circumstances). Microsoft’s various projects around the world validated that TV white space technologies are a great complement to other </w:t>
      </w:r>
      <w:r w:rsidRPr="00A26FB3">
        <w:rPr>
          <w:rFonts w:ascii="Arial" w:hAnsi="Arial" w:cs="Arial"/>
          <w:lang w:val="en-GB"/>
        </w:rPr>
        <w:lastRenderedPageBreak/>
        <w:t>technologies when an Internet service provider is looking to cost-effectively deliver broadband access in rural areas.</w:t>
      </w:r>
      <w:r>
        <w:rPr>
          <w:rStyle w:val="FootnoteReference"/>
          <w:rFonts w:ascii="Arial" w:hAnsi="Arial" w:cs="Arial"/>
          <w:lang w:val="en-GB"/>
        </w:rPr>
        <w:footnoteReference w:id="6"/>
      </w:r>
      <w:r w:rsidRPr="00A26FB3">
        <w:rPr>
          <w:rFonts w:ascii="Arial" w:hAnsi="Arial" w:cs="Arial"/>
          <w:lang w:val="en-GB"/>
        </w:rPr>
        <w:t xml:space="preserve"> </w:t>
      </w:r>
    </w:p>
    <w:p w14:paraId="0B071394" w14:textId="77777777" w:rsidR="00B31237" w:rsidRPr="00A26FB3" w:rsidRDefault="00B31237" w:rsidP="00B31237">
      <w:pPr>
        <w:spacing w:after="120"/>
        <w:rPr>
          <w:rFonts w:ascii="Arial" w:hAnsi="Arial" w:cs="Arial"/>
          <w:lang w:val="en-GB"/>
        </w:rPr>
      </w:pPr>
      <w:r w:rsidRPr="7100BD5F">
        <w:rPr>
          <w:rFonts w:ascii="Arial" w:hAnsi="Arial" w:cs="Arial"/>
          <w:lang w:val="en-GB"/>
        </w:rPr>
        <w:t>Fixed wireless access (FWA)</w:t>
      </w:r>
      <w:r w:rsidRPr="00A26FB3">
        <w:rPr>
          <w:rFonts w:ascii="Arial" w:hAnsi="Arial" w:cs="Arial"/>
          <w:lang w:val="en-GB"/>
        </w:rPr>
        <w:t xml:space="preserve">, although not new, is one of the main technologies used to provide of meaningful universal coverage, enabling low-latency, high-speed broadband in areas where fibre might be too expensive to roll out and maintain. It is also becoming one of the main technologies used by mobile operators to support 5G roll-out. The GSMA, the global association of </w:t>
      </w:r>
      <w:r w:rsidRPr="7100BD5F">
        <w:rPr>
          <w:rFonts w:ascii="Arial" w:hAnsi="Arial" w:cs="Arial"/>
          <w:lang w:val="en-GB"/>
        </w:rPr>
        <w:t xml:space="preserve">mobile network operators, estimates 55 of 157 commercial 5G networks globally operate fixed wireless broadband services. Ericsson’s </w:t>
      </w:r>
      <w:r w:rsidRPr="00A26FB3">
        <w:rPr>
          <w:rFonts w:ascii="Arial" w:hAnsi="Arial" w:cs="Arial"/>
          <w:lang w:val="en-GB"/>
        </w:rPr>
        <w:t>Mobiluty Report said 70% of global operators are offering FWA services, either via 5G or 4G networks. In Latin America, 52% of service providers offered FWA by April. FWA is (here) defined as a connection based on IMT/3GPP technologies that provide broadband access through a mobile network enabled customer premises equipment (CPE). This includes various form factors of CPEs, such as indoor (desktop and window) and outdoor (rooftop and wall mounted). It does not include portable battery-based Wi-Fi routers or dongles. FWA connections are forecast to grow threefold and reach close to 180 million by the end of 2026, accounting for 20% of total mobile network data traffic globally.</w:t>
      </w:r>
      <w:r>
        <w:rPr>
          <w:rStyle w:val="FootnoteReference"/>
          <w:rFonts w:ascii="Arial" w:hAnsi="Arial" w:cs="Arial"/>
          <w:lang w:val="en-GB"/>
        </w:rPr>
        <w:footnoteReference w:id="7"/>
      </w:r>
    </w:p>
    <w:p w14:paraId="2986BAFB" w14:textId="77777777" w:rsidR="00B31237" w:rsidRPr="00A26FB3" w:rsidRDefault="00B31237" w:rsidP="00B31237">
      <w:pPr>
        <w:spacing w:after="120"/>
        <w:rPr>
          <w:rFonts w:ascii="Arial" w:hAnsi="Arial" w:cs="Arial"/>
          <w:lang w:val="en-GB"/>
        </w:rPr>
      </w:pPr>
      <w:r w:rsidRPr="00A26FB3">
        <w:rPr>
          <w:rFonts w:ascii="Arial" w:hAnsi="Arial" w:cs="Arial"/>
          <w:lang w:val="en-GB"/>
        </w:rPr>
        <w:t xml:space="preserve">There are three main factors that drive the FWA market and the uptake of connections. </w:t>
      </w:r>
    </w:p>
    <w:p w14:paraId="30BFFB16" w14:textId="77777777" w:rsidR="00B31237" w:rsidRPr="00A26FB3" w:rsidRDefault="00B31237" w:rsidP="00B31237">
      <w:pPr>
        <w:pStyle w:val="ListParagraph"/>
        <w:numPr>
          <w:ilvl w:val="0"/>
          <w:numId w:val="10"/>
        </w:numPr>
        <w:spacing w:after="120" w:line="240" w:lineRule="auto"/>
        <w:contextualSpacing w:val="0"/>
        <w:rPr>
          <w:rFonts w:ascii="Arial" w:hAnsi="Arial" w:cs="Arial"/>
          <w:lang w:val="en-GB"/>
        </w:rPr>
      </w:pPr>
      <w:r w:rsidRPr="7100BD5F">
        <w:rPr>
          <w:rFonts w:ascii="Arial" w:hAnsi="Arial" w:cs="Arial"/>
          <w:lang w:val="en-GB"/>
        </w:rPr>
        <w:t>First, demand from consumers and businesses for digital services continues, driving the need for broadband connectivity. The rollout of FWA helps respond to this need and supports operator’s revenue growth goals of expanding in new markets.</w:t>
      </w:r>
    </w:p>
    <w:p w14:paraId="501054E8" w14:textId="77777777" w:rsidR="00B31237" w:rsidRPr="00A26FB3" w:rsidRDefault="00B31237" w:rsidP="00B31237">
      <w:pPr>
        <w:pStyle w:val="ListParagraph"/>
        <w:numPr>
          <w:ilvl w:val="0"/>
          <w:numId w:val="10"/>
        </w:numPr>
        <w:spacing w:after="120" w:line="240" w:lineRule="auto"/>
        <w:contextualSpacing w:val="0"/>
        <w:rPr>
          <w:rFonts w:ascii="Arial" w:hAnsi="Arial" w:cs="Arial"/>
          <w:lang w:val="en-GB"/>
        </w:rPr>
      </w:pPr>
      <w:r w:rsidRPr="7100BD5F">
        <w:rPr>
          <w:rFonts w:ascii="Arial" w:hAnsi="Arial" w:cs="Arial"/>
          <w:lang w:val="en-GB"/>
        </w:rPr>
        <w:t>Second, FWA delivered over 4G or 5G is an increasingly cost-efficient broadband alternative in areas with limited availability of fixed services such as DSL, cable or fibre. Increasing capacity – allowed by greater spectrum allocations and technology advancements for 4G and 5G networks – is driving higher network efficiency in terms of the cost per delivered gigabyte. Because it is based on standardized technologies it has tremendous benefits of scale for the users. The technologies are anchored in global standards, they come with the economic and social benefits of scale – from lowered cost of coverage for the marginalized in low-population density areas and cheaper devices to roaming and interoperability to long-term investment assurance for manufacturers, network operators and others in the ecosystem.</w:t>
      </w:r>
    </w:p>
    <w:p w14:paraId="1D9620ED" w14:textId="77777777" w:rsidR="00B31237" w:rsidRPr="00A26FB3" w:rsidRDefault="00B31237" w:rsidP="00B31237">
      <w:pPr>
        <w:pStyle w:val="ListParagraph"/>
        <w:numPr>
          <w:ilvl w:val="0"/>
          <w:numId w:val="10"/>
        </w:numPr>
        <w:spacing w:after="120" w:line="240" w:lineRule="auto"/>
        <w:contextualSpacing w:val="0"/>
        <w:rPr>
          <w:rFonts w:ascii="Arial" w:hAnsi="Arial" w:cs="Arial"/>
          <w:lang w:val="en-GB"/>
        </w:rPr>
      </w:pPr>
      <w:r w:rsidRPr="7100BD5F">
        <w:rPr>
          <w:rFonts w:ascii="Arial" w:hAnsi="Arial" w:cs="Arial"/>
          <w:lang w:val="en-GB"/>
        </w:rPr>
        <w:t>Third, governments are fuelling broadband connectivity through programs and subsidies, as it is considered vital for digitalization efforts and economic growth. Examples include the Federal Communications Commission’s Rural Development Opportunity Fund in the US and Australia’s National Broadband Network (NBN).</w:t>
      </w:r>
    </w:p>
    <w:p w14:paraId="2379D301" w14:textId="77777777" w:rsidR="00B31237" w:rsidRPr="00A26FB3" w:rsidRDefault="00B31237" w:rsidP="00B31237">
      <w:pPr>
        <w:spacing w:after="120"/>
        <w:rPr>
          <w:rFonts w:ascii="Arial" w:hAnsi="Arial" w:cs="Arial"/>
          <w:lang w:val="en-GB"/>
        </w:rPr>
      </w:pPr>
      <w:r w:rsidRPr="7100BD5F">
        <w:rPr>
          <w:rFonts w:ascii="Arial" w:hAnsi="Arial" w:cs="Arial"/>
          <w:lang w:val="en-GB"/>
        </w:rPr>
        <w:t>An existing mobile radio network, normally designed for voice and mobile broadband, is an excellent base for offering an FWA service. By taking advantage of existing network infrastructure and assets which serve 92% of the world population, broadband connectivity can be provided in an economical and practical way. This is a key success factor for a higher capacity and large-scale offering using FWA. The fact that no new site, tower, excavation nor construction works are required, this solution is much less resource intensive compared to fibre builds.</w:t>
      </w:r>
    </w:p>
    <w:p w14:paraId="13A09BF7" w14:textId="77777777" w:rsidR="00B31237" w:rsidRPr="00A26FB3" w:rsidRDefault="00B31237" w:rsidP="00B31237">
      <w:pPr>
        <w:spacing w:after="120"/>
        <w:rPr>
          <w:rFonts w:ascii="Arial" w:hAnsi="Arial" w:cs="Arial"/>
          <w:lang w:val="en-GB"/>
        </w:rPr>
      </w:pPr>
      <w:r w:rsidRPr="00A26FB3">
        <w:rPr>
          <w:rFonts w:ascii="Arial" w:hAnsi="Arial" w:cs="Arial"/>
          <w:lang w:val="en-GB"/>
        </w:rPr>
        <w:t xml:space="preserve">A key re-usable asset is spectrum that has been already acquired in auctions but is still generally undeployed in suburban and rural areas. The geographical fit for FWA is excellent, since FWA targeted areas are often suburban and rural, where unused spectrum is most prevalent. Utilizing undeployed bands and adding radios for them is a natural next step to cater for FWA, if utilizing previously deployed bands is not sufficient to meet FWA ambitions. </w:t>
      </w:r>
    </w:p>
    <w:p w14:paraId="138C1AF7" w14:textId="77777777" w:rsidR="00B31237" w:rsidRPr="00A26FB3" w:rsidRDefault="00B31237" w:rsidP="00B31237">
      <w:pPr>
        <w:spacing w:after="120"/>
        <w:rPr>
          <w:rFonts w:ascii="Arial" w:hAnsi="Arial" w:cs="Arial"/>
          <w:lang w:val="en-GB"/>
        </w:rPr>
      </w:pPr>
      <w:r w:rsidRPr="00A26FB3">
        <w:rPr>
          <w:rFonts w:ascii="Arial" w:hAnsi="Arial" w:cs="Arial"/>
          <w:lang w:val="en-GB"/>
        </w:rPr>
        <w:lastRenderedPageBreak/>
        <w:t>Depending on the radio network starting point and the operator’s ambitions for FWA, there are choices available to make the network capable of handling a combination of voice, mobile broadband and FWA in combination.</w:t>
      </w:r>
    </w:p>
    <w:p w14:paraId="00F32D1B" w14:textId="77777777" w:rsidR="00B31237" w:rsidRPr="00A26FB3" w:rsidRDefault="00B31237" w:rsidP="00B31237">
      <w:pPr>
        <w:spacing w:after="120"/>
        <w:rPr>
          <w:rFonts w:ascii="Arial" w:hAnsi="Arial" w:cs="Arial"/>
          <w:lang w:val="en-GB"/>
        </w:rPr>
      </w:pPr>
      <w:r w:rsidRPr="00A26FB3">
        <w:rPr>
          <w:rFonts w:ascii="Arial" w:hAnsi="Arial" w:cs="Arial"/>
          <w:lang w:val="en-GB"/>
        </w:rPr>
        <w:t>These choices can be summarized as utilize the existing radio network assets, add radio network capabilities, and densify the radio network grid. A well-planned mix of these choices should be deployed to meet the particular needs of each local situation.</w:t>
      </w:r>
    </w:p>
    <w:p w14:paraId="0C162134" w14:textId="77777777" w:rsidR="00B31237" w:rsidRPr="00A26FB3" w:rsidRDefault="00B31237" w:rsidP="00B31237">
      <w:pPr>
        <w:spacing w:after="120"/>
        <w:rPr>
          <w:rFonts w:ascii="Arial" w:hAnsi="Arial" w:cs="Arial"/>
          <w:lang w:val="en-GB"/>
        </w:rPr>
      </w:pPr>
      <w:r>
        <w:rPr>
          <w:rFonts w:ascii="Arial" w:hAnsi="Arial" w:cs="Arial"/>
          <w:lang w:val="en-GB"/>
        </w:rPr>
        <w:t>In addition, w</w:t>
      </w:r>
      <w:r w:rsidRPr="00A26FB3">
        <w:rPr>
          <w:rFonts w:ascii="Arial" w:hAnsi="Arial" w:cs="Arial"/>
          <w:lang w:val="en-GB"/>
        </w:rPr>
        <w:t>hen servicing remote areas, it is important to have a thorough overview of local socio-demographic, economic and geographic specificities to help determine what kind of technology should be chosen, as well as where and how it should be deployed. Technological advances can also help with these considerations.</w:t>
      </w:r>
    </w:p>
    <w:p w14:paraId="48048ACD" w14:textId="77777777" w:rsidR="00B31237" w:rsidRPr="00A26FB3" w:rsidRDefault="00B31237" w:rsidP="00B31237">
      <w:pPr>
        <w:spacing w:after="120"/>
        <w:rPr>
          <w:rFonts w:ascii="Arial" w:hAnsi="Arial" w:cs="Arial"/>
          <w:lang w:val="en-GB"/>
        </w:rPr>
      </w:pPr>
      <w:r w:rsidRPr="7100BD5F">
        <w:rPr>
          <w:rFonts w:ascii="Arial" w:hAnsi="Arial" w:cs="Arial"/>
          <w:lang w:val="en-GB"/>
        </w:rPr>
        <w:t xml:space="preserve">One of the main challenges to deploy a network in remote rural areas is where to deploy the network. First, in many cases it is not clear where the unconnected live. Second, network planning has to design the most efficient deployment plan to bring down investment cost. And finally, network supervision, management and maintenance has to be as automated as possible. For the IpT Peru project, Telefonica is employing Artificial Intelligence to bring down the cost: developing a high-resolution visual representation map placing where the unconnected live through self-learning visualization algorithm combining data from high-definition satellite images, census and regulatory data, as well as data from existing Telefonica networks. Furthermore, a neural network trained with data of network failures allowed the design of an automated network supervision system with fault prediction capabilities and the design of optimized maintenance routes. </w:t>
      </w:r>
    </w:p>
    <w:p w14:paraId="714DC7AE" w14:textId="77777777" w:rsidR="00B31237" w:rsidRPr="00A26FB3" w:rsidRDefault="00B31237" w:rsidP="00B31237">
      <w:pPr>
        <w:spacing w:after="120"/>
        <w:rPr>
          <w:rFonts w:ascii="Arial" w:hAnsi="Arial" w:cs="Arial"/>
          <w:lang w:val="en-GB"/>
        </w:rPr>
      </w:pPr>
      <w:r w:rsidRPr="7100BD5F">
        <w:rPr>
          <w:rFonts w:ascii="Arial" w:hAnsi="Arial" w:cs="Arial"/>
          <w:lang w:val="en-GB"/>
        </w:rPr>
        <w:t xml:space="preserve">Another area in which innovative technology provides a great aid is in reducing the cost of equipment. IpT Peru has adopted Open RAN technology, used general purpose equipment based on open source software and fully virtualized and programmable network, to lower the price of equipment. For this aim, Telefonica’s involvement in Telecom Infra Project for the development of open network equipment together with the collaboration of Facebook, partner at IpT Peru and founder of the TIP initiative. Opting for standard mobile technology was another relevant choice for IpT Peru to ensure greater affordability for end customers: as a widely developed technology, mobile handsets pricing is competitive, with an existing wide range of handsets and prices available for customers. Not only affordable mobile handsets are available, but also being a standard technology, end users of the IpT Peru mobile rural network are able to use the same handset, service provider and contract when leaving the rural network and entering within the coverage area of traditional mobile network providers. Respectively,  customers from mobile providers will also be able to connect and use the IpT Peru network seamlessly when entering within its coverage area.   </w:t>
      </w:r>
    </w:p>
    <w:p w14:paraId="4FF24144" w14:textId="77777777" w:rsidR="00B31237" w:rsidRPr="00FB0D72" w:rsidRDefault="00B31237" w:rsidP="00B31237">
      <w:pPr>
        <w:pStyle w:val="ListParagraph"/>
        <w:numPr>
          <w:ilvl w:val="0"/>
          <w:numId w:val="9"/>
        </w:numPr>
        <w:spacing w:before="240" w:after="240" w:line="276" w:lineRule="auto"/>
        <w:contextualSpacing w:val="0"/>
        <w:rPr>
          <w:rFonts w:ascii="Arial" w:eastAsia="Arial" w:hAnsi="Arial" w:cs="Arial"/>
          <w:b/>
          <w:bCs/>
          <w:lang w:val="en-GB"/>
        </w:rPr>
      </w:pPr>
      <w:r w:rsidRPr="7100BD5F">
        <w:rPr>
          <w:rFonts w:ascii="Arial" w:eastAsia="Arial" w:hAnsi="Arial" w:cs="Arial"/>
          <w:b/>
          <w:bCs/>
          <w:lang w:val="en-GB"/>
        </w:rPr>
        <w:t xml:space="preserve">Bridging divides in application </w:t>
      </w:r>
    </w:p>
    <w:p w14:paraId="1BBEACA4" w14:textId="77777777" w:rsidR="00B31237" w:rsidRPr="00FB0D72" w:rsidRDefault="00B31237" w:rsidP="00B31237">
      <w:pPr>
        <w:spacing w:after="120"/>
        <w:rPr>
          <w:rFonts w:ascii="Arial" w:hAnsi="Arial" w:cs="Arial"/>
          <w:lang w:val="en-GB"/>
        </w:rPr>
      </w:pPr>
      <w:r w:rsidRPr="7100BD5F">
        <w:rPr>
          <w:rFonts w:ascii="Arial" w:hAnsi="Arial" w:cs="Arial"/>
          <w:lang w:val="en-GB"/>
        </w:rPr>
        <w:t xml:space="preserve">Greater connectivity creates new opportunities across communities and can help empower both the public and private sector as demonstrated by the examples below. </w:t>
      </w:r>
    </w:p>
    <w:p w14:paraId="7CF1C85F" w14:textId="77777777" w:rsidR="00B31237" w:rsidRPr="00FB0D72" w:rsidRDefault="00B31237" w:rsidP="00B31237">
      <w:pPr>
        <w:spacing w:after="120"/>
        <w:rPr>
          <w:rFonts w:ascii="Arial" w:hAnsi="Arial" w:cs="Arial"/>
          <w:lang w:val="en-GB"/>
        </w:rPr>
      </w:pPr>
      <w:r w:rsidRPr="7100BD5F">
        <w:rPr>
          <w:rFonts w:ascii="Arial" w:hAnsi="Arial" w:cs="Arial"/>
          <w:lang w:val="en-GB"/>
        </w:rPr>
        <w:t>With the advent of rapid digitalization, developing countries looking at technological transformation as a tool for economic and social development. A key driver of this transformation is the public sector as an early adopter of technology that spills over to inspire transformation for citizens and businesses.</w:t>
      </w:r>
    </w:p>
    <w:p w14:paraId="62A0D893" w14:textId="77777777" w:rsidR="00B31237" w:rsidRPr="00FB0D72" w:rsidRDefault="00B31237" w:rsidP="00B31237">
      <w:pPr>
        <w:spacing w:after="120"/>
        <w:rPr>
          <w:rFonts w:ascii="Arial" w:hAnsi="Arial" w:cs="Arial"/>
          <w:lang w:val="en-GB"/>
        </w:rPr>
      </w:pPr>
      <w:r w:rsidRPr="7100BD5F">
        <w:rPr>
          <w:rFonts w:ascii="Arial" w:hAnsi="Arial" w:cs="Arial"/>
          <w:lang w:val="en-GB"/>
        </w:rPr>
        <w:t xml:space="preserve">In 2018 Ericsson deployed a Virtual Reality (VR) training tool for its Connect To Learn project in Myanmar. The VR technology relies on access to cloud-based servers to access relevant content and ensure that teacher and students maximise the pedagogical benefits of VR. Myanmar is one of the first countries in the world to implement VR as a professional </w:t>
      </w:r>
      <w:r w:rsidRPr="7100BD5F">
        <w:rPr>
          <w:rFonts w:ascii="Arial" w:hAnsi="Arial" w:cs="Arial"/>
          <w:lang w:val="en-GB"/>
        </w:rPr>
        <w:lastRenderedPageBreak/>
        <w:t>development tool for teachers. The tool allowed more than 300 teachers from 31 government secondary schools across Myanmar to practice integrating ICT into their day-to-day classroom teaching, even while they are away from the physical classroom. The VR training tool has four modules that are downloadable from a cloud-based server, with each module designed to allow teachers to practice methods of teaching that are more student-centred. Teachers’ training performances are recorded and are accessible on a cloud-based server. This feedback mechanism contributes to teachers’ motivation and self-improvement. The VR tool also provides a means for the Ministry of Education to equip teachers with improved pedagogical skills for student-centred teaching.</w:t>
      </w:r>
    </w:p>
    <w:p w14:paraId="4FA1672D" w14:textId="77777777" w:rsidR="00B31237" w:rsidRPr="00A26FB3" w:rsidRDefault="00B31237" w:rsidP="00B31237">
      <w:pPr>
        <w:spacing w:after="120"/>
        <w:rPr>
          <w:rFonts w:ascii="Arial" w:hAnsi="Arial" w:cs="Arial"/>
          <w:lang w:val="en-GB"/>
        </w:rPr>
      </w:pPr>
      <w:r w:rsidRPr="7100BD5F">
        <w:rPr>
          <w:rFonts w:ascii="Arial" w:hAnsi="Arial" w:cs="Arial"/>
          <w:lang w:val="en-GB"/>
        </w:rPr>
        <w:t xml:space="preserve">Directly to the West of Myanmar, Bangladesh has leveraged connectivity to implement its Vision 2021 agenda which has enabled the country to climb the ladder of development indices spanning from the economy to human and social development. One of the key tools for Vision 2021 was the 'Digital Bangladesh' approach aimed to utilize ICTs as a tool for development and sustainability. Driven by widespread digitization in the public and private sectors, the country has seen exponential growth in its internet connectivity, mobile phone usage, IT export earnings and use of ICT in education and accessibility of public services. By 2017 over 4500 digital centres have been set up across the country and more than 200,000 civil servants and thousands of Digital Centre Entrepreneurs were trained to implement e-services centrally. By 2017 these centres served people 120 million times with services like registration of 70 million births, and providing essential information to more than 2 million overseas job-seekers. </w:t>
      </w:r>
      <w:r w:rsidRPr="02F44A8E">
        <w:rPr>
          <w:rFonts w:ascii="Arial" w:hAnsi="Arial" w:cs="Arial"/>
          <w:lang w:val="en-GB"/>
        </w:rPr>
        <w:t>Through this programme, around</w:t>
      </w:r>
      <w:r w:rsidRPr="7100BD5F">
        <w:rPr>
          <w:rFonts w:ascii="Arial" w:hAnsi="Arial" w:cs="Arial"/>
          <w:lang w:val="en-GB"/>
        </w:rPr>
        <w:t xml:space="preserve"> 1.3 million ICT professionals, along with, 10,000 ICT entrepreneurs have become self-reliant, helping the country </w:t>
      </w:r>
      <w:r w:rsidRPr="236B312D">
        <w:rPr>
          <w:rFonts w:ascii="Arial" w:hAnsi="Arial" w:cs="Arial"/>
          <w:lang w:val="en-GB"/>
        </w:rPr>
        <w:t>build a robust ICT sector.</w:t>
      </w:r>
      <w:r w:rsidRPr="7100BD5F">
        <w:rPr>
          <w:rFonts w:ascii="Arial" w:hAnsi="Arial" w:cs="Arial"/>
          <w:lang w:val="en-GB"/>
        </w:rPr>
        <w:t xml:space="preserve"> The total size of the ICT market in Bangladesh was merely $26 million in 2008 which in less than 10 years has reached $600 million. When the Digital Bangladesh project got underway in 2006 only 20 million of Bangladeshis had mobile connection, today that number has grown to 165.8 million unique mobile connections.</w:t>
      </w:r>
    </w:p>
    <w:p w14:paraId="64D15437" w14:textId="77777777" w:rsidR="00B31237" w:rsidRPr="00A26FB3" w:rsidRDefault="00B31237" w:rsidP="00B31237">
      <w:pPr>
        <w:spacing w:after="120"/>
        <w:rPr>
          <w:rFonts w:ascii="Arial" w:hAnsi="Arial" w:cs="Arial"/>
          <w:lang w:val="en-GB"/>
        </w:rPr>
      </w:pPr>
      <w:r w:rsidRPr="7100BD5F">
        <w:rPr>
          <w:rFonts w:ascii="Arial" w:hAnsi="Arial" w:cs="Arial"/>
          <w:lang w:val="en-GB"/>
        </w:rPr>
        <w:t>Greater connectivity is also having a transformational effect for the private sector, particularly for SMEs in developing markets. Enhanced connectivity offers new forms of intermediation that enable access to wider international markets and ensure greater reach for customer acquisition. The use of digital technologies can improve business operations and lead to efficiency gains that increase the overall competitiveness of the businesses. Connectivity reduces transaction costs by providing better and quicker access to information, as well as timely and effective communication between staff, suppliers and networks. But perhaps more importantly, connectivity and digital technologies can simplify international payments and provide wider access to finance. Even before the Covid-19 crisis, the International Finance Corporation estimated that SMEs face a funding gap of US$5.2 trillion globally, of which US$2.4 trillion is in Asia alone. SMEs form the backbone of the Asian economy, making up over 98% of all Asian businesses and providing two out of three private-sector jobs in the region. Against this backdrop, Mastercard has been building new technology platforms that help increase access to credit for small businesses. This is in line with the company's broader target to connect one billion people to the digital economy by 2025 - which includes 50 million small businesses and 25 million women entrepreneurs - to speed up digital inclusion and the digitalisation of businesses. As an example, the Mastercard Farmer Network digitises marketplaces, payments and transactions for about 450,000 farmers in Tanzania, Uganda and India.</w:t>
      </w:r>
    </w:p>
    <w:p w14:paraId="4D98AF9A" w14:textId="77777777" w:rsidR="00B31237" w:rsidRPr="00A26FB3" w:rsidRDefault="00B31237" w:rsidP="00B31237">
      <w:pPr>
        <w:spacing w:after="120"/>
        <w:rPr>
          <w:rFonts w:ascii="Arial" w:hAnsi="Arial" w:cs="Arial"/>
          <w:lang w:val="en-GB"/>
        </w:rPr>
      </w:pPr>
      <w:r w:rsidRPr="7100BD5F">
        <w:rPr>
          <w:rFonts w:ascii="Arial" w:hAnsi="Arial" w:cs="Arial"/>
          <w:lang w:val="en-GB"/>
        </w:rPr>
        <w:t xml:space="preserve">As consumers - especially in Asia - shift quickly to on-demand products and services, online shopping, and contactless payments, it is also imperative for SMEs to operate across physical and digital spaces. During the pandemic concerns about safety and security were the main reasons behind this shift, but it's the speed, convenience and seamlessness of digital commerce that are really driving the change in preferences and expectations. As more </w:t>
      </w:r>
      <w:r w:rsidRPr="7100BD5F">
        <w:rPr>
          <w:rFonts w:ascii="Arial" w:hAnsi="Arial" w:cs="Arial"/>
          <w:lang w:val="en-GB"/>
        </w:rPr>
        <w:lastRenderedPageBreak/>
        <w:t>ways to deliver products and services - through connected devices and the Internet of Things - come to market, so will emerge new ways to shop. Fresh measures to authenticate payments will also surface, including the use of biometrics and other data that go beyond passwords and one-time PINs. Though SMEs across Asia are of varying scales and models, the need for them to digitalise is equal. Mastercard has several initiatives in place to help SMEs go digital, including training curriculums and cyber risk management tools. Its solutions also enable smartphones to double up as payment terminals, which brings more consumers and merchants into the digital commerce ecosystem.</w:t>
      </w:r>
    </w:p>
    <w:p w14:paraId="759576D1" w14:textId="77777777" w:rsidR="00B31237" w:rsidRDefault="00B31237" w:rsidP="00B31237">
      <w:pPr>
        <w:pStyle w:val="ListParagraph"/>
        <w:numPr>
          <w:ilvl w:val="0"/>
          <w:numId w:val="9"/>
        </w:numPr>
        <w:spacing w:before="240" w:after="240" w:line="276" w:lineRule="auto"/>
        <w:contextualSpacing w:val="0"/>
        <w:rPr>
          <w:rFonts w:ascii="Arial" w:eastAsia="Arial" w:hAnsi="Arial" w:cs="Arial"/>
          <w:b/>
          <w:bCs/>
          <w:lang w:val="en-GB"/>
        </w:rPr>
      </w:pPr>
      <w:r w:rsidRPr="7100BD5F">
        <w:rPr>
          <w:rFonts w:ascii="Arial" w:eastAsia="Arial" w:hAnsi="Arial" w:cs="Arial"/>
          <w:b/>
          <w:bCs/>
          <w:lang w:val="en-GB"/>
        </w:rPr>
        <w:t>Bridging divides in skills</w:t>
      </w:r>
    </w:p>
    <w:p w14:paraId="01FC21E5" w14:textId="77777777" w:rsidR="00B31237" w:rsidRDefault="00B31237" w:rsidP="00B31237">
      <w:pPr>
        <w:spacing w:after="120"/>
        <w:rPr>
          <w:rFonts w:ascii="Arial" w:hAnsi="Arial" w:cs="Arial"/>
          <w:lang w:val="en-GB"/>
        </w:rPr>
      </w:pPr>
      <w:r w:rsidRPr="7100BD5F">
        <w:rPr>
          <w:rFonts w:ascii="Arial" w:hAnsi="Arial" w:cs="Arial"/>
          <w:lang w:val="en-GB"/>
        </w:rPr>
        <w:t xml:space="preserve">Crucially, meaningful connectivity can only be achieved if the newly connected have the skills to leverage new technologies and seize the opportunities that </w:t>
      </w:r>
      <w:r w:rsidRPr="66A447E9">
        <w:rPr>
          <w:rFonts w:ascii="Arial" w:hAnsi="Arial" w:cs="Arial"/>
          <w:lang w:val="en-GB"/>
        </w:rPr>
        <w:t>these tools</w:t>
      </w:r>
      <w:r w:rsidRPr="7100BD5F">
        <w:rPr>
          <w:rFonts w:ascii="Arial" w:hAnsi="Arial" w:cs="Arial"/>
          <w:lang w:val="en-GB"/>
        </w:rPr>
        <w:t xml:space="preserve"> help generate.</w:t>
      </w:r>
    </w:p>
    <w:p w14:paraId="40AD0C4F" w14:textId="77777777" w:rsidR="00B31237" w:rsidRPr="00A26FB3" w:rsidRDefault="00B31237" w:rsidP="00B31237">
      <w:pPr>
        <w:spacing w:after="120"/>
        <w:rPr>
          <w:rFonts w:ascii="Arial" w:hAnsi="Arial" w:cs="Arial"/>
          <w:lang w:val="en-GB"/>
        </w:rPr>
      </w:pPr>
      <w:r w:rsidRPr="7100BD5F">
        <w:rPr>
          <w:rFonts w:ascii="Arial" w:hAnsi="Arial" w:cs="Arial"/>
          <w:lang w:val="en-GB"/>
        </w:rPr>
        <w:t>Providing training and employability skills for rural entrepreneurs in India, AirJaldi recognized the need to have trained local professionals who are equipped with technical skills to support internet deployment and operations. </w:t>
      </w:r>
      <w:r w:rsidRPr="00A26FB3">
        <w:rPr>
          <w:rFonts w:ascii="Arial" w:hAnsi="Arial" w:cs="Arial"/>
          <w:lang w:val="en-GB"/>
        </w:rPr>
        <w:t>The</w:t>
      </w:r>
      <w:r>
        <w:rPr>
          <w:rFonts w:ascii="Arial" w:hAnsi="Arial" w:cs="Arial"/>
          <w:lang w:val="en-GB"/>
        </w:rPr>
        <w:t xml:space="preserve"> AirJaldi Academy</w:t>
      </w:r>
      <w:r>
        <w:rPr>
          <w:rStyle w:val="FootnoteReference"/>
          <w:rFonts w:ascii="Arial" w:hAnsi="Arial" w:cs="Arial"/>
          <w:lang w:val="en-GB"/>
        </w:rPr>
        <w:footnoteReference w:id="8"/>
      </w:r>
      <w:r w:rsidRPr="00A26FB3">
        <w:rPr>
          <w:rFonts w:ascii="Arial" w:hAnsi="Arial" w:cs="Arial"/>
          <w:lang w:val="en-GB"/>
        </w:rPr>
        <w:t xml:space="preserve"> provides seminars and training programs focusing on rural connectivity, its benefits, and uses. The Academy takes place in various states where AirJaldi operates and tailors its programs to address local issues, including gender issues. The Academy's instruction gives the necessary skills for participants to seek employment with internet service providers and also focuses on introducing girls to the use of computers, the internet, and the impact of technology on their lives. </w:t>
      </w:r>
      <w:r w:rsidRPr="7100BD5F">
        <w:rPr>
          <w:rFonts w:ascii="Arial" w:hAnsi="Arial" w:cs="Arial"/>
          <w:lang w:val="en-GB"/>
        </w:rPr>
        <w:t xml:space="preserve">A sizable portion of AirJaldi’s 175-strong workforce was hired after completing a month-long course, signing up for which simply requires “intellectual curiosity and technical curiosity”. Some of the roughly 1,000 people trained by AirJaldi have gone on to find jobs with other firms. One success story is </w:t>
      </w:r>
      <w:r w:rsidRPr="00F13770">
        <w:rPr>
          <w:rFonts w:ascii="Arial" w:hAnsi="Arial" w:cs="Arial"/>
          <w:lang w:val="en-GB"/>
        </w:rPr>
        <w:t>Asha Kumari</w:t>
      </w:r>
      <w:r w:rsidRPr="7100BD5F">
        <w:rPr>
          <w:rFonts w:ascii="Arial" w:hAnsi="Arial" w:cs="Arial"/>
          <w:lang w:val="en-GB"/>
        </w:rPr>
        <w:t xml:space="preserve">, a B-Tech graduate and young mother, who manages a network for AirJaldi in her village in Jharkhand. Women currently make up about 10% of the company’s workforce. </w:t>
      </w:r>
      <w:r w:rsidRPr="1BF49F19">
        <w:rPr>
          <w:rFonts w:ascii="Arial" w:hAnsi="Arial" w:cs="Arial"/>
          <w:lang w:val="en-GB"/>
        </w:rPr>
        <w:t>In a society where women often give up their education to take care of the home, Kumari’s example has helped change some minds. “When I first left my village to study in the city, people used to ask my family why they were allowing me to go,” she remembers. “Now that I have brought back internet with me, everyone agrees this was a good decision.”</w:t>
      </w:r>
    </w:p>
    <w:p w14:paraId="1889EE9E" w14:textId="77777777" w:rsidR="00B31237" w:rsidRPr="00A26FB3" w:rsidRDefault="00B31237" w:rsidP="00B31237">
      <w:pPr>
        <w:spacing w:after="120"/>
        <w:rPr>
          <w:rFonts w:ascii="Arial" w:hAnsi="Arial" w:cs="Arial"/>
          <w:lang w:val="en-GB"/>
        </w:rPr>
      </w:pPr>
      <w:r w:rsidRPr="1BF49F19">
        <w:rPr>
          <w:rFonts w:ascii="Arial" w:hAnsi="Arial" w:cs="Arial"/>
          <w:lang w:val="en-GB"/>
        </w:rPr>
        <w:t>The promotion of digital literacy and skills is also a way to create a renewed sense of opportunity and direction in communities that have long been plagued by conflict and violence. Ericsson has been partnering with the Whitaker Peace &amp; Development Initiative (WPDI) for almost 10 years to help youngsters affected by conflict and violence to foster safer and more productive communities in Africa and Latin America (South Sudan, Uganda, Mexico and soon South Africa). As WPDI’s technology partner, Ericsson provides ICT equipment and works together with mobile network operators to enable connectivity and internet access for the computer-equipped community learning centres that WPDI develops in remote areas. They also deliver comprehensive virtual and face-to-face training in ICT and professional skills, based on the Connect to Learn concept.</w:t>
      </w:r>
      <w:r w:rsidRPr="16DD65F7">
        <w:rPr>
          <w:rFonts w:ascii="Arial" w:hAnsi="Arial" w:cs="Arial"/>
          <w:lang w:val="en-GB"/>
        </w:rPr>
        <w:t xml:space="preserve"> </w:t>
      </w:r>
      <w:r w:rsidRPr="1BF49F19">
        <w:rPr>
          <w:rFonts w:ascii="Arial" w:hAnsi="Arial" w:cs="Arial"/>
          <w:lang w:val="en-GB"/>
        </w:rPr>
        <w:t>To date about 15 community learning centres have been established across South Sudan, Uganda and Mexico, and more than 25,000 young people were directly benefited from the program.</w:t>
      </w:r>
      <w:r w:rsidRPr="16DD65F7">
        <w:rPr>
          <w:rFonts w:ascii="Arial" w:hAnsi="Arial" w:cs="Arial"/>
          <w:lang w:val="en-GB"/>
        </w:rPr>
        <w:t xml:space="preserve"> </w:t>
      </w:r>
      <w:r w:rsidRPr="00A26FB3">
        <w:rPr>
          <w:rFonts w:ascii="Arial" w:hAnsi="Arial" w:cs="Arial"/>
          <w:lang w:val="en-GB"/>
        </w:rPr>
        <w:t xml:space="preserve">WPDI provides a unique approach to working with young people, including training in mediation and conflict transformation, and developing vocational skills in ICT. Young people also receive mentoring by Ericsson employee volunteers and funds from WPDI to help them kickstart entrepreneurial projects that benefit their local communities. Access to internet has provided </w:t>
      </w:r>
      <w:r w:rsidRPr="00A26FB3">
        <w:rPr>
          <w:rFonts w:ascii="Arial" w:hAnsi="Arial" w:cs="Arial"/>
          <w:lang w:val="en-GB"/>
        </w:rPr>
        <w:lastRenderedPageBreak/>
        <w:t>the young beneficiaries of the program with a broader set of opportunities for employment and entrepreneurship as well as tools to contribute to the betterment of their communities.   </w:t>
      </w:r>
    </w:p>
    <w:p w14:paraId="07C6EB23" w14:textId="77777777" w:rsidR="00B31237" w:rsidRPr="00A26FB3" w:rsidRDefault="00B31237" w:rsidP="00B31237">
      <w:pPr>
        <w:spacing w:after="120"/>
        <w:rPr>
          <w:rFonts w:ascii="Arial" w:hAnsi="Arial" w:cs="Arial"/>
          <w:lang w:val="en-GB"/>
        </w:rPr>
      </w:pPr>
      <w:r w:rsidRPr="37E44821">
        <w:rPr>
          <w:rFonts w:ascii="Arial" w:hAnsi="Arial" w:cs="Arial"/>
          <w:lang w:val="en-GB"/>
        </w:rPr>
        <w:t xml:space="preserve">Targeted projects have also helped empower certain segments of the population that have long been </w:t>
      </w:r>
      <w:r w:rsidRPr="27DD713D">
        <w:rPr>
          <w:rFonts w:ascii="Arial" w:hAnsi="Arial" w:cs="Arial"/>
          <w:lang w:val="en-GB"/>
        </w:rPr>
        <w:t>at the margins of ICT-use</w:t>
      </w:r>
      <w:r w:rsidRPr="33FCAC6B">
        <w:rPr>
          <w:rFonts w:ascii="Arial" w:hAnsi="Arial" w:cs="Arial"/>
          <w:lang w:val="en-GB"/>
        </w:rPr>
        <w:t>. Laboratoria</w:t>
      </w:r>
      <w:r w:rsidRPr="00A26FB3">
        <w:rPr>
          <w:rFonts w:ascii="Arial" w:hAnsi="Arial" w:cs="Arial"/>
          <w:lang w:val="en-GB"/>
        </w:rPr>
        <w:t xml:space="preserve"> is a Latin American nonprofit organization focused on training low-income young women as programmers and experts in web development, with the aim of promoting their employment in the digital sector. Founded in Peru in 2014, it currently operates in Brazil, Chile, Colombia, Mexico and Peru. Laboratoria identifies talented women who have not been able to start a professional career yet and demonstrate high potential to learn, can commit to the program and aspire to build a career in technology. Their 6-months training program prepares students for 21st century jobs, with a strong focus on life skills and self-directed learning. Students are prepared to launch careers as front-end developers and UX designers, and begin developing their leadership potential. The organization also builds relationships with hiring companies and engages them with students, while learning. This helps them match companies with graduates, and contributes to close company skills gaps and build more diverse and inclusive teams. Students pay nothing during the program and, after getting a job, pay back a subsidized amount in monthly </w:t>
      </w:r>
      <w:r w:rsidRPr="62EA53EE">
        <w:rPr>
          <w:rFonts w:ascii="Arial" w:hAnsi="Arial" w:cs="Arial"/>
          <w:lang w:val="en-GB"/>
        </w:rPr>
        <w:t>instalments</w:t>
      </w:r>
      <w:r w:rsidRPr="00A26FB3">
        <w:rPr>
          <w:rFonts w:ascii="Arial" w:hAnsi="Arial" w:cs="Arial"/>
          <w:lang w:val="en-GB"/>
        </w:rPr>
        <w:t xml:space="preserve"> so that other women can have the same opportunity.</w:t>
      </w:r>
      <w:r w:rsidRPr="62EA53EE">
        <w:rPr>
          <w:rFonts w:ascii="Arial" w:hAnsi="Arial" w:cs="Arial"/>
          <w:lang w:val="en-GB"/>
        </w:rPr>
        <w:t xml:space="preserve"> </w:t>
      </w:r>
      <w:r w:rsidRPr="00A26FB3">
        <w:rPr>
          <w:rFonts w:ascii="Arial" w:hAnsi="Arial" w:cs="Arial"/>
          <w:lang w:val="en-GB"/>
        </w:rPr>
        <w:t>Thus far the organization has had over 2000 graduates and has an 83% placement rate in over 800 hiring companies.</w:t>
      </w:r>
    </w:p>
    <w:p w14:paraId="75375F46" w14:textId="2AA97456" w:rsidR="00B31237" w:rsidRPr="00D90DEA" w:rsidRDefault="00B31237" w:rsidP="00B31237">
      <w:pPr>
        <w:spacing w:before="240" w:after="240" w:line="276" w:lineRule="auto"/>
        <w:rPr>
          <w:rFonts w:ascii="Arial" w:eastAsia="Arial" w:hAnsi="Arial" w:cs="Arial"/>
          <w:b/>
          <w:bCs/>
          <w:lang w:val="en-GB"/>
        </w:rPr>
      </w:pPr>
      <w:r w:rsidRPr="00D90DEA">
        <w:rPr>
          <w:rFonts w:ascii="Arial" w:eastAsia="Arial" w:hAnsi="Arial" w:cs="Arial"/>
          <w:b/>
          <w:bCs/>
          <w:lang w:val="en-GB"/>
        </w:rPr>
        <w:t>C</w:t>
      </w:r>
      <w:r w:rsidR="00EB77F7">
        <w:rPr>
          <w:rFonts w:ascii="Arial" w:eastAsia="Arial" w:hAnsi="Arial" w:cs="Arial"/>
          <w:b/>
          <w:bCs/>
          <w:lang w:val="en-GB"/>
        </w:rPr>
        <w:t>onclusion</w:t>
      </w:r>
    </w:p>
    <w:p w14:paraId="684EFE28" w14:textId="77777777" w:rsidR="00B31237" w:rsidRPr="00D90DEA" w:rsidRDefault="00B31237" w:rsidP="00B31237">
      <w:pPr>
        <w:spacing w:after="120"/>
        <w:rPr>
          <w:rFonts w:ascii="Arial" w:hAnsi="Arial" w:cs="Arial"/>
          <w:lang w:val="en-GB"/>
        </w:rPr>
      </w:pPr>
      <w:r w:rsidRPr="00D90DEA">
        <w:rPr>
          <w:rFonts w:ascii="Arial" w:hAnsi="Arial" w:cs="Arial"/>
          <w:lang w:val="en-GB"/>
        </w:rPr>
        <w:t xml:space="preserve">In summary, network technologies – old and new – that enable connectivity across the globe are </w:t>
      </w:r>
      <w:r w:rsidRPr="00F13770">
        <w:rPr>
          <w:rFonts w:ascii="Arial" w:hAnsi="Arial" w:cs="Arial"/>
          <w:lang w:val="en-GB"/>
        </w:rPr>
        <w:t>essential i</w:t>
      </w:r>
      <w:r w:rsidRPr="78C26F09">
        <w:rPr>
          <w:rFonts w:ascii="Arial" w:hAnsi="Arial" w:cs="Arial"/>
          <w:lang w:val="en-GB"/>
        </w:rPr>
        <w:t>n furthering sustainable development and inclusive growth. In order for the international community to make important steps in empowering sustainable development initiatives ensuring a stable Internet connection for those unconnected will be vital.</w:t>
      </w:r>
      <w:r w:rsidRPr="00D90DEA">
        <w:rPr>
          <w:rFonts w:ascii="Arial" w:hAnsi="Arial" w:cs="Arial"/>
          <w:lang w:val="en-GB"/>
        </w:rPr>
        <w:t> </w:t>
      </w:r>
      <w:r w:rsidRPr="78C26F09">
        <w:rPr>
          <w:rFonts w:ascii="Arial" w:hAnsi="Arial" w:cs="Arial"/>
          <w:lang w:val="en-GB"/>
        </w:rPr>
        <w:t>The following policy steps are crucial in efforts to enable and expand the uptake of such technologies:</w:t>
      </w:r>
      <w:r w:rsidRPr="00D90DEA">
        <w:rPr>
          <w:rFonts w:ascii="Arial" w:hAnsi="Arial" w:cs="Arial"/>
          <w:lang w:val="en-GB"/>
        </w:rPr>
        <w:t> </w:t>
      </w:r>
    </w:p>
    <w:p w14:paraId="39793CF1" w14:textId="77777777" w:rsidR="00B31237" w:rsidRPr="00D90DEA" w:rsidRDefault="00B31237" w:rsidP="00B31237">
      <w:pPr>
        <w:spacing w:after="120"/>
        <w:rPr>
          <w:rFonts w:ascii="Arial" w:hAnsi="Arial" w:cs="Arial"/>
          <w:lang w:val="en-GB"/>
        </w:rPr>
      </w:pPr>
      <w:r w:rsidRPr="78C26F09">
        <w:rPr>
          <w:rFonts w:ascii="Arial" w:hAnsi="Arial" w:cs="Arial"/>
          <w:b/>
          <w:lang w:val="en-GB"/>
        </w:rPr>
        <w:t>Encourage investment in broadband development:</w:t>
      </w:r>
      <w:r w:rsidRPr="78C26F09">
        <w:rPr>
          <w:rFonts w:ascii="Arial" w:hAnsi="Arial" w:cs="Arial"/>
          <w:lang w:val="en-GB"/>
        </w:rPr>
        <w:t xml:space="preserve"> </w:t>
      </w:r>
      <w:r>
        <w:rPr>
          <w:rFonts w:ascii="Arial" w:hAnsi="Arial" w:cs="Arial"/>
          <w:lang w:val="en-GB"/>
        </w:rPr>
        <w:t>one of the</w:t>
      </w:r>
      <w:r w:rsidRPr="78C26F09">
        <w:rPr>
          <w:rFonts w:ascii="Arial" w:hAnsi="Arial" w:cs="Arial"/>
          <w:lang w:val="en-GB"/>
        </w:rPr>
        <w:t xml:space="preserve"> most important issue</w:t>
      </w:r>
      <w:r>
        <w:rPr>
          <w:rFonts w:ascii="Arial" w:hAnsi="Arial" w:cs="Arial"/>
          <w:lang w:val="en-GB"/>
        </w:rPr>
        <w:t>s</w:t>
      </w:r>
      <w:r w:rsidRPr="78C26F09">
        <w:rPr>
          <w:rFonts w:ascii="Arial" w:hAnsi="Arial" w:cs="Arial"/>
          <w:lang w:val="en-GB"/>
        </w:rPr>
        <w:t xml:space="preserve"> for developing economies continues to be the question of how to create a sustainable broadband ecosystem that attracts investment and promotes the use, development and deployment of broadband and related products and services. Strategies proven to promote broadband deployment and, in turn, fuel the growth of the Internet include:</w:t>
      </w:r>
      <w:r w:rsidRPr="00D90DEA">
        <w:rPr>
          <w:rFonts w:ascii="Arial" w:hAnsi="Arial" w:cs="Arial"/>
          <w:lang w:val="en-GB"/>
        </w:rPr>
        <w:t> </w:t>
      </w:r>
    </w:p>
    <w:p w14:paraId="7B23BF6A" w14:textId="77777777" w:rsidR="00B31237" w:rsidRDefault="00B31237" w:rsidP="00B31237">
      <w:pPr>
        <w:pStyle w:val="ListParagraph"/>
        <w:numPr>
          <w:ilvl w:val="0"/>
          <w:numId w:val="11"/>
        </w:numPr>
        <w:spacing w:after="120" w:line="240" w:lineRule="auto"/>
        <w:contextualSpacing w:val="0"/>
        <w:rPr>
          <w:rFonts w:ascii="Arial" w:hAnsi="Arial" w:cs="Arial"/>
          <w:lang w:val="en-GB"/>
        </w:rPr>
      </w:pPr>
      <w:r w:rsidRPr="78C26F09">
        <w:rPr>
          <w:rFonts w:ascii="Arial" w:hAnsi="Arial" w:cs="Arial"/>
          <w:lang w:val="en-GB"/>
        </w:rPr>
        <w:t>open and competitive markets with fair, investment-friendly and comparable regulatory intervention for all actors active in the digital value chain;</w:t>
      </w:r>
      <w:r w:rsidRPr="00D90DEA">
        <w:rPr>
          <w:rFonts w:ascii="Arial" w:hAnsi="Arial" w:cs="Arial"/>
          <w:lang w:val="en-GB"/>
        </w:rPr>
        <w:t> </w:t>
      </w:r>
    </w:p>
    <w:p w14:paraId="25734BDB" w14:textId="77777777" w:rsidR="00B31237" w:rsidRDefault="00B31237" w:rsidP="00B31237">
      <w:pPr>
        <w:pStyle w:val="ListParagraph"/>
        <w:numPr>
          <w:ilvl w:val="0"/>
          <w:numId w:val="11"/>
        </w:numPr>
        <w:spacing w:after="120" w:line="240" w:lineRule="auto"/>
        <w:contextualSpacing w:val="0"/>
        <w:rPr>
          <w:rFonts w:ascii="Arial" w:hAnsi="Arial" w:cs="Arial"/>
          <w:lang w:val="en-GB"/>
        </w:rPr>
      </w:pPr>
      <w:r w:rsidRPr="78C26F09">
        <w:rPr>
          <w:rFonts w:ascii="Arial" w:hAnsi="Arial" w:cs="Arial"/>
          <w:lang w:val="en-GB"/>
        </w:rPr>
        <w:t>strong reliance on voluntary commercial arrangements;</w:t>
      </w:r>
      <w:r w:rsidRPr="00D90DEA">
        <w:rPr>
          <w:rFonts w:ascii="Arial" w:hAnsi="Arial" w:cs="Arial"/>
          <w:lang w:val="en-GB"/>
        </w:rPr>
        <w:t> </w:t>
      </w:r>
    </w:p>
    <w:p w14:paraId="5331DE42" w14:textId="77777777" w:rsidR="00B31237" w:rsidRDefault="00B31237" w:rsidP="00B31237">
      <w:pPr>
        <w:pStyle w:val="ListParagraph"/>
        <w:numPr>
          <w:ilvl w:val="0"/>
          <w:numId w:val="11"/>
        </w:numPr>
        <w:spacing w:after="120" w:line="240" w:lineRule="auto"/>
        <w:contextualSpacing w:val="0"/>
        <w:rPr>
          <w:rFonts w:ascii="Arial" w:hAnsi="Arial" w:cs="Arial"/>
          <w:lang w:val="en-GB"/>
        </w:rPr>
      </w:pPr>
      <w:r w:rsidRPr="78C26F09">
        <w:rPr>
          <w:rFonts w:ascii="Arial" w:hAnsi="Arial" w:cs="Arial"/>
          <w:lang w:val="en-GB"/>
        </w:rPr>
        <w:t>policies that promote efficiency through engineering-driven design, such as the creation of Internet Exchange Points (IXP); and</w:t>
      </w:r>
      <w:r w:rsidRPr="00D90DEA">
        <w:rPr>
          <w:rFonts w:ascii="Arial" w:hAnsi="Arial" w:cs="Arial"/>
          <w:lang w:val="en-GB"/>
        </w:rPr>
        <w:t> </w:t>
      </w:r>
    </w:p>
    <w:p w14:paraId="3B2871AE" w14:textId="77777777" w:rsidR="00B31237" w:rsidRPr="00D90DEA" w:rsidRDefault="00B31237" w:rsidP="00B31237">
      <w:pPr>
        <w:pStyle w:val="ListParagraph"/>
        <w:numPr>
          <w:ilvl w:val="0"/>
          <w:numId w:val="11"/>
        </w:numPr>
        <w:spacing w:after="120" w:line="240" w:lineRule="auto"/>
        <w:contextualSpacing w:val="0"/>
        <w:rPr>
          <w:rFonts w:ascii="Arial" w:hAnsi="Arial" w:cs="Arial"/>
          <w:lang w:val="en-GB"/>
        </w:rPr>
      </w:pPr>
      <w:r w:rsidRPr="78C26F09">
        <w:rPr>
          <w:rFonts w:ascii="Arial" w:hAnsi="Arial" w:cs="Arial"/>
          <w:lang w:val="en-GB"/>
        </w:rPr>
        <w:t>policies that promote the growth of the products and services delivered over broadband.</w:t>
      </w:r>
      <w:r w:rsidRPr="00D90DEA">
        <w:rPr>
          <w:rFonts w:ascii="Arial" w:hAnsi="Arial" w:cs="Arial"/>
          <w:lang w:val="en-GB"/>
        </w:rPr>
        <w:t> </w:t>
      </w:r>
    </w:p>
    <w:p w14:paraId="199DE2AD" w14:textId="77777777" w:rsidR="00B31237" w:rsidRPr="00D90DEA" w:rsidRDefault="00B31237" w:rsidP="00B31237">
      <w:pPr>
        <w:spacing w:after="120"/>
        <w:rPr>
          <w:rFonts w:ascii="Arial" w:hAnsi="Arial" w:cs="Arial"/>
          <w:lang w:val="en-GB"/>
        </w:rPr>
      </w:pPr>
      <w:r w:rsidRPr="78C26F09">
        <w:rPr>
          <w:rFonts w:ascii="Arial" w:hAnsi="Arial" w:cs="Arial"/>
          <w:b/>
          <w:lang w:val="en-GB"/>
        </w:rPr>
        <w:t>Tackle Spectrum allocation:</w:t>
      </w:r>
      <w:r w:rsidRPr="78C26F09">
        <w:rPr>
          <w:rFonts w:ascii="Arial" w:hAnsi="Arial" w:cs="Arial"/>
          <w:lang w:val="en-GB"/>
        </w:rPr>
        <w:t> Availability of spectrum, for both shared licensed and unlicensed use, has a critical role in promoting the accessibility of the Internet. Research and development on new technologies that lower cost and increase bandwidth can also help lower cost.</w:t>
      </w:r>
      <w:r w:rsidRPr="00D90DEA">
        <w:rPr>
          <w:rFonts w:ascii="Arial" w:hAnsi="Arial" w:cs="Arial"/>
          <w:lang w:val="en-GB"/>
        </w:rPr>
        <w:t> </w:t>
      </w:r>
    </w:p>
    <w:p w14:paraId="590DBEBE" w14:textId="77777777" w:rsidR="00B31237" w:rsidRPr="00D90DEA" w:rsidRDefault="00B31237" w:rsidP="00B31237">
      <w:pPr>
        <w:spacing w:after="120"/>
        <w:rPr>
          <w:rFonts w:ascii="Arial" w:hAnsi="Arial" w:cs="Arial"/>
          <w:lang w:val="en-GB"/>
        </w:rPr>
      </w:pPr>
      <w:r w:rsidRPr="78C26F09">
        <w:rPr>
          <w:rFonts w:ascii="Arial" w:hAnsi="Arial" w:cs="Arial"/>
          <w:b/>
          <w:lang w:val="en-GB"/>
        </w:rPr>
        <w:t>Promote development of locally-relevant content, resources and tools:</w:t>
      </w:r>
      <w:r w:rsidRPr="78C26F09">
        <w:rPr>
          <w:rFonts w:ascii="Arial" w:hAnsi="Arial" w:cs="Arial"/>
          <w:lang w:val="en-GB"/>
        </w:rPr>
        <w:t xml:space="preserve"> Content is an important driver of broadband adoption. Increased availability of content that is relevant to local communities will drive adoption and a sustainable broadband ecosystem. Policies that promote the continued creation of locally relevant content should be encouraged, including </w:t>
      </w:r>
      <w:r w:rsidRPr="78C26F09">
        <w:rPr>
          <w:rFonts w:ascii="Arial" w:hAnsi="Arial" w:cs="Arial"/>
          <w:lang w:val="en-GB"/>
        </w:rPr>
        <w:lastRenderedPageBreak/>
        <w:t>protections for the freedom of expression, the press, privacy and intellectual property, the development of e-commerce infrastructure, consumer protections, and trusted online payment systems. Such policies should be market-driven and based on voluntary commercial arrangements, avoiding schemes that unduly burden any one sector over another such as mandatory must-carry regimes</w:t>
      </w:r>
      <w:r w:rsidRPr="00F13770">
        <w:rPr>
          <w:rFonts w:ascii="Arial" w:hAnsi="Arial" w:cs="Arial"/>
          <w:lang w:val="en-GB"/>
        </w:rPr>
        <w:t>.</w:t>
      </w:r>
      <w:r w:rsidRPr="00D90DEA">
        <w:rPr>
          <w:rFonts w:ascii="Arial" w:hAnsi="Arial" w:cs="Arial"/>
          <w:lang w:val="en-GB"/>
        </w:rPr>
        <w:t> </w:t>
      </w:r>
    </w:p>
    <w:p w14:paraId="7F5B6C31" w14:textId="72D12988" w:rsidR="00B31237" w:rsidRPr="00D90DEA" w:rsidRDefault="00EB77F7" w:rsidP="00B31237">
      <w:pPr>
        <w:spacing w:before="240" w:after="240" w:line="276" w:lineRule="auto"/>
        <w:rPr>
          <w:rFonts w:ascii="Arial" w:eastAsia="Arial" w:hAnsi="Arial" w:cs="Arial"/>
          <w:b/>
          <w:bCs/>
          <w:lang w:val="en-GB"/>
        </w:rPr>
      </w:pPr>
      <w:commentRangeStart w:id="9"/>
      <w:r>
        <w:rPr>
          <w:rFonts w:ascii="Arial" w:eastAsia="Arial" w:hAnsi="Arial" w:cs="Arial"/>
          <w:b/>
          <w:bCs/>
          <w:lang w:val="en-GB"/>
        </w:rPr>
        <w:t>Recommendations</w:t>
      </w:r>
    </w:p>
    <w:p w14:paraId="71528697" w14:textId="77777777" w:rsidR="00B31237" w:rsidRPr="00D90DEA" w:rsidRDefault="00B31237" w:rsidP="00B31237">
      <w:pPr>
        <w:pStyle w:val="ListParagraph"/>
        <w:numPr>
          <w:ilvl w:val="0"/>
          <w:numId w:val="12"/>
        </w:numPr>
        <w:spacing w:after="120" w:line="240" w:lineRule="auto"/>
        <w:contextualSpacing w:val="0"/>
        <w:rPr>
          <w:rFonts w:ascii="Arial" w:hAnsi="Arial" w:cs="Arial"/>
          <w:lang w:val="en-GB"/>
        </w:rPr>
      </w:pPr>
      <w:r w:rsidRPr="00D90DEA">
        <w:rPr>
          <w:rFonts w:ascii="Arial" w:hAnsi="Arial" w:cs="Arial"/>
          <w:lang w:val="en-GB"/>
        </w:rPr>
        <w:t>To ensure the full potential of ICT investment in broadband infrastructure, access technologies, wireless devices and other related aspects of the ICT ecosystem need to be incentivised.</w:t>
      </w:r>
    </w:p>
    <w:p w14:paraId="06023330" w14:textId="77777777" w:rsidR="00B31237" w:rsidRPr="00D90DEA" w:rsidRDefault="00B31237" w:rsidP="00B31237">
      <w:pPr>
        <w:pStyle w:val="ListParagraph"/>
        <w:numPr>
          <w:ilvl w:val="0"/>
          <w:numId w:val="12"/>
        </w:numPr>
        <w:spacing w:after="120" w:line="240" w:lineRule="auto"/>
        <w:contextualSpacing w:val="0"/>
        <w:rPr>
          <w:rFonts w:ascii="Arial" w:hAnsi="Arial" w:cs="Arial"/>
          <w:lang w:val="en-GB"/>
        </w:rPr>
      </w:pPr>
      <w:r w:rsidRPr="00D90DEA">
        <w:rPr>
          <w:rFonts w:ascii="Arial" w:hAnsi="Arial" w:cs="Arial"/>
          <w:lang w:val="en-GB"/>
        </w:rPr>
        <w:t>There are considerable economic benefits of taking action to ensure that sufficient spectrum is available to support the increasing demands following current and expected data traffic trends. There are many important uses of spectrum, including broadcast and mobile broadband as well as for Wi-Fi. Effective and technologically neutral management of this increasingly scarce resource must be a priority for policy-makers while ensuring the integrity of services offered by existing spectrum license holder.</w:t>
      </w:r>
    </w:p>
    <w:p w14:paraId="1D72744F" w14:textId="77777777" w:rsidR="00B31237" w:rsidRPr="00D90DEA" w:rsidRDefault="00B31237" w:rsidP="00B31237">
      <w:pPr>
        <w:pStyle w:val="ListParagraph"/>
        <w:numPr>
          <w:ilvl w:val="0"/>
          <w:numId w:val="12"/>
        </w:numPr>
        <w:spacing w:after="120" w:line="240" w:lineRule="auto"/>
        <w:contextualSpacing w:val="0"/>
        <w:rPr>
          <w:rFonts w:ascii="Arial" w:hAnsi="Arial" w:cs="Arial"/>
          <w:lang w:val="en-GB"/>
        </w:rPr>
      </w:pPr>
      <w:r w:rsidRPr="00D90DEA">
        <w:rPr>
          <w:rFonts w:ascii="Arial" w:hAnsi="Arial" w:cs="Arial"/>
          <w:lang w:val="en-GB"/>
        </w:rPr>
        <w:t>In addition to incentivizing investments in network technologies, policymakers should also support the development and deployment of innovative technologies that could help mitigate the cost of deploying connectivity in remote or underserved areas, such as AI and VR, as well as technologies, applications and services that drive the demand for connectivity</w:t>
      </w:r>
      <w:r w:rsidRPr="3EF8399B">
        <w:rPr>
          <w:rFonts w:ascii="Arial" w:hAnsi="Arial" w:cs="Arial"/>
          <w:lang w:val="en-GB"/>
        </w:rPr>
        <w:t>.</w:t>
      </w:r>
      <w:commentRangeEnd w:id="9"/>
      <w:r w:rsidR="00AB2F5C">
        <w:rPr>
          <w:rStyle w:val="CommentReference"/>
        </w:rPr>
        <w:commentReference w:id="9"/>
      </w:r>
    </w:p>
    <w:p w14:paraId="55038619" w14:textId="785129AD" w:rsidR="001F2BE5" w:rsidRPr="00281B33" w:rsidRDefault="001F2BE5" w:rsidP="00EB77F7">
      <w:pPr>
        <w:pStyle w:val="Heading1"/>
        <w:spacing w:after="240" w:line="276" w:lineRule="auto"/>
        <w:rPr>
          <w:rFonts w:ascii="Arial" w:eastAsia="Arial" w:hAnsi="Arial" w:cs="Arial"/>
          <w:b/>
          <w:bCs/>
          <w:sz w:val="24"/>
          <w:szCs w:val="24"/>
          <w:lang w:val="en-GB"/>
        </w:rPr>
      </w:pPr>
      <w:r w:rsidRPr="00EB77F7">
        <w:rPr>
          <w:rFonts w:ascii="Arial" w:eastAsia="Arial" w:hAnsi="Arial" w:cs="Arial"/>
          <w:b/>
          <w:bCs/>
          <w:sz w:val="24"/>
          <w:szCs w:val="24"/>
          <w:lang w:val="en-GB"/>
        </w:rPr>
        <w:t xml:space="preserve">Part 2.3: Promoting innovative regulatory frameworks </w:t>
      </w:r>
      <w:r w:rsidRPr="00BF2785">
        <w:rPr>
          <w:rFonts w:ascii="Arial" w:eastAsia="Arial" w:hAnsi="Arial" w:cs="Arial"/>
          <w:b/>
          <w:bCs/>
          <w:sz w:val="24"/>
          <w:szCs w:val="24"/>
          <w:lang w:val="en-GB"/>
        </w:rPr>
        <w:t xml:space="preserve">to deliver universal meaningful </w:t>
      </w:r>
      <w:commentRangeStart w:id="10"/>
      <w:r w:rsidRPr="00BF2785">
        <w:rPr>
          <w:rFonts w:ascii="Arial" w:eastAsia="Arial" w:hAnsi="Arial" w:cs="Arial"/>
          <w:b/>
          <w:bCs/>
          <w:sz w:val="24"/>
          <w:szCs w:val="24"/>
          <w:lang w:val="en-GB"/>
        </w:rPr>
        <w:t xml:space="preserve">connectivity </w:t>
      </w:r>
      <w:commentRangeEnd w:id="10"/>
      <w:r w:rsidR="007F2EDE">
        <w:rPr>
          <w:rStyle w:val="CommentReference"/>
          <w:rFonts w:asciiTheme="minorHAnsi" w:eastAsiaTheme="minorEastAsia" w:hAnsiTheme="minorHAnsi" w:cstheme="minorBidi"/>
          <w:color w:val="auto"/>
        </w:rPr>
        <w:commentReference w:id="10"/>
      </w:r>
    </w:p>
    <w:p w14:paraId="2F823CFD" w14:textId="41ED4A6C" w:rsidR="00063091" w:rsidRPr="00854C04" w:rsidRDefault="008B78C6" w:rsidP="00063091">
      <w:pPr>
        <w:spacing w:line="276" w:lineRule="auto"/>
        <w:rPr>
          <w:rFonts w:ascii="Arial" w:eastAsia="Arial" w:hAnsi="Arial" w:cs="Arial"/>
          <w:lang w:val="en-GB"/>
        </w:rPr>
      </w:pPr>
      <w:r w:rsidRPr="67951F9B">
        <w:rPr>
          <w:rFonts w:ascii="Arial" w:eastAsia="Arial" w:hAnsi="Arial" w:cs="Arial"/>
          <w:lang w:val="en-GB"/>
        </w:rPr>
        <w:t>In addition to the cases presented above, t</w:t>
      </w:r>
      <w:r w:rsidR="00063091" w:rsidRPr="67951F9B">
        <w:rPr>
          <w:rFonts w:ascii="Arial" w:eastAsia="Arial" w:hAnsi="Arial" w:cs="Arial"/>
          <w:lang w:val="en-GB"/>
        </w:rPr>
        <w:t>his section builds on</w:t>
      </w:r>
      <w:r w:rsidRPr="67951F9B">
        <w:rPr>
          <w:rFonts w:ascii="Arial" w:eastAsia="Arial" w:hAnsi="Arial" w:cs="Arial"/>
          <w:lang w:val="en-GB"/>
        </w:rPr>
        <w:t xml:space="preserve"> a further</w:t>
      </w:r>
      <w:r w:rsidR="00063091" w:rsidRPr="67951F9B">
        <w:rPr>
          <w:rFonts w:ascii="Arial" w:eastAsia="Arial" w:hAnsi="Arial" w:cs="Arial"/>
          <w:lang w:val="en-GB"/>
        </w:rPr>
        <w:t xml:space="preserve"> </w:t>
      </w:r>
      <w:r w:rsidR="00063091" w:rsidRPr="67951F9B">
        <w:rPr>
          <w:rFonts w:ascii="Arial" w:eastAsia="Arial" w:hAnsi="Arial" w:cs="Arial"/>
          <w:highlight w:val="yellow"/>
          <w:lang w:val="en-GB"/>
        </w:rPr>
        <w:t>[</w:t>
      </w:r>
      <w:r w:rsidRPr="67951F9B">
        <w:rPr>
          <w:rFonts w:ascii="Arial" w:eastAsia="Arial" w:hAnsi="Arial" w:cs="Arial"/>
          <w:highlight w:val="yellow"/>
          <w:lang w:val="en-GB"/>
        </w:rPr>
        <w:t>number to be included</w:t>
      </w:r>
      <w:r w:rsidR="00063091" w:rsidRPr="67951F9B">
        <w:rPr>
          <w:rFonts w:ascii="Arial" w:eastAsia="Arial" w:hAnsi="Arial" w:cs="Arial"/>
          <w:highlight w:val="yellow"/>
          <w:lang w:val="en-GB"/>
        </w:rPr>
        <w:t>]</w:t>
      </w:r>
      <w:r w:rsidR="00063091" w:rsidRPr="67951F9B">
        <w:rPr>
          <w:rFonts w:ascii="Arial" w:eastAsia="Arial" w:hAnsi="Arial" w:cs="Arial"/>
          <w:lang w:val="en-GB"/>
        </w:rPr>
        <w:t xml:space="preserve"> </w:t>
      </w:r>
      <w:r w:rsidRPr="67951F9B">
        <w:rPr>
          <w:rFonts w:ascii="Arial" w:eastAsia="Arial" w:hAnsi="Arial" w:cs="Arial"/>
          <w:lang w:val="en-GB"/>
        </w:rPr>
        <w:t>examples</w:t>
      </w:r>
      <w:r w:rsidR="00063091" w:rsidRPr="67951F9B">
        <w:rPr>
          <w:rFonts w:ascii="Arial" w:eastAsia="Arial" w:hAnsi="Arial" w:cs="Arial"/>
          <w:lang w:val="en-GB"/>
        </w:rPr>
        <w:t xml:space="preserve"> to</w:t>
      </w:r>
      <w:r w:rsidR="00006AF7" w:rsidRPr="67951F9B">
        <w:rPr>
          <w:rFonts w:ascii="Arial" w:eastAsia="Arial" w:hAnsi="Arial" w:cs="Arial"/>
          <w:lang w:val="en-GB"/>
        </w:rPr>
        <w:t xml:space="preserve"> present </w:t>
      </w:r>
      <w:r w:rsidR="00063091" w:rsidRPr="67951F9B">
        <w:rPr>
          <w:rFonts w:ascii="Arial" w:eastAsia="Arial" w:hAnsi="Arial" w:cs="Arial"/>
          <w:lang w:val="en-GB"/>
        </w:rPr>
        <w:t xml:space="preserve">innovative </w:t>
      </w:r>
      <w:r w:rsidR="00006AF7" w:rsidRPr="67951F9B">
        <w:rPr>
          <w:rFonts w:ascii="Arial" w:eastAsia="Arial" w:hAnsi="Arial" w:cs="Arial"/>
          <w:lang w:val="en-GB"/>
        </w:rPr>
        <w:t>regulatory approaches</w:t>
      </w:r>
      <w:r w:rsidR="00063091" w:rsidRPr="67951F9B">
        <w:rPr>
          <w:rFonts w:ascii="Arial" w:eastAsia="Arial" w:hAnsi="Arial" w:cs="Arial"/>
          <w:lang w:val="en-GB"/>
        </w:rPr>
        <w:t xml:space="preserve"> </w:t>
      </w:r>
      <w:r w:rsidR="00006AF7" w:rsidRPr="67951F9B">
        <w:rPr>
          <w:rFonts w:ascii="Arial" w:eastAsia="Arial" w:hAnsi="Arial" w:cs="Arial"/>
          <w:lang w:val="en-GB"/>
        </w:rPr>
        <w:t xml:space="preserve">designed to </w:t>
      </w:r>
      <w:r w:rsidR="00063091" w:rsidRPr="67951F9B">
        <w:rPr>
          <w:rFonts w:ascii="Arial" w:eastAsia="Arial" w:hAnsi="Arial" w:cs="Arial"/>
          <w:lang w:val="en-GB"/>
        </w:rPr>
        <w:t xml:space="preserve">help bridge digital divides in access, application, and digital skills in </w:t>
      </w:r>
      <w:r w:rsidR="00006AF7" w:rsidRPr="67951F9B">
        <w:rPr>
          <w:rFonts w:ascii="Arial" w:eastAsia="Arial" w:hAnsi="Arial" w:cs="Arial"/>
          <w:lang w:val="en-GB"/>
        </w:rPr>
        <w:t xml:space="preserve">areas </w:t>
      </w:r>
      <w:r w:rsidR="00227F77" w:rsidRPr="67951F9B">
        <w:rPr>
          <w:rFonts w:ascii="Arial" w:eastAsia="Arial" w:hAnsi="Arial" w:cs="Arial"/>
          <w:lang w:val="en-GB"/>
        </w:rPr>
        <w:t xml:space="preserve">where </w:t>
      </w:r>
      <w:r w:rsidR="00E7764E" w:rsidRPr="67951F9B">
        <w:rPr>
          <w:rFonts w:ascii="Arial" w:eastAsia="Arial" w:hAnsi="Arial" w:cs="Arial"/>
          <w:lang w:val="en-GB"/>
        </w:rPr>
        <w:t xml:space="preserve">additional or different incentives than </w:t>
      </w:r>
      <w:r w:rsidR="00227F77" w:rsidRPr="67951F9B">
        <w:rPr>
          <w:rFonts w:ascii="Arial" w:eastAsia="Arial" w:hAnsi="Arial" w:cs="Arial"/>
          <w:lang w:val="en-GB"/>
        </w:rPr>
        <w:t>traditiona</w:t>
      </w:r>
      <w:r w:rsidR="00E7764E" w:rsidRPr="67951F9B">
        <w:rPr>
          <w:rFonts w:ascii="Arial" w:eastAsia="Arial" w:hAnsi="Arial" w:cs="Arial"/>
          <w:lang w:val="en-GB"/>
        </w:rPr>
        <w:t>l approaches were necessary. T</w:t>
      </w:r>
      <w:r w:rsidR="00063091" w:rsidRPr="67951F9B">
        <w:rPr>
          <w:rFonts w:ascii="Arial" w:eastAsia="Arial" w:hAnsi="Arial" w:cs="Arial"/>
          <w:lang w:val="en-GB"/>
        </w:rPr>
        <w:t>he</w:t>
      </w:r>
      <w:r w:rsidR="00E7764E" w:rsidRPr="67951F9B">
        <w:rPr>
          <w:rFonts w:ascii="Arial" w:eastAsia="Arial" w:hAnsi="Arial" w:cs="Arial"/>
          <w:lang w:val="en-GB"/>
        </w:rPr>
        <w:t>se</w:t>
      </w:r>
      <w:r w:rsidR="00063091" w:rsidRPr="67951F9B">
        <w:rPr>
          <w:rFonts w:ascii="Arial" w:eastAsia="Arial" w:hAnsi="Arial" w:cs="Arial"/>
          <w:lang w:val="en-GB"/>
        </w:rPr>
        <w:t xml:space="preserve"> examples</w:t>
      </w:r>
      <w:r w:rsidR="00E7764E" w:rsidRPr="67951F9B">
        <w:rPr>
          <w:rFonts w:ascii="Arial" w:eastAsia="Arial" w:hAnsi="Arial" w:cs="Arial"/>
          <w:lang w:val="en-GB"/>
        </w:rPr>
        <w:t>, as those</w:t>
      </w:r>
      <w:r w:rsidR="00063091" w:rsidRPr="67951F9B">
        <w:rPr>
          <w:rFonts w:ascii="Arial" w:eastAsia="Arial" w:hAnsi="Arial" w:cs="Arial"/>
          <w:lang w:val="en-GB"/>
        </w:rPr>
        <w:t xml:space="preserve"> described</w:t>
      </w:r>
      <w:r w:rsidR="00E7764E" w:rsidRPr="67951F9B">
        <w:rPr>
          <w:rFonts w:ascii="Arial" w:eastAsia="Arial" w:hAnsi="Arial" w:cs="Arial"/>
          <w:lang w:val="en-GB"/>
        </w:rPr>
        <w:t xml:space="preserve"> previously</w:t>
      </w:r>
      <w:r w:rsidR="0077625B" w:rsidRPr="67951F9B">
        <w:rPr>
          <w:rFonts w:ascii="Arial" w:eastAsia="Arial" w:hAnsi="Arial" w:cs="Arial"/>
          <w:lang w:val="en-GB"/>
        </w:rPr>
        <w:t>,</w:t>
      </w:r>
      <w:r w:rsidR="00063091" w:rsidRPr="67951F9B">
        <w:rPr>
          <w:rFonts w:ascii="Arial" w:eastAsia="Arial" w:hAnsi="Arial" w:cs="Arial"/>
          <w:lang w:val="en-GB"/>
        </w:rPr>
        <w:t xml:space="preserve"> are tailored to local </w:t>
      </w:r>
      <w:r w:rsidR="0077625B" w:rsidRPr="67951F9B">
        <w:rPr>
          <w:rFonts w:ascii="Arial" w:eastAsia="Arial" w:hAnsi="Arial" w:cs="Arial"/>
          <w:lang w:val="en-GB"/>
        </w:rPr>
        <w:t>specificities</w:t>
      </w:r>
      <w:r w:rsidR="00883DE0" w:rsidRPr="67951F9B">
        <w:rPr>
          <w:rFonts w:ascii="Arial" w:eastAsia="Arial" w:hAnsi="Arial" w:cs="Arial"/>
          <w:lang w:val="en-GB"/>
        </w:rPr>
        <w:t>.</w:t>
      </w:r>
      <w:r w:rsidR="33246CFB" w:rsidRPr="67951F9B">
        <w:rPr>
          <w:rFonts w:ascii="Arial" w:eastAsia="Arial" w:hAnsi="Arial" w:cs="Arial"/>
          <w:lang w:val="en-GB"/>
        </w:rPr>
        <w:t xml:space="preserve"> However, the</w:t>
      </w:r>
      <w:r w:rsidR="10719226" w:rsidRPr="67951F9B">
        <w:rPr>
          <w:rFonts w:ascii="Arial" w:eastAsia="Arial" w:hAnsi="Arial" w:cs="Arial"/>
          <w:lang w:val="en-GB"/>
        </w:rPr>
        <w:t xml:space="preserve"> generalisable</w:t>
      </w:r>
      <w:r w:rsidR="00063091" w:rsidRPr="67951F9B">
        <w:rPr>
          <w:rFonts w:ascii="Arial" w:eastAsia="Arial" w:hAnsi="Arial" w:cs="Arial"/>
          <w:lang w:val="en-GB"/>
        </w:rPr>
        <w:t xml:space="preserve"> insights</w:t>
      </w:r>
      <w:r w:rsidR="00FD0FAE" w:rsidRPr="67951F9B">
        <w:rPr>
          <w:rFonts w:ascii="Arial" w:eastAsia="Arial" w:hAnsi="Arial" w:cs="Arial"/>
          <w:lang w:val="en-GB"/>
        </w:rPr>
        <w:t xml:space="preserve"> </w:t>
      </w:r>
      <w:r w:rsidR="00BF0E52" w:rsidRPr="67951F9B">
        <w:rPr>
          <w:rFonts w:ascii="Arial" w:eastAsia="Arial" w:hAnsi="Arial" w:cs="Arial"/>
          <w:lang w:val="en-GB"/>
        </w:rPr>
        <w:t xml:space="preserve">learned from </w:t>
      </w:r>
      <w:r w:rsidR="359867E7" w:rsidRPr="67951F9B">
        <w:rPr>
          <w:rFonts w:ascii="Arial" w:eastAsia="Arial" w:hAnsi="Arial" w:cs="Arial"/>
          <w:lang w:val="en-GB"/>
        </w:rPr>
        <w:t>these examples</w:t>
      </w:r>
      <w:r w:rsidR="00BF0E52" w:rsidRPr="67951F9B">
        <w:rPr>
          <w:rFonts w:ascii="Arial" w:eastAsia="Arial" w:hAnsi="Arial" w:cs="Arial"/>
          <w:lang w:val="en-GB"/>
        </w:rPr>
        <w:t xml:space="preserve"> </w:t>
      </w:r>
      <w:r w:rsidR="00063091" w:rsidRPr="67951F9B">
        <w:rPr>
          <w:rFonts w:ascii="Arial" w:eastAsia="Arial" w:hAnsi="Arial" w:cs="Arial"/>
          <w:lang w:val="en-GB"/>
        </w:rPr>
        <w:t>underpin the policy recommendations formulated at the end of the section</w:t>
      </w:r>
      <w:r w:rsidR="56C93F61" w:rsidRPr="67951F9B">
        <w:rPr>
          <w:rFonts w:ascii="Arial" w:eastAsia="Arial" w:hAnsi="Arial" w:cs="Arial"/>
          <w:lang w:val="en-GB"/>
        </w:rPr>
        <w:t xml:space="preserve">. </w:t>
      </w:r>
    </w:p>
    <w:p w14:paraId="3E92CE34" w14:textId="5BD7910C" w:rsidR="001F2BE5" w:rsidRPr="00E41AB4" w:rsidRDefault="001F2BE5" w:rsidP="00E41AB4">
      <w:pPr>
        <w:pStyle w:val="ListParagraph"/>
        <w:numPr>
          <w:ilvl w:val="0"/>
          <w:numId w:val="13"/>
        </w:numPr>
        <w:spacing w:before="240" w:after="240" w:line="276" w:lineRule="auto"/>
        <w:contextualSpacing w:val="0"/>
        <w:rPr>
          <w:rFonts w:ascii="Arial" w:eastAsia="Arial" w:hAnsi="Arial" w:cs="Arial"/>
          <w:b/>
          <w:bCs/>
          <w:lang w:val="en-GB"/>
        </w:rPr>
      </w:pPr>
      <w:r w:rsidRPr="00E41AB4">
        <w:rPr>
          <w:rFonts w:ascii="Arial" w:eastAsia="Arial" w:hAnsi="Arial" w:cs="Arial"/>
          <w:b/>
          <w:bCs/>
          <w:lang w:val="en-GB"/>
        </w:rPr>
        <w:t>Bridging divides in access</w:t>
      </w:r>
    </w:p>
    <w:p w14:paraId="36156F39" w14:textId="77777777" w:rsidR="001F2BE5" w:rsidRPr="00063091" w:rsidRDefault="001F2BE5" w:rsidP="00DE3FE9">
      <w:pPr>
        <w:spacing w:after="120"/>
        <w:rPr>
          <w:rFonts w:ascii="Arial" w:hAnsi="Arial" w:cs="Arial"/>
          <w:i/>
          <w:iCs/>
          <w:lang w:val="en-GB"/>
        </w:rPr>
      </w:pPr>
      <w:commentRangeStart w:id="11"/>
      <w:r w:rsidRPr="00063091">
        <w:rPr>
          <w:rFonts w:ascii="Arial" w:hAnsi="Arial" w:cs="Arial"/>
          <w:i/>
          <w:iCs/>
          <w:lang w:val="en-GB"/>
        </w:rPr>
        <w:t>Highlight how innovative regulatory frameworks can help bridge divides in access to connectivity.</w:t>
      </w:r>
      <w:commentRangeEnd w:id="11"/>
      <w:r w:rsidRPr="00063091">
        <w:rPr>
          <w:rFonts w:ascii="Arial" w:hAnsi="Arial" w:cs="Arial"/>
          <w:i/>
          <w:iCs/>
          <w:lang w:val="en-GB"/>
        </w:rPr>
        <w:commentReference w:id="11"/>
      </w:r>
    </w:p>
    <w:p w14:paraId="38E54EC6" w14:textId="77777777" w:rsidR="001F2BE5" w:rsidRPr="00E41AB4" w:rsidRDefault="001F2BE5" w:rsidP="00DE3FE9">
      <w:pPr>
        <w:spacing w:after="120"/>
        <w:rPr>
          <w:rFonts w:ascii="Arial" w:hAnsi="Arial" w:cs="Arial"/>
          <w:lang w:val="en-GB"/>
        </w:rPr>
      </w:pPr>
      <w:r w:rsidRPr="00E41AB4">
        <w:rPr>
          <w:rFonts w:ascii="Arial" w:hAnsi="Arial" w:cs="Arial"/>
          <w:lang w:val="en-GB"/>
        </w:rPr>
        <w:t xml:space="preserve">To achieve universal meaningful connectivity with affordable services and user equipment, efficient spectrum management is fundamental. To address this issue, the African Telecommunications Union (ATU), launched its first </w:t>
      </w:r>
      <w:commentRangeStart w:id="12"/>
      <w:r w:rsidRPr="00E41AB4">
        <w:rPr>
          <w:rFonts w:ascii="Arial" w:hAnsi="Arial" w:cs="Arial"/>
          <w:lang w:val="en-GB"/>
        </w:rPr>
        <w:t xml:space="preserve">framework recommendations for spectrum audit, licensing, evolution and management principles </w:t>
      </w:r>
      <w:commentRangeEnd w:id="12"/>
      <w:r w:rsidRPr="00E41AB4">
        <w:rPr>
          <w:rFonts w:ascii="Arial" w:hAnsi="Arial" w:cs="Arial"/>
          <w:lang w:val="en-GB"/>
        </w:rPr>
        <w:commentReference w:id="12"/>
      </w:r>
      <w:r w:rsidRPr="00E41AB4">
        <w:rPr>
          <w:rFonts w:ascii="Arial" w:hAnsi="Arial" w:cs="Arial"/>
          <w:lang w:val="en-GB"/>
        </w:rPr>
        <w:t>on national broadband spectrum plans in April 2021.</w:t>
      </w:r>
    </w:p>
    <w:p w14:paraId="720665B8" w14:textId="77777777" w:rsidR="001F2BE5" w:rsidRPr="00125FB7" w:rsidRDefault="001F2BE5" w:rsidP="00125FB7">
      <w:pPr>
        <w:pStyle w:val="ListParagraph"/>
        <w:numPr>
          <w:ilvl w:val="0"/>
          <w:numId w:val="14"/>
        </w:numPr>
        <w:spacing w:after="120"/>
        <w:rPr>
          <w:rFonts w:ascii="Arial" w:hAnsi="Arial" w:cs="Arial"/>
          <w:lang w:val="en-GB"/>
        </w:rPr>
      </w:pPr>
      <w:r w:rsidRPr="00125FB7">
        <w:rPr>
          <w:rFonts w:ascii="Arial" w:hAnsi="Arial" w:cs="Arial"/>
          <w:lang w:val="en-GB"/>
        </w:rPr>
        <w:t>Spectrum Audit Recommendations</w:t>
      </w:r>
    </w:p>
    <w:p w14:paraId="7A79331C" w14:textId="77777777" w:rsidR="001F2BE5" w:rsidRPr="000B0F39" w:rsidRDefault="001F2BE5" w:rsidP="000B0F39">
      <w:pPr>
        <w:pStyle w:val="ListParagraph"/>
        <w:numPr>
          <w:ilvl w:val="1"/>
          <w:numId w:val="14"/>
        </w:numPr>
        <w:spacing w:after="120"/>
        <w:rPr>
          <w:rFonts w:ascii="Arial" w:hAnsi="Arial" w:cs="Arial"/>
          <w:lang w:val="en-GB"/>
        </w:rPr>
      </w:pPr>
      <w:r w:rsidRPr="000B0F39">
        <w:rPr>
          <w:rFonts w:ascii="Arial" w:hAnsi="Arial" w:cs="Arial"/>
          <w:lang w:val="en-GB"/>
        </w:rPr>
        <w:t>Publish databases of spectrum licensing, usage, and technical information.</w:t>
      </w:r>
    </w:p>
    <w:p w14:paraId="16AAAF56" w14:textId="77777777" w:rsidR="001F2BE5" w:rsidRPr="000B0F39" w:rsidRDefault="001F2BE5" w:rsidP="000B0F39">
      <w:pPr>
        <w:pStyle w:val="ListParagraph"/>
        <w:numPr>
          <w:ilvl w:val="1"/>
          <w:numId w:val="14"/>
        </w:numPr>
        <w:spacing w:after="120"/>
        <w:rPr>
          <w:rFonts w:ascii="Arial" w:hAnsi="Arial" w:cs="Arial"/>
          <w:lang w:val="en-GB"/>
        </w:rPr>
      </w:pPr>
      <w:r w:rsidRPr="000B0F39">
        <w:rPr>
          <w:rFonts w:ascii="Arial" w:hAnsi="Arial" w:cs="Arial"/>
          <w:lang w:val="en-GB"/>
        </w:rPr>
        <w:t>Undertake independent audit following spectrum assignment and re-farming.</w:t>
      </w:r>
    </w:p>
    <w:p w14:paraId="2D153AF4" w14:textId="77777777" w:rsidR="001F2BE5" w:rsidRPr="000B0F39" w:rsidRDefault="001F2BE5" w:rsidP="000B0F39">
      <w:pPr>
        <w:pStyle w:val="ListParagraph"/>
        <w:numPr>
          <w:ilvl w:val="1"/>
          <w:numId w:val="14"/>
        </w:numPr>
        <w:spacing w:after="120"/>
        <w:rPr>
          <w:rFonts w:ascii="Arial" w:hAnsi="Arial" w:cs="Arial"/>
          <w:lang w:val="en-GB"/>
        </w:rPr>
      </w:pPr>
      <w:r w:rsidRPr="000B0F39">
        <w:rPr>
          <w:rFonts w:ascii="Arial" w:hAnsi="Arial" w:cs="Arial"/>
          <w:lang w:val="en-GB"/>
        </w:rPr>
        <w:t>Conduct spectrum monitoring periodically to provide the actual use of frequencies and bands.</w:t>
      </w:r>
    </w:p>
    <w:p w14:paraId="26DD0B95" w14:textId="77777777" w:rsidR="000B0F39" w:rsidRDefault="001F2BE5" w:rsidP="000B0F39">
      <w:pPr>
        <w:pStyle w:val="ListParagraph"/>
        <w:numPr>
          <w:ilvl w:val="1"/>
          <w:numId w:val="14"/>
        </w:numPr>
        <w:spacing w:after="120"/>
        <w:rPr>
          <w:rFonts w:ascii="Arial" w:hAnsi="Arial" w:cs="Arial"/>
          <w:lang w:val="en-GB"/>
        </w:rPr>
      </w:pPr>
      <w:r w:rsidRPr="000B0F39">
        <w:rPr>
          <w:rFonts w:ascii="Arial" w:hAnsi="Arial" w:cs="Arial"/>
          <w:lang w:val="en-GB"/>
        </w:rPr>
        <w:t>Undertake periodic audit of the public sector spectrum, other than being used for sensitive uses.</w:t>
      </w:r>
    </w:p>
    <w:p w14:paraId="26CA4932" w14:textId="15382B2D" w:rsidR="001F2BE5" w:rsidRPr="000B0F39" w:rsidRDefault="001F2BE5" w:rsidP="000B0F39">
      <w:pPr>
        <w:pStyle w:val="ListParagraph"/>
        <w:numPr>
          <w:ilvl w:val="0"/>
          <w:numId w:val="14"/>
        </w:numPr>
        <w:spacing w:after="120"/>
        <w:rPr>
          <w:rFonts w:ascii="Arial" w:hAnsi="Arial" w:cs="Arial"/>
          <w:lang w:val="en-GB"/>
        </w:rPr>
      </w:pPr>
      <w:r w:rsidRPr="000B0F39">
        <w:rPr>
          <w:rFonts w:ascii="Arial" w:hAnsi="Arial" w:cs="Arial"/>
          <w:lang w:val="en-GB"/>
        </w:rPr>
        <w:lastRenderedPageBreak/>
        <w:t>Spectrum Licensing Recommendations</w:t>
      </w:r>
    </w:p>
    <w:p w14:paraId="3966DAD5"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Ensure fair balance between direct spectrum revenue considerations and the need for affordable high quality mobile services by consumers.</w:t>
      </w:r>
    </w:p>
    <w:p w14:paraId="39E5E4C9"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Promote technology and service neutrality to foster innovation and rapid nationwide coverage.</w:t>
      </w:r>
    </w:p>
    <w:p w14:paraId="4386D0D4"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Pursue a balanced spectrum policy that brings more licensed and license-exempt spectrum into use in order to serve businesses and consumers better.</w:t>
      </w:r>
    </w:p>
    <w:p w14:paraId="26063EBE"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Create incentives for trading or sharing of unused or underutilized spectrum.</w:t>
      </w:r>
    </w:p>
    <w:p w14:paraId="58A1BDD0"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Prevent spectrum hoarding by designing auctions with spectrum caps.</w:t>
      </w:r>
    </w:p>
    <w:p w14:paraId="069AA8DE" w14:textId="77777777" w:rsidR="001F2BE5" w:rsidRPr="00961041" w:rsidRDefault="001F2BE5" w:rsidP="00961041">
      <w:pPr>
        <w:pStyle w:val="ListParagraph"/>
        <w:numPr>
          <w:ilvl w:val="0"/>
          <w:numId w:val="14"/>
        </w:numPr>
        <w:spacing w:after="120"/>
        <w:rPr>
          <w:rFonts w:ascii="Arial" w:hAnsi="Arial" w:cs="Arial"/>
          <w:lang w:val="en-GB"/>
        </w:rPr>
      </w:pPr>
      <w:r w:rsidRPr="00961041">
        <w:rPr>
          <w:rFonts w:ascii="Arial" w:hAnsi="Arial" w:cs="Arial"/>
          <w:lang w:val="en-GB"/>
        </w:rPr>
        <w:t>Spectrum Evolution Recommendations</w:t>
      </w:r>
    </w:p>
    <w:p w14:paraId="764D06B7"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Introduce mobile at the locations where the incumbents do not operate, while preserving incumbent use at its current location.</w:t>
      </w:r>
    </w:p>
    <w:p w14:paraId="040791EC"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Provide flexibility to mobile network operators to use their existing mobile licenses to offer service using newer technologies.</w:t>
      </w:r>
    </w:p>
    <w:p w14:paraId="3175AC87"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Encourage spectrum evolution strategies including 2G and 3G sunset.</w:t>
      </w:r>
    </w:p>
    <w:p w14:paraId="524270DE" w14:textId="77777777" w:rsidR="008F732C"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Give priority to re-farming options that minimize its impact on quality of services.</w:t>
      </w:r>
    </w:p>
    <w:p w14:paraId="68152513" w14:textId="4E2A927C" w:rsidR="001F2BE5" w:rsidRPr="00961041" w:rsidRDefault="001F2BE5" w:rsidP="008F732C">
      <w:pPr>
        <w:pStyle w:val="ListParagraph"/>
        <w:numPr>
          <w:ilvl w:val="0"/>
          <w:numId w:val="14"/>
        </w:numPr>
        <w:spacing w:after="120"/>
        <w:rPr>
          <w:rFonts w:ascii="Arial" w:hAnsi="Arial" w:cs="Arial"/>
          <w:lang w:val="en-GB"/>
        </w:rPr>
      </w:pPr>
      <w:r w:rsidRPr="00961041">
        <w:rPr>
          <w:rFonts w:ascii="Arial" w:hAnsi="Arial" w:cs="Arial"/>
          <w:lang w:val="en-GB"/>
        </w:rPr>
        <w:t>Spectrum Management Principles on National Broadband Spectrum Plans Recommendations</w:t>
      </w:r>
    </w:p>
    <w:p w14:paraId="0E3C32CE"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Estimate the future spectrum requirements for broadband considering geographic status cities, population density, average spectral efficiency for different planned technologies, forecasted number of subscribers, and behavior of users.</w:t>
      </w:r>
    </w:p>
    <w:p w14:paraId="3675C7B4" w14:textId="77777777" w:rsidR="001F2BE5" w:rsidRP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Plan for the availability of all mobile broadband spectrum and backhaul spectrum, including low, mid and high bands.</w:t>
      </w:r>
    </w:p>
    <w:p w14:paraId="01E10E73" w14:textId="77777777" w:rsidR="00961041" w:rsidRDefault="001F2BE5" w:rsidP="00961041">
      <w:pPr>
        <w:pStyle w:val="ListParagraph"/>
        <w:numPr>
          <w:ilvl w:val="1"/>
          <w:numId w:val="14"/>
        </w:numPr>
        <w:spacing w:after="120"/>
        <w:rPr>
          <w:rFonts w:ascii="Arial" w:hAnsi="Arial" w:cs="Arial"/>
          <w:lang w:val="en-GB"/>
        </w:rPr>
      </w:pPr>
      <w:r w:rsidRPr="00961041">
        <w:rPr>
          <w:rFonts w:ascii="Arial" w:hAnsi="Arial" w:cs="Arial"/>
          <w:lang w:val="en-GB"/>
        </w:rPr>
        <w:t>Establish a clear timeline for the release of additional mobile broadband spectrum in the short term, medium term and long term.</w:t>
      </w:r>
    </w:p>
    <w:p w14:paraId="4CD807FC" w14:textId="2831B32C" w:rsidR="001F2BE5" w:rsidRPr="00961041" w:rsidRDefault="001F2BE5" w:rsidP="00961041">
      <w:pPr>
        <w:spacing w:after="120"/>
        <w:rPr>
          <w:rFonts w:ascii="Arial" w:hAnsi="Arial" w:cs="Arial"/>
          <w:lang w:val="en-GB"/>
        </w:rPr>
      </w:pPr>
      <w:r w:rsidRPr="6C5DE56D">
        <w:rPr>
          <w:rFonts w:ascii="Arial" w:hAnsi="Arial" w:cs="Arial"/>
          <w:lang w:val="en-GB"/>
        </w:rPr>
        <w:t>Regulatory and policy approaches are a relevant lever to address investment and cost challenges of deploying networks in lower income and sparsely populated areas. In these areas, bundling all possible demand for connectivity into one infrastructure to make investments sustainable from a business point of view can lower barriers for businesses to tackle the access divide.</w:t>
      </w:r>
    </w:p>
    <w:p w14:paraId="7EE201E5" w14:textId="01F14139" w:rsidR="6C5DE56D" w:rsidRDefault="6C5DE56D" w:rsidP="6C5DE56D">
      <w:pPr>
        <w:spacing w:after="120"/>
        <w:rPr>
          <w:rFonts w:ascii="Arial" w:hAnsi="Arial" w:cs="Arial"/>
          <w:lang w:val="en-GB"/>
        </w:rPr>
      </w:pPr>
    </w:p>
    <w:p w14:paraId="4E6F891C" w14:textId="29D9DB03" w:rsidR="3722393D" w:rsidRDefault="3722393D" w:rsidP="6C5DE56D">
      <w:pPr>
        <w:spacing w:after="120"/>
        <w:rPr>
          <w:rFonts w:ascii="Arial" w:hAnsi="Arial" w:cs="Arial"/>
          <w:b/>
          <w:bCs/>
          <w:lang w:val="en-GB"/>
        </w:rPr>
      </w:pPr>
      <w:r w:rsidRPr="6C5DE56D">
        <w:rPr>
          <w:rFonts w:ascii="Arial" w:hAnsi="Arial" w:cs="Arial"/>
          <w:b/>
          <w:bCs/>
          <w:lang w:val="en-GB"/>
        </w:rPr>
        <w:t>Investor friendly regulatory model for a rural operator</w:t>
      </w:r>
    </w:p>
    <w:p w14:paraId="16B71C1A" w14:textId="47CEF7B6" w:rsidR="001F2BE5" w:rsidRPr="00E41AB4" w:rsidRDefault="001F2BE5" w:rsidP="00DE3FE9">
      <w:pPr>
        <w:spacing w:after="120"/>
        <w:rPr>
          <w:rFonts w:ascii="Arial" w:hAnsi="Arial" w:cs="Arial"/>
          <w:lang w:val="en-GB"/>
        </w:rPr>
      </w:pPr>
      <w:r w:rsidRPr="6C5DE56D">
        <w:rPr>
          <w:rFonts w:ascii="Arial" w:hAnsi="Arial" w:cs="Arial"/>
          <w:lang w:val="en-GB"/>
        </w:rPr>
        <w:t>Internet Para Todos, IpT Peru, was launched in Peru as the regulatory framework provided an innovative approach for the deployment on networks in rural areas: the figure of Rural Mobile Infrastructure Operator (RMIO – Law 30083). The RMIO provided an investor friendly regulatory model for a rural operator by including the following conditions:</w:t>
      </w:r>
    </w:p>
    <w:p w14:paraId="09BDC4DA" w14:textId="77777777" w:rsidR="001F2BE5" w:rsidRPr="00662896" w:rsidRDefault="001F2BE5" w:rsidP="00662896">
      <w:pPr>
        <w:pStyle w:val="ListParagraph"/>
        <w:numPr>
          <w:ilvl w:val="0"/>
          <w:numId w:val="15"/>
        </w:numPr>
        <w:spacing w:after="120"/>
        <w:rPr>
          <w:rFonts w:ascii="Arial" w:hAnsi="Arial" w:cs="Arial"/>
          <w:lang w:val="en-GB"/>
        </w:rPr>
      </w:pPr>
      <w:r w:rsidRPr="00662896">
        <w:rPr>
          <w:rFonts w:ascii="Arial" w:hAnsi="Arial" w:cs="Arial"/>
          <w:lang w:val="en-GB"/>
        </w:rPr>
        <w:t>Operating cellular base stations in rural areas where MNOs lack of a mobile service coverage.</w:t>
      </w:r>
    </w:p>
    <w:p w14:paraId="50358389" w14:textId="77777777" w:rsidR="001F2BE5" w:rsidRPr="00662896" w:rsidRDefault="001F2BE5" w:rsidP="00662896">
      <w:pPr>
        <w:pStyle w:val="ListParagraph"/>
        <w:numPr>
          <w:ilvl w:val="0"/>
          <w:numId w:val="15"/>
        </w:numPr>
        <w:spacing w:after="120"/>
        <w:rPr>
          <w:rFonts w:ascii="Arial" w:hAnsi="Arial" w:cs="Arial"/>
          <w:lang w:val="en-GB"/>
        </w:rPr>
      </w:pPr>
      <w:r w:rsidRPr="00662896">
        <w:rPr>
          <w:rFonts w:ascii="Arial" w:hAnsi="Arial" w:cs="Arial"/>
          <w:lang w:val="en-GB"/>
        </w:rPr>
        <w:t>Not having mobile end-customers nor assigned spectrum for the provisioning of mobile services.</w:t>
      </w:r>
    </w:p>
    <w:p w14:paraId="3003FC48" w14:textId="77777777" w:rsidR="001F2BE5" w:rsidRPr="00662896" w:rsidRDefault="001F2BE5" w:rsidP="00662896">
      <w:pPr>
        <w:pStyle w:val="ListParagraph"/>
        <w:numPr>
          <w:ilvl w:val="0"/>
          <w:numId w:val="15"/>
        </w:numPr>
        <w:spacing w:after="120"/>
        <w:rPr>
          <w:rFonts w:ascii="Arial" w:hAnsi="Arial" w:cs="Arial"/>
          <w:lang w:val="en-GB"/>
        </w:rPr>
      </w:pPr>
      <w:r w:rsidRPr="00662896">
        <w:rPr>
          <w:rFonts w:ascii="Arial" w:hAnsi="Arial" w:cs="Arial"/>
          <w:lang w:val="en-GB"/>
        </w:rPr>
        <w:t>Being responsible for the quality of service of the network, while mobile network operators keep being responsible for the customer service.</w:t>
      </w:r>
    </w:p>
    <w:p w14:paraId="23F22402" w14:textId="77777777" w:rsidR="001F2BE5" w:rsidRPr="00662896" w:rsidRDefault="001F2BE5" w:rsidP="00662896">
      <w:pPr>
        <w:pStyle w:val="ListParagraph"/>
        <w:numPr>
          <w:ilvl w:val="0"/>
          <w:numId w:val="15"/>
        </w:numPr>
        <w:spacing w:after="120"/>
        <w:rPr>
          <w:rFonts w:ascii="Arial" w:hAnsi="Arial" w:cs="Arial"/>
          <w:lang w:val="en-GB"/>
        </w:rPr>
      </w:pPr>
      <w:r w:rsidRPr="00662896">
        <w:rPr>
          <w:rFonts w:ascii="Arial" w:hAnsi="Arial" w:cs="Arial"/>
          <w:lang w:val="en-GB"/>
        </w:rPr>
        <w:t xml:space="preserve">Mobile operators wanting to cover those rural areas must reach an agreement with this rural operator, </w:t>
      </w:r>
      <w:commentRangeStart w:id="13"/>
      <w:r w:rsidRPr="00662896">
        <w:rPr>
          <w:rFonts w:ascii="Arial" w:hAnsi="Arial" w:cs="Arial"/>
          <w:lang w:val="en-GB"/>
        </w:rPr>
        <w:t>creating effectively a single Rural Mobile Infrastructure Operator</w:t>
      </w:r>
      <w:commentRangeEnd w:id="13"/>
      <w:r w:rsidRPr="00E41AB4">
        <w:rPr>
          <w:lang w:val="en-GB"/>
        </w:rPr>
        <w:commentReference w:id="13"/>
      </w:r>
      <w:r w:rsidRPr="00662896">
        <w:rPr>
          <w:rFonts w:ascii="Arial" w:hAnsi="Arial" w:cs="Arial"/>
          <w:lang w:val="en-GB"/>
        </w:rPr>
        <w:t xml:space="preserve"> </w:t>
      </w:r>
    </w:p>
    <w:p w14:paraId="1B5C3001" w14:textId="77777777" w:rsidR="001F2BE5" w:rsidRPr="00E41AB4" w:rsidRDefault="001F2BE5" w:rsidP="00DE3FE9">
      <w:pPr>
        <w:spacing w:after="120"/>
        <w:rPr>
          <w:rFonts w:ascii="Arial" w:hAnsi="Arial" w:cs="Arial"/>
          <w:lang w:val="en-GB"/>
        </w:rPr>
      </w:pPr>
      <w:r w:rsidRPr="6C5DE56D">
        <w:rPr>
          <w:rFonts w:ascii="Arial" w:hAnsi="Arial" w:cs="Arial"/>
          <w:lang w:val="en-GB"/>
        </w:rPr>
        <w:t xml:space="preserve">The regulation in Peru separates clearly responsibilities and obligations between a “mobile wholesale infrastructure operator for rural areas” and the mobile operators that use this rural </w:t>
      </w:r>
      <w:r w:rsidRPr="6C5DE56D">
        <w:rPr>
          <w:rFonts w:ascii="Arial" w:hAnsi="Arial" w:cs="Arial"/>
          <w:lang w:val="en-GB"/>
        </w:rPr>
        <w:lastRenderedPageBreak/>
        <w:t>network. The Mobile Operators need to provide spectrum to the OIMR and obviously also pay the OIMR for the wholesale services received. Still other relevant regulatory modification could ease IpT Peru project regarding the payment and use of Universal Service Funds, and a more flexible approach for mobile network operators on their coverage obligations by considering IpT network coverage for compliance of such obligations.</w:t>
      </w:r>
    </w:p>
    <w:p w14:paraId="64561437" w14:textId="0DF6E215" w:rsidR="6C5DE56D" w:rsidRDefault="6C5DE56D" w:rsidP="6C5DE56D">
      <w:pPr>
        <w:spacing w:after="120"/>
        <w:rPr>
          <w:rFonts w:ascii="Arial" w:hAnsi="Arial" w:cs="Arial"/>
          <w:b/>
          <w:bCs/>
          <w:lang w:val="en-GB"/>
        </w:rPr>
      </w:pPr>
    </w:p>
    <w:p w14:paraId="32E24324" w14:textId="77777777" w:rsidR="001F2BE5" w:rsidRPr="00345E04" w:rsidRDefault="001F2BE5" w:rsidP="00DE3FE9">
      <w:pPr>
        <w:spacing w:after="120"/>
        <w:rPr>
          <w:rFonts w:ascii="Arial" w:hAnsi="Arial" w:cs="Arial"/>
          <w:b/>
          <w:bCs/>
          <w:lang w:val="en-GB"/>
        </w:rPr>
      </w:pPr>
      <w:r w:rsidRPr="00345E04">
        <w:rPr>
          <w:rFonts w:ascii="Arial" w:hAnsi="Arial" w:cs="Arial"/>
          <w:b/>
          <w:bCs/>
          <w:lang w:val="en-GB"/>
        </w:rPr>
        <w:t>Using accurate and meaningful data to measure connectivity gaps</w:t>
      </w:r>
    </w:p>
    <w:p w14:paraId="1E39D70D" w14:textId="77777777" w:rsidR="001F2BE5" w:rsidRPr="00E41AB4" w:rsidRDefault="001F2BE5" w:rsidP="00DE3FE9">
      <w:pPr>
        <w:spacing w:after="120"/>
        <w:rPr>
          <w:rFonts w:ascii="Arial" w:hAnsi="Arial" w:cs="Arial"/>
          <w:lang w:val="en-GB"/>
        </w:rPr>
      </w:pPr>
      <w:r w:rsidRPr="00E41AB4">
        <w:rPr>
          <w:rFonts w:ascii="Arial" w:hAnsi="Arial" w:cs="Arial"/>
          <w:lang w:val="en-GB"/>
        </w:rPr>
        <w:t xml:space="preserve">A key element for expanding connectivity is to have accurate data about actual Internet usage, as this is data that informs decisions about where to target public funds aimed at plugging connectivity gaps, and potentially also to inform private investment decisions. Progress has been made by regulators in the last decade to develop and update broadband maps, but the prevailing wisdom has been to measure coverage. However, it would be more meaningful to measure actual Internet usage, which will be able to better reflect issues like affordability. </w:t>
      </w:r>
    </w:p>
    <w:p w14:paraId="7651BAA0" w14:textId="699DB581" w:rsidR="001F2BE5" w:rsidRPr="00E41AB4" w:rsidRDefault="001F2BE5" w:rsidP="00DE3FE9">
      <w:pPr>
        <w:spacing w:after="120"/>
        <w:rPr>
          <w:rFonts w:ascii="Arial" w:hAnsi="Arial" w:cs="Arial"/>
          <w:lang w:val="en-GB"/>
        </w:rPr>
      </w:pPr>
      <w:r w:rsidRPr="2484D04A">
        <w:rPr>
          <w:rFonts w:ascii="Arial" w:hAnsi="Arial" w:cs="Arial"/>
          <w:lang w:val="en-GB"/>
        </w:rPr>
        <w:t xml:space="preserve">For example, in the U.S., </w:t>
      </w:r>
      <w:hyperlink r:id="rId14">
        <w:r w:rsidRPr="2484D04A">
          <w:rPr>
            <w:rFonts w:ascii="Arial" w:hAnsi="Arial" w:cs="Arial"/>
            <w:lang w:val="en-GB"/>
          </w:rPr>
          <w:t>Microsoft made comparisons</w:t>
        </w:r>
      </w:hyperlink>
      <w:r w:rsidRPr="2484D04A">
        <w:rPr>
          <w:rFonts w:ascii="Arial" w:hAnsi="Arial" w:cs="Arial"/>
          <w:lang w:val="en-GB"/>
        </w:rPr>
        <w:t xml:space="preserve"> between the broadband coverage data of the FCC, the U.S. regulator, and anonymized data that Microsoft collects to assist with the performance and security of its services. </w:t>
      </w:r>
      <w:r w:rsidR="46022C44" w:rsidRPr="2484D04A">
        <w:rPr>
          <w:rFonts w:ascii="Arial" w:hAnsi="Arial" w:cs="Arial"/>
          <w:lang w:val="en-GB"/>
        </w:rPr>
        <w:t>W</w:t>
      </w:r>
      <w:r w:rsidRPr="2484D04A">
        <w:rPr>
          <w:rFonts w:ascii="Arial" w:hAnsi="Arial" w:cs="Arial"/>
          <w:lang w:val="en-GB"/>
        </w:rPr>
        <w:t xml:space="preserve">hereas the coverage data suggested that broadband was not available to almost 25 million Americans, the actual usage data suggested that six times as many do not use the Internet at broadband speeds. </w:t>
      </w:r>
      <w:r w:rsidR="2841860D" w:rsidRPr="2484D04A">
        <w:rPr>
          <w:rFonts w:ascii="Arial" w:hAnsi="Arial" w:cs="Arial"/>
          <w:lang w:val="en-GB"/>
        </w:rPr>
        <w:t>While</w:t>
      </w:r>
      <w:r w:rsidRPr="2484D04A">
        <w:rPr>
          <w:rFonts w:ascii="Arial" w:hAnsi="Arial" w:cs="Arial"/>
          <w:lang w:val="en-GB"/>
        </w:rPr>
        <w:t xml:space="preserve"> </w:t>
      </w:r>
      <w:r w:rsidR="00D96C6F">
        <w:rPr>
          <w:rFonts w:ascii="Arial" w:hAnsi="Arial" w:cs="Arial"/>
          <w:lang w:val="en-GB"/>
        </w:rPr>
        <w:t xml:space="preserve">these </w:t>
      </w:r>
      <w:r w:rsidR="69C1173D" w:rsidRPr="2484D04A">
        <w:rPr>
          <w:rFonts w:ascii="Arial" w:hAnsi="Arial" w:cs="Arial"/>
          <w:lang w:val="en-GB"/>
        </w:rPr>
        <w:t>results</w:t>
      </w:r>
      <w:r w:rsidR="006D12C9">
        <w:rPr>
          <w:rFonts w:ascii="Arial" w:hAnsi="Arial" w:cs="Arial"/>
          <w:lang w:val="en-GB"/>
        </w:rPr>
        <w:t xml:space="preserve"> </w:t>
      </w:r>
      <w:r w:rsidR="00F54866">
        <w:rPr>
          <w:rFonts w:ascii="Arial" w:hAnsi="Arial" w:cs="Arial"/>
          <w:lang w:val="en-GB"/>
        </w:rPr>
        <w:t>should</w:t>
      </w:r>
      <w:r w:rsidR="006E4FB3">
        <w:rPr>
          <w:rFonts w:ascii="Arial" w:hAnsi="Arial" w:cs="Arial"/>
          <w:lang w:val="en-GB"/>
        </w:rPr>
        <w:t xml:space="preserve"> be interpreted with caution</w:t>
      </w:r>
      <w:r w:rsidR="69C1173D" w:rsidRPr="2484D04A">
        <w:rPr>
          <w:rFonts w:ascii="Arial" w:hAnsi="Arial" w:cs="Arial"/>
          <w:lang w:val="en-GB"/>
        </w:rPr>
        <w:t>, new methods of measuring connectivity gaps</w:t>
      </w:r>
      <w:r w:rsidR="00F54866">
        <w:rPr>
          <w:rFonts w:ascii="Arial" w:hAnsi="Arial" w:cs="Arial"/>
          <w:lang w:val="en-GB"/>
        </w:rPr>
        <w:t>, focusing on both access and usage,</w:t>
      </w:r>
      <w:r w:rsidR="69C1173D" w:rsidRPr="2484D04A">
        <w:rPr>
          <w:rFonts w:ascii="Arial" w:hAnsi="Arial" w:cs="Arial"/>
          <w:lang w:val="en-GB"/>
        </w:rPr>
        <w:t xml:space="preserve"> can help paint</w:t>
      </w:r>
      <w:r w:rsidR="6A3A94A3" w:rsidRPr="2484D04A">
        <w:rPr>
          <w:rFonts w:ascii="Arial" w:hAnsi="Arial" w:cs="Arial"/>
          <w:lang w:val="en-GB"/>
        </w:rPr>
        <w:t xml:space="preserve"> a more accurate picture in a given geographical area and help </w:t>
      </w:r>
      <w:r w:rsidR="00571BEB">
        <w:rPr>
          <w:rFonts w:ascii="Arial" w:hAnsi="Arial" w:cs="Arial"/>
          <w:lang w:val="en-GB"/>
        </w:rPr>
        <w:t xml:space="preserve">the </w:t>
      </w:r>
      <w:r w:rsidR="6A3A94A3" w:rsidRPr="2484D04A">
        <w:rPr>
          <w:rFonts w:ascii="Arial" w:hAnsi="Arial" w:cs="Arial"/>
          <w:lang w:val="en-GB"/>
        </w:rPr>
        <w:t>public and private sector take more effective steps to address these gaps.</w:t>
      </w:r>
      <w:r w:rsidR="70EECEAD" w:rsidRPr="2484D04A">
        <w:rPr>
          <w:rFonts w:ascii="Arial" w:hAnsi="Arial" w:cs="Arial"/>
          <w:lang w:val="en-GB"/>
        </w:rPr>
        <w:t xml:space="preserve"> </w:t>
      </w:r>
    </w:p>
    <w:p w14:paraId="46DB4650" w14:textId="23986984" w:rsidR="001F2BE5" w:rsidRPr="00E41AB4" w:rsidRDefault="001F2BE5" w:rsidP="6C5DE56D">
      <w:pPr>
        <w:spacing w:after="120"/>
        <w:rPr>
          <w:rFonts w:ascii="Arial" w:hAnsi="Arial" w:cs="Arial"/>
          <w:lang w:val="en-GB"/>
        </w:rPr>
      </w:pPr>
      <w:r w:rsidRPr="6C5DE56D">
        <w:rPr>
          <w:rFonts w:ascii="Arial" w:hAnsi="Arial" w:cs="Arial"/>
          <w:lang w:val="en-GB"/>
        </w:rPr>
        <w:t xml:space="preserve">In order to enable public bodies and interested stakeholders to target their solutions to have the most impact on closing the digital divide, it is therefore important that regulators measure access using not just availability / coverage data, but also using actual usage and / or subscription data. </w:t>
      </w:r>
    </w:p>
    <w:p w14:paraId="3E0EBE66" w14:textId="77777777" w:rsidR="001F2BE5" w:rsidRPr="00DE425D" w:rsidRDefault="001F2BE5" w:rsidP="00DE425D">
      <w:pPr>
        <w:pStyle w:val="ListParagraph"/>
        <w:numPr>
          <w:ilvl w:val="0"/>
          <w:numId w:val="13"/>
        </w:numPr>
        <w:spacing w:before="240" w:after="240" w:line="276" w:lineRule="auto"/>
        <w:contextualSpacing w:val="0"/>
        <w:rPr>
          <w:rFonts w:ascii="Arial" w:eastAsia="Arial" w:hAnsi="Arial" w:cs="Arial"/>
          <w:b/>
          <w:bCs/>
          <w:lang w:val="en-GB"/>
        </w:rPr>
      </w:pPr>
      <w:r w:rsidRPr="00DE425D">
        <w:rPr>
          <w:rFonts w:ascii="Arial" w:eastAsia="Arial" w:hAnsi="Arial" w:cs="Arial"/>
          <w:b/>
          <w:bCs/>
          <w:lang w:val="en-GB"/>
        </w:rPr>
        <w:t xml:space="preserve">Bridging divides in application </w:t>
      </w:r>
    </w:p>
    <w:p w14:paraId="7E8933A7" w14:textId="4A679143" w:rsidR="001F2BE5" w:rsidRDefault="001F2BE5" w:rsidP="00E41AB4">
      <w:pPr>
        <w:spacing w:after="120"/>
        <w:rPr>
          <w:rFonts w:ascii="Arial" w:hAnsi="Arial" w:cs="Arial"/>
          <w:i/>
          <w:iCs/>
          <w:lang w:val="en-GB"/>
        </w:rPr>
      </w:pPr>
      <w:commentRangeStart w:id="14"/>
      <w:r w:rsidRPr="00EC19C3">
        <w:rPr>
          <w:rFonts w:ascii="Arial" w:hAnsi="Arial" w:cs="Arial"/>
          <w:i/>
          <w:iCs/>
          <w:lang w:val="en-GB"/>
        </w:rPr>
        <w:t>Highlight how innovative regulatory frameworks can help bridge divides in applications of ICT / digital technologies.</w:t>
      </w:r>
      <w:commentRangeEnd w:id="14"/>
      <w:r w:rsidRPr="00EC19C3">
        <w:rPr>
          <w:rFonts w:ascii="Arial" w:hAnsi="Arial" w:cs="Arial"/>
          <w:i/>
          <w:iCs/>
          <w:lang w:val="en-GB"/>
        </w:rPr>
        <w:commentReference w:id="14"/>
      </w:r>
    </w:p>
    <w:p w14:paraId="023C9FCB" w14:textId="552BFDB4" w:rsidR="00EC19C3" w:rsidRPr="00EC19C3" w:rsidRDefault="00EC19C3" w:rsidP="00E41AB4">
      <w:pPr>
        <w:spacing w:after="120"/>
        <w:rPr>
          <w:rFonts w:ascii="Arial" w:hAnsi="Arial" w:cs="Arial"/>
          <w:lang w:val="en-GB"/>
        </w:rPr>
      </w:pPr>
      <w:commentRangeStart w:id="15"/>
      <w:r w:rsidRPr="00EC19C3">
        <w:rPr>
          <w:rFonts w:ascii="Arial" w:hAnsi="Arial" w:cs="Arial"/>
          <w:highlight w:val="yellow"/>
          <w:lang w:val="en-GB"/>
        </w:rPr>
        <w:t>[…]</w:t>
      </w:r>
      <w:commentRangeEnd w:id="15"/>
      <w:r>
        <w:rPr>
          <w:rStyle w:val="CommentReference"/>
        </w:rPr>
        <w:commentReference w:id="15"/>
      </w:r>
    </w:p>
    <w:p w14:paraId="2ECCC633" w14:textId="77777777" w:rsidR="001F2BE5" w:rsidRPr="00DE425D" w:rsidRDefault="001F2BE5" w:rsidP="00DE425D">
      <w:pPr>
        <w:pStyle w:val="ListParagraph"/>
        <w:numPr>
          <w:ilvl w:val="0"/>
          <w:numId w:val="13"/>
        </w:numPr>
        <w:spacing w:before="240" w:after="240" w:line="276" w:lineRule="auto"/>
        <w:contextualSpacing w:val="0"/>
        <w:rPr>
          <w:rFonts w:ascii="Arial" w:eastAsia="Arial" w:hAnsi="Arial" w:cs="Arial"/>
          <w:b/>
          <w:bCs/>
          <w:lang w:val="en-GB"/>
        </w:rPr>
      </w:pPr>
      <w:r w:rsidRPr="00DE425D">
        <w:rPr>
          <w:rFonts w:ascii="Arial" w:eastAsia="Arial" w:hAnsi="Arial" w:cs="Arial"/>
          <w:b/>
          <w:bCs/>
          <w:lang w:val="en-GB"/>
        </w:rPr>
        <w:t>Bridging divides in skills</w:t>
      </w:r>
    </w:p>
    <w:p w14:paraId="232AA457" w14:textId="6432200E" w:rsidR="001F2BE5" w:rsidRDefault="001F2BE5" w:rsidP="00E41AB4">
      <w:pPr>
        <w:spacing w:after="120"/>
        <w:rPr>
          <w:rFonts w:ascii="Arial" w:hAnsi="Arial" w:cs="Arial"/>
          <w:i/>
          <w:iCs/>
          <w:lang w:val="en-GB"/>
        </w:rPr>
      </w:pPr>
      <w:commentRangeStart w:id="16"/>
      <w:r w:rsidRPr="00747EF4">
        <w:rPr>
          <w:rFonts w:ascii="Arial" w:hAnsi="Arial" w:cs="Arial"/>
          <w:i/>
          <w:iCs/>
          <w:lang w:val="en-GB"/>
        </w:rPr>
        <w:t>Highlight how innovative regulatory frameworks can help bridge divides in skills.</w:t>
      </w:r>
      <w:commentRangeEnd w:id="16"/>
      <w:r w:rsidRPr="00747EF4">
        <w:rPr>
          <w:rFonts w:ascii="Arial" w:hAnsi="Arial" w:cs="Arial"/>
          <w:i/>
          <w:iCs/>
          <w:lang w:val="en-GB"/>
        </w:rPr>
        <w:commentReference w:id="16"/>
      </w:r>
    </w:p>
    <w:p w14:paraId="7204AAF9" w14:textId="38201642" w:rsidR="00747EF4" w:rsidRPr="00747EF4" w:rsidRDefault="00747EF4" w:rsidP="00E41AB4">
      <w:pPr>
        <w:spacing w:after="120"/>
        <w:rPr>
          <w:rFonts w:ascii="Arial" w:hAnsi="Arial" w:cs="Arial"/>
          <w:i/>
          <w:iCs/>
          <w:lang w:val="en-GB"/>
        </w:rPr>
      </w:pPr>
      <w:commentRangeStart w:id="17"/>
      <w:r w:rsidRPr="00EC19C3">
        <w:rPr>
          <w:rFonts w:ascii="Arial" w:hAnsi="Arial" w:cs="Arial"/>
          <w:highlight w:val="yellow"/>
          <w:lang w:val="en-GB"/>
        </w:rPr>
        <w:t>[…]</w:t>
      </w:r>
      <w:commentRangeEnd w:id="17"/>
      <w:r>
        <w:rPr>
          <w:rStyle w:val="CommentReference"/>
        </w:rPr>
        <w:commentReference w:id="17"/>
      </w:r>
    </w:p>
    <w:p w14:paraId="3B6D9421" w14:textId="77777777" w:rsidR="001F2BE5" w:rsidRPr="00DE425D" w:rsidRDefault="001F2BE5" w:rsidP="00E41AB4">
      <w:pPr>
        <w:spacing w:after="120"/>
        <w:rPr>
          <w:rFonts w:ascii="Arial" w:hAnsi="Arial" w:cs="Arial"/>
          <w:b/>
          <w:bCs/>
          <w:lang w:val="en-GB"/>
        </w:rPr>
      </w:pPr>
      <w:r w:rsidRPr="00DE425D">
        <w:rPr>
          <w:rFonts w:ascii="Arial" w:hAnsi="Arial" w:cs="Arial"/>
          <w:b/>
          <w:bCs/>
          <w:lang w:val="en-GB"/>
        </w:rPr>
        <w:t>Mapping school connectivity globally</w:t>
      </w:r>
    </w:p>
    <w:p w14:paraId="0C8352B0" w14:textId="77777777" w:rsidR="001F2BE5" w:rsidRPr="00E41AB4" w:rsidRDefault="001F2BE5" w:rsidP="00E41AB4">
      <w:pPr>
        <w:spacing w:after="120"/>
        <w:rPr>
          <w:rFonts w:ascii="Arial" w:hAnsi="Arial" w:cs="Arial"/>
          <w:lang w:val="en-GB"/>
        </w:rPr>
      </w:pPr>
      <w:r w:rsidRPr="00E41AB4">
        <w:rPr>
          <w:rFonts w:ascii="Arial" w:hAnsi="Arial" w:cs="Arial"/>
          <w:lang w:val="en-GB"/>
        </w:rPr>
        <w:t xml:space="preserve">Ericsson is the first Global UNICEF Partner for School Connectivity Mapping. Mapping the internet connectivity landscape for schools and their surrounding communities is a critical underpinning activity of the entire Giga initiative as it serves as a foundational information layer for the project. Before the Giga initiative can connect schools, it needs to understand where the connectivity gaps are. This is where Ericsson’s expertise is vital. Ericsson’s expertise in connectivity and experience with mobile operator data derived from communications infrastructure are the biggest assets the company is bringing to the relationship. Ericsson is providing data science, artificial intelligence and automation </w:t>
      </w:r>
      <w:r w:rsidRPr="00E41AB4">
        <w:rPr>
          <w:rFonts w:ascii="Arial" w:hAnsi="Arial" w:cs="Arial"/>
          <w:lang w:val="en-GB"/>
        </w:rPr>
        <w:lastRenderedPageBreak/>
        <w:t>competencies. To help collect, validate, analyze, visualize and monitor school connectivity data in real time. Giga will assess the data and convene governments and the private sector to design and deploy digital solutions that will ultimately enable learning for children and young people. Additionally, Ericsson is engaging its extensive customer base in the school connectivity mapping project to further advance the mission.</w:t>
      </w:r>
    </w:p>
    <w:p w14:paraId="2507DF10" w14:textId="3FDAF4B4" w:rsidR="001F2BE5" w:rsidRPr="00AF3E15" w:rsidRDefault="00DE425D" w:rsidP="00E41AB4">
      <w:pPr>
        <w:spacing w:after="120"/>
        <w:rPr>
          <w:rFonts w:ascii="Arial" w:hAnsi="Arial" w:cs="Arial"/>
          <w:b/>
          <w:bCs/>
          <w:lang w:val="en-GB"/>
        </w:rPr>
      </w:pPr>
      <w:r w:rsidRPr="00AF3E15">
        <w:rPr>
          <w:rFonts w:ascii="Arial" w:hAnsi="Arial" w:cs="Arial"/>
          <w:b/>
          <w:bCs/>
          <w:lang w:val="en-GB"/>
        </w:rPr>
        <w:t>Conclusion</w:t>
      </w:r>
    </w:p>
    <w:p w14:paraId="3A053A56" w14:textId="4BFA6537" w:rsidR="001F2BE5" w:rsidRPr="00E41AB4" w:rsidRDefault="00747EF4" w:rsidP="00E41AB4">
      <w:pPr>
        <w:spacing w:after="120"/>
        <w:rPr>
          <w:rFonts w:ascii="Arial" w:hAnsi="Arial" w:cs="Arial"/>
          <w:lang w:val="en-GB"/>
        </w:rPr>
      </w:pPr>
      <w:r w:rsidRPr="008E78E9">
        <w:rPr>
          <w:rFonts w:ascii="Arial" w:hAnsi="Arial" w:cs="Arial"/>
          <w:highlight w:val="yellow"/>
          <w:lang w:val="en-GB"/>
        </w:rPr>
        <w:t xml:space="preserve">[to be drafted </w:t>
      </w:r>
      <w:r w:rsidR="008E78E9" w:rsidRPr="008E78E9">
        <w:rPr>
          <w:rFonts w:ascii="Arial" w:hAnsi="Arial" w:cs="Arial"/>
          <w:highlight w:val="yellow"/>
          <w:lang w:val="en-GB"/>
        </w:rPr>
        <w:t>once sections above are concluded</w:t>
      </w:r>
      <w:r w:rsidRPr="008E78E9">
        <w:rPr>
          <w:rFonts w:ascii="Arial" w:hAnsi="Arial" w:cs="Arial"/>
          <w:highlight w:val="yellow"/>
          <w:lang w:val="en-GB"/>
        </w:rPr>
        <w:t>]</w:t>
      </w:r>
    </w:p>
    <w:p w14:paraId="759BC0B1" w14:textId="47DD6A00" w:rsidR="001F2BE5" w:rsidRPr="00AF3E15" w:rsidRDefault="00DE425D" w:rsidP="00DE425D">
      <w:pPr>
        <w:spacing w:after="120"/>
        <w:rPr>
          <w:rFonts w:ascii="Arial" w:hAnsi="Arial" w:cs="Arial"/>
          <w:b/>
          <w:bCs/>
          <w:lang w:val="en-GB"/>
        </w:rPr>
      </w:pPr>
      <w:r w:rsidRPr="00AF3E15">
        <w:rPr>
          <w:rFonts w:ascii="Arial" w:hAnsi="Arial" w:cs="Arial"/>
          <w:b/>
          <w:bCs/>
          <w:lang w:val="en-GB"/>
        </w:rPr>
        <w:t>Recommendation</w:t>
      </w:r>
    </w:p>
    <w:p w14:paraId="1FE21EF6" w14:textId="77777777" w:rsidR="008E78E9" w:rsidRPr="00E41AB4" w:rsidRDefault="008E78E9" w:rsidP="008E78E9">
      <w:pPr>
        <w:spacing w:after="120"/>
        <w:rPr>
          <w:rFonts w:ascii="Arial" w:hAnsi="Arial" w:cs="Arial"/>
          <w:lang w:val="en-GB"/>
        </w:rPr>
      </w:pPr>
      <w:r w:rsidRPr="008E78E9">
        <w:rPr>
          <w:rFonts w:ascii="Arial" w:hAnsi="Arial" w:cs="Arial"/>
          <w:highlight w:val="yellow"/>
          <w:lang w:val="en-GB"/>
        </w:rPr>
        <w:t>[to be drafted once sections above are concluded]</w:t>
      </w:r>
    </w:p>
    <w:p w14:paraId="69E83A81" w14:textId="77777777" w:rsidR="001F2BE5" w:rsidRPr="00822DC0" w:rsidRDefault="001F2BE5" w:rsidP="00DE425D">
      <w:pPr>
        <w:pStyle w:val="Heading1"/>
        <w:spacing w:after="240" w:line="276" w:lineRule="auto"/>
        <w:rPr>
          <w:rFonts w:ascii="Arial" w:eastAsia="Arial" w:hAnsi="Arial" w:cs="Arial"/>
          <w:b/>
          <w:bCs/>
          <w:sz w:val="24"/>
          <w:szCs w:val="24"/>
          <w:lang w:val="en-US"/>
        </w:rPr>
      </w:pPr>
      <w:r w:rsidRPr="00DE425D">
        <w:rPr>
          <w:rFonts w:ascii="Arial" w:eastAsia="Arial" w:hAnsi="Arial" w:cs="Arial"/>
          <w:b/>
          <w:bCs/>
          <w:sz w:val="24"/>
          <w:szCs w:val="24"/>
          <w:lang w:val="en-GB"/>
        </w:rPr>
        <w:t xml:space="preserve">Part 3: Recommendations </w:t>
      </w:r>
    </w:p>
    <w:p w14:paraId="1DE7FEA6" w14:textId="043697E7" w:rsidR="001F2BE5" w:rsidRPr="00AB29B0" w:rsidRDefault="001F2BE5" w:rsidP="001F2BE5">
      <w:pPr>
        <w:spacing w:line="276" w:lineRule="auto"/>
        <w:rPr>
          <w:rFonts w:ascii="Arial" w:hAnsi="Arial"/>
          <w:i/>
          <w:lang w:val="en-US"/>
        </w:rPr>
      </w:pPr>
      <w:commentRangeStart w:id="18"/>
      <w:r w:rsidRPr="00AB29B0">
        <w:rPr>
          <w:rFonts w:ascii="Arial" w:hAnsi="Arial"/>
          <w:i/>
          <w:lang w:val="en-US"/>
        </w:rPr>
        <w:t>Building on the case studies above, this section will set out 3-5 topline actionable recommendations for policy makers. We may want to focus on recommendations that build on ICC’s core strength and focus – e.g., the business communities and highlight how businesses, especially micro, small and medium businesses could and need to play important roles in being part of the solution to the digital divide. Wherever possible, we should reference and leverage the work that have been done or are being done in other organizations (such as the UN Broadband Commission, IEEE, ITU, and IGF) on technology and regulatory innovations.</w:t>
      </w:r>
      <w:commentRangeEnd w:id="18"/>
      <w:r w:rsidRPr="00AB29B0">
        <w:rPr>
          <w:rStyle w:val="CommentReference"/>
        </w:rPr>
        <w:commentReference w:id="18"/>
      </w:r>
    </w:p>
    <w:p w14:paraId="53323295" w14:textId="77777777" w:rsidR="001F2BE5" w:rsidRPr="00EC2716" w:rsidRDefault="001F2BE5" w:rsidP="001F2BE5">
      <w:pPr>
        <w:pStyle w:val="ListParagraph"/>
        <w:numPr>
          <w:ilvl w:val="0"/>
          <w:numId w:val="4"/>
        </w:numPr>
        <w:spacing w:after="0" w:line="276" w:lineRule="auto"/>
        <w:contextualSpacing w:val="0"/>
        <w:rPr>
          <w:rFonts w:ascii="Arial" w:eastAsia="Arial" w:hAnsi="Arial" w:cs="Arial"/>
          <w:lang w:val="en-US"/>
        </w:rPr>
      </w:pPr>
      <w:commentRangeStart w:id="19"/>
      <w:r w:rsidRPr="6C5DE56D">
        <w:rPr>
          <w:rFonts w:ascii="Arial" w:eastAsia="Arial" w:hAnsi="Arial" w:cs="Arial"/>
          <w:lang w:val="en-US"/>
        </w:rPr>
        <w:t xml:space="preserve">Policymaking and regulation should be evidence-based, transparent, inclusive of all interested stakeholders, and aimed at improving the ease and predictability of doing business.  </w:t>
      </w:r>
    </w:p>
    <w:p w14:paraId="5DF222A9" w14:textId="77777777" w:rsidR="001F2BE5" w:rsidRPr="00822DC0" w:rsidRDefault="001F2BE5" w:rsidP="001F2BE5">
      <w:pPr>
        <w:pStyle w:val="ListParagraph"/>
        <w:numPr>
          <w:ilvl w:val="0"/>
          <w:numId w:val="4"/>
        </w:numPr>
        <w:spacing w:after="0" w:line="276" w:lineRule="auto"/>
        <w:contextualSpacing w:val="0"/>
        <w:rPr>
          <w:rFonts w:ascii="Arial" w:eastAsia="Arial" w:hAnsi="Arial" w:cs="Arial"/>
          <w:lang w:val="en-US"/>
        </w:rPr>
      </w:pPr>
      <w:r w:rsidRPr="00822DC0">
        <w:rPr>
          <w:rFonts w:ascii="Arial" w:eastAsia="Arial" w:hAnsi="Arial" w:cs="Arial"/>
          <w:lang w:val="en-US"/>
        </w:rPr>
        <w:t>Policies should foster investment, competition, and innovation in the development and deployment of broadband services and connectivity devices, with the aim of expanding affordable access and end user choice for broadband connectivity.</w:t>
      </w:r>
    </w:p>
    <w:p w14:paraId="2D28A8A7" w14:textId="77777777" w:rsidR="001F2BE5" w:rsidRPr="00822DC0" w:rsidRDefault="001F2BE5" w:rsidP="001F2BE5">
      <w:pPr>
        <w:spacing w:after="0" w:line="276" w:lineRule="auto"/>
        <w:rPr>
          <w:rFonts w:ascii="Arial" w:eastAsia="Arial" w:hAnsi="Arial" w:cs="Arial"/>
          <w:lang w:val="en-US"/>
        </w:rPr>
      </w:pPr>
    </w:p>
    <w:p w14:paraId="0BDAE0CB" w14:textId="77777777" w:rsidR="001F2BE5" w:rsidRPr="00822DC0" w:rsidRDefault="001F2BE5" w:rsidP="001F2BE5">
      <w:pPr>
        <w:pStyle w:val="ListParagraph"/>
        <w:numPr>
          <w:ilvl w:val="0"/>
          <w:numId w:val="4"/>
        </w:numPr>
        <w:spacing w:after="0" w:line="276" w:lineRule="auto"/>
        <w:contextualSpacing w:val="0"/>
        <w:rPr>
          <w:rFonts w:ascii="Arial" w:eastAsia="Arial" w:hAnsi="Arial" w:cs="Arial"/>
          <w:lang w:val="en-US"/>
        </w:rPr>
      </w:pPr>
      <w:r w:rsidRPr="00822DC0">
        <w:rPr>
          <w:rFonts w:ascii="Arial" w:eastAsia="Arial" w:hAnsi="Arial" w:cs="Arial"/>
          <w:lang w:val="en-US"/>
        </w:rPr>
        <w:t>Policies should be non-discriminatory, technology neutral, and supportive of innovative business models and the development and deployment of a wide range of technologies, standards, and system architectures.</w:t>
      </w:r>
    </w:p>
    <w:p w14:paraId="66EE8238" w14:textId="77777777" w:rsidR="001F2BE5" w:rsidRPr="00822DC0" w:rsidRDefault="001F2BE5" w:rsidP="001F2BE5">
      <w:pPr>
        <w:spacing w:after="0" w:line="276" w:lineRule="auto"/>
        <w:rPr>
          <w:rFonts w:ascii="Arial" w:eastAsia="Arial" w:hAnsi="Arial" w:cs="Arial"/>
          <w:lang w:val="en-US"/>
        </w:rPr>
      </w:pPr>
    </w:p>
    <w:p w14:paraId="67067A34" w14:textId="77777777" w:rsidR="001F2BE5" w:rsidRPr="00822DC0" w:rsidRDefault="001F2BE5" w:rsidP="001F2BE5">
      <w:pPr>
        <w:pStyle w:val="ListParagraph"/>
        <w:numPr>
          <w:ilvl w:val="0"/>
          <w:numId w:val="4"/>
        </w:numPr>
        <w:spacing w:after="0" w:line="276" w:lineRule="auto"/>
        <w:contextualSpacing w:val="0"/>
        <w:rPr>
          <w:rFonts w:ascii="Arial" w:eastAsia="Arial" w:hAnsi="Arial" w:cs="Arial"/>
          <w:lang w:val="en-US"/>
        </w:rPr>
      </w:pPr>
      <w:r w:rsidRPr="00822DC0">
        <w:rPr>
          <w:rFonts w:ascii="Arial" w:eastAsia="Arial" w:hAnsi="Arial" w:cs="Arial"/>
          <w:lang w:val="en-US"/>
        </w:rPr>
        <w:t>Allocation and licensing of spectrum should be transparent, fair,</w:t>
      </w:r>
      <w:r>
        <w:rPr>
          <w:rFonts w:ascii="Arial" w:eastAsia="Arial" w:hAnsi="Arial" w:cs="Arial"/>
          <w:lang w:val="en-US"/>
        </w:rPr>
        <w:t xml:space="preserve"> economically efficient,</w:t>
      </w:r>
      <w:r w:rsidRPr="00822DC0">
        <w:rPr>
          <w:rFonts w:ascii="Arial" w:eastAsia="Arial" w:hAnsi="Arial" w:cs="Arial"/>
          <w:lang w:val="en-US"/>
        </w:rPr>
        <w:t xml:space="preserve"> technology-neutral, and aimed at ensuring that sufficient broadband-capable spectrum is made available.  Governments should facilitate unlicensed, shared, and secondary use of spectrum, encourage investment and competition, and incentivize operators to use spectrum efficiently.</w:t>
      </w:r>
    </w:p>
    <w:p w14:paraId="7E8B1140" w14:textId="77777777" w:rsidR="001F2BE5" w:rsidRPr="00822DC0" w:rsidRDefault="001F2BE5" w:rsidP="001F2BE5">
      <w:pPr>
        <w:spacing w:after="0" w:line="276" w:lineRule="auto"/>
        <w:rPr>
          <w:rFonts w:ascii="Arial" w:eastAsia="Arial" w:hAnsi="Arial" w:cs="Arial"/>
          <w:lang w:val="en-US"/>
        </w:rPr>
      </w:pPr>
    </w:p>
    <w:p w14:paraId="3821C7D3" w14:textId="77777777" w:rsidR="001F2BE5" w:rsidRPr="00822DC0" w:rsidRDefault="001F2BE5" w:rsidP="001F2BE5">
      <w:pPr>
        <w:pStyle w:val="ListParagraph"/>
        <w:numPr>
          <w:ilvl w:val="0"/>
          <w:numId w:val="4"/>
        </w:numPr>
        <w:spacing w:after="0" w:line="276" w:lineRule="auto"/>
        <w:contextualSpacing w:val="0"/>
        <w:rPr>
          <w:rFonts w:ascii="Arial" w:eastAsia="Arial" w:hAnsi="Arial" w:cs="Arial"/>
          <w:lang w:val="en-US"/>
        </w:rPr>
      </w:pPr>
      <w:r w:rsidRPr="6C5DE56D">
        <w:rPr>
          <w:rFonts w:ascii="Arial" w:eastAsia="Arial" w:hAnsi="Arial" w:cs="Arial"/>
          <w:lang w:val="en-US"/>
        </w:rPr>
        <w:t>Governments should stimulate end user demand for broadband services by promoting digital literacy and skills development, and by making government and civic services available online.</w:t>
      </w:r>
      <w:commentRangeEnd w:id="19"/>
      <w:r>
        <w:rPr>
          <w:rStyle w:val="CommentReference"/>
        </w:rPr>
        <w:commentReference w:id="19"/>
      </w:r>
    </w:p>
    <w:p w14:paraId="02FBC1FF" w14:textId="77777777" w:rsidR="001F2BE5" w:rsidRPr="00822DC0" w:rsidRDefault="001F2BE5" w:rsidP="001F2BE5">
      <w:pPr>
        <w:spacing w:after="0" w:line="276" w:lineRule="auto"/>
        <w:rPr>
          <w:rFonts w:ascii="Arial" w:eastAsia="Arial" w:hAnsi="Arial" w:cs="Arial"/>
          <w:lang w:val="en-US"/>
        </w:rPr>
      </w:pPr>
    </w:p>
    <w:p w14:paraId="0F4E0D09" w14:textId="77777777" w:rsidR="001F2BE5" w:rsidRPr="00822DC0" w:rsidRDefault="001F2BE5" w:rsidP="001F2BE5">
      <w:pPr>
        <w:pStyle w:val="Heading1"/>
        <w:spacing w:line="276" w:lineRule="auto"/>
        <w:rPr>
          <w:rFonts w:ascii="Arial" w:eastAsia="Arial" w:hAnsi="Arial" w:cs="Arial"/>
          <w:b/>
          <w:bCs/>
          <w:sz w:val="24"/>
          <w:szCs w:val="24"/>
          <w:lang w:val="en-US"/>
        </w:rPr>
      </w:pPr>
      <w:r w:rsidRPr="00822DC0">
        <w:rPr>
          <w:rFonts w:ascii="Arial" w:eastAsia="Arial" w:hAnsi="Arial" w:cs="Arial"/>
          <w:b/>
          <w:bCs/>
          <w:sz w:val="24"/>
          <w:szCs w:val="24"/>
          <w:lang w:val="en-US"/>
        </w:rPr>
        <w:t>ANNEX: Relevant existing ICC work and positions</w:t>
      </w:r>
    </w:p>
    <w:p w14:paraId="4056CAFE" w14:textId="77777777" w:rsidR="001F2BE5" w:rsidRPr="00281B33" w:rsidRDefault="001F2BE5" w:rsidP="001F2BE5">
      <w:pPr>
        <w:pStyle w:val="ListParagraph"/>
        <w:numPr>
          <w:ilvl w:val="0"/>
          <w:numId w:val="5"/>
        </w:numPr>
        <w:spacing w:after="0" w:line="276" w:lineRule="auto"/>
        <w:contextualSpacing w:val="0"/>
        <w:rPr>
          <w:rFonts w:ascii="Arial" w:eastAsia="Arial" w:hAnsi="Arial" w:cs="Arial"/>
          <w:lang w:val="en-GB"/>
        </w:rPr>
      </w:pPr>
      <w:r w:rsidRPr="00822DC0">
        <w:rPr>
          <w:rFonts w:ascii="Arial" w:eastAsia="Arial" w:hAnsi="Arial" w:cs="Arial"/>
          <w:lang w:val="en-GB"/>
        </w:rPr>
        <w:t xml:space="preserve">ICC Policy Statement on ICT, Policy and Sustainable Development (2017) - </w:t>
      </w:r>
      <w:hyperlink r:id="rId15">
        <w:r w:rsidRPr="00116460">
          <w:rPr>
            <w:rStyle w:val="Hyperlink"/>
            <w:rFonts w:ascii="Arial" w:eastAsia="Arial" w:hAnsi="Arial" w:cs="Arial"/>
            <w:lang w:val="en-GB"/>
          </w:rPr>
          <w:t>link</w:t>
        </w:r>
      </w:hyperlink>
    </w:p>
    <w:p w14:paraId="5CB65002" w14:textId="77777777" w:rsidR="001F2BE5" w:rsidRPr="00281B33" w:rsidRDefault="001F2BE5" w:rsidP="001F2BE5">
      <w:pPr>
        <w:pStyle w:val="ListParagraph"/>
        <w:numPr>
          <w:ilvl w:val="0"/>
          <w:numId w:val="5"/>
        </w:numPr>
        <w:spacing w:after="0" w:line="276" w:lineRule="auto"/>
        <w:contextualSpacing w:val="0"/>
        <w:rPr>
          <w:rFonts w:ascii="Arial" w:eastAsia="Arial" w:hAnsi="Arial" w:cs="Arial"/>
          <w:lang w:val="en-GB"/>
        </w:rPr>
      </w:pPr>
      <w:r w:rsidRPr="00281B33">
        <w:rPr>
          <w:rFonts w:ascii="Arial" w:eastAsia="Arial" w:hAnsi="Arial" w:cs="Arial"/>
          <w:lang w:val="en-GB"/>
        </w:rPr>
        <w:t xml:space="preserve">Regulatory Modernization in the Digital Economy: Developing and Enabling Policy Environment for Innovation, Competition and Growth (2016) – </w:t>
      </w:r>
      <w:hyperlink r:id="rId16">
        <w:r w:rsidRPr="00116460">
          <w:rPr>
            <w:rStyle w:val="Hyperlink"/>
            <w:rFonts w:ascii="Arial" w:eastAsia="Arial" w:hAnsi="Arial" w:cs="Arial"/>
            <w:lang w:val="en-GB"/>
          </w:rPr>
          <w:t>link</w:t>
        </w:r>
      </w:hyperlink>
    </w:p>
    <w:p w14:paraId="59283F7B" w14:textId="77777777" w:rsidR="001F2BE5" w:rsidRPr="00281B33" w:rsidRDefault="001F2BE5" w:rsidP="001F2BE5">
      <w:pPr>
        <w:pStyle w:val="ListParagraph"/>
        <w:numPr>
          <w:ilvl w:val="0"/>
          <w:numId w:val="5"/>
        </w:numPr>
        <w:spacing w:after="0" w:line="276" w:lineRule="auto"/>
        <w:contextualSpacing w:val="0"/>
        <w:rPr>
          <w:rFonts w:ascii="Arial" w:eastAsia="Arial" w:hAnsi="Arial" w:cs="Arial"/>
          <w:lang w:val="en-GB"/>
        </w:rPr>
      </w:pPr>
      <w:r w:rsidRPr="00281B33">
        <w:rPr>
          <w:rFonts w:ascii="Arial" w:eastAsia="Arial" w:hAnsi="Arial" w:cs="Arial"/>
          <w:lang w:val="en-GB"/>
        </w:rPr>
        <w:lastRenderedPageBreak/>
        <w:t xml:space="preserve">ICC Discussion Paper on ICTs and Environmental Sustainability (2010) – </w:t>
      </w:r>
      <w:hyperlink r:id="rId17">
        <w:r w:rsidRPr="00116460">
          <w:rPr>
            <w:rStyle w:val="Hyperlink"/>
            <w:rFonts w:ascii="Arial" w:eastAsia="Arial" w:hAnsi="Arial" w:cs="Arial"/>
            <w:lang w:val="en-GB"/>
          </w:rPr>
          <w:t>link</w:t>
        </w:r>
      </w:hyperlink>
    </w:p>
    <w:p w14:paraId="403CA639" w14:textId="77777777" w:rsidR="00515A12" w:rsidRPr="00854C04" w:rsidRDefault="00515A12" w:rsidP="00BC3D93">
      <w:pPr>
        <w:spacing w:line="276" w:lineRule="auto"/>
        <w:rPr>
          <w:rFonts w:ascii="Arial" w:eastAsia="Arial" w:hAnsi="Arial" w:cs="Arial"/>
          <w:lang w:val="en-GB"/>
        </w:rPr>
      </w:pPr>
    </w:p>
    <w:p w14:paraId="1883D763" w14:textId="6779390A" w:rsidR="00EA0D39" w:rsidRPr="00854C04" w:rsidRDefault="00EA0D39" w:rsidP="00BC3D93">
      <w:pPr>
        <w:spacing w:line="276" w:lineRule="auto"/>
        <w:rPr>
          <w:rFonts w:ascii="Arial" w:eastAsia="Arial" w:hAnsi="Arial" w:cs="Arial"/>
          <w:lang w:val="en-GB"/>
        </w:rPr>
      </w:pPr>
    </w:p>
    <w:p w14:paraId="308E16DD" w14:textId="77777777" w:rsidR="00F52F96" w:rsidRPr="00854C04" w:rsidRDefault="00F52F96" w:rsidP="00BC3D93">
      <w:pPr>
        <w:spacing w:line="276" w:lineRule="auto"/>
        <w:rPr>
          <w:rFonts w:ascii="Arial" w:eastAsia="Arial" w:hAnsi="Arial" w:cs="Arial"/>
          <w:lang w:val="en-GB"/>
        </w:rPr>
      </w:pPr>
    </w:p>
    <w:sectPr w:rsidR="00F52F96" w:rsidRPr="00854C04">
      <w:pgSz w:w="11906" w:h="16838"/>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UTO Timea" w:date="2021-09-24T13:01:00Z" w:initials="ST">
    <w:p w14:paraId="050C2D3E" w14:textId="15BB63A6" w:rsidR="0089217C" w:rsidRPr="00F13770" w:rsidRDefault="0089217C">
      <w:pPr>
        <w:pStyle w:val="CommentText"/>
        <w:rPr>
          <w:lang w:val="en-GB"/>
        </w:rPr>
      </w:pPr>
      <w:r>
        <w:rPr>
          <w:rStyle w:val="CommentReference"/>
        </w:rPr>
        <w:annotationRef/>
      </w:r>
      <w:r w:rsidRPr="00F13770">
        <w:rPr>
          <w:lang w:val="en-GB"/>
        </w:rPr>
        <w:t>Guidance</w:t>
      </w:r>
    </w:p>
  </w:comment>
  <w:comment w:id="1" w:author="SUTO Timea" w:date="2021-09-24T13:02:00Z" w:initials="ST">
    <w:p w14:paraId="7BAE35D7" w14:textId="5F637B1F" w:rsidR="00A02C92" w:rsidRPr="00F13770" w:rsidRDefault="00A02C92">
      <w:pPr>
        <w:pStyle w:val="CommentText"/>
        <w:rPr>
          <w:lang w:val="en-GB"/>
        </w:rPr>
      </w:pPr>
      <w:r w:rsidRPr="00F631CC">
        <w:rPr>
          <w:rStyle w:val="CommentReference"/>
          <w:highlight w:val="yellow"/>
        </w:rPr>
        <w:annotationRef/>
      </w:r>
      <w:r w:rsidRPr="00F13770">
        <w:rPr>
          <w:highlight w:val="yellow"/>
          <w:lang w:val="en-GB"/>
        </w:rPr>
        <w:t xml:space="preserve">FOR ACTION  TO MEMBERS: </w:t>
      </w:r>
      <w:r w:rsidR="00F631CC" w:rsidRPr="00F13770">
        <w:rPr>
          <w:highlight w:val="yellow"/>
          <w:lang w:val="en-GB"/>
        </w:rPr>
        <w:t>expand this section</w:t>
      </w:r>
    </w:p>
  </w:comment>
  <w:comment w:id="2" w:author="SUTO Timea" w:date="2021-09-24T12:55:00Z" w:initials="ST">
    <w:p w14:paraId="6C3AA3FE" w14:textId="5CEADAD8" w:rsidR="00D43CE5" w:rsidRPr="00F13770" w:rsidRDefault="00D43CE5">
      <w:pPr>
        <w:pStyle w:val="CommentText"/>
        <w:rPr>
          <w:lang w:val="en-GB"/>
        </w:rPr>
      </w:pPr>
      <w:r>
        <w:rPr>
          <w:rStyle w:val="CommentReference"/>
        </w:rPr>
        <w:annotationRef/>
      </w:r>
      <w:r w:rsidRPr="00D43CE5">
        <w:rPr>
          <w:rStyle w:val="CommentReference"/>
          <w:highlight w:val="yellow"/>
        </w:rPr>
        <w:annotationRef/>
      </w:r>
      <w:r w:rsidRPr="00F13770">
        <w:rPr>
          <w:highlight w:val="yellow"/>
          <w:lang w:val="en-GB"/>
        </w:rPr>
        <w:t>FOR ACTION TO MEMBERS : review and expand this paragraph</w:t>
      </w:r>
    </w:p>
  </w:comment>
  <w:comment w:id="3" w:author="SUTO Timea" w:date="2021-09-24T12:54:00Z" w:initials="ST">
    <w:p w14:paraId="51DE02C4" w14:textId="677559F5" w:rsidR="00181AAC" w:rsidRPr="00F13770" w:rsidRDefault="00181AAC">
      <w:pPr>
        <w:pStyle w:val="CommentText"/>
        <w:rPr>
          <w:lang w:val="en-GB"/>
        </w:rPr>
      </w:pPr>
      <w:r w:rsidRPr="00D43CE5">
        <w:rPr>
          <w:rStyle w:val="CommentReference"/>
          <w:highlight w:val="yellow"/>
        </w:rPr>
        <w:annotationRef/>
      </w:r>
      <w:r w:rsidRPr="00F13770">
        <w:rPr>
          <w:highlight w:val="yellow"/>
          <w:lang w:val="en-GB"/>
        </w:rPr>
        <w:t xml:space="preserve">FOR ACTION TO MEMBERS : </w:t>
      </w:r>
      <w:r w:rsidR="00D43CE5" w:rsidRPr="00F13770">
        <w:rPr>
          <w:highlight w:val="yellow"/>
          <w:lang w:val="en-GB"/>
        </w:rPr>
        <w:t>review and expand this paragraph</w:t>
      </w:r>
    </w:p>
  </w:comment>
  <w:comment w:id="4" w:author="SUTO Timea" w:date="2021-09-24T12:54:00Z" w:initials="ST">
    <w:p w14:paraId="6392605F" w14:textId="5A24D3CB" w:rsidR="00181AAC" w:rsidRPr="00F13770" w:rsidRDefault="00181AAC">
      <w:pPr>
        <w:pStyle w:val="CommentText"/>
        <w:rPr>
          <w:lang w:val="en-GB"/>
        </w:rPr>
      </w:pPr>
      <w:r>
        <w:rPr>
          <w:rStyle w:val="CommentReference"/>
        </w:rPr>
        <w:annotationRef/>
      </w:r>
      <w:r w:rsidRPr="001E730D">
        <w:rPr>
          <w:rFonts w:ascii="Arial" w:eastAsia="Arial" w:hAnsi="Arial" w:cs="Arial"/>
          <w:highlight w:val="yellow"/>
          <w:lang w:val="en-GB"/>
        </w:rPr>
        <w:t>[</w:t>
      </w:r>
      <w:r>
        <w:rPr>
          <w:rFonts w:ascii="Arial" w:eastAsia="Arial" w:hAnsi="Arial" w:cs="Arial"/>
          <w:highlight w:val="yellow"/>
          <w:lang w:val="en-GB"/>
        </w:rPr>
        <w:t xml:space="preserve">FOR ACTION: share background information on </w:t>
      </w:r>
      <w:r w:rsidRPr="001E730D">
        <w:rPr>
          <w:rFonts w:ascii="Arial" w:eastAsia="Arial" w:hAnsi="Arial" w:cs="Arial"/>
          <w:highlight w:val="yellow"/>
          <w:lang w:val="en-GB"/>
        </w:rPr>
        <w:t>who is Escobar]</w:t>
      </w:r>
    </w:p>
  </w:comment>
  <w:comment w:id="5" w:author="SUTO Timea" w:date="2021-09-24T13:05:00Z" w:initials="ST">
    <w:p w14:paraId="7706958D" w14:textId="70FFBD8D" w:rsidR="00537B58" w:rsidRPr="00F13770" w:rsidRDefault="00537B58" w:rsidP="00537B58">
      <w:pPr>
        <w:spacing w:line="276" w:lineRule="auto"/>
        <w:rPr>
          <w:lang w:val="en-GB"/>
        </w:rPr>
      </w:pPr>
      <w:r>
        <w:rPr>
          <w:rStyle w:val="CommentReference"/>
        </w:rPr>
        <w:annotationRef/>
      </w:r>
      <w:r w:rsidRPr="00181AAC">
        <w:rPr>
          <w:rFonts w:ascii="Arial" w:eastAsia="Arial" w:hAnsi="Arial" w:cs="Arial"/>
          <w:highlight w:val="yellow"/>
          <w:lang w:val="en-GB"/>
        </w:rPr>
        <w:t>FOR ACTION</w:t>
      </w:r>
      <w:r>
        <w:rPr>
          <w:rFonts w:ascii="Arial" w:eastAsia="Arial" w:hAnsi="Arial" w:cs="Arial"/>
          <w:highlight w:val="yellow"/>
          <w:lang w:val="en-GB"/>
        </w:rPr>
        <w:t xml:space="preserve"> TO MEMBERS</w:t>
      </w:r>
      <w:r w:rsidRPr="00181AAC">
        <w:rPr>
          <w:rFonts w:ascii="Arial" w:eastAsia="Arial" w:hAnsi="Arial" w:cs="Arial"/>
          <w:highlight w:val="yellow"/>
          <w:lang w:val="en-GB"/>
        </w:rPr>
        <w:t>: add general learnings from IpT Peru case</w:t>
      </w:r>
    </w:p>
  </w:comment>
  <w:comment w:id="6" w:author="GORDON Charly" w:date="2021-09-24T17:16:00Z" w:initials="GC">
    <w:p w14:paraId="478B034E" w14:textId="7B2D48FC" w:rsidR="00CF037F" w:rsidRPr="003176AF" w:rsidRDefault="00CF037F">
      <w:pPr>
        <w:pStyle w:val="CommentText"/>
        <w:rPr>
          <w:lang w:val="en-GB"/>
        </w:rPr>
      </w:pPr>
      <w:r>
        <w:rPr>
          <w:rStyle w:val="CommentReference"/>
        </w:rPr>
        <w:annotationRef/>
      </w:r>
      <w:r w:rsidR="003176AF" w:rsidRPr="003176AF">
        <w:rPr>
          <w:rFonts w:ascii="Arial" w:eastAsia="Arial" w:hAnsi="Arial" w:cs="Arial"/>
          <w:highlight w:val="yellow"/>
          <w:lang w:val="en-GB"/>
        </w:rPr>
        <w:t xml:space="preserve">FOR ACTION TO MEMBERS: </w:t>
      </w:r>
      <w:r w:rsidR="003176AF" w:rsidRPr="003176AF">
        <w:rPr>
          <w:rFonts w:ascii="Arial" w:eastAsia="Arial" w:hAnsi="Arial" w:cs="Arial"/>
          <w:highlight w:val="yellow"/>
          <w:lang w:val="en-GB"/>
        </w:rPr>
        <w:t xml:space="preserve">review </w:t>
      </w:r>
    </w:p>
  </w:comment>
  <w:comment w:id="7" w:author="SUTO Timea" w:date="2021-09-24T13:09:00Z" w:initials="ST">
    <w:p w14:paraId="4E2CE5A2" w14:textId="7FFD5415" w:rsidR="00B31237" w:rsidRPr="00F13770" w:rsidRDefault="00B31237">
      <w:pPr>
        <w:pStyle w:val="CommentText"/>
        <w:rPr>
          <w:lang w:val="en-GB"/>
        </w:rPr>
      </w:pPr>
      <w:r w:rsidRPr="008D1B95">
        <w:rPr>
          <w:rStyle w:val="CommentReference"/>
          <w:highlight w:val="yellow"/>
        </w:rPr>
        <w:annotationRef/>
      </w:r>
      <w:r w:rsidRPr="00F13770">
        <w:rPr>
          <w:highlight w:val="yellow"/>
          <w:lang w:val="en-GB"/>
        </w:rPr>
        <w:t xml:space="preserve">FOR ACTION TO MEMBERS: </w:t>
      </w:r>
      <w:r w:rsidR="008D1B95" w:rsidRPr="00F13770">
        <w:rPr>
          <w:highlight w:val="yellow"/>
          <w:lang w:val="en-GB"/>
        </w:rPr>
        <w:t>Include further details on coverage numbers</w:t>
      </w:r>
    </w:p>
  </w:comment>
  <w:comment w:id="8" w:author="SUTO Timea" w:date="2021-09-24T13:11:00Z" w:initials="ST">
    <w:p w14:paraId="79D120E6" w14:textId="18F8CBED" w:rsidR="008D1B95" w:rsidRPr="00EB77F7" w:rsidRDefault="008D1B95" w:rsidP="00EB77F7">
      <w:pPr>
        <w:spacing w:after="0"/>
        <w:rPr>
          <w:rFonts w:ascii="Arial" w:hAnsi="Arial"/>
          <w:color w:val="2F2F2F"/>
          <w:lang w:val="en-GB"/>
        </w:rPr>
      </w:pPr>
      <w:r>
        <w:rPr>
          <w:rStyle w:val="CommentReference"/>
        </w:rPr>
        <w:annotationRef/>
      </w:r>
      <w:r>
        <w:rPr>
          <w:rFonts w:ascii="Arial" w:hAnsi="Arial"/>
          <w:color w:val="2F2F2F"/>
          <w:highlight w:val="yellow"/>
          <w:lang w:val="en-GB"/>
        </w:rPr>
        <w:t>FOR ACTION TO MEMBERS: further</w:t>
      </w:r>
      <w:r w:rsidRPr="00FB0D72">
        <w:rPr>
          <w:rFonts w:ascii="Arial" w:hAnsi="Arial"/>
          <w:color w:val="2F2F2F"/>
          <w:highlight w:val="yellow"/>
          <w:lang w:val="en-GB"/>
        </w:rPr>
        <w:t xml:space="preserve"> expand</w:t>
      </w:r>
      <w:r>
        <w:rPr>
          <w:rFonts w:ascii="Arial" w:hAnsi="Arial"/>
          <w:color w:val="2F2F2F"/>
          <w:highlight w:val="yellow"/>
          <w:lang w:val="en-GB"/>
        </w:rPr>
        <w:t xml:space="preserve"> this section</w:t>
      </w:r>
      <w:r w:rsidRPr="00FB0D72">
        <w:rPr>
          <w:rFonts w:ascii="Arial" w:hAnsi="Arial"/>
          <w:color w:val="2F2F2F"/>
          <w:highlight w:val="yellow"/>
          <w:lang w:val="en-GB"/>
        </w:rPr>
        <w:t xml:space="preserve"> to share the details of the technology used and its reach / impact</w:t>
      </w:r>
    </w:p>
  </w:comment>
  <w:comment w:id="9" w:author="GORDON Charly" w:date="2021-09-24T17:18:00Z" w:initials="GC">
    <w:p w14:paraId="79A2AF8C" w14:textId="1A059384" w:rsidR="00AB2F5C" w:rsidRDefault="00AB2F5C">
      <w:pPr>
        <w:pStyle w:val="CommentText"/>
      </w:pPr>
      <w:r>
        <w:rPr>
          <w:rStyle w:val="CommentReference"/>
        </w:rPr>
        <w:annotationRef/>
      </w:r>
      <w:r w:rsidRPr="003176AF">
        <w:rPr>
          <w:rFonts w:ascii="Arial" w:eastAsia="Arial" w:hAnsi="Arial" w:cs="Arial"/>
          <w:highlight w:val="yellow"/>
          <w:lang w:val="en-GB"/>
        </w:rPr>
        <w:t>FOR ACTION TO MEMBERS: review</w:t>
      </w:r>
    </w:p>
  </w:comment>
  <w:comment w:id="10" w:author="SUTO Timea" w:date="2021-09-24T13:16:00Z" w:initials="ST">
    <w:p w14:paraId="07C98C47" w14:textId="77777777" w:rsidR="007F2EDE" w:rsidRPr="00F13770" w:rsidRDefault="007F2EDE">
      <w:pPr>
        <w:pStyle w:val="CommentText"/>
        <w:rPr>
          <w:lang w:val="en-GB"/>
        </w:rPr>
      </w:pPr>
      <w:r>
        <w:rPr>
          <w:rStyle w:val="CommentReference"/>
        </w:rPr>
        <w:annotationRef/>
      </w:r>
      <w:r w:rsidRPr="00F13770">
        <w:rPr>
          <w:lang w:val="en-GB"/>
        </w:rPr>
        <w:t xml:space="preserve">FOR ACTION TO MEMBERS : expand this section </w:t>
      </w:r>
      <w:r w:rsidR="00D65DD2" w:rsidRPr="00F13770">
        <w:rPr>
          <w:lang w:val="en-GB"/>
        </w:rPr>
        <w:t>following the model in sections 2.1 and 2.3</w:t>
      </w:r>
    </w:p>
    <w:p w14:paraId="45BDBF42" w14:textId="77777777" w:rsidR="00D65DD2" w:rsidRPr="00F13770" w:rsidRDefault="00D65DD2">
      <w:pPr>
        <w:pStyle w:val="CommentText"/>
        <w:rPr>
          <w:lang w:val="en-GB"/>
        </w:rPr>
      </w:pPr>
    </w:p>
    <w:p w14:paraId="3D4F295E" w14:textId="2AC88B9E" w:rsidR="00D65DD2" w:rsidRPr="00F13770" w:rsidRDefault="00D65DD2">
      <w:pPr>
        <w:pStyle w:val="CommentText"/>
        <w:rPr>
          <w:lang w:val="en-GB"/>
        </w:rPr>
      </w:pPr>
      <w:r>
        <w:rPr>
          <w:lang w:val="en-US"/>
        </w:rPr>
        <w:t>Suggest including quotes from governments/regulators who have actually implemented these innovative regulatory frameworks. These could be taken from their statements when they introduced the regulation or any statements made about the success of their new policy / regulation.</w:t>
      </w:r>
    </w:p>
  </w:comment>
  <w:comment w:id="11" w:author="GORDON Charly" w:date="2021-06-25T10:03:00Z" w:initials="GC">
    <w:p w14:paraId="5F814EFC" w14:textId="77777777" w:rsidR="001F2BE5" w:rsidRPr="00F13770" w:rsidRDefault="001F2BE5" w:rsidP="001F2BE5">
      <w:pPr>
        <w:pStyle w:val="CommentText"/>
        <w:rPr>
          <w:lang w:val="en-GB"/>
        </w:rPr>
      </w:pPr>
      <w:r w:rsidRPr="00F13770">
        <w:rPr>
          <w:lang w:val="en-GB"/>
        </w:rPr>
        <w:t>Guidance</w:t>
      </w:r>
      <w:r>
        <w:rPr>
          <w:rStyle w:val="CommentReference"/>
        </w:rPr>
        <w:annotationRef/>
      </w:r>
    </w:p>
  </w:comment>
  <w:comment w:id="12" w:author="SUTO Timea" w:date="2021-09-13T17:42:00Z" w:initials="ST">
    <w:p w14:paraId="7EC00F1B" w14:textId="3302853E" w:rsidR="001F2BE5" w:rsidRPr="00F13770" w:rsidRDefault="001F2BE5" w:rsidP="001F2BE5">
      <w:pPr>
        <w:pStyle w:val="CommentText"/>
        <w:rPr>
          <w:lang w:val="en-GB"/>
        </w:rPr>
      </w:pPr>
      <w:r w:rsidRPr="008D1335">
        <w:rPr>
          <w:rStyle w:val="CommentReference"/>
          <w:highlight w:val="yellow"/>
        </w:rPr>
        <w:annotationRef/>
      </w:r>
      <w:r w:rsidR="008D1335" w:rsidRPr="00F13770">
        <w:rPr>
          <w:highlight w:val="yellow"/>
          <w:lang w:val="en-GB"/>
        </w:rPr>
        <w:t xml:space="preserve">FOR ACTION TO MEMBERS : </w:t>
      </w:r>
      <w:r w:rsidRPr="00F13770">
        <w:rPr>
          <w:highlight w:val="yellow"/>
          <w:lang w:val="en-GB"/>
        </w:rPr>
        <w:t>review this recommendations and advise on its inclusion in this paper</w:t>
      </w:r>
    </w:p>
  </w:comment>
  <w:comment w:id="13" w:author="CLARKE, RICHARD N" w:date="2021-08-13T13:24:00Z" w:initials="CRN">
    <w:p w14:paraId="29107ECA" w14:textId="77777777" w:rsidR="001F2BE5" w:rsidRPr="00F13770" w:rsidRDefault="001F2BE5" w:rsidP="001F2BE5">
      <w:pPr>
        <w:pStyle w:val="CommentText"/>
        <w:rPr>
          <w:lang w:val="en-GB"/>
        </w:rPr>
      </w:pPr>
      <w:r>
        <w:rPr>
          <w:rStyle w:val="CommentReference"/>
        </w:rPr>
        <w:annotationRef/>
      </w:r>
      <w:r w:rsidRPr="00F13770">
        <w:rPr>
          <w:lang w:val="en-GB"/>
        </w:rPr>
        <w:t>Deciding to create a regional monopoly network generally is a step taken when all other methods of stimulating network deployment have failed.  While this may be an appropriate decision to elicit deployment right now, one must be alert to competitive and welfare complications that may ensue later.</w:t>
      </w:r>
    </w:p>
  </w:comment>
  <w:comment w:id="14" w:author="GORDON Charly" w:date="2021-06-25T10:02:00Z" w:initials="GC">
    <w:p w14:paraId="1262957E" w14:textId="77777777" w:rsidR="001F2BE5" w:rsidRPr="00F13770" w:rsidRDefault="001F2BE5" w:rsidP="001F2BE5">
      <w:pPr>
        <w:pStyle w:val="CommentText"/>
        <w:rPr>
          <w:lang w:val="en-GB"/>
        </w:rPr>
      </w:pPr>
      <w:r w:rsidRPr="00F13770">
        <w:rPr>
          <w:lang w:val="en-GB"/>
        </w:rPr>
        <w:t>Guidance</w:t>
      </w:r>
      <w:r>
        <w:rPr>
          <w:rStyle w:val="CommentReference"/>
        </w:rPr>
        <w:annotationRef/>
      </w:r>
    </w:p>
  </w:comment>
  <w:comment w:id="15" w:author="SUTO Timea" w:date="2021-09-24T13:33:00Z" w:initials="ST">
    <w:p w14:paraId="13B0D602" w14:textId="32F3DAE4" w:rsidR="00EC19C3" w:rsidRPr="00F13770" w:rsidRDefault="00EC19C3">
      <w:pPr>
        <w:pStyle w:val="CommentText"/>
        <w:rPr>
          <w:lang w:val="en-GB"/>
        </w:rPr>
      </w:pPr>
      <w:r w:rsidRPr="00747EF4">
        <w:rPr>
          <w:rStyle w:val="CommentReference"/>
          <w:highlight w:val="yellow"/>
        </w:rPr>
        <w:annotationRef/>
      </w:r>
      <w:r w:rsidRPr="00F13770">
        <w:rPr>
          <w:highlight w:val="yellow"/>
          <w:lang w:val="en-GB"/>
        </w:rPr>
        <w:t>FOR ACTION TO MEMBERS : expand this section</w:t>
      </w:r>
    </w:p>
  </w:comment>
  <w:comment w:id="16" w:author="GORDON Charly" w:date="2021-06-25T10:02:00Z" w:initials="GC">
    <w:p w14:paraId="6B0DB0A1" w14:textId="77777777" w:rsidR="001F2BE5" w:rsidRPr="00F13770" w:rsidRDefault="001F2BE5" w:rsidP="001F2BE5">
      <w:pPr>
        <w:pStyle w:val="CommentText"/>
        <w:rPr>
          <w:lang w:val="en-GB"/>
        </w:rPr>
      </w:pPr>
      <w:r w:rsidRPr="00F13770">
        <w:rPr>
          <w:lang w:val="en-GB"/>
        </w:rPr>
        <w:t>Guidance</w:t>
      </w:r>
      <w:r>
        <w:rPr>
          <w:rStyle w:val="CommentReference"/>
        </w:rPr>
        <w:annotationRef/>
      </w:r>
    </w:p>
  </w:comment>
  <w:comment w:id="17" w:author="SUTO Timea" w:date="2021-09-24T13:33:00Z" w:initials="ST">
    <w:p w14:paraId="4202A8EF" w14:textId="27D848B9" w:rsidR="00747EF4" w:rsidRPr="00F13770" w:rsidRDefault="00747EF4" w:rsidP="00747EF4">
      <w:pPr>
        <w:pStyle w:val="CommentText"/>
        <w:rPr>
          <w:lang w:val="en-GB"/>
        </w:rPr>
      </w:pPr>
      <w:r w:rsidRPr="00747EF4">
        <w:rPr>
          <w:rStyle w:val="CommentReference"/>
          <w:highlight w:val="yellow"/>
        </w:rPr>
        <w:annotationRef/>
      </w:r>
      <w:r w:rsidRPr="00F13770">
        <w:rPr>
          <w:highlight w:val="yellow"/>
          <w:lang w:val="en-GB"/>
        </w:rPr>
        <w:t>FOR ACTION TO MEMBERS : further expand this section</w:t>
      </w:r>
    </w:p>
  </w:comment>
  <w:comment w:id="18" w:author="GORDON Charly" w:date="2021-06-25T10:02:00Z" w:initials="GC">
    <w:p w14:paraId="073DF0A0" w14:textId="77777777" w:rsidR="001F2BE5" w:rsidRPr="00F13770" w:rsidRDefault="001F2BE5" w:rsidP="001F2BE5">
      <w:pPr>
        <w:pStyle w:val="CommentText"/>
        <w:rPr>
          <w:lang w:val="en-GB"/>
        </w:rPr>
      </w:pPr>
      <w:r w:rsidRPr="00F13770">
        <w:rPr>
          <w:lang w:val="en-GB"/>
        </w:rPr>
        <w:t>Guidance</w:t>
      </w:r>
      <w:r>
        <w:rPr>
          <w:rStyle w:val="CommentReference"/>
        </w:rPr>
        <w:annotationRef/>
      </w:r>
    </w:p>
  </w:comment>
  <w:comment w:id="19" w:author="GORDON Charly" w:date="2021-09-24T16:04:00Z" w:initials="GC">
    <w:p w14:paraId="3DFEA9AD" w14:textId="4EC6A69A" w:rsidR="6C5DE56D" w:rsidRPr="00F13770" w:rsidRDefault="6C5DE56D">
      <w:pPr>
        <w:pStyle w:val="CommentText"/>
        <w:rPr>
          <w:lang w:val="en-GB"/>
        </w:rPr>
      </w:pPr>
      <w:r w:rsidRPr="007141F5">
        <w:rPr>
          <w:highlight w:val="yellow"/>
          <w:lang w:val="en-GB"/>
        </w:rPr>
        <w:t>FOR ACTION TO MEMBERS: review and expand</w:t>
      </w:r>
      <w:r w:rsidRPr="007141F5">
        <w:rPr>
          <w:rStyle w:val="CommentReference"/>
          <w:highlight w:val="yellow"/>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0C2D3E" w15:done="0"/>
  <w15:commentEx w15:paraId="7BAE35D7" w15:done="0"/>
  <w15:commentEx w15:paraId="6C3AA3FE" w15:done="0"/>
  <w15:commentEx w15:paraId="51DE02C4" w15:done="0"/>
  <w15:commentEx w15:paraId="6392605F" w15:done="0"/>
  <w15:commentEx w15:paraId="7706958D" w15:done="0"/>
  <w15:commentEx w15:paraId="478B034E" w15:done="0"/>
  <w15:commentEx w15:paraId="4E2CE5A2" w15:done="0"/>
  <w15:commentEx w15:paraId="79D120E6" w15:done="0"/>
  <w15:commentEx w15:paraId="79A2AF8C" w15:done="0"/>
  <w15:commentEx w15:paraId="3D4F295E" w15:done="0"/>
  <w15:commentEx w15:paraId="5F814EFC" w15:done="0"/>
  <w15:commentEx w15:paraId="7EC00F1B" w15:done="0"/>
  <w15:commentEx w15:paraId="29107ECA" w15:done="0"/>
  <w15:commentEx w15:paraId="1262957E" w15:done="0"/>
  <w15:commentEx w15:paraId="13B0D602" w15:done="0"/>
  <w15:commentEx w15:paraId="6B0DB0A1" w15:done="0"/>
  <w15:commentEx w15:paraId="4202A8EF" w15:done="0"/>
  <w15:commentEx w15:paraId="073DF0A0" w15:done="0"/>
  <w15:commentEx w15:paraId="3DFEA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84AC1" w16cex:dateUtc="2021-09-24T11:01:00Z"/>
  <w16cex:commentExtensible w16cex:durableId="24F84AF1" w16cex:dateUtc="2021-09-24T11:02:00Z"/>
  <w16cex:commentExtensible w16cex:durableId="24F8492F" w16cex:dateUtc="2021-09-24T10:55:00Z"/>
  <w16cex:commentExtensible w16cex:durableId="24F84904" w16cex:dateUtc="2021-09-24T10:54:00Z"/>
  <w16cex:commentExtensible w16cex:durableId="24F848F9" w16cex:dateUtc="2021-09-24T10:54:00Z"/>
  <w16cex:commentExtensible w16cex:durableId="24F84B84" w16cex:dateUtc="2021-09-24T11:05:00Z"/>
  <w16cex:commentExtensible w16cex:durableId="24F88667" w16cex:dateUtc="2021-09-24T15:16:00Z"/>
  <w16cex:commentExtensible w16cex:durableId="24F84C9D" w16cex:dateUtc="2021-09-24T11:09:00Z"/>
  <w16cex:commentExtensible w16cex:durableId="24F84CF9" w16cex:dateUtc="2021-09-24T11:11:00Z"/>
  <w16cex:commentExtensible w16cex:durableId="24F886E0" w16cex:dateUtc="2021-09-24T15:18:00Z"/>
  <w16cex:commentExtensible w16cex:durableId="24F84E35" w16cex:dateUtc="2021-09-24T11:16:00Z"/>
  <w16cex:commentExtensible w16cex:durableId="2528B49D" w16cex:dateUtc="2021-06-25T08:03:00Z"/>
  <w16cex:commentExtensible w16cex:durableId="24EA0C1B" w16cex:dateUtc="2021-09-13T15:42:00Z"/>
  <w16cex:commentExtensible w16cex:durableId="24C0F0FC" w16cex:dateUtc="2021-08-13T17:24:00Z"/>
  <w16cex:commentExtensible w16cex:durableId="42F75A0B" w16cex:dateUtc="2021-06-25T08:02:00Z"/>
  <w16cex:commentExtensible w16cex:durableId="24F85211" w16cex:dateUtc="2021-09-24T11:33:00Z"/>
  <w16cex:commentExtensible w16cex:durableId="3ED523BE" w16cex:dateUtc="2021-06-25T08:02:00Z"/>
  <w16cex:commentExtensible w16cex:durableId="24F85292" w16cex:dateUtc="2021-09-24T11:33:00Z"/>
  <w16cex:commentExtensible w16cex:durableId="432D69C3" w16cex:dateUtc="2021-06-25T08:02:00Z"/>
  <w16cex:commentExtensible w16cex:durableId="3E2705F0" w16cex:dateUtc="2021-09-24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0C2D3E" w16cid:durableId="24F84AC1"/>
  <w16cid:commentId w16cid:paraId="7BAE35D7" w16cid:durableId="24F84AF1"/>
  <w16cid:commentId w16cid:paraId="6C3AA3FE" w16cid:durableId="24F8492F"/>
  <w16cid:commentId w16cid:paraId="51DE02C4" w16cid:durableId="24F84904"/>
  <w16cid:commentId w16cid:paraId="6392605F" w16cid:durableId="24F848F9"/>
  <w16cid:commentId w16cid:paraId="7706958D" w16cid:durableId="24F84B84"/>
  <w16cid:commentId w16cid:paraId="478B034E" w16cid:durableId="24F88667"/>
  <w16cid:commentId w16cid:paraId="4E2CE5A2" w16cid:durableId="24F84C9D"/>
  <w16cid:commentId w16cid:paraId="79D120E6" w16cid:durableId="24F84CF9"/>
  <w16cid:commentId w16cid:paraId="79A2AF8C" w16cid:durableId="24F886E0"/>
  <w16cid:commentId w16cid:paraId="3D4F295E" w16cid:durableId="24F84E35"/>
  <w16cid:commentId w16cid:paraId="5F814EFC" w16cid:durableId="2528B49D"/>
  <w16cid:commentId w16cid:paraId="7EC00F1B" w16cid:durableId="24EA0C1B"/>
  <w16cid:commentId w16cid:paraId="29107ECA" w16cid:durableId="24C0F0FC"/>
  <w16cid:commentId w16cid:paraId="1262957E" w16cid:durableId="42F75A0B"/>
  <w16cid:commentId w16cid:paraId="13B0D602" w16cid:durableId="24F85211"/>
  <w16cid:commentId w16cid:paraId="6B0DB0A1" w16cid:durableId="3ED523BE"/>
  <w16cid:commentId w16cid:paraId="4202A8EF" w16cid:durableId="24F85292"/>
  <w16cid:commentId w16cid:paraId="073DF0A0" w16cid:durableId="432D69C3"/>
  <w16cid:commentId w16cid:paraId="3DFEA9AD" w16cid:durableId="3E2705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BA01" w14:textId="77777777" w:rsidR="00CA47F1" w:rsidRDefault="00CA47F1" w:rsidP="009D157F">
      <w:pPr>
        <w:spacing w:after="0" w:line="240" w:lineRule="auto"/>
      </w:pPr>
      <w:r>
        <w:separator/>
      </w:r>
    </w:p>
  </w:endnote>
  <w:endnote w:type="continuationSeparator" w:id="0">
    <w:p w14:paraId="0FD838DC" w14:textId="77777777" w:rsidR="00CA47F1" w:rsidRDefault="00CA47F1" w:rsidP="009D157F">
      <w:pPr>
        <w:spacing w:after="0" w:line="240" w:lineRule="auto"/>
      </w:pPr>
      <w:r>
        <w:continuationSeparator/>
      </w:r>
    </w:p>
  </w:endnote>
  <w:endnote w:type="continuationNotice" w:id="1">
    <w:p w14:paraId="1D03084A" w14:textId="77777777" w:rsidR="00CA47F1" w:rsidRDefault="00CA4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866A" w14:textId="77777777" w:rsidR="00CA47F1" w:rsidRDefault="00CA47F1" w:rsidP="009D157F">
      <w:pPr>
        <w:spacing w:after="0" w:line="240" w:lineRule="auto"/>
      </w:pPr>
      <w:r>
        <w:separator/>
      </w:r>
    </w:p>
  </w:footnote>
  <w:footnote w:type="continuationSeparator" w:id="0">
    <w:p w14:paraId="3AA435E7" w14:textId="77777777" w:rsidR="00CA47F1" w:rsidRDefault="00CA47F1" w:rsidP="009D157F">
      <w:pPr>
        <w:spacing w:after="0" w:line="240" w:lineRule="auto"/>
      </w:pPr>
      <w:r>
        <w:continuationSeparator/>
      </w:r>
    </w:p>
  </w:footnote>
  <w:footnote w:type="continuationNotice" w:id="1">
    <w:p w14:paraId="576304AF" w14:textId="77777777" w:rsidR="00CA47F1" w:rsidRDefault="00CA47F1">
      <w:pPr>
        <w:spacing w:after="0" w:line="240" w:lineRule="auto"/>
      </w:pPr>
    </w:p>
  </w:footnote>
  <w:footnote w:id="2">
    <w:p w14:paraId="24944BD1" w14:textId="41768CF8" w:rsidR="00D029DA" w:rsidRPr="00BC51CD" w:rsidRDefault="00BC51CD">
      <w:pPr>
        <w:pStyle w:val="FootnoteText"/>
        <w:rPr>
          <w:lang w:val="en-US"/>
        </w:rPr>
      </w:pPr>
      <w:r>
        <w:rPr>
          <w:rStyle w:val="FootnoteReference"/>
        </w:rPr>
        <w:footnoteRef/>
      </w:r>
      <w:r w:rsidRPr="00F13770">
        <w:rPr>
          <w:lang w:val="en-GB"/>
        </w:rPr>
        <w:t xml:space="preserve"> </w:t>
      </w:r>
      <w:r>
        <w:rPr>
          <w:lang w:val="en-US"/>
        </w:rPr>
        <w:t xml:space="preserve">Broadband Commission </w:t>
      </w:r>
      <w:r w:rsidR="006B02C8">
        <w:rPr>
          <w:lang w:val="en-US"/>
        </w:rPr>
        <w:t xml:space="preserve">for Sustainable Development: </w:t>
      </w:r>
      <w:r w:rsidR="006B02C8" w:rsidRPr="006B02C8">
        <w:rPr>
          <w:lang w:val="en-US"/>
        </w:rPr>
        <w:t>The State of Broadband 2021</w:t>
      </w:r>
      <w:r w:rsidR="006B02C8">
        <w:rPr>
          <w:lang w:val="en-US"/>
        </w:rPr>
        <w:t xml:space="preserve"> </w:t>
      </w:r>
      <w:hyperlink r:id="rId1" w:history="1">
        <w:r w:rsidR="006B02C8" w:rsidRPr="00657125">
          <w:rPr>
            <w:rStyle w:val="Hyperlink"/>
            <w:lang w:val="en-US"/>
          </w:rPr>
          <w:t>https://itu.int/itu-d/reports/broadbandcommission/state-of-broadband-2021/</w:t>
        </w:r>
      </w:hyperlink>
    </w:p>
  </w:footnote>
  <w:footnote w:id="3">
    <w:p w14:paraId="463DFC84" w14:textId="5C44D909" w:rsidR="00D029DA" w:rsidRPr="00D029DA" w:rsidRDefault="00D029DA">
      <w:pPr>
        <w:pStyle w:val="FootnoteText"/>
        <w:rPr>
          <w:lang w:val="en-US"/>
        </w:rPr>
      </w:pPr>
      <w:r>
        <w:rPr>
          <w:rStyle w:val="FootnoteReference"/>
        </w:rPr>
        <w:footnoteRef/>
      </w:r>
      <w:r w:rsidRPr="00F13770">
        <w:rPr>
          <w:lang w:val="en-GB"/>
        </w:rPr>
        <w:t xml:space="preserve"> </w:t>
      </w:r>
      <w:r w:rsidR="009B2FEE">
        <w:rPr>
          <w:lang w:val="en-US"/>
        </w:rPr>
        <w:t xml:space="preserve">GSMA: </w:t>
      </w:r>
      <w:r w:rsidR="009B2FEE" w:rsidRPr="009B2FEE">
        <w:rPr>
          <w:lang w:val="en-US"/>
        </w:rPr>
        <w:t>The State of Mobile Internet Connectivity Report 2020</w:t>
      </w:r>
      <w:r w:rsidR="009B2FEE">
        <w:rPr>
          <w:lang w:val="en-US"/>
        </w:rPr>
        <w:t xml:space="preserve"> </w:t>
      </w:r>
      <w:hyperlink r:id="rId2" w:history="1">
        <w:r w:rsidR="009B2FEE" w:rsidRPr="00657125">
          <w:rPr>
            <w:rStyle w:val="Hyperlink"/>
            <w:lang w:val="en-US"/>
          </w:rPr>
          <w:t>https://www.gsma.com/r/somic/</w:t>
        </w:r>
      </w:hyperlink>
      <w:r w:rsidR="009B2FEE">
        <w:rPr>
          <w:lang w:val="en-US"/>
        </w:rPr>
        <w:t xml:space="preserve"> </w:t>
      </w:r>
    </w:p>
  </w:footnote>
  <w:footnote w:id="4">
    <w:p w14:paraId="62600B95" w14:textId="77777777" w:rsidR="00B31237" w:rsidRPr="00F03499" w:rsidRDefault="00B31237" w:rsidP="00B31237">
      <w:pPr>
        <w:pStyle w:val="FootnoteText"/>
        <w:rPr>
          <w:lang w:val="en-US"/>
        </w:rPr>
      </w:pPr>
      <w:r>
        <w:rPr>
          <w:rStyle w:val="FootnoteReference"/>
        </w:rPr>
        <w:footnoteRef/>
      </w:r>
      <w:r w:rsidRPr="00F13770">
        <w:rPr>
          <w:lang w:val="en-US"/>
        </w:rPr>
        <w:t xml:space="preserve"> </w:t>
      </w:r>
      <w:hyperlink r:id="rId3" w:history="1">
        <w:r w:rsidRPr="00F13770">
          <w:rPr>
            <w:rStyle w:val="Hyperlink"/>
            <w:lang w:val="en-US"/>
          </w:rPr>
          <w:t>https://www.ericsson.com/en/press-releases/1/2020/mtn-south-africa-and-ericsson-win-building-a-better-more-inclusive-digital-world-award-at-africacom-2020</w:t>
        </w:r>
      </w:hyperlink>
      <w:r w:rsidRPr="00F13770">
        <w:rPr>
          <w:lang w:val="en-US"/>
        </w:rPr>
        <w:t xml:space="preserve"> </w:t>
      </w:r>
    </w:p>
  </w:footnote>
  <w:footnote w:id="5">
    <w:p w14:paraId="19A94B3E" w14:textId="77777777" w:rsidR="00B31237" w:rsidRPr="003C0712" w:rsidRDefault="00B31237" w:rsidP="00B31237">
      <w:pPr>
        <w:pStyle w:val="FootnoteText"/>
        <w:rPr>
          <w:lang w:val="en-US"/>
        </w:rPr>
      </w:pPr>
      <w:r>
        <w:rPr>
          <w:rStyle w:val="FootnoteReference"/>
        </w:rPr>
        <w:footnoteRef/>
      </w:r>
      <w:r w:rsidRPr="00F13770">
        <w:rPr>
          <w:lang w:val="en-US"/>
        </w:rPr>
        <w:t xml:space="preserve"> </w:t>
      </w:r>
      <w:hyperlink r:id="rId4" w:history="1">
        <w:r w:rsidRPr="00F13770">
          <w:rPr>
            <w:rStyle w:val="Hyperlink"/>
            <w:lang w:val="en-US"/>
          </w:rPr>
          <w:t>https://www.ericsson.com/en/fixed-wireless-access?gclid=CjwKCAjw7rWKBhAtEiwAJ3CWLD0hX1tFThDT7r-Mvcv0r9BU7fAQRVtL0xMn-hEdJB5hOMkNh5RuTxoCC_IQAvD_BwE&amp;gclsrc=aw.ds</w:t>
        </w:r>
      </w:hyperlink>
      <w:r w:rsidRPr="00F13770">
        <w:rPr>
          <w:lang w:val="en-US"/>
        </w:rPr>
        <w:t xml:space="preserve"> </w:t>
      </w:r>
    </w:p>
  </w:footnote>
  <w:footnote w:id="6">
    <w:p w14:paraId="0EB84385" w14:textId="77777777" w:rsidR="00B31237" w:rsidRPr="00A26FB3" w:rsidRDefault="00B31237" w:rsidP="00B31237">
      <w:pPr>
        <w:pStyle w:val="FootnoteText"/>
        <w:rPr>
          <w:lang w:val="en-US"/>
        </w:rPr>
      </w:pPr>
      <w:r>
        <w:rPr>
          <w:rStyle w:val="FootnoteReference"/>
        </w:rPr>
        <w:footnoteRef/>
      </w:r>
      <w:r w:rsidRPr="00F13770">
        <w:rPr>
          <w:lang w:val="en-US"/>
        </w:rPr>
        <w:t xml:space="preserve"> </w:t>
      </w:r>
      <w:r w:rsidRPr="00FB0D72">
        <w:rPr>
          <w:lang w:val="en-GB"/>
        </w:rPr>
        <w:t xml:space="preserve"> </w:t>
      </w:r>
      <w:hyperlink r:id="rId5" w:history="1">
        <w:r w:rsidRPr="00FB0D72">
          <w:rPr>
            <w:rStyle w:val="Hyperlink"/>
            <w:lang w:val="en-GB"/>
          </w:rPr>
          <w:t>https://www.microsoft.com/en-us/corporate-responsibility/airband/partnerships</w:t>
        </w:r>
      </w:hyperlink>
    </w:p>
  </w:footnote>
  <w:footnote w:id="7">
    <w:p w14:paraId="4E030F6C" w14:textId="77777777" w:rsidR="00B31237" w:rsidRPr="00A26FB3" w:rsidRDefault="00B31237" w:rsidP="00B31237">
      <w:pPr>
        <w:pStyle w:val="FootnoteText"/>
        <w:rPr>
          <w:lang w:val="en-US"/>
        </w:rPr>
      </w:pPr>
      <w:r>
        <w:rPr>
          <w:rStyle w:val="FootnoteReference"/>
        </w:rPr>
        <w:footnoteRef/>
      </w:r>
      <w:r w:rsidRPr="00F13770">
        <w:rPr>
          <w:lang w:val="en-GB"/>
        </w:rPr>
        <w:t xml:space="preserve"> Ericsson Mobility Report 2021</w:t>
      </w:r>
    </w:p>
  </w:footnote>
  <w:footnote w:id="8">
    <w:p w14:paraId="66736E5C" w14:textId="77777777" w:rsidR="00B31237" w:rsidRPr="00A26FB3" w:rsidRDefault="00B31237" w:rsidP="00B31237">
      <w:pPr>
        <w:pStyle w:val="FootnoteText"/>
        <w:rPr>
          <w:lang w:val="en-US"/>
        </w:rPr>
      </w:pPr>
      <w:r>
        <w:rPr>
          <w:rStyle w:val="FootnoteReference"/>
        </w:rPr>
        <w:footnoteRef/>
      </w:r>
      <w:r w:rsidRPr="00F13770">
        <w:rPr>
          <w:lang w:val="en-GB"/>
        </w:rPr>
        <w:t xml:space="preserve"> </w:t>
      </w:r>
      <w:hyperlink r:id="rId6" w:history="1">
        <w:r w:rsidRPr="00F13770">
          <w:rPr>
            <w:lang w:val="en-GB"/>
          </w:rPr>
          <w:t>AirJaldi Academy</w:t>
        </w:r>
      </w:hyperlink>
      <w:r w:rsidRPr="00F13770">
        <w:rPr>
          <w:lang w:val="en-GB"/>
        </w:rPr>
        <w:t xml:space="preserve"> : </w:t>
      </w:r>
      <w:hyperlink r:id="rId7" w:history="1">
        <w:r w:rsidRPr="00F13770">
          <w:rPr>
            <w:rStyle w:val="Hyperlink"/>
            <w:lang w:val="en-GB"/>
          </w:rPr>
          <w:t>https://www.facebook.com/325328670544/posts/10161036634735545/?d=n%22%20\h</w:t>
        </w:r>
      </w:hyperlink>
      <w:r w:rsidRPr="00F13770">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6A33"/>
    <w:multiLevelType w:val="hybridMultilevel"/>
    <w:tmpl w:val="47C83D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1005C"/>
    <w:multiLevelType w:val="hybridMultilevel"/>
    <w:tmpl w:val="01E63B24"/>
    <w:lvl w:ilvl="0" w:tplc="2832866E">
      <w:start w:val="1"/>
      <w:numFmt w:val="lowerLetter"/>
      <w:lvlText w:val="%1."/>
      <w:lvlJc w:val="left"/>
      <w:pPr>
        <w:ind w:left="720" w:hanging="360"/>
      </w:pPr>
    </w:lvl>
    <w:lvl w:ilvl="1" w:tplc="C3E270F8">
      <w:start w:val="1"/>
      <w:numFmt w:val="lowerLetter"/>
      <w:lvlText w:val="%2."/>
      <w:lvlJc w:val="left"/>
      <w:pPr>
        <w:ind w:left="1440" w:hanging="360"/>
      </w:pPr>
    </w:lvl>
    <w:lvl w:ilvl="2" w:tplc="7E667666">
      <w:start w:val="1"/>
      <w:numFmt w:val="lowerRoman"/>
      <w:lvlText w:val="%3."/>
      <w:lvlJc w:val="right"/>
      <w:pPr>
        <w:ind w:left="2160" w:hanging="180"/>
      </w:pPr>
    </w:lvl>
    <w:lvl w:ilvl="3" w:tplc="BC4AFABC">
      <w:start w:val="1"/>
      <w:numFmt w:val="decimal"/>
      <w:lvlText w:val="%4."/>
      <w:lvlJc w:val="left"/>
      <w:pPr>
        <w:ind w:left="2880" w:hanging="360"/>
      </w:pPr>
    </w:lvl>
    <w:lvl w:ilvl="4" w:tplc="9B7EBE58">
      <w:start w:val="1"/>
      <w:numFmt w:val="lowerLetter"/>
      <w:lvlText w:val="%5."/>
      <w:lvlJc w:val="left"/>
      <w:pPr>
        <w:ind w:left="3600" w:hanging="360"/>
      </w:pPr>
    </w:lvl>
    <w:lvl w:ilvl="5" w:tplc="E1F06E10">
      <w:start w:val="1"/>
      <w:numFmt w:val="lowerRoman"/>
      <w:lvlText w:val="%6."/>
      <w:lvlJc w:val="right"/>
      <w:pPr>
        <w:ind w:left="4320" w:hanging="180"/>
      </w:pPr>
    </w:lvl>
    <w:lvl w:ilvl="6" w:tplc="EC9A4FB2">
      <w:start w:val="1"/>
      <w:numFmt w:val="decimal"/>
      <w:lvlText w:val="%7."/>
      <w:lvlJc w:val="left"/>
      <w:pPr>
        <w:ind w:left="5040" w:hanging="360"/>
      </w:pPr>
    </w:lvl>
    <w:lvl w:ilvl="7" w:tplc="D728A0DE">
      <w:start w:val="1"/>
      <w:numFmt w:val="lowerLetter"/>
      <w:lvlText w:val="%8."/>
      <w:lvlJc w:val="left"/>
      <w:pPr>
        <w:ind w:left="5760" w:hanging="360"/>
      </w:pPr>
    </w:lvl>
    <w:lvl w:ilvl="8" w:tplc="F7285052">
      <w:start w:val="1"/>
      <w:numFmt w:val="lowerRoman"/>
      <w:lvlText w:val="%9."/>
      <w:lvlJc w:val="right"/>
      <w:pPr>
        <w:ind w:left="6480" w:hanging="180"/>
      </w:pPr>
    </w:lvl>
  </w:abstractNum>
  <w:abstractNum w:abstractNumId="2" w15:restartNumberingAfterBreak="0">
    <w:nsid w:val="135D1B15"/>
    <w:multiLevelType w:val="hybridMultilevel"/>
    <w:tmpl w:val="54CA5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27642E"/>
    <w:multiLevelType w:val="hybridMultilevel"/>
    <w:tmpl w:val="47C83D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4574A"/>
    <w:multiLevelType w:val="hybridMultilevel"/>
    <w:tmpl w:val="5400FA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3D7B7B"/>
    <w:multiLevelType w:val="hybridMultilevel"/>
    <w:tmpl w:val="EB78E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A61820"/>
    <w:multiLevelType w:val="hybridMultilevel"/>
    <w:tmpl w:val="A1B4D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270849"/>
    <w:multiLevelType w:val="hybridMultilevel"/>
    <w:tmpl w:val="ED22D41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FC56DB2"/>
    <w:multiLevelType w:val="hybridMultilevel"/>
    <w:tmpl w:val="CE7A98FE"/>
    <w:lvl w:ilvl="0" w:tplc="EA18537A">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C85A42"/>
    <w:multiLevelType w:val="hybridMultilevel"/>
    <w:tmpl w:val="DDF6A37E"/>
    <w:lvl w:ilvl="0" w:tplc="EA18537A">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426A05"/>
    <w:multiLevelType w:val="hybridMultilevel"/>
    <w:tmpl w:val="47C83D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FA1672"/>
    <w:multiLevelType w:val="hybridMultilevel"/>
    <w:tmpl w:val="78CA7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163098"/>
    <w:multiLevelType w:val="hybridMultilevel"/>
    <w:tmpl w:val="6FEADD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507482"/>
    <w:multiLevelType w:val="hybridMultilevel"/>
    <w:tmpl w:val="47C83D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5654C"/>
    <w:multiLevelType w:val="hybridMultilevel"/>
    <w:tmpl w:val="C88E88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14"/>
  </w:num>
  <w:num w:numId="4">
    <w:abstractNumId w:val="1"/>
  </w:num>
  <w:num w:numId="5">
    <w:abstractNumId w:val="11"/>
  </w:num>
  <w:num w:numId="6">
    <w:abstractNumId w:val="0"/>
  </w:num>
  <w:num w:numId="7">
    <w:abstractNumId w:val="7"/>
  </w:num>
  <w:num w:numId="8">
    <w:abstractNumId w:val="2"/>
  </w:num>
  <w:num w:numId="9">
    <w:abstractNumId w:val="3"/>
  </w:num>
  <w:num w:numId="10">
    <w:abstractNumId w:val="8"/>
  </w:num>
  <w:num w:numId="11">
    <w:abstractNumId w:val="9"/>
  </w:num>
  <w:num w:numId="12">
    <w:abstractNumId w:val="6"/>
  </w:num>
  <w:num w:numId="13">
    <w:abstractNumId w:val="13"/>
  </w:num>
  <w:num w:numId="14">
    <w:abstractNumId w:val="1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TO Timea">
    <w15:presenceInfo w15:providerId="AD" w15:userId="S::tso@icchq.org::408c0bd5-9130-4ec5-a55d-443efa34059d"/>
  </w15:person>
  <w15:person w15:author="GORDON Charly">
    <w15:presenceInfo w15:providerId="AD" w15:userId="S::cgn@icchq.org::ad5d3453-5610-4b8b-bd57-eabb9c2d2d6b"/>
  </w15:person>
  <w15:person w15:author="CLARKE, RICHARD N">
    <w15:presenceInfo w15:providerId="AD" w15:userId="S::rc9382@att.com::00b93839-a243-401d-8dfc-1fadb9114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39"/>
    <w:rsid w:val="00006AF7"/>
    <w:rsid w:val="000267DD"/>
    <w:rsid w:val="00045143"/>
    <w:rsid w:val="000554FE"/>
    <w:rsid w:val="00063091"/>
    <w:rsid w:val="00082A2C"/>
    <w:rsid w:val="000B0F39"/>
    <w:rsid w:val="001056E9"/>
    <w:rsid w:val="00125FB7"/>
    <w:rsid w:val="00127DCA"/>
    <w:rsid w:val="001444EC"/>
    <w:rsid w:val="00147C04"/>
    <w:rsid w:val="00181AAC"/>
    <w:rsid w:val="001E730D"/>
    <w:rsid w:val="001F2BE5"/>
    <w:rsid w:val="00227F77"/>
    <w:rsid w:val="002C4342"/>
    <w:rsid w:val="002C711E"/>
    <w:rsid w:val="002F5827"/>
    <w:rsid w:val="003176AF"/>
    <w:rsid w:val="00345E04"/>
    <w:rsid w:val="003B5C0D"/>
    <w:rsid w:val="003C04F9"/>
    <w:rsid w:val="00463BCE"/>
    <w:rsid w:val="00484C1E"/>
    <w:rsid w:val="004B1079"/>
    <w:rsid w:val="004C5777"/>
    <w:rsid w:val="004C6E94"/>
    <w:rsid w:val="004D65A0"/>
    <w:rsid w:val="004F5662"/>
    <w:rsid w:val="0050190F"/>
    <w:rsid w:val="00515A12"/>
    <w:rsid w:val="0053241C"/>
    <w:rsid w:val="00537B58"/>
    <w:rsid w:val="00571BEB"/>
    <w:rsid w:val="00587010"/>
    <w:rsid w:val="00623E4E"/>
    <w:rsid w:val="00662896"/>
    <w:rsid w:val="006B02C8"/>
    <w:rsid w:val="006C4A4B"/>
    <w:rsid w:val="006D12C9"/>
    <w:rsid w:val="006E4FB3"/>
    <w:rsid w:val="007141F5"/>
    <w:rsid w:val="00747EF4"/>
    <w:rsid w:val="0077625B"/>
    <w:rsid w:val="007F29BF"/>
    <w:rsid w:val="007F2EDE"/>
    <w:rsid w:val="00854C04"/>
    <w:rsid w:val="00883DE0"/>
    <w:rsid w:val="0089217C"/>
    <w:rsid w:val="008A561E"/>
    <w:rsid w:val="008B78C6"/>
    <w:rsid w:val="008C1618"/>
    <w:rsid w:val="008D1335"/>
    <w:rsid w:val="008D1B95"/>
    <w:rsid w:val="008E78E9"/>
    <w:rsid w:val="008F732C"/>
    <w:rsid w:val="009027D3"/>
    <w:rsid w:val="00950543"/>
    <w:rsid w:val="00955A84"/>
    <w:rsid w:val="00961041"/>
    <w:rsid w:val="00970B1F"/>
    <w:rsid w:val="00976FFA"/>
    <w:rsid w:val="009B2FEE"/>
    <w:rsid w:val="009D157F"/>
    <w:rsid w:val="00A02C92"/>
    <w:rsid w:val="00A10438"/>
    <w:rsid w:val="00A16A9E"/>
    <w:rsid w:val="00AB2F5C"/>
    <w:rsid w:val="00AE5B17"/>
    <w:rsid w:val="00AF3E15"/>
    <w:rsid w:val="00B31237"/>
    <w:rsid w:val="00B43FA1"/>
    <w:rsid w:val="00BC30D2"/>
    <w:rsid w:val="00BC3D93"/>
    <w:rsid w:val="00BC51CD"/>
    <w:rsid w:val="00BF0E52"/>
    <w:rsid w:val="00C0346C"/>
    <w:rsid w:val="00C10470"/>
    <w:rsid w:val="00C21DB5"/>
    <w:rsid w:val="00C338E6"/>
    <w:rsid w:val="00C52E9C"/>
    <w:rsid w:val="00CA47F1"/>
    <w:rsid w:val="00CB3184"/>
    <w:rsid w:val="00CF037F"/>
    <w:rsid w:val="00D029DA"/>
    <w:rsid w:val="00D43CE5"/>
    <w:rsid w:val="00D65DD2"/>
    <w:rsid w:val="00D90BE5"/>
    <w:rsid w:val="00D96C6F"/>
    <w:rsid w:val="00DC0827"/>
    <w:rsid w:val="00DE3FE9"/>
    <w:rsid w:val="00DE425D"/>
    <w:rsid w:val="00E15971"/>
    <w:rsid w:val="00E15EFF"/>
    <w:rsid w:val="00E41AB4"/>
    <w:rsid w:val="00E56C5F"/>
    <w:rsid w:val="00E7764E"/>
    <w:rsid w:val="00EA0D39"/>
    <w:rsid w:val="00EB77F7"/>
    <w:rsid w:val="00EC19C3"/>
    <w:rsid w:val="00ED2841"/>
    <w:rsid w:val="00F079CE"/>
    <w:rsid w:val="00F13770"/>
    <w:rsid w:val="00F52F96"/>
    <w:rsid w:val="00F54866"/>
    <w:rsid w:val="00F631CC"/>
    <w:rsid w:val="00F816B8"/>
    <w:rsid w:val="00F96E76"/>
    <w:rsid w:val="00FC4B8A"/>
    <w:rsid w:val="00FD0FAE"/>
    <w:rsid w:val="06D23C80"/>
    <w:rsid w:val="074BB8D5"/>
    <w:rsid w:val="07608A19"/>
    <w:rsid w:val="07E02D8C"/>
    <w:rsid w:val="0836F6CA"/>
    <w:rsid w:val="084F2308"/>
    <w:rsid w:val="09F5AD13"/>
    <w:rsid w:val="0AAAAC49"/>
    <w:rsid w:val="0B1437E1"/>
    <w:rsid w:val="0B1736D6"/>
    <w:rsid w:val="0D02E009"/>
    <w:rsid w:val="0DEE50CF"/>
    <w:rsid w:val="0EF1BB02"/>
    <w:rsid w:val="10719226"/>
    <w:rsid w:val="11CEFC19"/>
    <w:rsid w:val="133BD103"/>
    <w:rsid w:val="137ED470"/>
    <w:rsid w:val="14670EB4"/>
    <w:rsid w:val="14679C76"/>
    <w:rsid w:val="1538EA00"/>
    <w:rsid w:val="15C445D6"/>
    <w:rsid w:val="18449691"/>
    <w:rsid w:val="1A902F15"/>
    <w:rsid w:val="1D6A4803"/>
    <w:rsid w:val="1E28BB47"/>
    <w:rsid w:val="1E40B4B4"/>
    <w:rsid w:val="1E58E0F2"/>
    <w:rsid w:val="1FC3C25A"/>
    <w:rsid w:val="201A8B98"/>
    <w:rsid w:val="22C7A248"/>
    <w:rsid w:val="22F4A486"/>
    <w:rsid w:val="230C9DF3"/>
    <w:rsid w:val="2484D04A"/>
    <w:rsid w:val="248A1737"/>
    <w:rsid w:val="25A7E710"/>
    <w:rsid w:val="26BD2392"/>
    <w:rsid w:val="2841860D"/>
    <w:rsid w:val="2B47394F"/>
    <w:rsid w:val="2B890CD1"/>
    <w:rsid w:val="2D511166"/>
    <w:rsid w:val="2DC76C53"/>
    <w:rsid w:val="2E7B1F2C"/>
    <w:rsid w:val="30282B5F"/>
    <w:rsid w:val="3081F392"/>
    <w:rsid w:val="32DB6DE9"/>
    <w:rsid w:val="33246CFB"/>
    <w:rsid w:val="34629EDC"/>
    <w:rsid w:val="3470BF0D"/>
    <w:rsid w:val="3535E364"/>
    <w:rsid w:val="3592D3C0"/>
    <w:rsid w:val="359867E7"/>
    <w:rsid w:val="35F6F8E5"/>
    <w:rsid w:val="360C5015"/>
    <w:rsid w:val="3722393D"/>
    <w:rsid w:val="38E9912C"/>
    <w:rsid w:val="3A01CCA3"/>
    <w:rsid w:val="3AD83954"/>
    <w:rsid w:val="3ADE6072"/>
    <w:rsid w:val="3B96AC98"/>
    <w:rsid w:val="3BC37749"/>
    <w:rsid w:val="4192CABB"/>
    <w:rsid w:val="41ADF5EE"/>
    <w:rsid w:val="44581265"/>
    <w:rsid w:val="44700BD2"/>
    <w:rsid w:val="4490FE8D"/>
    <w:rsid w:val="46022C44"/>
    <w:rsid w:val="4646BA8D"/>
    <w:rsid w:val="4A0F3999"/>
    <w:rsid w:val="4B92473F"/>
    <w:rsid w:val="4DA2FB33"/>
    <w:rsid w:val="4DEFE4E3"/>
    <w:rsid w:val="4E04B627"/>
    <w:rsid w:val="4E84599A"/>
    <w:rsid w:val="4FC6939E"/>
    <w:rsid w:val="5056D67E"/>
    <w:rsid w:val="506FFE11"/>
    <w:rsid w:val="52BBCE22"/>
    <w:rsid w:val="538F12AA"/>
    <w:rsid w:val="566C53C1"/>
    <w:rsid w:val="56B6C17D"/>
    <w:rsid w:val="56C93F61"/>
    <w:rsid w:val="5772BCE9"/>
    <w:rsid w:val="589FF2D8"/>
    <w:rsid w:val="58CCF05A"/>
    <w:rsid w:val="598B639E"/>
    <w:rsid w:val="5A07D08F"/>
    <w:rsid w:val="5C3BA733"/>
    <w:rsid w:val="5E2A4F5B"/>
    <w:rsid w:val="5E4248C8"/>
    <w:rsid w:val="5EE8C29F"/>
    <w:rsid w:val="61DAD4FA"/>
    <w:rsid w:val="64FD0D00"/>
    <w:rsid w:val="67951F9B"/>
    <w:rsid w:val="67AA286C"/>
    <w:rsid w:val="67C221D9"/>
    <w:rsid w:val="69C1173D"/>
    <w:rsid w:val="6A3A94A3"/>
    <w:rsid w:val="6B8A9C29"/>
    <w:rsid w:val="6C5DE56D"/>
    <w:rsid w:val="705E9391"/>
    <w:rsid w:val="70EECEAD"/>
    <w:rsid w:val="73C21418"/>
    <w:rsid w:val="744C06B2"/>
    <w:rsid w:val="7498E42C"/>
    <w:rsid w:val="76F91D62"/>
    <w:rsid w:val="79BE69C8"/>
    <w:rsid w:val="79D66335"/>
    <w:rsid w:val="7A1831FB"/>
    <w:rsid w:val="7CB07C23"/>
    <w:rsid w:val="7F8DBD3A"/>
    <w:rsid w:val="7FBA87E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10FBB"/>
  <w15:chartTrackingRefBased/>
  <w15:docId w15:val="{1C7A6B35-072B-49F6-AC41-83085D76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7F"/>
  </w:style>
  <w:style w:type="paragraph" w:styleId="Heading1">
    <w:name w:val="heading 1"/>
    <w:basedOn w:val="Normal"/>
    <w:next w:val="Normal"/>
    <w:link w:val="Heading1Char"/>
    <w:uiPriority w:val="9"/>
    <w:qFormat/>
    <w:rsid w:val="00F96E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2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5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157F"/>
  </w:style>
  <w:style w:type="paragraph" w:styleId="Footer">
    <w:name w:val="footer"/>
    <w:basedOn w:val="Normal"/>
    <w:link w:val="FooterChar"/>
    <w:uiPriority w:val="99"/>
    <w:unhideWhenUsed/>
    <w:rsid w:val="009D15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157F"/>
  </w:style>
  <w:style w:type="paragraph" w:styleId="Title">
    <w:name w:val="Title"/>
    <w:basedOn w:val="Normal"/>
    <w:next w:val="Normal"/>
    <w:link w:val="TitleChar"/>
    <w:qFormat/>
    <w:rsid w:val="009D157F"/>
    <w:pPr>
      <w:widowControl w:val="0"/>
      <w:spacing w:after="0" w:line="240" w:lineRule="auto"/>
      <w:contextualSpacing/>
    </w:pPr>
    <w:rPr>
      <w:rFonts w:ascii="Arial" w:eastAsiaTheme="majorEastAsia" w:hAnsi="Arial" w:cstheme="majorBidi"/>
      <w:b/>
      <w:color w:val="0064A8"/>
      <w:spacing w:val="-10"/>
      <w:kern w:val="28"/>
      <w:sz w:val="56"/>
      <w:szCs w:val="56"/>
      <w:lang w:val="en-US" w:eastAsia="en-US"/>
    </w:rPr>
  </w:style>
  <w:style w:type="character" w:customStyle="1" w:styleId="TitleChar">
    <w:name w:val="Title Char"/>
    <w:basedOn w:val="DefaultParagraphFont"/>
    <w:link w:val="Title"/>
    <w:rsid w:val="009D157F"/>
    <w:rPr>
      <w:rFonts w:ascii="Arial" w:eastAsiaTheme="majorEastAsia" w:hAnsi="Arial" w:cstheme="majorBidi"/>
      <w:b/>
      <w:color w:val="0064A8"/>
      <w:spacing w:val="-10"/>
      <w:kern w:val="28"/>
      <w:sz w:val="56"/>
      <w:szCs w:val="56"/>
      <w:lang w:val="en-US" w:eastAsia="en-US"/>
    </w:rPr>
  </w:style>
  <w:style w:type="paragraph" w:styleId="ListParagraph">
    <w:name w:val="List Paragraph"/>
    <w:basedOn w:val="Normal"/>
    <w:uiPriority w:val="34"/>
    <w:qFormat/>
    <w:rsid w:val="00082A2C"/>
    <w:pPr>
      <w:ind w:left="720"/>
      <w:contextualSpacing/>
    </w:pPr>
  </w:style>
  <w:style w:type="character" w:customStyle="1" w:styleId="Heading1Char">
    <w:name w:val="Heading 1 Char"/>
    <w:basedOn w:val="DefaultParagraphFont"/>
    <w:link w:val="Heading1"/>
    <w:uiPriority w:val="9"/>
    <w:rsid w:val="00F96E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BC51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1CD"/>
    <w:rPr>
      <w:sz w:val="20"/>
      <w:szCs w:val="20"/>
    </w:rPr>
  </w:style>
  <w:style w:type="character" w:styleId="FootnoteReference">
    <w:name w:val="footnote reference"/>
    <w:basedOn w:val="DefaultParagraphFont"/>
    <w:uiPriority w:val="99"/>
    <w:semiHidden/>
    <w:unhideWhenUsed/>
    <w:rsid w:val="00BC51CD"/>
    <w:rPr>
      <w:vertAlign w:val="superscript"/>
    </w:rPr>
  </w:style>
  <w:style w:type="character" w:styleId="Hyperlink">
    <w:name w:val="Hyperlink"/>
    <w:basedOn w:val="DefaultParagraphFont"/>
    <w:uiPriority w:val="99"/>
    <w:unhideWhenUsed/>
    <w:rsid w:val="006B02C8"/>
    <w:rPr>
      <w:color w:val="0563C1" w:themeColor="hyperlink"/>
      <w:u w:val="single"/>
    </w:rPr>
  </w:style>
  <w:style w:type="character" w:styleId="UnresolvedMention">
    <w:name w:val="Unresolved Mention"/>
    <w:basedOn w:val="DefaultParagraphFont"/>
    <w:uiPriority w:val="99"/>
    <w:semiHidden/>
    <w:unhideWhenUsed/>
    <w:rsid w:val="006B02C8"/>
    <w:rPr>
      <w:color w:val="605E5C"/>
      <w:shd w:val="clear" w:color="auto" w:fill="E1DFDD"/>
    </w:rPr>
  </w:style>
  <w:style w:type="character" w:customStyle="1" w:styleId="Heading2Char">
    <w:name w:val="Heading 2 Char"/>
    <w:basedOn w:val="DefaultParagraphFont"/>
    <w:link w:val="Heading2"/>
    <w:uiPriority w:val="9"/>
    <w:semiHidden/>
    <w:rsid w:val="009B2FE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056E9"/>
    <w:rPr>
      <w:sz w:val="16"/>
      <w:szCs w:val="16"/>
    </w:rPr>
  </w:style>
  <w:style w:type="paragraph" w:styleId="CommentText">
    <w:name w:val="annotation text"/>
    <w:basedOn w:val="Normal"/>
    <w:link w:val="CommentTextChar"/>
    <w:uiPriority w:val="99"/>
    <w:unhideWhenUsed/>
    <w:rsid w:val="001056E9"/>
    <w:pPr>
      <w:spacing w:line="240" w:lineRule="auto"/>
    </w:pPr>
    <w:rPr>
      <w:sz w:val="20"/>
      <w:szCs w:val="20"/>
    </w:rPr>
  </w:style>
  <w:style w:type="character" w:customStyle="1" w:styleId="CommentTextChar">
    <w:name w:val="Comment Text Char"/>
    <w:basedOn w:val="DefaultParagraphFont"/>
    <w:link w:val="CommentText"/>
    <w:uiPriority w:val="99"/>
    <w:rsid w:val="001056E9"/>
    <w:rPr>
      <w:sz w:val="20"/>
      <w:szCs w:val="20"/>
    </w:rPr>
  </w:style>
  <w:style w:type="paragraph" w:styleId="CommentSubject">
    <w:name w:val="annotation subject"/>
    <w:basedOn w:val="CommentText"/>
    <w:next w:val="CommentText"/>
    <w:link w:val="CommentSubjectChar"/>
    <w:uiPriority w:val="99"/>
    <w:semiHidden/>
    <w:unhideWhenUsed/>
    <w:rsid w:val="00181AAC"/>
    <w:rPr>
      <w:b/>
      <w:bCs/>
    </w:rPr>
  </w:style>
  <w:style w:type="character" w:customStyle="1" w:styleId="CommentSubjectChar">
    <w:name w:val="Comment Subject Char"/>
    <w:basedOn w:val="CommentTextChar"/>
    <w:link w:val="CommentSubject"/>
    <w:uiPriority w:val="99"/>
    <w:semiHidden/>
    <w:rsid w:val="00181AAC"/>
    <w:rPr>
      <w:b/>
      <w:bCs/>
      <w:sz w:val="20"/>
      <w:szCs w:val="20"/>
    </w:rPr>
  </w:style>
  <w:style w:type="paragraph" w:styleId="NoSpacing">
    <w:name w:val="No Spacing"/>
    <w:uiPriority w:val="1"/>
    <w:qFormat/>
    <w:rsid w:val="001F2BE5"/>
    <w:pPr>
      <w:spacing w:after="0" w:line="240" w:lineRule="auto"/>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97237">
      <w:bodyDiv w:val="1"/>
      <w:marLeft w:val="0"/>
      <w:marRight w:val="0"/>
      <w:marTop w:val="0"/>
      <w:marBottom w:val="0"/>
      <w:divBdr>
        <w:top w:val="none" w:sz="0" w:space="0" w:color="auto"/>
        <w:left w:val="none" w:sz="0" w:space="0" w:color="auto"/>
        <w:bottom w:val="none" w:sz="0" w:space="0" w:color="auto"/>
        <w:right w:val="none" w:sz="0" w:space="0" w:color="auto"/>
      </w:divBdr>
    </w:div>
    <w:div w:id="11482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iccwbo.org/content/uploads/sites/3/2010/10/ICC-discussion-paper-on-ICTs-and-environmental-sustainability.pdf" TargetMode="External"/><Relationship Id="rId2" Type="http://schemas.openxmlformats.org/officeDocument/2006/relationships/customXml" Target="../customXml/item2.xml"/><Relationship Id="rId16" Type="http://schemas.openxmlformats.org/officeDocument/2006/relationships/hyperlink" Target="https://iccwbo.org/content/uploads/sites/3/2016/06/ICC-Digital-Economy-Commission-Policy-Statement-on-Regulatory-Modernization-in-the-Digital-Econom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cdn.iccwbo.org/content/uploads/sites/3/2018/07/icc-2018-ict-policy-statement.pdf"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logs.microsoft.com/on-the-issues/2019/04/08/its-time-for-a-new-approach-for-mapping-broadband-data-to-better-serve-america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ricsson.com/en/press-releases/1/2020/mtn-south-africa-and-ericsson-win-building-a-better-more-inclusive-digital-world-award-at-africacom-2020" TargetMode="External"/><Relationship Id="rId7" Type="http://schemas.openxmlformats.org/officeDocument/2006/relationships/hyperlink" Target="https://www.facebook.com/325328670544/posts/10161036634735545/?d=n%22%20\h" TargetMode="External"/><Relationship Id="rId2" Type="http://schemas.openxmlformats.org/officeDocument/2006/relationships/hyperlink" Target="https://www.gsma.com/r/somic/" TargetMode="External"/><Relationship Id="rId1" Type="http://schemas.openxmlformats.org/officeDocument/2006/relationships/hyperlink" Target="https://itu.int/itu-d/reports/broadbandcommission/state-of-broadband-2021/" TargetMode="External"/><Relationship Id="rId6" Type="http://schemas.openxmlformats.org/officeDocument/2006/relationships/hyperlink" Target="https://www.facebook.com/325328670544/posts/10161036634735545/?d=n%22%20\h" TargetMode="External"/><Relationship Id="rId5" Type="http://schemas.openxmlformats.org/officeDocument/2006/relationships/hyperlink" Target="https://www.microsoft.com/en-us/corporate-responsibility/airband/partnerships" TargetMode="External"/><Relationship Id="rId4" Type="http://schemas.openxmlformats.org/officeDocument/2006/relationships/hyperlink" Target="https://www.ericsson.com/en/fixed-wireless-access?gclid=CjwKCAjw7rWKBhAtEiwAJ3CWLD0hX1tFThDT7r-Mvcv0r9BU7fAQRVtL0xMn-hEdJB5hOMkNh5RuTxoCC_IQAvD_BwE&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6" ma:contentTypeDescription="Create a new document." ma:contentTypeScope="" ma:versionID="749933ac60cd275838fecaf2a2b42920">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7718a048471fcf438c19e0fe88a087e1"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f140b-4145-4024-8bcc-6d7083f15a24"/>
    <cd566fe4f739453c890791ece589dd09 xmlns="6e0672cc-2b49-4aef-a692-9dbb21d7e3f3">
      <Terms xmlns="http://schemas.microsoft.com/office/infopath/2007/PartnerControls"/>
    </cd566fe4f739453c890791ece589dd09>
  </documentManagement>
</p:properties>
</file>

<file path=customXml/itemProps1.xml><?xml version="1.0" encoding="utf-8"?>
<ds:datastoreItem xmlns:ds="http://schemas.openxmlformats.org/officeDocument/2006/customXml" ds:itemID="{D8534F64-DFD7-484B-8C83-712AD342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FA776-D402-4BA1-B04C-B6313BB9D84E}">
  <ds:schemaRefs>
    <ds:schemaRef ds:uri="http://schemas.microsoft.com/sharepoint/v3/contenttype/forms"/>
  </ds:schemaRefs>
</ds:datastoreItem>
</file>

<file path=customXml/itemProps3.xml><?xml version="1.0" encoding="utf-8"?>
<ds:datastoreItem xmlns:ds="http://schemas.openxmlformats.org/officeDocument/2006/customXml" ds:itemID="{669C496B-9BA7-4BB3-9B26-06F351FA1495}">
  <ds:schemaRefs>
    <ds:schemaRef ds:uri="http://schemas.microsoft.com/office/2006/metadata/properties"/>
    <ds:schemaRef ds:uri="http://schemas.microsoft.com/office/infopath/2007/PartnerControls"/>
    <ds:schemaRef ds:uri="598f140b-4145-4024-8bcc-6d7083f15a24"/>
    <ds:schemaRef ds:uri="6e0672cc-2b49-4aef-a692-9dbb21d7e3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8961</Words>
  <Characters>51082</Characters>
  <Application>Microsoft Office Word</Application>
  <DocSecurity>0</DocSecurity>
  <Lines>425</Lines>
  <Paragraphs>119</Paragraphs>
  <ScaleCrop>false</ScaleCrop>
  <Company/>
  <LinksUpToDate>false</LinksUpToDate>
  <CharactersWithSpaces>59924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SUTO Timea</dc:creator>
  <cp:keywords/>
  <dc:description/>
  <cp:lastModifiedBy>GORDON Charly</cp:lastModifiedBy>
  <cp:revision>18</cp:revision>
  <dcterms:created xsi:type="dcterms:W3CDTF">2021-09-24T15:15:00Z</dcterms:created>
  <dcterms:modified xsi:type="dcterms:W3CDTF">2021-09-24T15:27:00Z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0x010100C9E3D1B2D00823408CE8450BC0946B1D</vt:lpwstr>
  </property>
  <property fmtid="{D5CDD505-2E9C-101B-9397-08002B2CF9AE}" pid="3" name="Provenance">
    <vt:lpwstr/>
  </property>
</Properties>
</file>