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4090" w14:textId="77777777" w:rsidR="00CC2032" w:rsidRDefault="00CC2032" w:rsidP="00CC2032">
      <w:pPr>
        <w:pStyle w:val="Head"/>
      </w:pPr>
      <w:bookmarkStart w:id="0" w:name="bmkStart"/>
      <w:bookmarkEnd w:id="0"/>
      <w:r>
        <w:t xml:space="preserve">Revised ICC Guidelines on Whistleblowing </w:t>
      </w:r>
    </w:p>
    <w:p w14:paraId="055C9B93" w14:textId="77777777" w:rsidR="00CC2032" w:rsidRDefault="00CC2032" w:rsidP="00CC2032"/>
    <w:p w14:paraId="4CC8FFEA" w14:textId="77777777" w:rsidR="00CC2032" w:rsidRPr="00D87140" w:rsidRDefault="00CC2032" w:rsidP="00CC2032">
      <w:pPr>
        <w:pStyle w:val="UCRoman1"/>
        <w:rPr>
          <w:b/>
          <w:bCs/>
        </w:rPr>
      </w:pPr>
      <w:r>
        <w:rPr>
          <w:b/>
          <w:bCs/>
        </w:rPr>
        <w:t>Introduction</w:t>
      </w:r>
    </w:p>
    <w:p w14:paraId="560E7F9C" w14:textId="77777777" w:rsidR="00CC2032" w:rsidRPr="00D87140" w:rsidRDefault="00CC2032" w:rsidP="00CC2032">
      <w:pPr>
        <w:pStyle w:val="Body1"/>
      </w:pPr>
      <w:r>
        <w:t>[</w:t>
      </w:r>
      <w:r>
        <w:rPr>
          <w:rFonts w:cs="Arial"/>
        </w:rPr>
        <w:t>●</w:t>
      </w:r>
      <w:r>
        <w:t>]</w:t>
      </w:r>
    </w:p>
    <w:p w14:paraId="05426814" w14:textId="77777777" w:rsidR="00CC2032" w:rsidRPr="00E13CF8" w:rsidRDefault="00CC2032" w:rsidP="00CC2032">
      <w:pPr>
        <w:pStyle w:val="UCRoman1"/>
        <w:rPr>
          <w:b/>
          <w:bCs/>
        </w:rPr>
      </w:pPr>
      <w:r w:rsidRPr="00E13CF8">
        <w:rPr>
          <w:b/>
          <w:bCs/>
          <w:lang w:val="pt-PT"/>
        </w:rPr>
        <w:t>Definitions</w:t>
      </w:r>
    </w:p>
    <w:p w14:paraId="5F9F8A06" w14:textId="77777777" w:rsidR="00CC2032" w:rsidRDefault="00CC2032" w:rsidP="00CC2032">
      <w:pPr>
        <w:pStyle w:val="Body1"/>
      </w:pPr>
      <w:r>
        <w:t xml:space="preserve">The following terms are used throughout these Guidelines: </w:t>
      </w:r>
    </w:p>
    <w:p w14:paraId="067F0251" w14:textId="77777777" w:rsidR="00CC2032" w:rsidRDefault="00CC2032" w:rsidP="00CC2032">
      <w:pPr>
        <w:pStyle w:val="dashbullet2"/>
      </w:pPr>
      <w:r w:rsidRPr="001E3AE1">
        <w:rPr>
          <w:b/>
          <w:bCs/>
        </w:rPr>
        <w:t>Enterprise</w:t>
      </w:r>
      <w:r>
        <w:t xml:space="preserve"> means any entity engaged in business and other economic activities, whether or not organised for profit, including any entity controlled by a state or territorial subdivision thereof; it includes a parent and its controlled subsidiaries.</w:t>
      </w:r>
    </w:p>
    <w:p w14:paraId="518893C0" w14:textId="77777777" w:rsidR="00CC2032" w:rsidRDefault="00CC2032" w:rsidP="00CC2032">
      <w:pPr>
        <w:pStyle w:val="dashbullet2"/>
      </w:pPr>
      <w:r w:rsidRPr="00E12C61">
        <w:rPr>
          <w:b/>
          <w:bCs/>
        </w:rPr>
        <w:t>Guidelines</w:t>
      </w:r>
      <w:r>
        <w:t xml:space="preserve"> mean the present ICC Guidelines on Whistleblowing.</w:t>
      </w:r>
    </w:p>
    <w:p w14:paraId="7F98FAAC" w14:textId="50DF6086" w:rsidR="00CC2032" w:rsidRDefault="00CC2032" w:rsidP="00CC2032">
      <w:pPr>
        <w:pStyle w:val="dashbullet2"/>
      </w:pPr>
      <w:r>
        <w:rPr>
          <w:b/>
          <w:bCs/>
        </w:rPr>
        <w:t xml:space="preserve">Reporting Person </w:t>
      </w:r>
      <w:r>
        <w:t xml:space="preserve">means any person who reports a </w:t>
      </w:r>
      <w:r w:rsidR="003337B0">
        <w:t>Wrongdoing</w:t>
      </w:r>
      <w:r>
        <w:t>.</w:t>
      </w:r>
    </w:p>
    <w:p w14:paraId="2AD59517" w14:textId="77777777" w:rsidR="00CC2032" w:rsidRDefault="00CC2032" w:rsidP="00CC2032">
      <w:pPr>
        <w:pStyle w:val="dashbullet2"/>
      </w:pPr>
      <w:r w:rsidRPr="00D56FAE">
        <w:rPr>
          <w:b/>
          <w:bCs/>
        </w:rPr>
        <w:t>Retaliation</w:t>
      </w:r>
      <w:r>
        <w:t xml:space="preserve"> means any direct or indirect punishment, retribution or disadvantage, which is prompted by internal or external reporting, to the Reporting Person or </w:t>
      </w:r>
      <w:r w:rsidRPr="00227B20">
        <w:t xml:space="preserve">the legal entity that the </w:t>
      </w:r>
      <w:r>
        <w:t>R</w:t>
      </w:r>
      <w:r w:rsidRPr="00227B20">
        <w:t xml:space="preserve">eporting </w:t>
      </w:r>
      <w:r>
        <w:t>P</w:t>
      </w:r>
      <w:r w:rsidRPr="00227B20">
        <w:t>erson owns, works for or is otherwise connected with in a work-related context.</w:t>
      </w:r>
    </w:p>
    <w:p w14:paraId="5EC56FE4" w14:textId="77777777" w:rsidR="00CC2032" w:rsidRDefault="00CC2032" w:rsidP="00CC2032">
      <w:pPr>
        <w:pStyle w:val="dashbullet2"/>
      </w:pPr>
      <w:r>
        <w:rPr>
          <w:b/>
          <w:bCs/>
        </w:rPr>
        <w:t>Wrongdoing</w:t>
      </w:r>
      <w:r>
        <w:t xml:space="preserve"> means misconduct of whatever kind in the context of the workplace, such as, but not limited to, the breach of national or international law or legal obligation, fraud or corruption, human rights violations, harassment or discrimination in the workplace, or other breach of </w:t>
      </w:r>
      <w:r w:rsidRPr="00E506E5">
        <w:t>the code of conduct</w:t>
      </w:r>
      <w:r>
        <w:t xml:space="preserve"> or the code of ethics, or any other integrity standard, of the Enterprise.</w:t>
      </w:r>
    </w:p>
    <w:p w14:paraId="5762642E" w14:textId="2486C4A1" w:rsidR="00CC2032" w:rsidRDefault="00CC2032" w:rsidP="00CC2032">
      <w:pPr>
        <w:pStyle w:val="dashbullet2"/>
      </w:pPr>
      <w:r w:rsidRPr="00D56FAE">
        <w:rPr>
          <w:b/>
          <w:bCs/>
        </w:rPr>
        <w:t>Whistleblowing</w:t>
      </w:r>
      <w:r>
        <w:t xml:space="preserve"> means the reporting about perceived Wrongdoing by the Enterprise or certain individual</w:t>
      </w:r>
      <w:r w:rsidR="003337B0">
        <w:t>s</w:t>
      </w:r>
      <w:r>
        <w:t xml:space="preserve"> related to the Enterprise.  </w:t>
      </w:r>
    </w:p>
    <w:p w14:paraId="74AA1731" w14:textId="77777777" w:rsidR="00CC2032" w:rsidRDefault="00CC2032" w:rsidP="00CC2032">
      <w:pPr>
        <w:pStyle w:val="dashbullet2"/>
      </w:pPr>
      <w:r w:rsidRPr="00E12C61">
        <w:rPr>
          <w:b/>
          <w:bCs/>
        </w:rPr>
        <w:t xml:space="preserve">Whistleblowing </w:t>
      </w:r>
      <w:r>
        <w:rPr>
          <w:b/>
          <w:bCs/>
        </w:rPr>
        <w:t>System</w:t>
      </w:r>
      <w:r>
        <w:t xml:space="preserve"> means Enterprise-wide effective mechanisms, principles, rules and procedures relating to Whistleblowing.</w:t>
      </w:r>
    </w:p>
    <w:p w14:paraId="3C48B4E0" w14:textId="77777777" w:rsidR="00CC2032" w:rsidRPr="00E13CF8" w:rsidRDefault="00CC2032" w:rsidP="00CC2032">
      <w:pPr>
        <w:pStyle w:val="UCRoman1"/>
        <w:spacing w:before="360"/>
        <w:rPr>
          <w:b/>
          <w:bCs/>
        </w:rPr>
      </w:pPr>
      <w:r w:rsidRPr="00E13CF8">
        <w:rPr>
          <w:b/>
          <w:bCs/>
        </w:rPr>
        <w:t xml:space="preserve">Whistleblowing </w:t>
      </w:r>
      <w:r>
        <w:rPr>
          <w:b/>
          <w:bCs/>
        </w:rPr>
        <w:t>S</w:t>
      </w:r>
      <w:r w:rsidRPr="00E13CF8">
        <w:rPr>
          <w:b/>
          <w:bCs/>
        </w:rPr>
        <w:t>ystem</w:t>
      </w:r>
    </w:p>
    <w:p w14:paraId="2EB02CED" w14:textId="277E223C" w:rsidR="00CC2032" w:rsidRDefault="00CC2032" w:rsidP="00AA05D9">
      <w:pPr>
        <w:pStyle w:val="UCRoman1"/>
        <w:numPr>
          <w:ilvl w:val="0"/>
          <w:numId w:val="0"/>
        </w:numPr>
        <w:ind w:left="708"/>
      </w:pPr>
      <w:r w:rsidRPr="00EA1086">
        <w:t>Enterprises are encouraged to establish, within their organization</w:t>
      </w:r>
      <w:r>
        <w:t>s</w:t>
      </w:r>
      <w:r w:rsidRPr="00EA1086">
        <w:t xml:space="preserve"> and as an integral part of their integrity programme</w:t>
      </w:r>
      <w:r>
        <w:t>s</w:t>
      </w:r>
      <w:r w:rsidRPr="00EA1086">
        <w:t xml:space="preserve">, a </w:t>
      </w:r>
      <w:r>
        <w:t>W</w:t>
      </w:r>
      <w:r w:rsidRPr="00EA1086">
        <w:t xml:space="preserve">histleblowing </w:t>
      </w:r>
      <w:r>
        <w:t>S</w:t>
      </w:r>
      <w:r w:rsidRPr="00EA1086">
        <w:t xml:space="preserve">ystem, </w:t>
      </w:r>
      <w:r>
        <w:t>commensurate</w:t>
      </w:r>
      <w:r w:rsidRPr="00EA1086">
        <w:t xml:space="preserve"> </w:t>
      </w:r>
      <w:r>
        <w:t xml:space="preserve">with </w:t>
      </w:r>
      <w:r w:rsidRPr="00EA1086">
        <w:t xml:space="preserve">their size and resources. </w:t>
      </w:r>
    </w:p>
    <w:p w14:paraId="37B857B1" w14:textId="5BA5B921" w:rsidR="00CC2032" w:rsidRDefault="00CC2032" w:rsidP="00CC2032">
      <w:pPr>
        <w:pStyle w:val="Body1"/>
      </w:pPr>
      <w:r>
        <w:t>The Whistleblowing S</w:t>
      </w:r>
      <w:r w:rsidRPr="00EA1086">
        <w:t>ystem</w:t>
      </w:r>
      <w:r>
        <w:t xml:space="preserve"> </w:t>
      </w:r>
      <w:r w:rsidRPr="00762DD0">
        <w:t>must comply with all the applicable laws and regulations of the countr</w:t>
      </w:r>
      <w:r w:rsidR="00613BF9">
        <w:t xml:space="preserve">y </w:t>
      </w:r>
      <w:r w:rsidRPr="00762DD0">
        <w:t xml:space="preserve">in which </w:t>
      </w:r>
      <w:r>
        <w:t>the</w:t>
      </w:r>
      <w:r w:rsidRPr="00762DD0">
        <w:t xml:space="preserve"> Enterprise </w:t>
      </w:r>
      <w:r w:rsidR="00813126" w:rsidRPr="00762DD0">
        <w:t>operates</w:t>
      </w:r>
      <w:r w:rsidR="00813126">
        <w:t xml:space="preserve"> and</w:t>
      </w:r>
      <w:r w:rsidRPr="00EA1086">
        <w:t xml:space="preserve"> </w:t>
      </w:r>
      <w:r w:rsidR="00EB03F3">
        <w:t xml:space="preserve">ensure </w:t>
      </w:r>
      <w:r>
        <w:t xml:space="preserve">the </w:t>
      </w:r>
      <w:r w:rsidRPr="00EA1086">
        <w:t>integrity</w:t>
      </w:r>
      <w:r>
        <w:t xml:space="preserve"> of the whistleblowing process</w:t>
      </w:r>
      <w:r w:rsidRPr="00EA1086">
        <w:t xml:space="preserve"> and protection</w:t>
      </w:r>
      <w:r>
        <w:t xml:space="preserve"> of the Reporting Person,</w:t>
      </w:r>
      <w:r w:rsidRPr="00EA1086">
        <w:t xml:space="preserve"> n</w:t>
      </w:r>
      <w:r>
        <w:t>otably</w:t>
      </w:r>
      <w:r w:rsidRPr="00EA1086">
        <w:t xml:space="preserve"> by </w:t>
      </w:r>
      <w:r>
        <w:t>abiding by</w:t>
      </w:r>
      <w:r w:rsidRPr="00EA1086">
        <w:t xml:space="preserve"> the </w:t>
      </w:r>
      <w:r>
        <w:t>highest ethical</w:t>
      </w:r>
      <w:r w:rsidRPr="00EA1086">
        <w:t xml:space="preserve"> </w:t>
      </w:r>
      <w:r>
        <w:t xml:space="preserve">standards, employing competent staff and deploying appropriate </w:t>
      </w:r>
      <w:r w:rsidRPr="00EA1086">
        <w:t>technolog</w:t>
      </w:r>
      <w:r>
        <w:t>y</w:t>
      </w:r>
      <w:r w:rsidRPr="00EA1086">
        <w:t>.</w:t>
      </w:r>
    </w:p>
    <w:p w14:paraId="119ADE53" w14:textId="1B45DA0B" w:rsidR="00345819" w:rsidRDefault="00345819" w:rsidP="00CC2032">
      <w:pPr>
        <w:pStyle w:val="Body1"/>
      </w:pPr>
      <w:r w:rsidRPr="00345819">
        <w:t>Appropriate communication channels should be available to all employees of the Enterprise, including part-time employees and fixed-term contract employees, together with clear and easily accessible information about the communication channels and the procedures for Whistleblowing. A whistleblowing system should be easy and safe to use.</w:t>
      </w:r>
    </w:p>
    <w:p w14:paraId="3608E1BD" w14:textId="1381EDD8" w:rsidR="00CC2032" w:rsidRDefault="00CC2032" w:rsidP="00CC2032">
      <w:pPr>
        <w:pStyle w:val="Body1"/>
      </w:pPr>
      <w:r>
        <w:t xml:space="preserve">The Whistleblowing System should be designed to </w:t>
      </w:r>
      <w:r w:rsidRPr="00272C7C">
        <w:t xml:space="preserve">ensure that the identity of the </w:t>
      </w:r>
      <w:r>
        <w:t>R</w:t>
      </w:r>
      <w:r w:rsidRPr="00272C7C">
        <w:t xml:space="preserve">eporting </w:t>
      </w:r>
      <w:r>
        <w:t>P</w:t>
      </w:r>
      <w:r w:rsidRPr="00272C7C">
        <w:t xml:space="preserve">erson is not disclosed to anyone, without the explicit </w:t>
      </w:r>
      <w:r>
        <w:t xml:space="preserve">and informed </w:t>
      </w:r>
      <w:r w:rsidRPr="00272C7C">
        <w:t>consent of that person</w:t>
      </w:r>
      <w:r w:rsidR="004C2CA8">
        <w:t>,</w:t>
      </w:r>
      <w:r w:rsidR="00180FB1" w:rsidRPr="00180FB1">
        <w:t xml:space="preserve"> beyond the authorised personnel competent to receive or follow up on reports</w:t>
      </w:r>
      <w:r w:rsidRPr="00272C7C">
        <w:t xml:space="preserve">. This shall </w:t>
      </w:r>
      <w:r w:rsidRPr="00272C7C">
        <w:lastRenderedPageBreak/>
        <w:t xml:space="preserve">also apply to any other information from which the identity of the </w:t>
      </w:r>
      <w:r>
        <w:t>R</w:t>
      </w:r>
      <w:r w:rsidRPr="00272C7C">
        <w:t xml:space="preserve">eporting </w:t>
      </w:r>
      <w:r>
        <w:t>P</w:t>
      </w:r>
      <w:r w:rsidRPr="00272C7C">
        <w:t>erson may be directly or indirectly deduced.</w:t>
      </w:r>
      <w:r>
        <w:t xml:space="preserve"> T</w:t>
      </w:r>
      <w:r w:rsidRPr="00272C7C">
        <w:t xml:space="preserve">he </w:t>
      </w:r>
      <w:r>
        <w:t xml:space="preserve">information </w:t>
      </w:r>
      <w:r w:rsidRPr="00272C7C">
        <w:t>may be disclosed only where this is a necessary and proportionate obligation imposed by law.</w:t>
      </w:r>
    </w:p>
    <w:p w14:paraId="0DC8F198" w14:textId="403F9112" w:rsidR="00CC2032" w:rsidRDefault="00CC2032" w:rsidP="00CC2032">
      <w:pPr>
        <w:pStyle w:val="Body1"/>
      </w:pPr>
      <w:r>
        <w:t>The Whistleblowing</w:t>
      </w:r>
      <w:r w:rsidR="007B1054">
        <w:t xml:space="preserve"> </w:t>
      </w:r>
      <w:r>
        <w:t xml:space="preserve">System shall encourage reporting through internal communication channels before reporting through external channels or public disclosure, </w:t>
      </w:r>
      <w:r w:rsidRPr="000D6FE7">
        <w:t xml:space="preserve">unless external reporting is mandatory under applicable law or </w:t>
      </w:r>
      <w:r>
        <w:t xml:space="preserve">is </w:t>
      </w:r>
      <w:r w:rsidRPr="000D6FE7">
        <w:t xml:space="preserve">necessary or advisable for any </w:t>
      </w:r>
      <w:r>
        <w:t>relevant</w:t>
      </w:r>
      <w:r w:rsidRPr="000D6FE7">
        <w:t xml:space="preserve"> reason</w:t>
      </w:r>
      <w:r>
        <w:t xml:space="preserve">. The rights of the whistleblower to report externally, </w:t>
      </w:r>
      <w:r w:rsidR="00813126">
        <w:t>e.g.,</w:t>
      </w:r>
      <w:r>
        <w:t xml:space="preserve"> to relevant competent authorities, should be made transparent by the Enterprise from the outset.</w:t>
      </w:r>
    </w:p>
    <w:p w14:paraId="70E91734" w14:textId="61AD2765" w:rsidR="00CC2032" w:rsidRDefault="00CC2032" w:rsidP="00CC2032">
      <w:pPr>
        <w:pStyle w:val="Body1"/>
      </w:pPr>
      <w:r>
        <w:t xml:space="preserve">Additionally, each individual Enterprise should evaluate, taking into account the applicable law of </w:t>
      </w:r>
      <w:r w:rsidR="002174DB">
        <w:t xml:space="preserve">the </w:t>
      </w:r>
      <w:r>
        <w:t>country in which a Whistleblowing System will be put into place:</w:t>
      </w:r>
    </w:p>
    <w:p w14:paraId="6A37A112" w14:textId="4EAC4554" w:rsidR="00CC2032" w:rsidRDefault="00CC2032" w:rsidP="00CC2032">
      <w:pPr>
        <w:pStyle w:val="dashbullet2"/>
      </w:pPr>
      <w:r>
        <w:t xml:space="preserve">whether reporting under the Whistleblowing System should be made compulsory or voluntary, and whether it should be incentivised </w:t>
      </w:r>
      <w:r w:rsidR="00813126">
        <w:t>e.g.,</w:t>
      </w:r>
      <w:r>
        <w:t xml:space="preserve"> by offering a reward</w:t>
      </w:r>
    </w:p>
    <w:p w14:paraId="732B2BEB" w14:textId="7A8E29AB" w:rsidR="00CC2032" w:rsidRDefault="00CC2032" w:rsidP="00CC2032">
      <w:pPr>
        <w:pStyle w:val="dashbullet2"/>
      </w:pPr>
      <w:r>
        <w:t>whether reporting can be done anonymously, and</w:t>
      </w:r>
    </w:p>
    <w:p w14:paraId="5A40C44A" w14:textId="77777777" w:rsidR="00CC2032" w:rsidRDefault="00CC2032" w:rsidP="00CC2032">
      <w:pPr>
        <w:pStyle w:val="dashbullet2"/>
      </w:pPr>
      <w:r>
        <w:t xml:space="preserve">whether to enable reporting by third parties. </w:t>
      </w:r>
    </w:p>
    <w:p w14:paraId="01B736B5" w14:textId="41EC9643" w:rsidR="00CC2032" w:rsidRDefault="00CC2032" w:rsidP="00CC2032">
      <w:pPr>
        <w:pStyle w:val="dashbullet1"/>
        <w:numPr>
          <w:ilvl w:val="0"/>
          <w:numId w:val="0"/>
        </w:numPr>
        <w:ind w:left="680"/>
      </w:pPr>
      <w:r>
        <w:t xml:space="preserve">Enterprises should consider providing a variety of communication channels for whistleblowing and cater for different preferences and abilities of potential reporting persons, combining </w:t>
      </w:r>
      <w:r w:rsidRPr="00762DD0">
        <w:t xml:space="preserve">oral </w:t>
      </w:r>
      <w:r>
        <w:t>and</w:t>
      </w:r>
      <w:r w:rsidRPr="00762DD0">
        <w:t xml:space="preserve"> written communication,</w:t>
      </w:r>
      <w:r>
        <w:t xml:space="preserve"> such as </w:t>
      </w:r>
      <w:r w:rsidRPr="00762DD0">
        <w:t>telephone-based communication (toll free call helplines or hotlines)</w:t>
      </w:r>
      <w:r>
        <w:t>, digital</w:t>
      </w:r>
      <w:r w:rsidRPr="00762DD0">
        <w:t xml:space="preserve"> communication</w:t>
      </w:r>
      <w:r>
        <w:t xml:space="preserve"> (e-mail or webform)</w:t>
      </w:r>
      <w:r w:rsidRPr="00762DD0">
        <w:t xml:space="preserve"> or any other tool which i</w:t>
      </w:r>
      <w:r>
        <w:t xml:space="preserve">s fit for whistleblowing or for reporting in person directly to the responsible staff. </w:t>
      </w:r>
      <w:r w:rsidRPr="00762DD0">
        <w:t xml:space="preserve">Enterprises should endeavour to </w:t>
      </w:r>
      <w:r>
        <w:t xml:space="preserve">make </w:t>
      </w:r>
      <w:r w:rsidRPr="00762DD0">
        <w:t xml:space="preserve">communication channels </w:t>
      </w:r>
      <w:r w:rsidR="00E53A9A">
        <w:t xml:space="preserve">available </w:t>
      </w:r>
      <w:r>
        <w:t>in multiple languages</w:t>
      </w:r>
      <w:r w:rsidR="00872D44">
        <w:t>,</w:t>
      </w:r>
      <w:r>
        <w:t xml:space="preserve"> depending on the countries of operations</w:t>
      </w:r>
      <w:r w:rsidR="00872D44">
        <w:t>,</w:t>
      </w:r>
      <w:r>
        <w:t xml:space="preserve"> and integrate these channels in the Enterprise’s normal tools for communication</w:t>
      </w:r>
      <w:r w:rsidRPr="00762DD0">
        <w:t>.</w:t>
      </w:r>
    </w:p>
    <w:p w14:paraId="6CBA7FD7" w14:textId="77777777" w:rsidR="00CC2032" w:rsidRDefault="00CC2032" w:rsidP="00CC2032">
      <w:pPr>
        <w:pStyle w:val="dashbullet1"/>
        <w:numPr>
          <w:ilvl w:val="0"/>
          <w:numId w:val="0"/>
        </w:numPr>
        <w:ind w:left="680"/>
      </w:pPr>
      <w:r>
        <w:t xml:space="preserve">Irrespective of whether the Enterprise decides that reporting is made on a voluntary or compulsory basis, its employees should be educated on when to report and why. It is normally advised to encourage persons to submit a report at the earliest stage possible when there is a reasonable suspicion of Wrongdoing or risk of harm. </w:t>
      </w:r>
    </w:p>
    <w:p w14:paraId="49C73CE4" w14:textId="5BE5F184" w:rsidR="00CC2032" w:rsidRDefault="00CC2032" w:rsidP="00CC2032">
      <w:pPr>
        <w:pStyle w:val="Body1"/>
      </w:pPr>
      <w:r>
        <w:t xml:space="preserve">If it is decided to allow for </w:t>
      </w:r>
      <w:r w:rsidR="007A7696">
        <w:t xml:space="preserve">an </w:t>
      </w:r>
      <w:r>
        <w:t>anonymous Whistleblowing System, the Enterprise should take into account the legal and cultural environment of the countries where it operates, as well as issues relating to the protection of privacy and the risk of abuse of the process.</w:t>
      </w:r>
    </w:p>
    <w:p w14:paraId="7B77C2E1" w14:textId="77777777" w:rsidR="00CC2032" w:rsidRDefault="00CC2032" w:rsidP="00CC2032">
      <w:pPr>
        <w:pStyle w:val="UCRoman1"/>
        <w:numPr>
          <w:ilvl w:val="0"/>
          <w:numId w:val="0"/>
        </w:numPr>
        <w:ind w:left="680"/>
      </w:pPr>
      <w:r>
        <w:t xml:space="preserve">Enterprises should consider making their reporting channels available to their third parties, i.e. </w:t>
      </w:r>
      <w:r w:rsidRPr="00174000">
        <w:t>any person</w:t>
      </w:r>
      <w:r>
        <w:t xml:space="preserve">, </w:t>
      </w:r>
      <w:r w:rsidRPr="00174000">
        <w:t>business partner</w:t>
      </w:r>
      <w:r>
        <w:t xml:space="preserve"> or stakeholder </w:t>
      </w:r>
      <w:r w:rsidRPr="00174000">
        <w:t xml:space="preserve">whose proximity with the enterprise should </w:t>
      </w:r>
      <w:r>
        <w:t>make him/her</w:t>
      </w:r>
      <w:r w:rsidRPr="00174000">
        <w:t xml:space="preserve"> </w:t>
      </w:r>
      <w:r>
        <w:t>e</w:t>
      </w:r>
      <w:r w:rsidRPr="00174000">
        <w:t>specially qualified to identify misconduct</w:t>
      </w:r>
      <w:r>
        <w:t>, such as any</w:t>
      </w:r>
      <w:r w:rsidRPr="00174000">
        <w:t xml:space="preserve"> self-employed person</w:t>
      </w:r>
      <w:r>
        <w:t xml:space="preserve"> providing services to the Enterprise</w:t>
      </w:r>
      <w:r w:rsidRPr="00174000">
        <w:t>,</w:t>
      </w:r>
      <w:r>
        <w:t xml:space="preserve"> freelance workers and persons engaged through agencies, contractors, subcontractors and suppliers, and any</w:t>
      </w:r>
      <w:r w:rsidRPr="00174000">
        <w:t xml:space="preserve"> shareholder, director, officer, managers</w:t>
      </w:r>
      <w:r>
        <w:t xml:space="preserve"> </w:t>
      </w:r>
      <w:r w:rsidRPr="00174000">
        <w:t xml:space="preserve">agent and representative </w:t>
      </w:r>
      <w:r>
        <w:t xml:space="preserve">of the Enterprise. </w:t>
      </w:r>
    </w:p>
    <w:p w14:paraId="3C7C1997" w14:textId="77777777" w:rsidR="00CC2032" w:rsidRPr="009E0F5C" w:rsidRDefault="00CC2032" w:rsidP="00CC2032">
      <w:pPr>
        <w:pStyle w:val="UCRoman1"/>
        <w:spacing w:before="360"/>
        <w:rPr>
          <w:b/>
          <w:bCs/>
        </w:rPr>
      </w:pPr>
      <w:r>
        <w:rPr>
          <w:b/>
          <w:bCs/>
        </w:rPr>
        <w:t xml:space="preserve">Scope </w:t>
      </w:r>
    </w:p>
    <w:p w14:paraId="7FEE8666" w14:textId="34A03EF1" w:rsidR="00CC2032" w:rsidRDefault="00CC2032" w:rsidP="004C2CA8">
      <w:pPr>
        <w:pStyle w:val="Body1"/>
      </w:pPr>
      <w:r>
        <w:t xml:space="preserve">The </w:t>
      </w:r>
      <w:r w:rsidR="006367AA">
        <w:t>W</w:t>
      </w:r>
      <w:r>
        <w:t xml:space="preserve">histleblowing </w:t>
      </w:r>
      <w:r w:rsidR="006367AA">
        <w:t>S</w:t>
      </w:r>
      <w:r>
        <w:t>ystem should seek to have a broad application</w:t>
      </w:r>
    </w:p>
    <w:p w14:paraId="7CA7015E" w14:textId="029B7527" w:rsidR="00CC2032" w:rsidRDefault="00CC2032" w:rsidP="00CC2032">
      <w:pPr>
        <w:pStyle w:val="Body1"/>
      </w:pPr>
      <w:r>
        <w:t>A W</w:t>
      </w:r>
      <w:r w:rsidRPr="00EA1086">
        <w:t xml:space="preserve">histleblowing </w:t>
      </w:r>
      <w:r>
        <w:t>S</w:t>
      </w:r>
      <w:r w:rsidRPr="00EA1086">
        <w:t xml:space="preserve">ystem </w:t>
      </w:r>
      <w:r>
        <w:t xml:space="preserve">can </w:t>
      </w:r>
      <w:r w:rsidRPr="00250BB9">
        <w:t>receiv</w:t>
      </w:r>
      <w:r>
        <w:t>e</w:t>
      </w:r>
      <w:r w:rsidRPr="00250BB9">
        <w:t xml:space="preserve"> </w:t>
      </w:r>
      <w:r>
        <w:t>any</w:t>
      </w:r>
      <w:r w:rsidRPr="00250BB9">
        <w:t xml:space="preserve"> report about </w:t>
      </w:r>
      <w:r>
        <w:t>Wrongdoing</w:t>
      </w:r>
      <w:r w:rsidRPr="00250BB9">
        <w:t>, whether</w:t>
      </w:r>
      <w:r>
        <w:t xml:space="preserve"> actual or potential,</w:t>
      </w:r>
      <w:r w:rsidRPr="00250BB9">
        <w:t xml:space="preserve"> established or </w:t>
      </w:r>
      <w:r>
        <w:t>reasonably</w:t>
      </w:r>
      <w:r w:rsidRPr="00250BB9">
        <w:t xml:space="preserve"> suspected, which could seriously harm the </w:t>
      </w:r>
      <w:r>
        <w:t>E</w:t>
      </w:r>
      <w:r w:rsidRPr="00250BB9">
        <w:t>nterprise or the group if no remedial action is taken.</w:t>
      </w:r>
    </w:p>
    <w:p w14:paraId="2DEC7F57" w14:textId="77777777" w:rsidR="00CC2032" w:rsidRDefault="00CC2032" w:rsidP="00CC2032">
      <w:pPr>
        <w:pStyle w:val="Body1"/>
      </w:pPr>
      <w:r>
        <w:t xml:space="preserve">The Enterprise should establish procedures for handling whistleblowers’ reports of whatever kind in the context of the workplace, such as, but not limited to, the breach of national or </w:t>
      </w:r>
      <w:r>
        <w:lastRenderedPageBreak/>
        <w:t xml:space="preserve">international law or legal obligation, fraud or corruption, human rights violations, harassment or discrimination in the workplace, or other breach of </w:t>
      </w:r>
      <w:r w:rsidRPr="00E506E5">
        <w:t>the code of conduct</w:t>
      </w:r>
      <w:r>
        <w:t xml:space="preserve"> or the code of ethics, or any other integrity standard, of the Enterprise.</w:t>
      </w:r>
    </w:p>
    <w:p w14:paraId="64DE00BF" w14:textId="77777777" w:rsidR="00CC2032" w:rsidRDefault="00CC2032" w:rsidP="00CC2032">
      <w:pPr>
        <w:pStyle w:val="Body1"/>
      </w:pPr>
      <w:r>
        <w:t>The Enterprise may further consider whether to guide employees to use the Whistleblowing System for asking questions or consult on compliance issues and/or alert the Enterprise to general risks of danger to health, safety or the environment. Note that whistleblower systems are generally not suitable for dealing with emergencies.</w:t>
      </w:r>
    </w:p>
    <w:p w14:paraId="33CF9EEA" w14:textId="77777777" w:rsidR="00CC2032" w:rsidRDefault="00CC2032" w:rsidP="00CC2032">
      <w:pPr>
        <w:pStyle w:val="UCRoman1"/>
        <w:spacing w:before="360"/>
        <w:rPr>
          <w:b/>
          <w:bCs/>
        </w:rPr>
      </w:pPr>
      <w:r>
        <w:rPr>
          <w:b/>
          <w:bCs/>
        </w:rPr>
        <w:t xml:space="preserve">Whistleblower protection </w:t>
      </w:r>
    </w:p>
    <w:p w14:paraId="70DA9C6A" w14:textId="20EA053A" w:rsidR="00CC2032" w:rsidRDefault="00CC2032" w:rsidP="00A209B1">
      <w:pPr>
        <w:pStyle w:val="UCRoman1"/>
        <w:numPr>
          <w:ilvl w:val="0"/>
          <w:numId w:val="0"/>
        </w:numPr>
        <w:ind w:left="680"/>
      </w:pPr>
      <w:r>
        <w:t>Reporting Persons should be protected from retaliation</w:t>
      </w:r>
      <w:r w:rsidR="00A209B1">
        <w:t xml:space="preserve">.  </w:t>
      </w:r>
      <w:r>
        <w:t xml:space="preserve">All Reporting Persons should be protected against any form of Retaliation, whether direct or indirect, taken, encouraged or tolerated by the Enterprise or by any customer, recipient of services, supplier, contractor or </w:t>
      </w:r>
      <w:r w:rsidR="007A45E7">
        <w:t xml:space="preserve">by </w:t>
      </w:r>
      <w:r>
        <w:t xml:space="preserve">any other business partner of the Enterprise. In particular, the future employment, remuneration and career opportunities should not be put at risk of harm by the act of reporting. </w:t>
      </w:r>
    </w:p>
    <w:p w14:paraId="0DAF7FBA" w14:textId="77777777" w:rsidR="00CC2032" w:rsidRDefault="00CC2032" w:rsidP="00CC2032">
      <w:pPr>
        <w:pStyle w:val="Body1"/>
      </w:pPr>
      <w:r>
        <w:t xml:space="preserve">Threats or attempt of retaliation typically include - and should therefore be safeguarded against - dismissal, suspension, disciplinary action, coercion, intimidation, harassment, </w:t>
      </w:r>
      <w:r w:rsidRPr="00397E1E">
        <w:t>discriminat</w:t>
      </w:r>
      <w:r>
        <w:t>ion, blacklisting, business boycotting, early termination or cancellation of a contract, license or permit, loss of business, loss of income,</w:t>
      </w:r>
      <w:r w:rsidRPr="00397E1E">
        <w:t xml:space="preserve"> or </w:t>
      </w:r>
      <w:r>
        <w:t>any other harm or victimization to be caused as a consequence of the reporting process.</w:t>
      </w:r>
    </w:p>
    <w:p w14:paraId="20C3C7BB" w14:textId="4CD7546B" w:rsidR="00CC2032" w:rsidRDefault="00CC2032" w:rsidP="00CC2032">
      <w:pPr>
        <w:pStyle w:val="Body1"/>
      </w:pPr>
      <w:r>
        <w:t>The protection against retaliation may at time</w:t>
      </w:r>
      <w:r w:rsidR="007A45E7">
        <w:t>s</w:t>
      </w:r>
      <w:r>
        <w:t xml:space="preserve"> also be considered </w:t>
      </w:r>
      <w:r w:rsidR="00A209B1">
        <w:t>as applying to</w:t>
      </w:r>
      <w:r>
        <w:t xml:space="preserve"> </w:t>
      </w:r>
      <w:r w:rsidRPr="00210334">
        <w:t xml:space="preserve">colleagues or relatives of the </w:t>
      </w:r>
      <w:r>
        <w:t>R</w:t>
      </w:r>
      <w:r w:rsidRPr="00210334">
        <w:t xml:space="preserve">eporting </w:t>
      </w:r>
      <w:r>
        <w:t>P</w:t>
      </w:r>
      <w:r w:rsidRPr="00210334">
        <w:t>erson</w:t>
      </w:r>
      <w:r>
        <w:t xml:space="preserve"> </w:t>
      </w:r>
      <w:r w:rsidR="00406920">
        <w:t>and/</w:t>
      </w:r>
      <w:r>
        <w:t xml:space="preserve">or </w:t>
      </w:r>
      <w:r w:rsidR="00406920">
        <w:t xml:space="preserve">to </w:t>
      </w:r>
      <w:r>
        <w:t>any person who assists the Reporting Person in the reporting process.</w:t>
      </w:r>
    </w:p>
    <w:p w14:paraId="11D21D83" w14:textId="1AB7D030" w:rsidR="00CC2032" w:rsidRDefault="00CC2032" w:rsidP="00CC2032">
      <w:pPr>
        <w:pStyle w:val="Body1"/>
      </w:pPr>
      <w:r>
        <w:t>Whilst the Reporting Person should not be expected to evidence wrongdoing, the whistleblowing report</w:t>
      </w:r>
      <w:r w:rsidRPr="00A66555">
        <w:t xml:space="preserve"> should be made diligently and </w:t>
      </w:r>
      <w:r>
        <w:t>with reasonable grounds in light of the circumstances and the information available to the Reporting Person at the time of reporting.</w:t>
      </w:r>
      <w:r w:rsidRPr="00A66555">
        <w:t xml:space="preserve"> A </w:t>
      </w:r>
      <w:r>
        <w:t>Reporting Person</w:t>
      </w:r>
      <w:r w:rsidRPr="00A66555">
        <w:t xml:space="preserve">, whose report is not </w:t>
      </w:r>
      <w:r>
        <w:t xml:space="preserve">reasonably </w:t>
      </w:r>
      <w:r w:rsidR="005712C4">
        <w:t xml:space="preserve">seen to meet </w:t>
      </w:r>
      <w:r w:rsidRPr="00A66555">
        <w:t>such standard, should forthwith be told so and such report should be disregarded.</w:t>
      </w:r>
      <w:r>
        <w:t xml:space="preserve"> </w:t>
      </w:r>
      <w:r w:rsidRPr="0007376F">
        <w:t xml:space="preserve">If there is </w:t>
      </w:r>
      <w:r>
        <w:t xml:space="preserve">evidence of </w:t>
      </w:r>
      <w:r w:rsidRPr="0007376F">
        <w:t>abuse of the process</w:t>
      </w:r>
      <w:r>
        <w:t xml:space="preserve"> </w:t>
      </w:r>
      <w:r w:rsidR="00D25D8E">
        <w:t xml:space="preserve">in the </w:t>
      </w:r>
      <w:r>
        <w:t xml:space="preserve">reporting </w:t>
      </w:r>
      <w:r w:rsidRPr="0007376F">
        <w:t xml:space="preserve">disciplinary action </w:t>
      </w:r>
      <w:r>
        <w:t>may</w:t>
      </w:r>
      <w:r w:rsidRPr="0007376F">
        <w:t xml:space="preserve"> be envisaged.</w:t>
      </w:r>
    </w:p>
    <w:p w14:paraId="44C2F67E" w14:textId="77777777" w:rsidR="00CC2032" w:rsidRPr="00E13CF8" w:rsidRDefault="00CC2032" w:rsidP="00CC2032">
      <w:pPr>
        <w:pStyle w:val="UCRoman1"/>
        <w:spacing w:before="360"/>
        <w:rPr>
          <w:b/>
          <w:bCs/>
        </w:rPr>
      </w:pPr>
      <w:r w:rsidRPr="00E13CF8">
        <w:rPr>
          <w:b/>
          <w:bCs/>
        </w:rPr>
        <w:t xml:space="preserve">Roles </w:t>
      </w:r>
      <w:r>
        <w:rPr>
          <w:b/>
          <w:bCs/>
        </w:rPr>
        <w:t>and</w:t>
      </w:r>
      <w:r w:rsidRPr="00E13CF8">
        <w:rPr>
          <w:b/>
          <w:bCs/>
        </w:rPr>
        <w:t xml:space="preserve"> responsibilities</w:t>
      </w:r>
    </w:p>
    <w:p w14:paraId="22214D94" w14:textId="221EB829" w:rsidR="00CC2032" w:rsidRDefault="00CC2032" w:rsidP="00CC2032">
      <w:pPr>
        <w:pStyle w:val="Body1"/>
      </w:pPr>
      <w:r>
        <w:t xml:space="preserve">Enterprises should appoint high level personnel of unblemished reputation and relevant work experience to be in charge of the management and administration of their Whistleblowing System. These personnel should be given a large degree of autonomy and independence and </w:t>
      </w:r>
      <w:r w:rsidR="00406920">
        <w:t xml:space="preserve">should </w:t>
      </w:r>
      <w:r>
        <w:t>report to the highest echelon possible within the Enterprise.</w:t>
      </w:r>
      <w:r w:rsidR="0019145B" w:rsidRPr="0019145B">
        <w:t xml:space="preserve"> </w:t>
      </w:r>
      <w:r w:rsidR="006E31F6">
        <w:t xml:space="preserve"> </w:t>
      </w:r>
      <w:r w:rsidR="0019145B" w:rsidRPr="0019145B">
        <w:t>The designated recipient of Whistleblowing reports must be trustworthy</w:t>
      </w:r>
      <w:r w:rsidR="00406920">
        <w:t>.</w:t>
      </w:r>
    </w:p>
    <w:p w14:paraId="72A9FC08" w14:textId="74FD30D9" w:rsidR="00CC2032" w:rsidRDefault="00CC2032" w:rsidP="00CC2032">
      <w:pPr>
        <w:pStyle w:val="Body1"/>
      </w:pPr>
      <w:r>
        <w:t xml:space="preserve">An Enterprise may designate an external person or firm for receiving and handling Whistleblowing reports. Such person or firm should be </w:t>
      </w:r>
      <w:r w:rsidR="00813126">
        <w:t>independent</w:t>
      </w:r>
      <w:r>
        <w:t xml:space="preserve"> </w:t>
      </w:r>
      <w:r w:rsidR="004C2CA8">
        <w:t xml:space="preserve">and </w:t>
      </w:r>
      <w:r>
        <w:t>of unblemished reputation</w:t>
      </w:r>
      <w:r w:rsidR="004C2CA8">
        <w:t>,</w:t>
      </w:r>
      <w:r>
        <w:t xml:space="preserve"> and should offer appropriate guarantees of professionalism and confidentiality.</w:t>
      </w:r>
    </w:p>
    <w:p w14:paraId="7E36B3DE" w14:textId="77777777" w:rsidR="00CC2032" w:rsidRDefault="00CC2032" w:rsidP="00CC2032">
      <w:pPr>
        <w:pStyle w:val="Body1"/>
      </w:pPr>
      <w:r>
        <w:t>Enterprises s</w:t>
      </w:r>
      <w:r w:rsidRPr="00DC4EF5">
        <w:t xml:space="preserve">hall ensure that, where a report is received through </w:t>
      </w:r>
      <w:r>
        <w:t xml:space="preserve">internal </w:t>
      </w:r>
      <w:r w:rsidRPr="00DC4EF5">
        <w:t xml:space="preserve">channels other than the </w:t>
      </w:r>
      <w:r>
        <w:t xml:space="preserve">designated </w:t>
      </w:r>
      <w:r w:rsidRPr="00DC4EF5">
        <w:t xml:space="preserve">reporting channels </w:t>
      </w:r>
      <w:r>
        <w:t xml:space="preserve">or </w:t>
      </w:r>
      <w:r w:rsidRPr="00DC4EF5">
        <w:t xml:space="preserve">by </w:t>
      </w:r>
      <w:r>
        <w:t>personnel o</w:t>
      </w:r>
      <w:r w:rsidRPr="00DC4EF5">
        <w:t xml:space="preserve">ther than those responsible for handling reports, the </w:t>
      </w:r>
      <w:r>
        <w:t>personnel</w:t>
      </w:r>
      <w:r w:rsidRPr="00DC4EF5">
        <w:t xml:space="preserve"> who receive </w:t>
      </w:r>
      <w:r>
        <w:t>the report</w:t>
      </w:r>
      <w:r w:rsidRPr="00DC4EF5">
        <w:t xml:space="preserve"> are prohibited from disclosing any information that might identify the </w:t>
      </w:r>
      <w:r>
        <w:t>R</w:t>
      </w:r>
      <w:r w:rsidRPr="00DC4EF5">
        <w:t xml:space="preserve">eporting </w:t>
      </w:r>
      <w:r>
        <w:t>P</w:t>
      </w:r>
      <w:r w:rsidRPr="00DC4EF5">
        <w:t xml:space="preserve">erson or the person concerned, and that they promptly forward the report without modification to the </w:t>
      </w:r>
      <w:r>
        <w:t>personnel</w:t>
      </w:r>
      <w:r w:rsidRPr="00DC4EF5">
        <w:t xml:space="preserve"> responsible for handling reports.</w:t>
      </w:r>
    </w:p>
    <w:p w14:paraId="139F3A52" w14:textId="77777777" w:rsidR="00CC2032" w:rsidRPr="00E13CF8" w:rsidRDefault="00CC2032" w:rsidP="00CC2032">
      <w:pPr>
        <w:pStyle w:val="UCRoman1"/>
        <w:spacing w:before="360"/>
        <w:rPr>
          <w:b/>
          <w:bCs/>
        </w:rPr>
      </w:pPr>
      <w:r>
        <w:rPr>
          <w:b/>
          <w:bCs/>
        </w:rPr>
        <w:lastRenderedPageBreak/>
        <w:t>Management of the report</w:t>
      </w:r>
    </w:p>
    <w:p w14:paraId="5E8D1A34" w14:textId="77777777" w:rsidR="00CC2032" w:rsidRPr="00D404C3" w:rsidRDefault="00CC2032" w:rsidP="00CC2032">
      <w:pPr>
        <w:pStyle w:val="Body1"/>
      </w:pPr>
      <w:r w:rsidRPr="00D404C3">
        <w:t>Any Whistleblowing report must be</w:t>
      </w:r>
      <w:r>
        <w:t xml:space="preserve"> timely and diligently:</w:t>
      </w:r>
    </w:p>
    <w:p w14:paraId="6633227E" w14:textId="77777777" w:rsidR="00CC2032" w:rsidRPr="00D404C3" w:rsidRDefault="00CC2032" w:rsidP="00CC2032">
      <w:pPr>
        <w:pStyle w:val="dashbullet2"/>
      </w:pPr>
      <w:r w:rsidRPr="00D404C3">
        <w:t>acknowledged, recorded and screened, and</w:t>
      </w:r>
    </w:p>
    <w:p w14:paraId="52BF214D" w14:textId="7BEB2314" w:rsidR="00CC2032" w:rsidRDefault="00CC2032" w:rsidP="00CC2032">
      <w:pPr>
        <w:pStyle w:val="dashbullet2"/>
      </w:pPr>
      <w:r w:rsidRPr="00D404C3">
        <w:t>investigated</w:t>
      </w:r>
      <w:r>
        <w:t xml:space="preserve"> or otherwise addressed</w:t>
      </w:r>
      <w:r w:rsidRPr="00D404C3">
        <w:t>, under strict confidentiality rules, by an appropriate person</w:t>
      </w:r>
      <w:r w:rsidR="00651E69">
        <w:t>,</w:t>
      </w:r>
      <w:r w:rsidR="00882C7B">
        <w:t xml:space="preserve"> </w:t>
      </w:r>
      <w:r w:rsidRPr="00D404C3">
        <w:t>department</w:t>
      </w:r>
      <w:r w:rsidR="00651E69">
        <w:t>, or unit</w:t>
      </w:r>
      <w:r w:rsidRPr="00D404C3">
        <w:t xml:space="preserve">. </w:t>
      </w:r>
    </w:p>
    <w:p w14:paraId="096D6589" w14:textId="77777777" w:rsidR="00CC2032" w:rsidRPr="00D404C3" w:rsidRDefault="00CC2032" w:rsidP="00CC2032">
      <w:pPr>
        <w:pStyle w:val="dashbullet2"/>
        <w:numPr>
          <w:ilvl w:val="0"/>
          <w:numId w:val="0"/>
        </w:numPr>
        <w:ind w:left="680"/>
      </w:pPr>
      <w:r w:rsidRPr="00D404C3">
        <w:t>The designated person, department or unit may be the same as the one who received the report.</w:t>
      </w:r>
      <w:r>
        <w:t xml:space="preserve"> However, any decisions about disciplinary actions or remedial measures should not be taken solely by the same person who has received the report and/or managed the investigation. </w:t>
      </w:r>
    </w:p>
    <w:p w14:paraId="44DCF516" w14:textId="6DDD6AD7" w:rsidR="00CC2032" w:rsidRDefault="002A0407" w:rsidP="00CC2032">
      <w:pPr>
        <w:pStyle w:val="Body1"/>
      </w:pPr>
      <w:r>
        <w:t xml:space="preserve">To the extent </w:t>
      </w:r>
      <w:r w:rsidR="006E31F6">
        <w:t xml:space="preserve">that </w:t>
      </w:r>
      <w:r>
        <w:t xml:space="preserve">it is legally </w:t>
      </w:r>
      <w:r w:rsidR="00CC2032">
        <w:t>possible, and w</w:t>
      </w:r>
      <w:r w:rsidR="00CC2032" w:rsidRPr="00A66555">
        <w:t>ithin a</w:t>
      </w:r>
      <w:r w:rsidR="00CC2032">
        <w:t xml:space="preserve"> reasonable</w:t>
      </w:r>
      <w:r w:rsidR="00CC2032" w:rsidRPr="00A66555">
        <w:t xml:space="preserve"> timeframe, the main results of the </w:t>
      </w:r>
      <w:r w:rsidR="00CC2032">
        <w:t>investigation</w:t>
      </w:r>
      <w:r w:rsidR="00CC2032" w:rsidRPr="00A66555">
        <w:t xml:space="preserve"> </w:t>
      </w:r>
      <w:r w:rsidR="00CC2032">
        <w:t>and the measures envisaged or taken as follow-up to the report s</w:t>
      </w:r>
      <w:r w:rsidR="00CC2032" w:rsidRPr="00A66555">
        <w:t>hould be appropriately communicated as feedback to the</w:t>
      </w:r>
      <w:r w:rsidR="00CC2032">
        <w:t xml:space="preserve"> Reporting Person</w:t>
      </w:r>
      <w:r w:rsidR="00CC2032" w:rsidRPr="00A66555">
        <w:t>.</w:t>
      </w:r>
    </w:p>
    <w:p w14:paraId="6BB32F4C" w14:textId="77777777" w:rsidR="00CC2032" w:rsidRDefault="00CC2032" w:rsidP="00CC2032">
      <w:pPr>
        <w:pStyle w:val="Body1"/>
      </w:pPr>
      <w:r w:rsidRPr="00A66555">
        <w:t xml:space="preserve">The person whose behaviour has been reported should also be informed of the main object of the </w:t>
      </w:r>
      <w:r>
        <w:t>report</w:t>
      </w:r>
      <w:r w:rsidRPr="00A66555">
        <w:t>, unless such</w:t>
      </w:r>
      <w:r>
        <w:t xml:space="preserve"> information</w:t>
      </w:r>
      <w:r w:rsidRPr="00A66555">
        <w:t xml:space="preserve"> would be considered detrimental to the investigation or prohibited by law.</w:t>
      </w:r>
      <w:r>
        <w:t xml:space="preserve"> In any case, and to the extent permitted by law, this person’s presumption of innocence and rights of defence, hearing and access to the file shall be respected.  </w:t>
      </w:r>
      <w:r w:rsidRPr="00E644AB">
        <w:t>The person, department or unit in charge of the investigation should determine</w:t>
      </w:r>
      <w:r>
        <w:t>,</w:t>
      </w:r>
      <w:r w:rsidRPr="00E644AB">
        <w:t xml:space="preserve"> on a case</w:t>
      </w:r>
      <w:r>
        <w:t>-</w:t>
      </w:r>
      <w:r w:rsidRPr="00E644AB">
        <w:t>by</w:t>
      </w:r>
      <w:r>
        <w:t>-</w:t>
      </w:r>
      <w:r w:rsidRPr="00E644AB">
        <w:t>case basis</w:t>
      </w:r>
      <w:r>
        <w:t>,</w:t>
      </w:r>
      <w:r w:rsidRPr="00E644AB">
        <w:t xml:space="preserve"> when and how </w:t>
      </w:r>
      <w:r>
        <w:t xml:space="preserve">this </w:t>
      </w:r>
      <w:r w:rsidRPr="00E644AB">
        <w:t xml:space="preserve">should </w:t>
      </w:r>
      <w:r>
        <w:t>be made</w:t>
      </w:r>
      <w:r w:rsidRPr="00E644AB">
        <w:t>.</w:t>
      </w:r>
    </w:p>
    <w:p w14:paraId="5944AC8B" w14:textId="7B6CF9D7" w:rsidR="00CC2032" w:rsidRDefault="00B27C49" w:rsidP="00CC2032">
      <w:pPr>
        <w:pStyle w:val="Body1"/>
      </w:pPr>
      <w:r w:rsidRPr="00B27C49">
        <w:t>Enterprises should maintain, to the fullest extent possible and at all times, the confidentiality of the data revealed through the Whistleblowing System, and the identity of the Reporting Person, subject to overriding legal requirements, and should protect such data with the most appropriate means and technology pursuant to any applicable data privacy rules. No data or report should be kept for longer than it is necessary and proportionate to comply with applicable laws and regulations.</w:t>
      </w:r>
    </w:p>
    <w:p w14:paraId="3A9C3054" w14:textId="77777777" w:rsidR="00CC2032" w:rsidRPr="00B20A88" w:rsidRDefault="00CC2032" w:rsidP="00CC2032">
      <w:pPr>
        <w:pStyle w:val="UCAlpha1"/>
        <w:numPr>
          <w:ilvl w:val="0"/>
          <w:numId w:val="0"/>
        </w:numPr>
        <w:ind w:left="680"/>
      </w:pPr>
    </w:p>
    <w:p w14:paraId="3DEDBC8F" w14:textId="77777777" w:rsidR="00331650" w:rsidRDefault="00DF2E72"/>
    <w:sectPr w:rsidR="00331650" w:rsidSect="000849CF">
      <w:headerReference w:type="default" r:id="rId11"/>
      <w:footerReference w:type="default" r:id="rId12"/>
      <w:pgSz w:w="11907" w:h="16839" w:code="9"/>
      <w:pgMar w:top="1701" w:right="1588" w:bottom="1304" w:left="158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D95E" w14:textId="77777777" w:rsidR="00695DF1" w:rsidRDefault="00813126">
      <w:r>
        <w:separator/>
      </w:r>
    </w:p>
  </w:endnote>
  <w:endnote w:type="continuationSeparator" w:id="0">
    <w:p w14:paraId="49E3A1E8" w14:textId="77777777" w:rsidR="00695DF1" w:rsidRDefault="0081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F1A4" w14:textId="0FF30B7A" w:rsidR="007D1E0B" w:rsidRDefault="00813126" w:rsidP="007D1E0B">
    <w:pPr>
      <w:pStyle w:val="DocExCode"/>
      <w:jc w:val="center"/>
      <w:rPr>
        <w:rStyle w:val="PageNumber"/>
        <w:kern w:val="17"/>
      </w:rP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kern w:val="17"/>
      </w:rPr>
      <w:t>1</w:t>
    </w:r>
    <w:r>
      <w:rPr>
        <w:rStyle w:val="PageNumber"/>
        <w:kern w:val="17"/>
      </w:rPr>
      <w:fldChar w:fldCharType="end"/>
    </w:r>
    <w:r w:rsidR="007C4109">
      <w:rPr>
        <w:rStyle w:val="PageNumber"/>
        <w:kern w:val="17"/>
      </w:rPr>
      <w:t xml:space="preserve"> </w:t>
    </w:r>
  </w:p>
  <w:p w14:paraId="7A0C0429" w14:textId="37DB7A01" w:rsidR="00766AA4" w:rsidRDefault="00766AA4" w:rsidP="00766AA4">
    <w:pPr>
      <w:pStyle w:val="DocExCode"/>
      <w:jc w:val="right"/>
    </w:pPr>
    <w:r>
      <w:rPr>
        <w:rStyle w:val="PageNumber"/>
        <w:kern w:val="17"/>
      </w:rPr>
      <w:t>VSI/slr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A10C" w14:textId="77777777" w:rsidR="00695DF1" w:rsidRDefault="00813126">
      <w:r>
        <w:separator/>
      </w:r>
    </w:p>
  </w:footnote>
  <w:footnote w:type="continuationSeparator" w:id="0">
    <w:p w14:paraId="7091B0F5" w14:textId="77777777" w:rsidR="00695DF1" w:rsidRDefault="0081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6C59" w14:textId="7E14B318" w:rsidR="002E45A4" w:rsidRDefault="00DF2E72" w:rsidP="003A2737">
    <w:pPr>
      <w:pStyle w:val="Header"/>
    </w:pPr>
    <w:sdt>
      <w:sdtPr>
        <w:id w:val="-162629919"/>
        <w:docPartObj>
          <w:docPartGallery w:val="Watermarks"/>
          <w:docPartUnique/>
        </w:docPartObj>
      </w:sdtPr>
      <w:sdtEndPr/>
      <w:sdtContent>
        <w:r>
          <w:rPr>
            <w:noProof/>
          </w:rPr>
          <w:pict w14:anchorId="77F55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010D">
      <w:t xml:space="preserve">ICC – First </w:t>
    </w:r>
    <w:r w:rsidR="009F0DC9">
      <w:t>D</w:t>
    </w:r>
    <w:r w:rsidR="0049010D">
      <w:t>r</w:t>
    </w:r>
    <w:r w:rsidR="00A67FE8">
      <w:t xml:space="preserve">aft 4-8-2021 </w:t>
    </w:r>
  </w:p>
  <w:p w14:paraId="68CCCA61" w14:textId="461DCFE5" w:rsidR="00160754" w:rsidRPr="003A2737" w:rsidRDefault="00A67FE8" w:rsidP="003A2737">
    <w:pPr>
      <w:pStyle w:val="Header"/>
    </w:pPr>
    <w:r w:rsidRPr="002E45A4">
      <w:rPr>
        <w:b/>
        <w:bCs/>
        <w:sz w:val="22"/>
        <w:szCs w:val="22"/>
      </w:rPr>
      <w:t>CONFIDENTIA</w:t>
    </w:r>
    <w:r w:rsidR="002E45A4" w:rsidRPr="002E45A4">
      <w:rPr>
        <w:b/>
        <w:bCs/>
        <w:sz w:val="22"/>
        <w:szCs w:val="22"/>
      </w:rPr>
      <w:t xml:space="preserve">L - </w:t>
    </w:r>
    <w:r w:rsidRPr="002E45A4">
      <w:rPr>
        <w:b/>
        <w:bCs/>
        <w:sz w:val="22"/>
        <w:szCs w:val="22"/>
      </w:rPr>
      <w:t>NOT FOR CIRCULATION</w:t>
    </w:r>
    <w:r w:rsidR="002E45A4" w:rsidRPr="002E45A4">
      <w:rPr>
        <w:b/>
        <w:bCs/>
        <w:sz w:val="22"/>
        <w:szCs w:val="22"/>
      </w:rPr>
      <w:t xml:space="preserve"> BEYOND DESIGNATED RECIPIENTS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2" w15:restartNumberingAfterBreak="0">
    <w:nsid w:val="337A093D"/>
    <w:multiLevelType w:val="multilevel"/>
    <w:tmpl w:val="75BC11A0"/>
    <w:numStyleLink w:val="LLUCAlpha"/>
  </w:abstractNum>
  <w:abstractNum w:abstractNumId="3"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 w15:restartNumberingAfterBreak="0">
    <w:nsid w:val="4CCF58F5"/>
    <w:multiLevelType w:val="hybridMultilevel"/>
    <w:tmpl w:val="F7EA6428"/>
    <w:lvl w:ilvl="0" w:tplc="59F46F96">
      <w:start w:val="1"/>
      <w:numFmt w:val="bullet"/>
      <w:lvlText w:val="―"/>
      <w:lvlJc w:val="left"/>
      <w:pPr>
        <w:ind w:left="1400" w:hanging="360"/>
      </w:pPr>
      <w:rPr>
        <w:rFonts w:ascii="Calibri" w:hAnsi="Calibri"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56F71436"/>
    <w:multiLevelType w:val="multilevel"/>
    <w:tmpl w:val="383CCEC4"/>
    <w:numStyleLink w:val="LLdashbullet"/>
  </w:abstractNum>
  <w:abstractNum w:abstractNumId="6" w15:restartNumberingAfterBreak="0">
    <w:nsid w:val="57483875"/>
    <w:multiLevelType w:val="hybridMultilevel"/>
    <w:tmpl w:val="52527290"/>
    <w:lvl w:ilvl="0" w:tplc="59F46F96">
      <w:start w:val="1"/>
      <w:numFmt w:val="bullet"/>
      <w:lvlText w:val="―"/>
      <w:lvlJc w:val="left"/>
      <w:pPr>
        <w:ind w:left="1400" w:hanging="360"/>
      </w:pPr>
      <w:rPr>
        <w:rFonts w:ascii="Calibri" w:hAnsi="Calibri"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7C260529"/>
    <w:multiLevelType w:val="multilevel"/>
    <w:tmpl w:val="F49C9BD6"/>
    <w:numStyleLink w:val="LLUCRoman"/>
  </w:abstractNum>
  <w:num w:numId="1">
    <w:abstractNumId w:val="3"/>
  </w:num>
  <w:num w:numId="2">
    <w:abstractNumId w:val="0"/>
  </w:num>
  <w:num w:numId="3">
    <w:abstractNumId w:val="1"/>
  </w:num>
  <w:num w:numId="4">
    <w:abstractNumId w:val="5"/>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32"/>
    <w:rsid w:val="00072641"/>
    <w:rsid w:val="000A208B"/>
    <w:rsid w:val="00180FB1"/>
    <w:rsid w:val="0019145B"/>
    <w:rsid w:val="002174DB"/>
    <w:rsid w:val="002A0407"/>
    <w:rsid w:val="002A3279"/>
    <w:rsid w:val="002E45A4"/>
    <w:rsid w:val="002F061D"/>
    <w:rsid w:val="003337B0"/>
    <w:rsid w:val="00345819"/>
    <w:rsid w:val="00406920"/>
    <w:rsid w:val="00444110"/>
    <w:rsid w:val="00486D5A"/>
    <w:rsid w:val="0049010D"/>
    <w:rsid w:val="004C2CA8"/>
    <w:rsid w:val="005712C4"/>
    <w:rsid w:val="005859D8"/>
    <w:rsid w:val="00613BF9"/>
    <w:rsid w:val="00624AB7"/>
    <w:rsid w:val="00627431"/>
    <w:rsid w:val="006367AA"/>
    <w:rsid w:val="00651E69"/>
    <w:rsid w:val="00695DF1"/>
    <w:rsid w:val="006E31F6"/>
    <w:rsid w:val="00710EC2"/>
    <w:rsid w:val="00766AA4"/>
    <w:rsid w:val="007A45E7"/>
    <w:rsid w:val="007A7696"/>
    <w:rsid w:val="007B1054"/>
    <w:rsid w:val="007C4109"/>
    <w:rsid w:val="00813126"/>
    <w:rsid w:val="00834B8B"/>
    <w:rsid w:val="00872D44"/>
    <w:rsid w:val="00882C7B"/>
    <w:rsid w:val="00887931"/>
    <w:rsid w:val="00946700"/>
    <w:rsid w:val="009F0DC9"/>
    <w:rsid w:val="00A209B1"/>
    <w:rsid w:val="00A305E1"/>
    <w:rsid w:val="00A67FE8"/>
    <w:rsid w:val="00A9418F"/>
    <w:rsid w:val="00A95D99"/>
    <w:rsid w:val="00AA05D9"/>
    <w:rsid w:val="00B053C9"/>
    <w:rsid w:val="00B27C49"/>
    <w:rsid w:val="00BB0B12"/>
    <w:rsid w:val="00BB139A"/>
    <w:rsid w:val="00C87139"/>
    <w:rsid w:val="00CC112A"/>
    <w:rsid w:val="00CC2032"/>
    <w:rsid w:val="00CE5B84"/>
    <w:rsid w:val="00CF033B"/>
    <w:rsid w:val="00D0678F"/>
    <w:rsid w:val="00D25D8E"/>
    <w:rsid w:val="00D34809"/>
    <w:rsid w:val="00DF2E72"/>
    <w:rsid w:val="00E53A9A"/>
    <w:rsid w:val="00EB03F3"/>
    <w:rsid w:val="00EF59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1CEDE62"/>
  <w15:chartTrackingRefBased/>
  <w15:docId w15:val="{8A5713EB-3A49-4AC8-9BD3-F5FFA22A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C2032"/>
    <w:pPr>
      <w:spacing w:after="0" w:line="240" w:lineRule="auto"/>
    </w:pPr>
    <w:rPr>
      <w:rFonts w:ascii="Arial" w:eastAsiaTheme="minorHAnsi" w:hAnsi="Arial"/>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032"/>
    <w:pPr>
      <w:tabs>
        <w:tab w:val="center" w:pos="4366"/>
        <w:tab w:val="right" w:pos="8732"/>
      </w:tabs>
    </w:pPr>
    <w:rPr>
      <w:rFonts w:eastAsia="Times New Roman" w:cs="Times New Roman"/>
      <w:kern w:val="20"/>
      <w:szCs w:val="24"/>
      <w:lang w:eastAsia="en-GB"/>
    </w:rPr>
  </w:style>
  <w:style w:type="character" w:customStyle="1" w:styleId="HeaderChar">
    <w:name w:val="Header Char"/>
    <w:basedOn w:val="DefaultParagraphFont"/>
    <w:link w:val="Header"/>
    <w:uiPriority w:val="99"/>
    <w:rsid w:val="00CC2032"/>
    <w:rPr>
      <w:rFonts w:ascii="Arial" w:eastAsia="Times New Roman" w:hAnsi="Arial" w:cs="Times New Roman"/>
      <w:kern w:val="20"/>
      <w:sz w:val="20"/>
      <w:szCs w:val="24"/>
      <w:lang w:val="en-GB" w:eastAsia="en-GB"/>
    </w:rPr>
  </w:style>
  <w:style w:type="paragraph" w:customStyle="1" w:styleId="Body1">
    <w:name w:val="Body 1"/>
    <w:basedOn w:val="Normal"/>
    <w:rsid w:val="00CC2032"/>
    <w:pPr>
      <w:spacing w:after="140" w:line="290" w:lineRule="auto"/>
      <w:ind w:left="680"/>
      <w:jc w:val="both"/>
    </w:pPr>
    <w:rPr>
      <w:rFonts w:cs="Times New Roman"/>
      <w:kern w:val="20"/>
    </w:rPr>
  </w:style>
  <w:style w:type="paragraph" w:customStyle="1" w:styleId="dashbullet1">
    <w:name w:val="dash bullet 1"/>
    <w:basedOn w:val="Normal"/>
    <w:rsid w:val="00CC2032"/>
    <w:pPr>
      <w:numPr>
        <w:numId w:val="4"/>
      </w:numPr>
      <w:spacing w:after="140" w:line="290" w:lineRule="auto"/>
      <w:jc w:val="both"/>
      <w:outlineLvl w:val="0"/>
    </w:pPr>
    <w:rPr>
      <w:rFonts w:cs="Times New Roman"/>
      <w:kern w:val="20"/>
    </w:rPr>
  </w:style>
  <w:style w:type="paragraph" w:customStyle="1" w:styleId="dashbullet2">
    <w:name w:val="dash bullet 2"/>
    <w:basedOn w:val="Normal"/>
    <w:rsid w:val="00CC2032"/>
    <w:pPr>
      <w:numPr>
        <w:ilvl w:val="1"/>
        <w:numId w:val="4"/>
      </w:numPr>
      <w:spacing w:after="140" w:line="290" w:lineRule="auto"/>
      <w:jc w:val="both"/>
      <w:outlineLvl w:val="1"/>
    </w:pPr>
    <w:rPr>
      <w:rFonts w:cs="Times New Roman"/>
      <w:kern w:val="20"/>
    </w:rPr>
  </w:style>
  <w:style w:type="paragraph" w:customStyle="1" w:styleId="dashbullet3">
    <w:name w:val="dash bullet 3"/>
    <w:basedOn w:val="Normal"/>
    <w:rsid w:val="00CC2032"/>
    <w:pPr>
      <w:numPr>
        <w:ilvl w:val="2"/>
        <w:numId w:val="4"/>
      </w:numPr>
      <w:spacing w:after="140" w:line="290" w:lineRule="auto"/>
      <w:jc w:val="both"/>
      <w:outlineLvl w:val="2"/>
    </w:pPr>
    <w:rPr>
      <w:rFonts w:cs="Times New Roman"/>
      <w:kern w:val="20"/>
    </w:rPr>
  </w:style>
  <w:style w:type="paragraph" w:customStyle="1" w:styleId="dashbullet4">
    <w:name w:val="dash bullet 4"/>
    <w:basedOn w:val="Normal"/>
    <w:rsid w:val="00CC2032"/>
    <w:pPr>
      <w:numPr>
        <w:ilvl w:val="3"/>
        <w:numId w:val="4"/>
      </w:numPr>
      <w:spacing w:after="140" w:line="290" w:lineRule="auto"/>
      <w:jc w:val="both"/>
      <w:outlineLvl w:val="3"/>
    </w:pPr>
    <w:rPr>
      <w:rFonts w:cs="Times New Roman"/>
      <w:kern w:val="20"/>
    </w:rPr>
  </w:style>
  <w:style w:type="paragraph" w:customStyle="1" w:styleId="dashbullet5">
    <w:name w:val="dash bullet 5"/>
    <w:basedOn w:val="Normal"/>
    <w:rsid w:val="00CC2032"/>
    <w:pPr>
      <w:numPr>
        <w:ilvl w:val="4"/>
        <w:numId w:val="4"/>
      </w:numPr>
      <w:spacing w:after="140" w:line="290" w:lineRule="auto"/>
      <w:jc w:val="both"/>
      <w:outlineLvl w:val="4"/>
    </w:pPr>
    <w:rPr>
      <w:rFonts w:cs="Times New Roman"/>
      <w:kern w:val="20"/>
    </w:rPr>
  </w:style>
  <w:style w:type="paragraph" w:customStyle="1" w:styleId="dashbullet6">
    <w:name w:val="dash bullet 6"/>
    <w:basedOn w:val="Normal"/>
    <w:rsid w:val="00CC2032"/>
    <w:pPr>
      <w:numPr>
        <w:ilvl w:val="5"/>
        <w:numId w:val="4"/>
      </w:numPr>
      <w:spacing w:after="140" w:line="290" w:lineRule="auto"/>
      <w:jc w:val="both"/>
      <w:outlineLvl w:val="5"/>
    </w:pPr>
    <w:rPr>
      <w:rFonts w:cs="Times New Roman"/>
      <w:kern w:val="20"/>
    </w:rPr>
  </w:style>
  <w:style w:type="paragraph" w:customStyle="1" w:styleId="DocExCode">
    <w:name w:val="DocExCode"/>
    <w:basedOn w:val="Normal"/>
    <w:rsid w:val="00CC2032"/>
    <w:pPr>
      <w:pBdr>
        <w:top w:val="single" w:sz="4" w:space="1" w:color="auto"/>
      </w:pBdr>
    </w:pPr>
    <w:rPr>
      <w:rFonts w:cs="Times New Roman"/>
      <w:sz w:val="16"/>
    </w:rPr>
  </w:style>
  <w:style w:type="paragraph" w:customStyle="1" w:styleId="Head">
    <w:name w:val="Head"/>
    <w:basedOn w:val="Normal"/>
    <w:next w:val="Normal"/>
    <w:rsid w:val="00CC2032"/>
    <w:pPr>
      <w:keepNext/>
      <w:spacing w:before="280" w:after="140" w:line="290" w:lineRule="auto"/>
      <w:jc w:val="both"/>
      <w:outlineLvl w:val="0"/>
    </w:pPr>
    <w:rPr>
      <w:rFonts w:cs="Times New Roman"/>
      <w:b/>
      <w:kern w:val="28"/>
      <w:sz w:val="23"/>
    </w:rPr>
  </w:style>
  <w:style w:type="paragraph" w:customStyle="1" w:styleId="UCAlpha1">
    <w:name w:val="UCAlpha 1"/>
    <w:basedOn w:val="Normal"/>
    <w:rsid w:val="00CC2032"/>
    <w:pPr>
      <w:numPr>
        <w:numId w:val="5"/>
      </w:numPr>
      <w:spacing w:after="140" w:line="290" w:lineRule="auto"/>
      <w:jc w:val="both"/>
      <w:outlineLvl w:val="0"/>
    </w:pPr>
    <w:rPr>
      <w:rFonts w:cs="Times New Roman"/>
      <w:kern w:val="20"/>
    </w:rPr>
  </w:style>
  <w:style w:type="paragraph" w:customStyle="1" w:styleId="UCAlpha2">
    <w:name w:val="UCAlpha 2"/>
    <w:basedOn w:val="Normal"/>
    <w:rsid w:val="00CC2032"/>
    <w:pPr>
      <w:numPr>
        <w:ilvl w:val="1"/>
        <w:numId w:val="5"/>
      </w:numPr>
      <w:spacing w:after="140" w:line="290" w:lineRule="auto"/>
      <w:jc w:val="both"/>
      <w:outlineLvl w:val="1"/>
    </w:pPr>
    <w:rPr>
      <w:rFonts w:cs="Times New Roman"/>
      <w:kern w:val="20"/>
    </w:rPr>
  </w:style>
  <w:style w:type="paragraph" w:customStyle="1" w:styleId="UCAlpha3">
    <w:name w:val="UCAlpha 3"/>
    <w:basedOn w:val="Normal"/>
    <w:rsid w:val="00CC2032"/>
    <w:pPr>
      <w:numPr>
        <w:ilvl w:val="2"/>
        <w:numId w:val="5"/>
      </w:numPr>
      <w:spacing w:after="140" w:line="290" w:lineRule="auto"/>
      <w:jc w:val="both"/>
      <w:outlineLvl w:val="2"/>
    </w:pPr>
    <w:rPr>
      <w:rFonts w:cs="Times New Roman"/>
      <w:kern w:val="20"/>
    </w:rPr>
  </w:style>
  <w:style w:type="paragraph" w:customStyle="1" w:styleId="UCAlpha4">
    <w:name w:val="UCAlpha 4"/>
    <w:basedOn w:val="Normal"/>
    <w:rsid w:val="00CC2032"/>
    <w:pPr>
      <w:numPr>
        <w:ilvl w:val="3"/>
        <w:numId w:val="5"/>
      </w:numPr>
      <w:spacing w:after="140" w:line="290" w:lineRule="auto"/>
      <w:jc w:val="both"/>
      <w:outlineLvl w:val="3"/>
    </w:pPr>
    <w:rPr>
      <w:rFonts w:cs="Times New Roman"/>
      <w:kern w:val="20"/>
    </w:rPr>
  </w:style>
  <w:style w:type="paragraph" w:customStyle="1" w:styleId="UCAlpha5">
    <w:name w:val="UCAlpha 5"/>
    <w:basedOn w:val="Normal"/>
    <w:rsid w:val="00CC2032"/>
    <w:pPr>
      <w:numPr>
        <w:ilvl w:val="4"/>
        <w:numId w:val="5"/>
      </w:numPr>
      <w:spacing w:after="140" w:line="290" w:lineRule="auto"/>
      <w:jc w:val="both"/>
      <w:outlineLvl w:val="4"/>
    </w:pPr>
    <w:rPr>
      <w:rFonts w:cs="Times New Roman"/>
      <w:kern w:val="20"/>
    </w:rPr>
  </w:style>
  <w:style w:type="paragraph" w:customStyle="1" w:styleId="UCAlpha6">
    <w:name w:val="UCAlpha 6"/>
    <w:basedOn w:val="Normal"/>
    <w:rsid w:val="00CC2032"/>
    <w:pPr>
      <w:numPr>
        <w:ilvl w:val="5"/>
        <w:numId w:val="5"/>
      </w:numPr>
      <w:spacing w:after="140" w:line="290" w:lineRule="auto"/>
      <w:jc w:val="both"/>
      <w:outlineLvl w:val="5"/>
    </w:pPr>
    <w:rPr>
      <w:rFonts w:cs="Times New Roman"/>
      <w:kern w:val="20"/>
    </w:rPr>
  </w:style>
  <w:style w:type="paragraph" w:customStyle="1" w:styleId="UCRoman1">
    <w:name w:val="UCRoman 1"/>
    <w:basedOn w:val="Normal"/>
    <w:rsid w:val="00CC2032"/>
    <w:pPr>
      <w:numPr>
        <w:numId w:val="6"/>
      </w:numPr>
      <w:spacing w:after="140" w:line="290" w:lineRule="auto"/>
      <w:jc w:val="both"/>
      <w:outlineLvl w:val="0"/>
    </w:pPr>
    <w:rPr>
      <w:rFonts w:cs="Times New Roman"/>
      <w:kern w:val="20"/>
    </w:rPr>
  </w:style>
  <w:style w:type="paragraph" w:customStyle="1" w:styleId="UCRoman2">
    <w:name w:val="UCRoman 2"/>
    <w:basedOn w:val="Normal"/>
    <w:rsid w:val="00CC2032"/>
    <w:pPr>
      <w:numPr>
        <w:ilvl w:val="1"/>
        <w:numId w:val="6"/>
      </w:numPr>
      <w:spacing w:after="140" w:line="290" w:lineRule="auto"/>
      <w:jc w:val="both"/>
      <w:outlineLvl w:val="1"/>
    </w:pPr>
    <w:rPr>
      <w:rFonts w:cs="Times New Roman"/>
      <w:kern w:val="20"/>
    </w:rPr>
  </w:style>
  <w:style w:type="paragraph" w:customStyle="1" w:styleId="UCRoman3">
    <w:name w:val="UCRoman 3"/>
    <w:basedOn w:val="Normal"/>
    <w:rsid w:val="00CC2032"/>
    <w:pPr>
      <w:numPr>
        <w:ilvl w:val="2"/>
        <w:numId w:val="6"/>
      </w:numPr>
      <w:spacing w:after="140" w:line="290" w:lineRule="auto"/>
      <w:jc w:val="both"/>
      <w:outlineLvl w:val="2"/>
    </w:pPr>
    <w:rPr>
      <w:rFonts w:cs="Times New Roman"/>
      <w:kern w:val="20"/>
    </w:rPr>
  </w:style>
  <w:style w:type="paragraph" w:customStyle="1" w:styleId="UCRoman4">
    <w:name w:val="UCRoman 4"/>
    <w:basedOn w:val="Normal"/>
    <w:rsid w:val="00CC2032"/>
    <w:pPr>
      <w:numPr>
        <w:ilvl w:val="3"/>
        <w:numId w:val="6"/>
      </w:numPr>
      <w:spacing w:after="140" w:line="290" w:lineRule="auto"/>
      <w:jc w:val="both"/>
      <w:outlineLvl w:val="3"/>
    </w:pPr>
    <w:rPr>
      <w:rFonts w:cs="Times New Roman"/>
    </w:rPr>
  </w:style>
  <w:style w:type="paragraph" w:customStyle="1" w:styleId="UCRoman5">
    <w:name w:val="UCRoman 5"/>
    <w:basedOn w:val="Normal"/>
    <w:rsid w:val="00CC2032"/>
    <w:pPr>
      <w:numPr>
        <w:ilvl w:val="4"/>
        <w:numId w:val="6"/>
      </w:numPr>
      <w:spacing w:after="140" w:line="290" w:lineRule="auto"/>
      <w:jc w:val="both"/>
      <w:outlineLvl w:val="4"/>
    </w:pPr>
    <w:rPr>
      <w:rFonts w:cs="Times New Roman"/>
      <w:kern w:val="20"/>
    </w:rPr>
  </w:style>
  <w:style w:type="paragraph" w:customStyle="1" w:styleId="UCRoman6">
    <w:name w:val="UCRoman 6"/>
    <w:basedOn w:val="Normal"/>
    <w:rsid w:val="00CC2032"/>
    <w:pPr>
      <w:numPr>
        <w:ilvl w:val="5"/>
        <w:numId w:val="6"/>
      </w:numPr>
      <w:spacing w:after="140" w:line="290" w:lineRule="auto"/>
      <w:jc w:val="both"/>
      <w:outlineLvl w:val="5"/>
    </w:pPr>
    <w:rPr>
      <w:rFonts w:cs="Times New Roman"/>
      <w:kern w:val="20"/>
    </w:rPr>
  </w:style>
  <w:style w:type="numbering" w:customStyle="1" w:styleId="LLdashbullet">
    <w:name w:val="LL_dash bullet"/>
    <w:uiPriority w:val="99"/>
    <w:rsid w:val="00CC2032"/>
    <w:pPr>
      <w:numPr>
        <w:numId w:val="1"/>
      </w:numPr>
    </w:pPr>
  </w:style>
  <w:style w:type="numbering" w:customStyle="1" w:styleId="LLUCAlpha">
    <w:name w:val="LL_UCAlpha"/>
    <w:uiPriority w:val="99"/>
    <w:rsid w:val="00CC2032"/>
    <w:pPr>
      <w:numPr>
        <w:numId w:val="2"/>
      </w:numPr>
    </w:pPr>
  </w:style>
  <w:style w:type="numbering" w:customStyle="1" w:styleId="LLUCRoman">
    <w:name w:val="LL_UCRoman"/>
    <w:uiPriority w:val="99"/>
    <w:rsid w:val="00CC2032"/>
    <w:pPr>
      <w:numPr>
        <w:numId w:val="3"/>
      </w:numPr>
    </w:pPr>
  </w:style>
  <w:style w:type="character" w:styleId="CommentReference">
    <w:name w:val="annotation reference"/>
    <w:basedOn w:val="DefaultParagraphFont"/>
    <w:uiPriority w:val="99"/>
    <w:unhideWhenUsed/>
    <w:rsid w:val="00CC2032"/>
    <w:rPr>
      <w:sz w:val="16"/>
      <w:szCs w:val="16"/>
    </w:rPr>
  </w:style>
  <w:style w:type="paragraph" w:styleId="CommentText">
    <w:name w:val="annotation text"/>
    <w:basedOn w:val="Normal"/>
    <w:link w:val="CommentTextChar"/>
    <w:uiPriority w:val="99"/>
    <w:unhideWhenUsed/>
    <w:rsid w:val="00CC2032"/>
    <w:rPr>
      <w:szCs w:val="20"/>
    </w:rPr>
  </w:style>
  <w:style w:type="character" w:customStyle="1" w:styleId="CommentTextChar">
    <w:name w:val="Comment Text Char"/>
    <w:basedOn w:val="DefaultParagraphFont"/>
    <w:link w:val="CommentText"/>
    <w:uiPriority w:val="99"/>
    <w:rsid w:val="00CC2032"/>
    <w:rPr>
      <w:rFonts w:ascii="Arial" w:eastAsiaTheme="minorHAnsi" w:hAnsi="Arial"/>
      <w:sz w:val="20"/>
      <w:szCs w:val="20"/>
      <w:lang w:val="en-GB" w:eastAsia="en-US"/>
    </w:rPr>
  </w:style>
  <w:style w:type="character" w:styleId="PageNumber">
    <w:name w:val="page number"/>
    <w:basedOn w:val="DefaultParagraphFont"/>
    <w:unhideWhenUsed/>
    <w:rsid w:val="00CC2032"/>
    <w:rPr>
      <w:sz w:val="20"/>
    </w:rPr>
  </w:style>
  <w:style w:type="paragraph" w:styleId="CommentSubject">
    <w:name w:val="annotation subject"/>
    <w:basedOn w:val="CommentText"/>
    <w:next w:val="CommentText"/>
    <w:link w:val="CommentSubjectChar"/>
    <w:uiPriority w:val="99"/>
    <w:semiHidden/>
    <w:unhideWhenUsed/>
    <w:rsid w:val="00CC2032"/>
    <w:rPr>
      <w:b/>
      <w:bCs/>
    </w:rPr>
  </w:style>
  <w:style w:type="character" w:customStyle="1" w:styleId="CommentSubjectChar">
    <w:name w:val="Comment Subject Char"/>
    <w:basedOn w:val="CommentTextChar"/>
    <w:link w:val="CommentSubject"/>
    <w:uiPriority w:val="99"/>
    <w:semiHidden/>
    <w:rsid w:val="00CC2032"/>
    <w:rPr>
      <w:rFonts w:ascii="Arial" w:eastAsiaTheme="minorHAnsi" w:hAnsi="Arial"/>
      <w:b/>
      <w:bCs/>
      <w:sz w:val="20"/>
      <w:szCs w:val="20"/>
      <w:lang w:val="en-GB" w:eastAsia="en-US"/>
    </w:rPr>
  </w:style>
  <w:style w:type="paragraph" w:styleId="Revision">
    <w:name w:val="Revision"/>
    <w:hidden/>
    <w:uiPriority w:val="99"/>
    <w:semiHidden/>
    <w:rsid w:val="00486D5A"/>
    <w:pPr>
      <w:spacing w:after="0" w:line="240" w:lineRule="auto"/>
    </w:pPr>
    <w:rPr>
      <w:rFonts w:ascii="Arial" w:eastAsiaTheme="minorHAnsi" w:hAnsi="Arial"/>
      <w:sz w:val="20"/>
      <w:lang w:val="en-GB" w:eastAsia="en-US"/>
    </w:rPr>
  </w:style>
  <w:style w:type="paragraph" w:styleId="Footer">
    <w:name w:val="footer"/>
    <w:basedOn w:val="Normal"/>
    <w:link w:val="FooterChar"/>
    <w:uiPriority w:val="99"/>
    <w:unhideWhenUsed/>
    <w:rsid w:val="00624AB7"/>
    <w:pPr>
      <w:tabs>
        <w:tab w:val="center" w:pos="4536"/>
        <w:tab w:val="right" w:pos="9072"/>
      </w:tabs>
    </w:pPr>
  </w:style>
  <w:style w:type="character" w:customStyle="1" w:styleId="FooterChar">
    <w:name w:val="Footer Char"/>
    <w:basedOn w:val="DefaultParagraphFont"/>
    <w:link w:val="Footer"/>
    <w:uiPriority w:val="99"/>
    <w:rsid w:val="00624AB7"/>
    <w:rPr>
      <w:rFonts w:ascii="Arial" w:eastAsiaTheme="minorHAnsi" w:hAnsi="Arial"/>
      <w:sz w:val="20"/>
      <w:lang w:val="en-GB" w:eastAsia="en-US"/>
    </w:rPr>
  </w:style>
  <w:style w:type="paragraph" w:styleId="BalloonText">
    <w:name w:val="Balloon Text"/>
    <w:basedOn w:val="Normal"/>
    <w:link w:val="BalloonTextChar"/>
    <w:uiPriority w:val="99"/>
    <w:semiHidden/>
    <w:unhideWhenUsed/>
    <w:rsid w:val="00CF0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33B"/>
    <w:rPr>
      <w:rFonts w:ascii="Segoe UI" w:eastAsiaTheme="minorHAns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06E3-287E-493F-BE21-C521BA11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18B22-A830-4827-A4D1-C24803096A30}">
  <ds:schemaRefs>
    <ds:schemaRef ds:uri="http://schemas.microsoft.com/sharepoint/v3/contenttype/forms"/>
  </ds:schemaRefs>
</ds:datastoreItem>
</file>

<file path=customXml/itemProps3.xml><?xml version="1.0" encoding="utf-8"?>
<ds:datastoreItem xmlns:ds="http://schemas.openxmlformats.org/officeDocument/2006/customXml" ds:itemID="{F1AFF9DE-C685-4B96-B798-618A731522AD}">
  <ds:schemaRefs>
    <ds:schemaRef ds:uri="http://schemas.microsoft.com/office/2006/documentManagement/types"/>
    <ds:schemaRef ds:uri="http://purl.org/dc/elements/1.1/"/>
    <ds:schemaRef ds:uri="http://schemas.microsoft.com/office/2006/metadata/properties"/>
    <ds:schemaRef ds:uri="http://purl.org/dc/terms/"/>
    <ds:schemaRef ds:uri="6e0672cc-2b49-4aef-a692-9dbb21d7e3f3"/>
    <ds:schemaRef ds:uri="http://www.w3.org/XML/1998/namespace"/>
    <ds:schemaRef ds:uri="http://schemas.microsoft.com/office/infopath/2007/PartnerControls"/>
    <ds:schemaRef ds:uri="http://purl.org/dc/dcmitype/"/>
    <ds:schemaRef ds:uri="465ae127-5d1e-48f1-8bba-a4710e9de403"/>
    <ds:schemaRef ds:uri="http://schemas.openxmlformats.org/package/2006/metadata/core-properties"/>
    <ds:schemaRef ds:uri="42195723-b6d9-4926-97c3-bdd7cf343cf8"/>
    <ds:schemaRef ds:uri="598f140b-4145-4024-8bcc-6d7083f15a24"/>
  </ds:schemaRefs>
</ds:datastoreItem>
</file>

<file path=customXml/itemProps4.xml><?xml version="1.0" encoding="utf-8"?>
<ds:datastoreItem xmlns:ds="http://schemas.openxmlformats.org/officeDocument/2006/customXml" ds:itemID="{0732AE19-5658-4233-BACB-4A50A45E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SCHIAVI Viviane</dc:creator>
  <cp:keywords/>
  <dc:description/>
  <cp:lastModifiedBy>LEDER Sierra</cp:lastModifiedBy>
  <cp:revision>2</cp:revision>
  <cp:lastPrinted>2021-08-02T17:53:00Z</cp:lastPrinted>
  <dcterms:created xsi:type="dcterms:W3CDTF">2021-08-04T12:21:00Z</dcterms:created>
  <dcterms:modified xsi:type="dcterms:W3CDTF">2021-08-04T12:21:00Z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y fmtid="{D5CDD505-2E9C-101B-9397-08002B2CF9AE}" pid="3" name="Provenance">
    <vt:lpwstr/>
  </property>
</Properties>
</file>