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AB232" w14:textId="77777777" w:rsidR="00C610B7" w:rsidRPr="00CE2E6F" w:rsidRDefault="00C610B7" w:rsidP="00C610B7">
      <w:pPr>
        <w:pStyle w:val="Formatmall1"/>
        <w:rPr>
          <w:lang w:val="en-GB"/>
        </w:rPr>
      </w:pPr>
      <w:r w:rsidRPr="00CE2E6F">
        <w:rPr>
          <w:lang w:val="en-GB"/>
        </w:rPr>
        <w:t xml:space="preserve">ICC Sweden’s Comments on </w:t>
      </w:r>
      <w:r>
        <w:rPr>
          <w:lang w:val="en-GB"/>
        </w:rPr>
        <w:t>the ICC Draft Paper on “Global Business Priorities for the WTO”</w:t>
      </w:r>
      <w:r w:rsidRPr="00CE2E6F">
        <w:rPr>
          <w:lang w:val="en-GB"/>
        </w:rPr>
        <w:t xml:space="preserve"> </w:t>
      </w:r>
    </w:p>
    <w:p w14:paraId="0CA2F0D9" w14:textId="7D744C5D" w:rsidR="00C610B7" w:rsidRDefault="00C610B7" w:rsidP="00C610B7">
      <w:pPr>
        <w:tabs>
          <w:tab w:val="left" w:pos="3119"/>
          <w:tab w:val="left" w:pos="5245"/>
          <w:tab w:val="left" w:pos="6379"/>
        </w:tabs>
        <w:rPr>
          <w:rFonts w:asciiTheme="majorHAnsi" w:hAnsiTheme="majorHAnsi" w:cstheme="majorHAnsi"/>
          <w:bCs/>
          <w:szCs w:val="22"/>
          <w:lang w:val="en-GB"/>
        </w:rPr>
      </w:pPr>
    </w:p>
    <w:p w14:paraId="5D85FEAE" w14:textId="77777777" w:rsidR="001334B3" w:rsidRDefault="00C610B7" w:rsidP="00C610B7">
      <w:pPr>
        <w:tabs>
          <w:tab w:val="left" w:pos="3119"/>
          <w:tab w:val="left" w:pos="5245"/>
          <w:tab w:val="left" w:pos="6379"/>
        </w:tabs>
        <w:rPr>
          <w:rFonts w:asciiTheme="majorHAnsi" w:hAnsiTheme="majorHAnsi" w:cstheme="majorHAnsi"/>
          <w:bCs/>
          <w:szCs w:val="22"/>
          <w:lang w:val="en-GB"/>
        </w:rPr>
      </w:pPr>
      <w:r w:rsidRPr="00CE2E6F">
        <w:rPr>
          <w:rFonts w:asciiTheme="majorHAnsi" w:hAnsiTheme="majorHAnsi" w:cstheme="majorHAnsi"/>
          <w:bCs/>
          <w:szCs w:val="22"/>
          <w:lang w:val="en-GB"/>
        </w:rPr>
        <w:t xml:space="preserve">We welcome this opportunity to share our comments on the draft ICC </w:t>
      </w:r>
      <w:r>
        <w:rPr>
          <w:rFonts w:asciiTheme="majorHAnsi" w:hAnsiTheme="majorHAnsi" w:cstheme="majorHAnsi"/>
          <w:bCs/>
          <w:szCs w:val="22"/>
          <w:lang w:val="en-GB"/>
        </w:rPr>
        <w:t>paper on “Global Business Priorities</w:t>
      </w:r>
      <w:r w:rsidRPr="00CE2E6F">
        <w:rPr>
          <w:rFonts w:asciiTheme="majorHAnsi" w:hAnsiTheme="majorHAnsi" w:cstheme="majorHAnsi"/>
          <w:bCs/>
          <w:szCs w:val="22"/>
          <w:lang w:val="en-GB"/>
        </w:rPr>
        <w:t xml:space="preserve"> </w:t>
      </w:r>
      <w:r>
        <w:rPr>
          <w:rFonts w:asciiTheme="majorHAnsi" w:hAnsiTheme="majorHAnsi" w:cstheme="majorHAnsi"/>
          <w:bCs/>
          <w:szCs w:val="22"/>
          <w:lang w:val="en-GB"/>
        </w:rPr>
        <w:t>for the WTO”.</w:t>
      </w:r>
      <w:r w:rsidRPr="00CE2E6F">
        <w:rPr>
          <w:rFonts w:asciiTheme="majorHAnsi" w:hAnsiTheme="majorHAnsi" w:cstheme="majorHAnsi"/>
          <w:bCs/>
          <w:szCs w:val="22"/>
          <w:lang w:val="en-GB"/>
        </w:rPr>
        <w:t xml:space="preserve"> </w:t>
      </w:r>
      <w:r w:rsidR="00BC27C6">
        <w:rPr>
          <w:rFonts w:asciiTheme="majorHAnsi" w:hAnsiTheme="majorHAnsi" w:cstheme="majorHAnsi"/>
          <w:bCs/>
          <w:szCs w:val="22"/>
          <w:lang w:val="en-GB"/>
        </w:rPr>
        <w:t>Overall, we believe that it is a well-composed paper that in a concise and timely manner sets out key global business priorities for strengthening and reforming the WTO. Below you will find our comments, pertaining both to the overarching structure and balancing of the paper</w:t>
      </w:r>
      <w:r w:rsidR="00BA7849">
        <w:rPr>
          <w:rFonts w:asciiTheme="majorHAnsi" w:hAnsiTheme="majorHAnsi" w:cstheme="majorHAnsi"/>
          <w:bCs/>
          <w:szCs w:val="22"/>
          <w:lang w:val="en-GB"/>
        </w:rPr>
        <w:t xml:space="preserve"> as well as to the priorities themselves. </w:t>
      </w:r>
    </w:p>
    <w:p w14:paraId="1E6890E3" w14:textId="77777777" w:rsidR="001334B3" w:rsidRDefault="001334B3" w:rsidP="00C610B7">
      <w:pPr>
        <w:tabs>
          <w:tab w:val="left" w:pos="3119"/>
          <w:tab w:val="left" w:pos="5245"/>
          <w:tab w:val="left" w:pos="6379"/>
        </w:tabs>
        <w:rPr>
          <w:rFonts w:asciiTheme="majorHAnsi" w:hAnsiTheme="majorHAnsi" w:cstheme="majorHAnsi"/>
          <w:bCs/>
          <w:szCs w:val="22"/>
          <w:lang w:val="en-GB"/>
        </w:rPr>
      </w:pPr>
    </w:p>
    <w:p w14:paraId="1F25C098" w14:textId="78884268" w:rsidR="00BC27C6" w:rsidRDefault="00BA7849" w:rsidP="00C610B7">
      <w:pPr>
        <w:tabs>
          <w:tab w:val="left" w:pos="3119"/>
          <w:tab w:val="left" w:pos="5245"/>
          <w:tab w:val="left" w:pos="6379"/>
        </w:tabs>
        <w:rPr>
          <w:rFonts w:asciiTheme="majorHAnsi" w:hAnsiTheme="majorHAnsi" w:cstheme="majorHAnsi"/>
          <w:bCs/>
          <w:szCs w:val="22"/>
          <w:lang w:val="en-GB"/>
        </w:rPr>
      </w:pPr>
      <w:r>
        <w:rPr>
          <w:rFonts w:asciiTheme="majorHAnsi" w:hAnsiTheme="majorHAnsi" w:cstheme="majorHAnsi"/>
          <w:bCs/>
          <w:szCs w:val="22"/>
          <w:lang w:val="en-GB"/>
        </w:rPr>
        <w:t>These</w:t>
      </w:r>
      <w:r w:rsidR="00BC27C6">
        <w:rPr>
          <w:rFonts w:asciiTheme="majorHAnsi" w:hAnsiTheme="majorHAnsi" w:cstheme="majorHAnsi"/>
          <w:bCs/>
          <w:szCs w:val="22"/>
          <w:lang w:val="en-GB"/>
        </w:rPr>
        <w:t xml:space="preserve"> comments have been prepared in close dialogue with ICC Sweden’s Trade and Investment Committee, which gathers </w:t>
      </w:r>
      <w:r>
        <w:rPr>
          <w:rFonts w:asciiTheme="majorHAnsi" w:hAnsiTheme="majorHAnsi" w:cstheme="majorHAnsi"/>
          <w:bCs/>
          <w:szCs w:val="22"/>
          <w:lang w:val="en-GB"/>
        </w:rPr>
        <w:t xml:space="preserve">senior </w:t>
      </w:r>
      <w:r w:rsidR="00BC27C6">
        <w:rPr>
          <w:rFonts w:asciiTheme="majorHAnsi" w:hAnsiTheme="majorHAnsi" w:cstheme="majorHAnsi"/>
          <w:bCs/>
          <w:szCs w:val="22"/>
          <w:lang w:val="en-GB"/>
        </w:rPr>
        <w:t>representatives from major Swedish enterprises and business associations.</w:t>
      </w:r>
    </w:p>
    <w:p w14:paraId="71F6B116" w14:textId="39CF03F4" w:rsidR="00C610B7" w:rsidRDefault="00C610B7" w:rsidP="00C610B7">
      <w:pPr>
        <w:tabs>
          <w:tab w:val="left" w:pos="3119"/>
          <w:tab w:val="left" w:pos="5245"/>
          <w:tab w:val="left" w:pos="6379"/>
        </w:tabs>
        <w:rPr>
          <w:rFonts w:asciiTheme="majorHAnsi" w:hAnsiTheme="majorHAnsi" w:cstheme="majorHAnsi"/>
          <w:bCs/>
          <w:szCs w:val="22"/>
          <w:lang w:val="en-GB"/>
        </w:rPr>
      </w:pPr>
    </w:p>
    <w:p w14:paraId="55D76F0C" w14:textId="3091B98D" w:rsidR="00325AFA" w:rsidRPr="00325AFA" w:rsidRDefault="00325AFA" w:rsidP="00C610B7">
      <w:pPr>
        <w:tabs>
          <w:tab w:val="left" w:pos="3119"/>
          <w:tab w:val="left" w:pos="5245"/>
          <w:tab w:val="left" w:pos="6379"/>
        </w:tabs>
        <w:rPr>
          <w:rFonts w:ascii="Calibri" w:hAnsi="Calibri" w:cs="Calibri"/>
          <w:bCs/>
          <w:szCs w:val="22"/>
          <w:lang w:val="en-GB"/>
        </w:rPr>
      </w:pPr>
      <w:r w:rsidRPr="00325AFA">
        <w:rPr>
          <w:rFonts w:ascii="Calibri" w:hAnsi="Calibri" w:cs="Calibri"/>
          <w:bCs/>
          <w:szCs w:val="22"/>
          <w:lang w:val="en-GB"/>
        </w:rPr>
        <w:t>Structure and balance</w:t>
      </w:r>
    </w:p>
    <w:p w14:paraId="6FC36328" w14:textId="06BE0834" w:rsidR="00325AFA" w:rsidRDefault="00BA7849" w:rsidP="004172BA">
      <w:pPr>
        <w:pStyle w:val="Liststycke"/>
        <w:numPr>
          <w:ilvl w:val="0"/>
          <w:numId w:val="14"/>
        </w:numPr>
        <w:tabs>
          <w:tab w:val="left" w:pos="3119"/>
          <w:tab w:val="left" w:pos="5245"/>
          <w:tab w:val="left" w:pos="6379"/>
        </w:tabs>
        <w:rPr>
          <w:rFonts w:asciiTheme="majorHAnsi" w:hAnsiTheme="majorHAnsi" w:cstheme="majorHAnsi"/>
          <w:bCs/>
          <w:szCs w:val="22"/>
          <w:lang w:val="en-GB"/>
        </w:rPr>
      </w:pPr>
      <w:r w:rsidRPr="00454C93">
        <w:rPr>
          <w:rFonts w:asciiTheme="majorHAnsi" w:hAnsiTheme="majorHAnsi" w:cstheme="majorHAnsi"/>
          <w:bCs/>
          <w:szCs w:val="22"/>
          <w:lang w:val="en-GB"/>
        </w:rPr>
        <w:t>The WTO stands at a crossroad. It is obvious that the organization and its rulemaking has failed to keep up with the quickly evolving realit</w:t>
      </w:r>
      <w:r w:rsidR="001334B3" w:rsidRPr="00454C93">
        <w:rPr>
          <w:rFonts w:asciiTheme="majorHAnsi" w:hAnsiTheme="majorHAnsi" w:cstheme="majorHAnsi"/>
          <w:bCs/>
          <w:szCs w:val="22"/>
          <w:lang w:val="en-GB"/>
        </w:rPr>
        <w:t>ies</w:t>
      </w:r>
      <w:r w:rsidRPr="00454C93">
        <w:rPr>
          <w:rFonts w:asciiTheme="majorHAnsi" w:hAnsiTheme="majorHAnsi" w:cstheme="majorHAnsi"/>
          <w:bCs/>
          <w:szCs w:val="22"/>
          <w:lang w:val="en-GB"/>
        </w:rPr>
        <w:t xml:space="preserve"> of modern trade, while the dispute resolution system that is supposed to ensure compliance with agreed upon rules is paralyzed. At the same time, with a new ambitious Director-General in place, the</w:t>
      </w:r>
      <w:r w:rsidR="00325AFA" w:rsidRPr="00454C93">
        <w:rPr>
          <w:rFonts w:asciiTheme="majorHAnsi" w:hAnsiTheme="majorHAnsi" w:cstheme="majorHAnsi"/>
          <w:bCs/>
          <w:szCs w:val="22"/>
          <w:lang w:val="en-GB"/>
        </w:rPr>
        <w:t>re has for a long time not been a better</w:t>
      </w:r>
      <w:r w:rsidRPr="00454C93">
        <w:rPr>
          <w:rFonts w:asciiTheme="majorHAnsi" w:hAnsiTheme="majorHAnsi" w:cstheme="majorHAnsi"/>
          <w:bCs/>
          <w:szCs w:val="22"/>
          <w:lang w:val="en-GB"/>
        </w:rPr>
        <w:t xml:space="preserve"> opportunity for strengthening and reforming the organization. </w:t>
      </w:r>
      <w:r w:rsidR="00325AFA" w:rsidRPr="00454C93">
        <w:rPr>
          <w:rFonts w:asciiTheme="majorHAnsi" w:hAnsiTheme="majorHAnsi" w:cstheme="majorHAnsi"/>
          <w:bCs/>
          <w:szCs w:val="22"/>
          <w:lang w:val="en-GB"/>
        </w:rPr>
        <w:t>Thus,</w:t>
      </w:r>
      <w:r w:rsidRPr="00454C93">
        <w:rPr>
          <w:rFonts w:asciiTheme="majorHAnsi" w:hAnsiTheme="majorHAnsi" w:cstheme="majorHAnsi"/>
          <w:bCs/>
          <w:szCs w:val="22"/>
          <w:lang w:val="en-GB"/>
        </w:rPr>
        <w:t xml:space="preserve"> we feel that this is the time for ICC as the global voice of business to present an ambitious</w:t>
      </w:r>
      <w:r w:rsidR="001334B3" w:rsidRPr="00454C93">
        <w:rPr>
          <w:rFonts w:asciiTheme="majorHAnsi" w:hAnsiTheme="majorHAnsi" w:cstheme="majorHAnsi"/>
          <w:bCs/>
          <w:szCs w:val="22"/>
          <w:lang w:val="en-GB"/>
        </w:rPr>
        <w:t>, forward-looking,</w:t>
      </w:r>
      <w:r w:rsidRPr="00454C93">
        <w:rPr>
          <w:rFonts w:asciiTheme="majorHAnsi" w:hAnsiTheme="majorHAnsi" w:cstheme="majorHAnsi"/>
          <w:bCs/>
          <w:szCs w:val="22"/>
          <w:lang w:val="en-GB"/>
        </w:rPr>
        <w:t xml:space="preserve"> </w:t>
      </w:r>
      <w:r w:rsidR="00325AFA" w:rsidRPr="00454C93">
        <w:rPr>
          <w:rFonts w:asciiTheme="majorHAnsi" w:hAnsiTheme="majorHAnsi" w:cstheme="majorHAnsi"/>
          <w:bCs/>
          <w:szCs w:val="22"/>
          <w:lang w:val="en-GB"/>
        </w:rPr>
        <w:t xml:space="preserve">and </w:t>
      </w:r>
      <w:r w:rsidRPr="00454C93">
        <w:rPr>
          <w:rFonts w:asciiTheme="majorHAnsi" w:hAnsiTheme="majorHAnsi" w:cstheme="majorHAnsi"/>
          <w:bCs/>
          <w:szCs w:val="22"/>
          <w:lang w:val="en-GB"/>
        </w:rPr>
        <w:t xml:space="preserve">long-term vision for </w:t>
      </w:r>
      <w:r w:rsidR="00325AFA" w:rsidRPr="00454C93">
        <w:rPr>
          <w:rFonts w:asciiTheme="majorHAnsi" w:hAnsiTheme="majorHAnsi" w:cstheme="majorHAnsi"/>
          <w:bCs/>
          <w:szCs w:val="22"/>
          <w:lang w:val="en-GB"/>
        </w:rPr>
        <w:t xml:space="preserve">the future of the </w:t>
      </w:r>
      <w:r w:rsidRPr="00454C93">
        <w:rPr>
          <w:rFonts w:asciiTheme="majorHAnsi" w:hAnsiTheme="majorHAnsi" w:cstheme="majorHAnsi"/>
          <w:bCs/>
          <w:szCs w:val="22"/>
          <w:lang w:val="en-GB"/>
        </w:rPr>
        <w:t>WTO</w:t>
      </w:r>
      <w:r w:rsidR="00454C93" w:rsidRPr="00454C93">
        <w:rPr>
          <w:rFonts w:asciiTheme="majorHAnsi" w:hAnsiTheme="majorHAnsi" w:cstheme="majorHAnsi"/>
          <w:bCs/>
          <w:szCs w:val="22"/>
          <w:lang w:val="en-GB"/>
        </w:rPr>
        <w:t xml:space="preserve"> that does</w:t>
      </w:r>
      <w:r w:rsidR="00454C93" w:rsidRPr="004172BA">
        <w:rPr>
          <w:rFonts w:asciiTheme="majorHAnsi" w:hAnsiTheme="majorHAnsi" w:cstheme="majorHAnsi"/>
          <w:bCs/>
          <w:szCs w:val="22"/>
          <w:lang w:val="en-GB"/>
        </w:rPr>
        <w:t xml:space="preserve"> not get bogged down in short-term priorities</w:t>
      </w:r>
      <w:r w:rsidR="004044F9" w:rsidRPr="004172BA">
        <w:rPr>
          <w:rFonts w:asciiTheme="majorHAnsi" w:hAnsiTheme="majorHAnsi" w:cstheme="majorHAnsi"/>
          <w:bCs/>
          <w:szCs w:val="22"/>
          <w:lang w:val="en-GB"/>
        </w:rPr>
        <w:t xml:space="preserve">. </w:t>
      </w:r>
    </w:p>
    <w:p w14:paraId="434D7700" w14:textId="77777777" w:rsidR="004172BA" w:rsidRPr="00454C93" w:rsidRDefault="004172BA" w:rsidP="004172BA">
      <w:pPr>
        <w:pStyle w:val="Liststycke"/>
        <w:tabs>
          <w:tab w:val="left" w:pos="3119"/>
          <w:tab w:val="left" w:pos="5245"/>
          <w:tab w:val="left" w:pos="6379"/>
        </w:tabs>
        <w:rPr>
          <w:rFonts w:asciiTheme="majorHAnsi" w:hAnsiTheme="majorHAnsi" w:cstheme="majorHAnsi"/>
          <w:bCs/>
          <w:szCs w:val="22"/>
          <w:lang w:val="en-GB"/>
        </w:rPr>
      </w:pPr>
    </w:p>
    <w:p w14:paraId="0E9365D4" w14:textId="5906C7CA" w:rsidR="00325AFA" w:rsidRPr="004044F9" w:rsidRDefault="00325AFA" w:rsidP="004044F9">
      <w:pPr>
        <w:pStyle w:val="Liststycke"/>
        <w:numPr>
          <w:ilvl w:val="0"/>
          <w:numId w:val="14"/>
        </w:numPr>
        <w:tabs>
          <w:tab w:val="left" w:pos="3119"/>
          <w:tab w:val="left" w:pos="5245"/>
          <w:tab w:val="left" w:pos="6379"/>
        </w:tabs>
        <w:rPr>
          <w:rFonts w:asciiTheme="majorHAnsi" w:hAnsiTheme="majorHAnsi" w:cstheme="majorHAnsi"/>
          <w:bCs/>
          <w:szCs w:val="22"/>
          <w:lang w:val="en-GB"/>
        </w:rPr>
      </w:pPr>
      <w:r w:rsidRPr="004044F9">
        <w:rPr>
          <w:rFonts w:asciiTheme="majorHAnsi" w:hAnsiTheme="majorHAnsi" w:cstheme="majorHAnsi"/>
          <w:bCs/>
          <w:szCs w:val="22"/>
          <w:lang w:val="en-GB"/>
        </w:rPr>
        <w:t>A</w:t>
      </w:r>
      <w:r w:rsidR="00BA7849" w:rsidRPr="004044F9">
        <w:rPr>
          <w:rFonts w:asciiTheme="majorHAnsi" w:hAnsiTheme="majorHAnsi" w:cstheme="majorHAnsi"/>
          <w:bCs/>
          <w:szCs w:val="22"/>
          <w:lang w:val="en-GB"/>
        </w:rPr>
        <w:t xml:space="preserve"> general concern of ours is that the </w:t>
      </w:r>
      <w:r w:rsidRPr="004044F9">
        <w:rPr>
          <w:rFonts w:asciiTheme="majorHAnsi" w:hAnsiTheme="majorHAnsi" w:cstheme="majorHAnsi"/>
          <w:bCs/>
          <w:szCs w:val="22"/>
          <w:lang w:val="en-GB"/>
        </w:rPr>
        <w:t xml:space="preserve">current draft </w:t>
      </w:r>
      <w:r w:rsidR="00BA7849" w:rsidRPr="004044F9">
        <w:rPr>
          <w:rFonts w:asciiTheme="majorHAnsi" w:hAnsiTheme="majorHAnsi" w:cstheme="majorHAnsi"/>
          <w:bCs/>
          <w:szCs w:val="22"/>
          <w:lang w:val="en-GB"/>
        </w:rPr>
        <w:t xml:space="preserve">is too </w:t>
      </w:r>
      <w:r w:rsidR="00B84618" w:rsidRPr="004044F9">
        <w:rPr>
          <w:rFonts w:asciiTheme="majorHAnsi" w:hAnsiTheme="majorHAnsi" w:cstheme="majorHAnsi"/>
          <w:bCs/>
          <w:szCs w:val="22"/>
          <w:lang w:val="en-GB"/>
        </w:rPr>
        <w:t xml:space="preserve">heavily focused on COVID-19 and the response to the pandemic. While we acknowledge the impact of the pandemic on both people and businesses and agree </w:t>
      </w:r>
      <w:r w:rsidR="00E15597">
        <w:rPr>
          <w:rFonts w:asciiTheme="majorHAnsi" w:hAnsiTheme="majorHAnsi" w:cstheme="majorHAnsi"/>
          <w:bCs/>
          <w:szCs w:val="22"/>
          <w:lang w:val="en-GB"/>
        </w:rPr>
        <w:t>on</w:t>
      </w:r>
      <w:r w:rsidR="00B84618" w:rsidRPr="004044F9">
        <w:rPr>
          <w:rFonts w:asciiTheme="majorHAnsi" w:hAnsiTheme="majorHAnsi" w:cstheme="majorHAnsi"/>
          <w:bCs/>
          <w:szCs w:val="22"/>
          <w:lang w:val="en-GB"/>
        </w:rPr>
        <w:t xml:space="preserve"> the importance of a well-functioning WTO in times of crisis, the paper</w:t>
      </w:r>
      <w:r w:rsidR="004044F9" w:rsidRPr="004044F9">
        <w:rPr>
          <w:rFonts w:asciiTheme="majorHAnsi" w:hAnsiTheme="majorHAnsi" w:cstheme="majorHAnsi"/>
          <w:bCs/>
          <w:szCs w:val="22"/>
          <w:lang w:val="en-GB"/>
        </w:rPr>
        <w:t xml:space="preserve"> in its current version</w:t>
      </w:r>
      <w:r w:rsidR="00B84618" w:rsidRPr="004044F9">
        <w:rPr>
          <w:rFonts w:asciiTheme="majorHAnsi" w:hAnsiTheme="majorHAnsi" w:cstheme="majorHAnsi"/>
          <w:bCs/>
          <w:szCs w:val="22"/>
          <w:lang w:val="en-GB"/>
        </w:rPr>
        <w:t xml:space="preserve"> </w:t>
      </w:r>
      <w:r w:rsidRPr="004044F9">
        <w:rPr>
          <w:rFonts w:asciiTheme="majorHAnsi" w:hAnsiTheme="majorHAnsi" w:cstheme="majorHAnsi"/>
          <w:bCs/>
          <w:szCs w:val="22"/>
          <w:lang w:val="en-GB"/>
        </w:rPr>
        <w:t xml:space="preserve">is </w:t>
      </w:r>
      <w:r w:rsidR="00B84618" w:rsidRPr="004044F9">
        <w:rPr>
          <w:rFonts w:asciiTheme="majorHAnsi" w:hAnsiTheme="majorHAnsi" w:cstheme="majorHAnsi"/>
          <w:bCs/>
          <w:szCs w:val="22"/>
          <w:lang w:val="en-GB"/>
        </w:rPr>
        <w:t xml:space="preserve">unbalanced. </w:t>
      </w:r>
      <w:r w:rsidRPr="004044F9">
        <w:rPr>
          <w:rFonts w:asciiTheme="majorHAnsi" w:hAnsiTheme="majorHAnsi" w:cstheme="majorHAnsi"/>
          <w:bCs/>
          <w:szCs w:val="22"/>
          <w:lang w:val="en-GB"/>
        </w:rPr>
        <w:t>The</w:t>
      </w:r>
      <w:r w:rsidR="00B84618" w:rsidRPr="004044F9">
        <w:rPr>
          <w:rFonts w:asciiTheme="majorHAnsi" w:hAnsiTheme="majorHAnsi" w:cstheme="majorHAnsi"/>
          <w:bCs/>
          <w:szCs w:val="22"/>
          <w:lang w:val="en-GB"/>
        </w:rPr>
        <w:t xml:space="preserve"> WTO can play a</w:t>
      </w:r>
      <w:r w:rsidRPr="004044F9">
        <w:rPr>
          <w:rFonts w:asciiTheme="majorHAnsi" w:hAnsiTheme="majorHAnsi" w:cstheme="majorHAnsi"/>
          <w:bCs/>
          <w:szCs w:val="22"/>
          <w:lang w:val="en-GB"/>
        </w:rPr>
        <w:t>n important</w:t>
      </w:r>
      <w:r w:rsidR="00B84618" w:rsidRPr="004044F9">
        <w:rPr>
          <w:rFonts w:asciiTheme="majorHAnsi" w:hAnsiTheme="majorHAnsi" w:cstheme="majorHAnsi"/>
          <w:bCs/>
          <w:szCs w:val="22"/>
          <w:lang w:val="en-GB"/>
        </w:rPr>
        <w:t xml:space="preserve"> role to help </w:t>
      </w:r>
      <w:r w:rsidR="00E15597">
        <w:rPr>
          <w:rFonts w:asciiTheme="majorHAnsi" w:hAnsiTheme="majorHAnsi" w:cstheme="majorHAnsi"/>
          <w:bCs/>
          <w:szCs w:val="22"/>
          <w:lang w:val="en-GB"/>
        </w:rPr>
        <w:t>end</w:t>
      </w:r>
      <w:r w:rsidR="00B84618" w:rsidRPr="004044F9">
        <w:rPr>
          <w:rFonts w:asciiTheme="majorHAnsi" w:hAnsiTheme="majorHAnsi" w:cstheme="majorHAnsi"/>
          <w:bCs/>
          <w:szCs w:val="22"/>
          <w:lang w:val="en-GB"/>
        </w:rPr>
        <w:t xml:space="preserve"> the pandemic, </w:t>
      </w:r>
      <w:r w:rsidRPr="004044F9">
        <w:rPr>
          <w:rFonts w:asciiTheme="majorHAnsi" w:hAnsiTheme="majorHAnsi" w:cstheme="majorHAnsi"/>
          <w:bCs/>
          <w:szCs w:val="22"/>
          <w:lang w:val="en-GB"/>
        </w:rPr>
        <w:t xml:space="preserve">but </w:t>
      </w:r>
      <w:r w:rsidR="00B84618" w:rsidRPr="004044F9">
        <w:rPr>
          <w:rFonts w:asciiTheme="majorHAnsi" w:hAnsiTheme="majorHAnsi" w:cstheme="majorHAnsi"/>
          <w:bCs/>
          <w:szCs w:val="22"/>
          <w:lang w:val="en-GB"/>
        </w:rPr>
        <w:t xml:space="preserve">the main challenges </w:t>
      </w:r>
      <w:r w:rsidRPr="004044F9">
        <w:rPr>
          <w:rFonts w:asciiTheme="majorHAnsi" w:hAnsiTheme="majorHAnsi" w:cstheme="majorHAnsi"/>
          <w:bCs/>
          <w:szCs w:val="22"/>
          <w:lang w:val="en-GB"/>
        </w:rPr>
        <w:t xml:space="preserve">facing </w:t>
      </w:r>
      <w:r w:rsidR="00B84618" w:rsidRPr="004044F9">
        <w:rPr>
          <w:rFonts w:asciiTheme="majorHAnsi" w:hAnsiTheme="majorHAnsi" w:cstheme="majorHAnsi"/>
          <w:bCs/>
          <w:szCs w:val="22"/>
          <w:lang w:val="en-GB"/>
        </w:rPr>
        <w:t>the organization pre-dates the pandemic</w:t>
      </w:r>
      <w:r w:rsidR="004044F9" w:rsidRPr="004044F9">
        <w:rPr>
          <w:rFonts w:asciiTheme="majorHAnsi" w:hAnsiTheme="majorHAnsi" w:cstheme="majorHAnsi"/>
          <w:bCs/>
          <w:szCs w:val="22"/>
          <w:lang w:val="en-GB"/>
        </w:rPr>
        <w:t xml:space="preserve"> and its </w:t>
      </w:r>
      <w:r w:rsidR="00B84618" w:rsidRPr="004044F9">
        <w:rPr>
          <w:rFonts w:asciiTheme="majorHAnsi" w:hAnsiTheme="majorHAnsi" w:cstheme="majorHAnsi"/>
          <w:bCs/>
          <w:szCs w:val="22"/>
          <w:lang w:val="en-GB"/>
        </w:rPr>
        <w:t xml:space="preserve">added value to global business is </w:t>
      </w:r>
      <w:r w:rsidR="004044F9" w:rsidRPr="004044F9">
        <w:rPr>
          <w:rFonts w:asciiTheme="majorHAnsi" w:hAnsiTheme="majorHAnsi" w:cstheme="majorHAnsi"/>
          <w:bCs/>
          <w:szCs w:val="22"/>
          <w:lang w:val="en-GB"/>
        </w:rPr>
        <w:t>and remains</w:t>
      </w:r>
      <w:r w:rsidRPr="004044F9">
        <w:rPr>
          <w:rFonts w:asciiTheme="majorHAnsi" w:hAnsiTheme="majorHAnsi" w:cstheme="majorHAnsi"/>
          <w:bCs/>
          <w:szCs w:val="22"/>
          <w:lang w:val="en-GB"/>
        </w:rPr>
        <w:t xml:space="preserve"> </w:t>
      </w:r>
      <w:r w:rsidR="004044F9" w:rsidRPr="004044F9">
        <w:rPr>
          <w:rFonts w:asciiTheme="majorHAnsi" w:hAnsiTheme="majorHAnsi" w:cstheme="majorHAnsi"/>
          <w:bCs/>
          <w:szCs w:val="22"/>
          <w:lang w:val="en-GB"/>
        </w:rPr>
        <w:t>ensuring a rule-</w:t>
      </w:r>
      <w:proofErr w:type="gramStart"/>
      <w:r w:rsidR="004044F9" w:rsidRPr="004044F9">
        <w:rPr>
          <w:rFonts w:asciiTheme="majorHAnsi" w:hAnsiTheme="majorHAnsi" w:cstheme="majorHAnsi"/>
          <w:bCs/>
          <w:szCs w:val="22"/>
          <w:lang w:val="en-GB"/>
        </w:rPr>
        <w:t>based</w:t>
      </w:r>
      <w:r w:rsidR="00CE7B5F">
        <w:rPr>
          <w:rFonts w:asciiTheme="majorHAnsi" w:hAnsiTheme="majorHAnsi" w:cstheme="majorHAnsi"/>
          <w:bCs/>
          <w:szCs w:val="22"/>
          <w:lang w:val="en-GB"/>
        </w:rPr>
        <w:t>,</w:t>
      </w:r>
      <w:r w:rsidR="004044F9" w:rsidRPr="004044F9">
        <w:rPr>
          <w:rFonts w:asciiTheme="majorHAnsi" w:hAnsiTheme="majorHAnsi" w:cstheme="majorHAnsi"/>
          <w:bCs/>
          <w:szCs w:val="22"/>
          <w:lang w:val="en-GB"/>
        </w:rPr>
        <w:t xml:space="preserve">  predictable</w:t>
      </w:r>
      <w:proofErr w:type="gramEnd"/>
      <w:r w:rsidR="00CE7B5F">
        <w:rPr>
          <w:rFonts w:asciiTheme="majorHAnsi" w:hAnsiTheme="majorHAnsi" w:cstheme="majorHAnsi"/>
          <w:bCs/>
          <w:szCs w:val="22"/>
          <w:lang w:val="en-GB"/>
        </w:rPr>
        <w:t>, and forward-looking</w:t>
      </w:r>
      <w:r w:rsidR="004044F9" w:rsidRPr="004044F9">
        <w:rPr>
          <w:rFonts w:asciiTheme="majorHAnsi" w:hAnsiTheme="majorHAnsi" w:cstheme="majorHAnsi"/>
          <w:bCs/>
          <w:szCs w:val="22"/>
          <w:lang w:val="en-GB"/>
        </w:rPr>
        <w:t xml:space="preserve"> multilateral trade system</w:t>
      </w:r>
      <w:r w:rsidRPr="004044F9">
        <w:rPr>
          <w:rFonts w:asciiTheme="majorHAnsi" w:hAnsiTheme="majorHAnsi" w:cstheme="majorHAnsi"/>
          <w:bCs/>
          <w:szCs w:val="22"/>
          <w:lang w:val="en-GB"/>
        </w:rPr>
        <w:t>.</w:t>
      </w:r>
      <w:r w:rsidR="004044F9" w:rsidRPr="004044F9">
        <w:rPr>
          <w:rFonts w:asciiTheme="majorHAnsi" w:hAnsiTheme="majorHAnsi" w:cstheme="majorHAnsi"/>
          <w:bCs/>
          <w:szCs w:val="22"/>
          <w:lang w:val="en-GB"/>
        </w:rPr>
        <w:t xml:space="preserve"> That is also what will best support the economic recovery after the pandemic.</w:t>
      </w:r>
    </w:p>
    <w:p w14:paraId="32E3F2A0" w14:textId="77777777" w:rsidR="00325AFA" w:rsidRDefault="00325AFA" w:rsidP="00325AFA">
      <w:pPr>
        <w:tabs>
          <w:tab w:val="left" w:pos="3119"/>
          <w:tab w:val="left" w:pos="5245"/>
          <w:tab w:val="left" w:pos="6379"/>
        </w:tabs>
        <w:rPr>
          <w:rFonts w:asciiTheme="majorHAnsi" w:hAnsiTheme="majorHAnsi" w:cstheme="majorHAnsi"/>
          <w:bCs/>
          <w:szCs w:val="22"/>
          <w:lang w:val="en-GB"/>
        </w:rPr>
      </w:pPr>
    </w:p>
    <w:p w14:paraId="17CC1729" w14:textId="77777777" w:rsidR="004044F9" w:rsidRPr="004044F9" w:rsidRDefault="004044F9" w:rsidP="00A15A3B">
      <w:pPr>
        <w:pStyle w:val="Liststycke"/>
        <w:numPr>
          <w:ilvl w:val="0"/>
          <w:numId w:val="14"/>
        </w:numPr>
        <w:tabs>
          <w:tab w:val="left" w:pos="3119"/>
          <w:tab w:val="left" w:pos="5245"/>
          <w:tab w:val="left" w:pos="6379"/>
        </w:tabs>
        <w:rPr>
          <w:rFonts w:ascii="Calibri" w:hAnsi="Calibri" w:cs="Calibri"/>
          <w:bCs/>
          <w:szCs w:val="22"/>
          <w:lang w:val="en-GB"/>
        </w:rPr>
      </w:pPr>
      <w:r w:rsidRPr="004044F9">
        <w:rPr>
          <w:rFonts w:asciiTheme="majorHAnsi" w:hAnsiTheme="majorHAnsi" w:cstheme="majorHAnsi"/>
          <w:bCs/>
          <w:szCs w:val="22"/>
          <w:lang w:val="en-GB"/>
        </w:rPr>
        <w:t>The</w:t>
      </w:r>
      <w:r w:rsidR="00B84618" w:rsidRPr="004044F9">
        <w:rPr>
          <w:rFonts w:asciiTheme="majorHAnsi" w:hAnsiTheme="majorHAnsi" w:cstheme="majorHAnsi"/>
          <w:bCs/>
          <w:szCs w:val="22"/>
          <w:lang w:val="en-GB"/>
        </w:rPr>
        <w:t xml:space="preserve"> structure</w:t>
      </w:r>
      <w:r w:rsidR="00325AFA" w:rsidRPr="004044F9">
        <w:rPr>
          <w:rFonts w:asciiTheme="majorHAnsi" w:hAnsiTheme="majorHAnsi" w:cstheme="majorHAnsi"/>
          <w:bCs/>
          <w:szCs w:val="22"/>
          <w:lang w:val="en-GB"/>
        </w:rPr>
        <w:t xml:space="preserve"> itself</w:t>
      </w:r>
      <w:r w:rsidR="00B84618" w:rsidRPr="004044F9">
        <w:rPr>
          <w:rFonts w:asciiTheme="majorHAnsi" w:hAnsiTheme="majorHAnsi" w:cstheme="majorHAnsi"/>
          <w:bCs/>
          <w:szCs w:val="22"/>
          <w:lang w:val="en-GB"/>
        </w:rPr>
        <w:t xml:space="preserve"> adds to </w:t>
      </w:r>
      <w:r w:rsidRPr="004044F9">
        <w:rPr>
          <w:rFonts w:asciiTheme="majorHAnsi" w:hAnsiTheme="majorHAnsi" w:cstheme="majorHAnsi"/>
          <w:bCs/>
          <w:szCs w:val="22"/>
          <w:lang w:val="en-GB"/>
        </w:rPr>
        <w:t xml:space="preserve">the paper’s </w:t>
      </w:r>
      <w:r w:rsidR="00B84618" w:rsidRPr="004044F9">
        <w:rPr>
          <w:rFonts w:asciiTheme="majorHAnsi" w:hAnsiTheme="majorHAnsi" w:cstheme="majorHAnsi"/>
          <w:bCs/>
          <w:szCs w:val="22"/>
          <w:lang w:val="en-GB"/>
        </w:rPr>
        <w:t>unbalance.</w:t>
      </w:r>
      <w:r w:rsidR="00B84618" w:rsidRPr="004044F9">
        <w:rPr>
          <w:rFonts w:asciiTheme="majorHAnsi" w:hAnsiTheme="majorHAnsi" w:cstheme="majorHAnsi"/>
          <w:bCs/>
          <w:szCs w:val="22"/>
          <w:lang w:val="en-GB"/>
        </w:rPr>
        <w:t xml:space="preserve"> </w:t>
      </w:r>
      <w:r w:rsidR="00B84618" w:rsidRPr="004044F9">
        <w:rPr>
          <w:rFonts w:asciiTheme="majorHAnsi" w:hAnsiTheme="majorHAnsi" w:cstheme="majorHAnsi"/>
          <w:bCs/>
          <w:szCs w:val="22"/>
          <w:lang w:val="en-GB"/>
        </w:rPr>
        <w:t>A</w:t>
      </w:r>
      <w:r w:rsidR="00B84618" w:rsidRPr="004044F9">
        <w:rPr>
          <w:rFonts w:asciiTheme="majorHAnsi" w:hAnsiTheme="majorHAnsi" w:cstheme="majorHAnsi"/>
          <w:bCs/>
          <w:szCs w:val="22"/>
          <w:lang w:val="en-GB"/>
        </w:rPr>
        <w:t xml:space="preserve"> chronological structure </w:t>
      </w:r>
      <w:r w:rsidR="00B84618" w:rsidRPr="004044F9">
        <w:rPr>
          <w:rFonts w:asciiTheme="majorHAnsi" w:hAnsiTheme="majorHAnsi" w:cstheme="majorHAnsi"/>
          <w:bCs/>
          <w:szCs w:val="22"/>
          <w:lang w:val="en-GB"/>
        </w:rPr>
        <w:t>inevitably</w:t>
      </w:r>
      <w:r w:rsidR="00B84618" w:rsidRPr="004044F9">
        <w:rPr>
          <w:rFonts w:asciiTheme="majorHAnsi" w:hAnsiTheme="majorHAnsi" w:cstheme="majorHAnsi"/>
          <w:bCs/>
          <w:szCs w:val="22"/>
          <w:lang w:val="en-GB"/>
        </w:rPr>
        <w:t xml:space="preserve"> reflects </w:t>
      </w:r>
      <w:r w:rsidR="009B1E15" w:rsidRPr="004044F9">
        <w:rPr>
          <w:rFonts w:asciiTheme="majorHAnsi" w:hAnsiTheme="majorHAnsi" w:cstheme="majorHAnsi"/>
          <w:bCs/>
          <w:szCs w:val="22"/>
          <w:lang w:val="en-GB"/>
        </w:rPr>
        <w:t>that</w:t>
      </w:r>
      <w:r w:rsidR="00B84618" w:rsidRPr="004044F9">
        <w:rPr>
          <w:rFonts w:asciiTheme="majorHAnsi" w:hAnsiTheme="majorHAnsi" w:cstheme="majorHAnsi"/>
          <w:bCs/>
          <w:szCs w:val="22"/>
          <w:lang w:val="en-GB"/>
        </w:rPr>
        <w:t xml:space="preserve"> </w:t>
      </w:r>
      <w:r w:rsidR="00B84618" w:rsidRPr="004044F9">
        <w:rPr>
          <w:rFonts w:asciiTheme="majorHAnsi" w:hAnsiTheme="majorHAnsi" w:cstheme="majorHAnsi"/>
          <w:bCs/>
          <w:szCs w:val="22"/>
          <w:lang w:val="en-GB"/>
        </w:rPr>
        <w:t xml:space="preserve">ending </w:t>
      </w:r>
      <w:r w:rsidR="00B84618" w:rsidRPr="004044F9">
        <w:rPr>
          <w:rFonts w:asciiTheme="majorHAnsi" w:hAnsiTheme="majorHAnsi" w:cstheme="majorHAnsi"/>
          <w:bCs/>
          <w:szCs w:val="22"/>
          <w:lang w:val="en-GB"/>
        </w:rPr>
        <w:t>the pandemic</w:t>
      </w:r>
      <w:r w:rsidR="009B1E15" w:rsidRPr="004044F9">
        <w:rPr>
          <w:rFonts w:asciiTheme="majorHAnsi" w:hAnsiTheme="majorHAnsi" w:cstheme="majorHAnsi"/>
          <w:bCs/>
          <w:szCs w:val="22"/>
          <w:lang w:val="en-GB"/>
        </w:rPr>
        <w:t xml:space="preserve"> takes precedence in the short-term</w:t>
      </w:r>
      <w:r w:rsidR="00B84618" w:rsidRPr="004044F9">
        <w:rPr>
          <w:rFonts w:asciiTheme="majorHAnsi" w:hAnsiTheme="majorHAnsi" w:cstheme="majorHAnsi"/>
          <w:bCs/>
          <w:szCs w:val="22"/>
          <w:lang w:val="en-GB"/>
        </w:rPr>
        <w:t>.</w:t>
      </w:r>
      <w:r w:rsidR="009B1E15" w:rsidRPr="004044F9">
        <w:rPr>
          <w:rFonts w:asciiTheme="majorHAnsi" w:hAnsiTheme="majorHAnsi" w:cstheme="majorHAnsi"/>
          <w:bCs/>
          <w:szCs w:val="22"/>
          <w:lang w:val="en-GB"/>
        </w:rPr>
        <w:t xml:space="preserve"> To reiterate, </w:t>
      </w:r>
      <w:r w:rsidR="008A0600" w:rsidRPr="004044F9">
        <w:rPr>
          <w:rFonts w:asciiTheme="majorHAnsi" w:hAnsiTheme="majorHAnsi" w:cstheme="majorHAnsi"/>
          <w:bCs/>
          <w:szCs w:val="22"/>
          <w:lang w:val="en-GB"/>
        </w:rPr>
        <w:t>we, however,</w:t>
      </w:r>
      <w:r w:rsidR="009B1E15" w:rsidRPr="004044F9">
        <w:rPr>
          <w:rFonts w:asciiTheme="majorHAnsi" w:hAnsiTheme="majorHAnsi" w:cstheme="majorHAnsi"/>
          <w:bCs/>
          <w:szCs w:val="22"/>
          <w:lang w:val="en-GB"/>
        </w:rPr>
        <w:t xml:space="preserve"> be</w:t>
      </w:r>
      <w:r w:rsidR="008A0600" w:rsidRPr="004044F9">
        <w:rPr>
          <w:rFonts w:asciiTheme="majorHAnsi" w:hAnsiTheme="majorHAnsi" w:cstheme="majorHAnsi"/>
          <w:bCs/>
          <w:szCs w:val="22"/>
          <w:lang w:val="en-GB"/>
        </w:rPr>
        <w:t>lieve that this paper should reflect the long-term priorities of the global business community. Instead of dividing the paper chronologically, it could benefit from a more topical structure</w:t>
      </w:r>
      <w:r w:rsidR="00325AFA" w:rsidRPr="004044F9">
        <w:rPr>
          <w:rFonts w:asciiTheme="majorHAnsi" w:hAnsiTheme="majorHAnsi" w:cstheme="majorHAnsi"/>
          <w:bCs/>
          <w:szCs w:val="22"/>
          <w:lang w:val="en-GB"/>
        </w:rPr>
        <w:t xml:space="preserve">. The chronological order also makes it difficult to discern what the main priorities are, as high and low is now intertwined in the same sections. </w:t>
      </w:r>
      <w:r w:rsidR="00B84618" w:rsidRPr="004044F9">
        <w:rPr>
          <w:rFonts w:asciiTheme="majorHAnsi" w:hAnsiTheme="majorHAnsi" w:cstheme="majorHAnsi"/>
          <w:bCs/>
          <w:szCs w:val="22"/>
          <w:lang w:val="en-GB"/>
        </w:rPr>
        <w:t xml:space="preserve">The paper currently becomes an enumeration of different things that business wants to see without a clear priority or sense of urgency to which issues are the most central </w:t>
      </w:r>
      <w:proofErr w:type="gramStart"/>
      <w:r w:rsidR="00B84618" w:rsidRPr="004044F9">
        <w:rPr>
          <w:rFonts w:asciiTheme="majorHAnsi" w:hAnsiTheme="majorHAnsi" w:cstheme="majorHAnsi"/>
          <w:bCs/>
          <w:szCs w:val="22"/>
          <w:lang w:val="en-GB"/>
        </w:rPr>
        <w:t>in order for</w:t>
      </w:r>
      <w:proofErr w:type="gramEnd"/>
      <w:r w:rsidR="00B84618" w:rsidRPr="004044F9">
        <w:rPr>
          <w:rFonts w:asciiTheme="majorHAnsi" w:hAnsiTheme="majorHAnsi" w:cstheme="majorHAnsi"/>
          <w:bCs/>
          <w:szCs w:val="22"/>
          <w:lang w:val="en-GB"/>
        </w:rPr>
        <w:t xml:space="preserve"> the WTO to function as it is supposed</w:t>
      </w:r>
      <w:r w:rsidR="00325AFA" w:rsidRPr="004044F9">
        <w:rPr>
          <w:rFonts w:asciiTheme="majorHAnsi" w:hAnsiTheme="majorHAnsi" w:cstheme="majorHAnsi"/>
          <w:bCs/>
          <w:szCs w:val="22"/>
          <w:lang w:val="en-GB"/>
        </w:rPr>
        <w:t>, such as updating obsolete rules and ensure a functioning dispute resolution system.</w:t>
      </w:r>
    </w:p>
    <w:p w14:paraId="0BA15158" w14:textId="77777777" w:rsidR="004044F9" w:rsidRPr="004044F9" w:rsidRDefault="004044F9" w:rsidP="004044F9">
      <w:pPr>
        <w:pStyle w:val="Liststycke"/>
        <w:rPr>
          <w:rFonts w:asciiTheme="majorHAnsi" w:hAnsiTheme="majorHAnsi" w:cstheme="majorHAnsi"/>
          <w:bCs/>
          <w:szCs w:val="22"/>
          <w:lang w:val="en-GB"/>
        </w:rPr>
      </w:pPr>
    </w:p>
    <w:p w14:paraId="2A485055" w14:textId="1E3BDB39" w:rsidR="004044F9" w:rsidRPr="004044F9" w:rsidRDefault="004044F9" w:rsidP="004044F9">
      <w:pPr>
        <w:tabs>
          <w:tab w:val="left" w:pos="3119"/>
          <w:tab w:val="left" w:pos="5245"/>
          <w:tab w:val="left" w:pos="6379"/>
        </w:tabs>
        <w:rPr>
          <w:rFonts w:ascii="Calibri" w:hAnsi="Calibri" w:cs="Calibri"/>
          <w:bCs/>
          <w:szCs w:val="22"/>
          <w:lang w:val="en-GB"/>
        </w:rPr>
      </w:pPr>
      <w:r>
        <w:rPr>
          <w:rFonts w:ascii="Calibri" w:hAnsi="Calibri" w:cs="Calibri"/>
          <w:bCs/>
          <w:szCs w:val="22"/>
          <w:lang w:val="en-GB"/>
        </w:rPr>
        <w:t>Relation to other ICC policy papers</w:t>
      </w:r>
    </w:p>
    <w:p w14:paraId="551B2E5C" w14:textId="742B6DE4" w:rsidR="004044F9" w:rsidRPr="004044F9" w:rsidRDefault="00C610B7" w:rsidP="005F0B66">
      <w:pPr>
        <w:pStyle w:val="Liststycke"/>
        <w:numPr>
          <w:ilvl w:val="0"/>
          <w:numId w:val="14"/>
        </w:numPr>
        <w:tabs>
          <w:tab w:val="left" w:pos="3119"/>
          <w:tab w:val="left" w:pos="5245"/>
          <w:tab w:val="left" w:pos="6379"/>
        </w:tabs>
        <w:rPr>
          <w:rFonts w:ascii="Calibri" w:hAnsi="Calibri" w:cs="Calibri"/>
          <w:bCs/>
          <w:szCs w:val="22"/>
          <w:lang w:val="en-GB"/>
        </w:rPr>
      </w:pPr>
      <w:r w:rsidRPr="004044F9">
        <w:rPr>
          <w:rFonts w:asciiTheme="majorHAnsi" w:hAnsiTheme="majorHAnsi" w:cstheme="majorHAnsi"/>
          <w:bCs/>
          <w:szCs w:val="22"/>
          <w:lang w:val="en-GB"/>
        </w:rPr>
        <w:t xml:space="preserve">While the draft paper makes a reference to the 2019 ICC paper </w:t>
      </w:r>
      <w:r w:rsidR="003355C8" w:rsidRPr="004044F9">
        <w:rPr>
          <w:rFonts w:asciiTheme="majorHAnsi" w:hAnsiTheme="majorHAnsi" w:cstheme="majorHAnsi"/>
          <w:bCs/>
          <w:szCs w:val="22"/>
          <w:lang w:val="en-GB"/>
        </w:rPr>
        <w:t>“</w:t>
      </w:r>
      <w:r w:rsidR="003355C8" w:rsidRPr="004044F9">
        <w:rPr>
          <w:rFonts w:asciiTheme="majorHAnsi" w:hAnsiTheme="majorHAnsi" w:cstheme="majorHAnsi"/>
          <w:bCs/>
          <w:i/>
          <w:iCs/>
          <w:szCs w:val="22"/>
          <w:lang w:val="en-GB"/>
        </w:rPr>
        <w:t>Reforming the Multilateral Rules-Based Trading System: The outcomes we want for people and planet</w:t>
      </w:r>
      <w:r w:rsidR="003355C8" w:rsidRPr="004044F9">
        <w:rPr>
          <w:rFonts w:asciiTheme="majorHAnsi" w:hAnsiTheme="majorHAnsi" w:cstheme="majorHAnsi"/>
          <w:bCs/>
          <w:szCs w:val="22"/>
          <w:lang w:val="en-GB"/>
        </w:rPr>
        <w:t>”</w:t>
      </w:r>
      <w:r w:rsidRPr="004044F9">
        <w:rPr>
          <w:rFonts w:asciiTheme="majorHAnsi" w:hAnsiTheme="majorHAnsi" w:cstheme="majorHAnsi"/>
          <w:bCs/>
          <w:szCs w:val="22"/>
          <w:lang w:val="en-GB"/>
        </w:rPr>
        <w:t xml:space="preserve"> it is a bit unclear how </w:t>
      </w:r>
      <w:r w:rsidR="003355C8" w:rsidRPr="004044F9">
        <w:rPr>
          <w:rFonts w:asciiTheme="majorHAnsi" w:hAnsiTheme="majorHAnsi" w:cstheme="majorHAnsi"/>
          <w:bCs/>
          <w:szCs w:val="22"/>
          <w:lang w:val="en-GB"/>
        </w:rPr>
        <w:t xml:space="preserve">the two papers </w:t>
      </w:r>
      <w:r w:rsidR="005F0B66" w:rsidRPr="004044F9">
        <w:rPr>
          <w:rFonts w:asciiTheme="majorHAnsi" w:hAnsiTheme="majorHAnsi" w:cstheme="majorHAnsi"/>
          <w:bCs/>
          <w:szCs w:val="22"/>
          <w:lang w:val="en-GB"/>
        </w:rPr>
        <w:t>relate</w:t>
      </w:r>
      <w:r w:rsidRPr="004044F9">
        <w:rPr>
          <w:rFonts w:asciiTheme="majorHAnsi" w:hAnsiTheme="majorHAnsi" w:cstheme="majorHAnsi"/>
          <w:bCs/>
          <w:szCs w:val="22"/>
          <w:lang w:val="en-GB"/>
        </w:rPr>
        <w:t xml:space="preserve"> to each other. </w:t>
      </w:r>
      <w:r w:rsidR="003355C8" w:rsidRPr="004044F9">
        <w:rPr>
          <w:rFonts w:asciiTheme="majorHAnsi" w:hAnsiTheme="majorHAnsi" w:cstheme="majorHAnsi"/>
          <w:bCs/>
          <w:szCs w:val="22"/>
          <w:lang w:val="en-GB"/>
        </w:rPr>
        <w:t xml:space="preserve">We would appreciate a clarification whether they </w:t>
      </w:r>
      <w:r w:rsidR="003355C8" w:rsidRPr="004044F9">
        <w:rPr>
          <w:rFonts w:asciiTheme="majorHAnsi" w:hAnsiTheme="majorHAnsi" w:cstheme="majorHAnsi"/>
          <w:bCs/>
          <w:szCs w:val="22"/>
          <w:lang w:val="en-GB"/>
        </w:rPr>
        <w:lastRenderedPageBreak/>
        <w:t xml:space="preserve">are </w:t>
      </w:r>
      <w:r w:rsidRPr="004044F9">
        <w:rPr>
          <w:rFonts w:asciiTheme="majorHAnsi" w:hAnsiTheme="majorHAnsi" w:cstheme="majorHAnsi"/>
          <w:bCs/>
          <w:szCs w:val="22"/>
          <w:lang w:val="en-GB"/>
        </w:rPr>
        <w:t xml:space="preserve">to be read in conjunction with each other or </w:t>
      </w:r>
      <w:r w:rsidR="003355C8" w:rsidRPr="004044F9">
        <w:rPr>
          <w:rFonts w:asciiTheme="majorHAnsi" w:hAnsiTheme="majorHAnsi" w:cstheme="majorHAnsi"/>
          <w:bCs/>
          <w:szCs w:val="22"/>
          <w:lang w:val="en-GB"/>
        </w:rPr>
        <w:t>if</w:t>
      </w:r>
      <w:r w:rsidRPr="004044F9">
        <w:rPr>
          <w:rFonts w:asciiTheme="majorHAnsi" w:hAnsiTheme="majorHAnsi" w:cstheme="majorHAnsi"/>
          <w:bCs/>
          <w:szCs w:val="22"/>
          <w:lang w:val="en-GB"/>
        </w:rPr>
        <w:t xml:space="preserve"> the new paper replace</w:t>
      </w:r>
      <w:r w:rsidR="003355C8" w:rsidRPr="004044F9">
        <w:rPr>
          <w:rFonts w:asciiTheme="majorHAnsi" w:hAnsiTheme="majorHAnsi" w:cstheme="majorHAnsi"/>
          <w:bCs/>
          <w:szCs w:val="22"/>
          <w:lang w:val="en-GB"/>
        </w:rPr>
        <w:t>s</w:t>
      </w:r>
      <w:r w:rsidRPr="004044F9">
        <w:rPr>
          <w:rFonts w:asciiTheme="majorHAnsi" w:hAnsiTheme="majorHAnsi" w:cstheme="majorHAnsi"/>
          <w:bCs/>
          <w:szCs w:val="22"/>
          <w:lang w:val="en-GB"/>
        </w:rPr>
        <w:t xml:space="preserve"> the old</w:t>
      </w:r>
      <w:r w:rsidR="003355C8" w:rsidRPr="004044F9">
        <w:rPr>
          <w:rFonts w:asciiTheme="majorHAnsi" w:hAnsiTheme="majorHAnsi" w:cstheme="majorHAnsi"/>
          <w:bCs/>
          <w:szCs w:val="22"/>
          <w:lang w:val="en-GB"/>
        </w:rPr>
        <w:t xml:space="preserve"> one.</w:t>
      </w:r>
      <w:r w:rsidRPr="004044F9">
        <w:rPr>
          <w:rFonts w:asciiTheme="majorHAnsi" w:hAnsiTheme="majorHAnsi" w:cstheme="majorHAnsi"/>
          <w:bCs/>
          <w:szCs w:val="22"/>
          <w:lang w:val="en-GB"/>
        </w:rPr>
        <w:t xml:space="preserve"> In the latter case, many of the more concrete recommendations made in the previous paper have been lost and would have to be included in this one</w:t>
      </w:r>
      <w:r w:rsidR="00CE7B5F">
        <w:rPr>
          <w:rFonts w:asciiTheme="majorHAnsi" w:hAnsiTheme="majorHAnsi" w:cstheme="majorHAnsi"/>
          <w:bCs/>
          <w:szCs w:val="22"/>
          <w:lang w:val="en-GB"/>
        </w:rPr>
        <w:t>,</w:t>
      </w:r>
      <w:r w:rsidR="004F5101">
        <w:rPr>
          <w:rFonts w:asciiTheme="majorHAnsi" w:hAnsiTheme="majorHAnsi" w:cstheme="majorHAnsi"/>
          <w:bCs/>
          <w:szCs w:val="22"/>
          <w:lang w:val="en-GB"/>
        </w:rPr>
        <w:t xml:space="preserve"> e.g., in relation to subsidies and notification requirements</w:t>
      </w:r>
      <w:r w:rsidR="00454C93">
        <w:rPr>
          <w:rFonts w:asciiTheme="majorHAnsi" w:hAnsiTheme="majorHAnsi" w:cstheme="majorHAnsi"/>
          <w:bCs/>
          <w:szCs w:val="22"/>
          <w:lang w:val="en-GB"/>
        </w:rPr>
        <w:t xml:space="preserve">, </w:t>
      </w:r>
      <w:r w:rsidR="004F5101">
        <w:rPr>
          <w:rFonts w:asciiTheme="majorHAnsi" w:hAnsiTheme="majorHAnsi" w:cstheme="majorHAnsi"/>
          <w:bCs/>
          <w:szCs w:val="22"/>
          <w:lang w:val="en-GB"/>
        </w:rPr>
        <w:t>the appellate body</w:t>
      </w:r>
      <w:r w:rsidR="00454C93">
        <w:rPr>
          <w:rFonts w:asciiTheme="majorHAnsi" w:hAnsiTheme="majorHAnsi" w:cstheme="majorHAnsi"/>
          <w:bCs/>
          <w:szCs w:val="22"/>
          <w:lang w:val="en-GB"/>
        </w:rPr>
        <w:t xml:space="preserve"> and the call for global policy coherence between the multilateral trade system and other relevant international systems</w:t>
      </w:r>
      <w:r w:rsidR="004F5101">
        <w:rPr>
          <w:rFonts w:asciiTheme="majorHAnsi" w:hAnsiTheme="majorHAnsi" w:cstheme="majorHAnsi"/>
          <w:bCs/>
          <w:szCs w:val="22"/>
          <w:lang w:val="en-GB"/>
        </w:rPr>
        <w:t>.</w:t>
      </w:r>
    </w:p>
    <w:p w14:paraId="2098EA9B" w14:textId="77777777" w:rsidR="004044F9" w:rsidRPr="004044F9" w:rsidRDefault="004044F9" w:rsidP="004044F9">
      <w:pPr>
        <w:pStyle w:val="Liststycke"/>
        <w:tabs>
          <w:tab w:val="left" w:pos="3119"/>
          <w:tab w:val="left" w:pos="5245"/>
          <w:tab w:val="left" w:pos="6379"/>
        </w:tabs>
        <w:rPr>
          <w:rFonts w:ascii="Calibri" w:hAnsi="Calibri" w:cs="Calibri"/>
          <w:bCs/>
          <w:szCs w:val="22"/>
          <w:lang w:val="en-GB"/>
        </w:rPr>
      </w:pPr>
    </w:p>
    <w:p w14:paraId="15C9CEE9" w14:textId="0FAD4F0B" w:rsidR="00C610B7" w:rsidRPr="004044F9" w:rsidRDefault="003355C8" w:rsidP="00ED00C6">
      <w:pPr>
        <w:pStyle w:val="Liststycke"/>
        <w:numPr>
          <w:ilvl w:val="0"/>
          <w:numId w:val="14"/>
        </w:numPr>
        <w:tabs>
          <w:tab w:val="left" w:pos="3119"/>
          <w:tab w:val="left" w:pos="5245"/>
          <w:tab w:val="left" w:pos="6379"/>
        </w:tabs>
        <w:rPr>
          <w:rFonts w:ascii="Calibri" w:hAnsi="Calibri" w:cs="Calibri"/>
          <w:bCs/>
          <w:szCs w:val="22"/>
          <w:lang w:val="en-US"/>
        </w:rPr>
      </w:pPr>
      <w:r w:rsidRPr="004044F9">
        <w:rPr>
          <w:rFonts w:asciiTheme="majorHAnsi" w:hAnsiTheme="majorHAnsi" w:cstheme="majorHAnsi"/>
          <w:bCs/>
          <w:szCs w:val="22"/>
          <w:lang w:val="en-GB"/>
        </w:rPr>
        <w:t xml:space="preserve">We note that many of the recommendations </w:t>
      </w:r>
      <w:r w:rsidR="004044F9" w:rsidRPr="004044F9">
        <w:rPr>
          <w:rFonts w:asciiTheme="majorHAnsi" w:hAnsiTheme="majorHAnsi" w:cstheme="majorHAnsi"/>
          <w:bCs/>
          <w:szCs w:val="22"/>
          <w:lang w:val="en-GB"/>
        </w:rPr>
        <w:t xml:space="preserve">made </w:t>
      </w:r>
      <w:r w:rsidRPr="004044F9">
        <w:rPr>
          <w:rFonts w:asciiTheme="majorHAnsi" w:hAnsiTheme="majorHAnsi" w:cstheme="majorHAnsi"/>
          <w:bCs/>
          <w:szCs w:val="22"/>
          <w:lang w:val="en-GB"/>
        </w:rPr>
        <w:t>are general in nature</w:t>
      </w:r>
      <w:r w:rsidR="004044F9" w:rsidRPr="004044F9">
        <w:rPr>
          <w:rFonts w:asciiTheme="majorHAnsi" w:hAnsiTheme="majorHAnsi" w:cstheme="majorHAnsi"/>
          <w:bCs/>
          <w:szCs w:val="22"/>
          <w:lang w:val="en-GB"/>
        </w:rPr>
        <w:t xml:space="preserve">. On several of these topics, </w:t>
      </w:r>
      <w:r w:rsidRPr="004044F9">
        <w:rPr>
          <w:rFonts w:asciiTheme="majorHAnsi" w:hAnsiTheme="majorHAnsi" w:cstheme="majorHAnsi"/>
          <w:bCs/>
          <w:szCs w:val="22"/>
          <w:lang w:val="en-GB"/>
        </w:rPr>
        <w:t>ICC has previously published more detailed policy statements, relating to e.g., the e-commerce negotiations (“</w:t>
      </w:r>
      <w:r w:rsidR="005F0B66" w:rsidRPr="004044F9">
        <w:rPr>
          <w:rFonts w:asciiTheme="majorHAnsi" w:hAnsiTheme="majorHAnsi" w:cstheme="majorHAnsi"/>
          <w:bCs/>
          <w:i/>
          <w:iCs/>
          <w:szCs w:val="22"/>
          <w:lang w:val="en-GB"/>
        </w:rPr>
        <w:t>A High Standard Outcome to Power the Post-Covid Economy</w:t>
      </w:r>
      <w:r w:rsidR="005F0B66" w:rsidRPr="004044F9">
        <w:rPr>
          <w:rFonts w:asciiTheme="majorHAnsi" w:hAnsiTheme="majorHAnsi" w:cstheme="majorHAnsi"/>
          <w:bCs/>
          <w:szCs w:val="22"/>
          <w:lang w:val="en-GB"/>
        </w:rPr>
        <w:t>”</w:t>
      </w:r>
      <w:r w:rsidRPr="004044F9">
        <w:rPr>
          <w:rFonts w:asciiTheme="majorHAnsi" w:hAnsiTheme="majorHAnsi" w:cstheme="majorHAnsi"/>
          <w:bCs/>
          <w:szCs w:val="22"/>
          <w:lang w:val="en-GB"/>
        </w:rPr>
        <w:t>) or the moratorium on electronic custom duties (“</w:t>
      </w:r>
      <w:r w:rsidR="005F0B66" w:rsidRPr="004044F9">
        <w:rPr>
          <w:rFonts w:asciiTheme="majorHAnsi" w:hAnsiTheme="majorHAnsi" w:cstheme="majorHAnsi"/>
          <w:bCs/>
          <w:i/>
          <w:iCs/>
          <w:szCs w:val="22"/>
          <w:lang w:val="en-GB"/>
        </w:rPr>
        <w:t xml:space="preserve">The </w:t>
      </w:r>
      <w:r w:rsidR="005F0B66" w:rsidRPr="004044F9">
        <w:rPr>
          <w:rFonts w:asciiTheme="majorHAnsi" w:hAnsiTheme="majorHAnsi" w:cstheme="majorHAnsi"/>
          <w:bCs/>
          <w:i/>
          <w:iCs/>
          <w:szCs w:val="22"/>
          <w:lang w:val="en-GB"/>
        </w:rPr>
        <w:t>B</w:t>
      </w:r>
      <w:r w:rsidR="005F0B66" w:rsidRPr="004044F9">
        <w:rPr>
          <w:rFonts w:asciiTheme="majorHAnsi" w:hAnsiTheme="majorHAnsi" w:cstheme="majorHAnsi"/>
          <w:bCs/>
          <w:i/>
          <w:iCs/>
          <w:szCs w:val="22"/>
          <w:lang w:val="en-GB"/>
        </w:rPr>
        <w:t xml:space="preserve">usiness </w:t>
      </w:r>
      <w:r w:rsidR="005F0B66" w:rsidRPr="004044F9">
        <w:rPr>
          <w:rFonts w:asciiTheme="majorHAnsi" w:hAnsiTheme="majorHAnsi" w:cstheme="majorHAnsi"/>
          <w:bCs/>
          <w:i/>
          <w:iCs/>
          <w:szCs w:val="22"/>
          <w:lang w:val="en-GB"/>
        </w:rPr>
        <w:t>C</w:t>
      </w:r>
      <w:r w:rsidR="005F0B66" w:rsidRPr="004044F9">
        <w:rPr>
          <w:rFonts w:asciiTheme="majorHAnsi" w:hAnsiTheme="majorHAnsi" w:cstheme="majorHAnsi"/>
          <w:bCs/>
          <w:i/>
          <w:iCs/>
          <w:szCs w:val="22"/>
          <w:lang w:val="en-GB"/>
        </w:rPr>
        <w:t xml:space="preserve">ase </w:t>
      </w:r>
      <w:r w:rsidR="005F0B66" w:rsidRPr="004044F9">
        <w:rPr>
          <w:rFonts w:asciiTheme="majorHAnsi" w:hAnsiTheme="majorHAnsi" w:cstheme="majorHAnsi"/>
          <w:bCs/>
          <w:i/>
          <w:iCs/>
          <w:szCs w:val="22"/>
          <w:lang w:val="en-GB"/>
        </w:rPr>
        <w:t>for</w:t>
      </w:r>
      <w:r w:rsidR="005F0B66" w:rsidRPr="004044F9">
        <w:rPr>
          <w:rFonts w:asciiTheme="majorHAnsi" w:hAnsiTheme="majorHAnsi" w:cstheme="majorHAnsi"/>
          <w:bCs/>
          <w:i/>
          <w:iCs/>
          <w:szCs w:val="22"/>
          <w:lang w:val="en-GB"/>
        </w:rPr>
        <w:t xml:space="preserve"> a </w:t>
      </w:r>
      <w:r w:rsidR="005F0B66" w:rsidRPr="004044F9">
        <w:rPr>
          <w:rFonts w:asciiTheme="majorHAnsi" w:hAnsiTheme="majorHAnsi" w:cstheme="majorHAnsi"/>
          <w:bCs/>
          <w:i/>
          <w:iCs/>
          <w:szCs w:val="22"/>
          <w:lang w:val="en-GB"/>
        </w:rPr>
        <w:t>P</w:t>
      </w:r>
      <w:r w:rsidR="005F0B66" w:rsidRPr="004044F9">
        <w:rPr>
          <w:rFonts w:asciiTheme="majorHAnsi" w:hAnsiTheme="majorHAnsi" w:cstheme="majorHAnsi"/>
          <w:bCs/>
          <w:i/>
          <w:iCs/>
          <w:szCs w:val="22"/>
          <w:lang w:val="en-GB"/>
        </w:rPr>
        <w:t xml:space="preserve">ermanent </w:t>
      </w:r>
      <w:r w:rsidR="005F0B66" w:rsidRPr="004044F9">
        <w:rPr>
          <w:rFonts w:asciiTheme="majorHAnsi" w:hAnsiTheme="majorHAnsi" w:cstheme="majorHAnsi"/>
          <w:bCs/>
          <w:i/>
          <w:iCs/>
          <w:szCs w:val="22"/>
          <w:lang w:val="en-GB"/>
        </w:rPr>
        <w:t>P</w:t>
      </w:r>
      <w:r w:rsidR="005F0B66" w:rsidRPr="004044F9">
        <w:rPr>
          <w:rFonts w:asciiTheme="majorHAnsi" w:hAnsiTheme="majorHAnsi" w:cstheme="majorHAnsi"/>
          <w:bCs/>
          <w:i/>
          <w:iCs/>
          <w:szCs w:val="22"/>
          <w:lang w:val="en-GB"/>
        </w:rPr>
        <w:t xml:space="preserve">rohibition on </w:t>
      </w:r>
      <w:r w:rsidR="005F0B66" w:rsidRPr="004044F9">
        <w:rPr>
          <w:rFonts w:asciiTheme="majorHAnsi" w:hAnsiTheme="majorHAnsi" w:cstheme="majorHAnsi"/>
          <w:bCs/>
          <w:i/>
          <w:iCs/>
          <w:szCs w:val="22"/>
          <w:lang w:val="en-GB"/>
        </w:rPr>
        <w:t>C</w:t>
      </w:r>
      <w:r w:rsidR="005F0B66" w:rsidRPr="004044F9">
        <w:rPr>
          <w:rFonts w:asciiTheme="majorHAnsi" w:hAnsiTheme="majorHAnsi" w:cstheme="majorHAnsi"/>
          <w:bCs/>
          <w:i/>
          <w:iCs/>
          <w:szCs w:val="22"/>
          <w:lang w:val="en-GB"/>
        </w:rPr>
        <w:t xml:space="preserve">ustoms </w:t>
      </w:r>
      <w:r w:rsidR="005F0B66" w:rsidRPr="004044F9">
        <w:rPr>
          <w:rFonts w:asciiTheme="majorHAnsi" w:hAnsiTheme="majorHAnsi" w:cstheme="majorHAnsi"/>
          <w:bCs/>
          <w:i/>
          <w:iCs/>
          <w:szCs w:val="22"/>
          <w:lang w:val="en-GB"/>
        </w:rPr>
        <w:t>D</w:t>
      </w:r>
      <w:r w:rsidR="005F0B66" w:rsidRPr="004044F9">
        <w:rPr>
          <w:rFonts w:asciiTheme="majorHAnsi" w:hAnsiTheme="majorHAnsi" w:cstheme="majorHAnsi"/>
          <w:bCs/>
          <w:i/>
          <w:iCs/>
          <w:szCs w:val="22"/>
          <w:lang w:val="en-GB"/>
        </w:rPr>
        <w:t>uties</w:t>
      </w:r>
      <w:r w:rsidR="005F0B66" w:rsidRPr="004044F9">
        <w:rPr>
          <w:rFonts w:asciiTheme="majorHAnsi" w:hAnsiTheme="majorHAnsi" w:cstheme="majorHAnsi"/>
          <w:bCs/>
          <w:i/>
          <w:iCs/>
          <w:szCs w:val="22"/>
          <w:lang w:val="en-GB"/>
        </w:rPr>
        <w:t xml:space="preserve"> </w:t>
      </w:r>
      <w:r w:rsidR="005F0B66" w:rsidRPr="004044F9">
        <w:rPr>
          <w:rFonts w:asciiTheme="majorHAnsi" w:hAnsiTheme="majorHAnsi" w:cstheme="majorHAnsi"/>
          <w:bCs/>
          <w:i/>
          <w:iCs/>
          <w:szCs w:val="22"/>
          <w:lang w:val="en-GB"/>
        </w:rPr>
        <w:t xml:space="preserve">on </w:t>
      </w:r>
      <w:r w:rsidR="005F0B66" w:rsidRPr="004044F9">
        <w:rPr>
          <w:rFonts w:asciiTheme="majorHAnsi" w:hAnsiTheme="majorHAnsi" w:cstheme="majorHAnsi"/>
          <w:bCs/>
          <w:i/>
          <w:iCs/>
          <w:szCs w:val="22"/>
          <w:lang w:val="en-GB"/>
        </w:rPr>
        <w:t>E</w:t>
      </w:r>
      <w:r w:rsidR="005F0B66" w:rsidRPr="004044F9">
        <w:rPr>
          <w:rFonts w:asciiTheme="majorHAnsi" w:hAnsiTheme="majorHAnsi" w:cstheme="majorHAnsi"/>
          <w:bCs/>
          <w:i/>
          <w:iCs/>
          <w:szCs w:val="22"/>
          <w:lang w:val="en-GB"/>
        </w:rPr>
        <w:t xml:space="preserve">lectronic </w:t>
      </w:r>
      <w:r w:rsidR="005F0B66" w:rsidRPr="004044F9">
        <w:rPr>
          <w:rFonts w:asciiTheme="majorHAnsi" w:hAnsiTheme="majorHAnsi" w:cstheme="majorHAnsi"/>
          <w:bCs/>
          <w:i/>
          <w:iCs/>
          <w:szCs w:val="22"/>
          <w:lang w:val="en-GB"/>
        </w:rPr>
        <w:t>T</w:t>
      </w:r>
      <w:r w:rsidR="005F0B66" w:rsidRPr="004044F9">
        <w:rPr>
          <w:rFonts w:asciiTheme="majorHAnsi" w:hAnsiTheme="majorHAnsi" w:cstheme="majorHAnsi"/>
          <w:bCs/>
          <w:i/>
          <w:iCs/>
          <w:szCs w:val="22"/>
          <w:lang w:val="en-GB"/>
        </w:rPr>
        <w:t>ransmissions</w:t>
      </w:r>
      <w:r w:rsidR="005F0B66" w:rsidRPr="004044F9">
        <w:rPr>
          <w:rFonts w:asciiTheme="majorHAnsi" w:hAnsiTheme="majorHAnsi" w:cstheme="majorHAnsi"/>
          <w:bCs/>
          <w:szCs w:val="22"/>
          <w:lang w:val="en-GB"/>
        </w:rPr>
        <w:t>”</w:t>
      </w:r>
      <w:r w:rsidRPr="004044F9">
        <w:rPr>
          <w:rFonts w:asciiTheme="majorHAnsi" w:hAnsiTheme="majorHAnsi" w:cstheme="majorHAnsi"/>
          <w:bCs/>
          <w:szCs w:val="22"/>
          <w:lang w:val="en-GB"/>
        </w:rPr>
        <w:t xml:space="preserve">). We suggest that </w:t>
      </w:r>
      <w:r w:rsidR="005F0B66" w:rsidRPr="004044F9">
        <w:rPr>
          <w:rFonts w:asciiTheme="majorHAnsi" w:hAnsiTheme="majorHAnsi" w:cstheme="majorHAnsi"/>
          <w:bCs/>
          <w:szCs w:val="22"/>
          <w:lang w:val="en-GB"/>
        </w:rPr>
        <w:t xml:space="preserve">these and other </w:t>
      </w:r>
      <w:r w:rsidRPr="004044F9">
        <w:rPr>
          <w:rFonts w:asciiTheme="majorHAnsi" w:hAnsiTheme="majorHAnsi" w:cstheme="majorHAnsi"/>
          <w:bCs/>
          <w:szCs w:val="22"/>
          <w:lang w:val="en-GB"/>
        </w:rPr>
        <w:t xml:space="preserve">relevant policy documents are </w:t>
      </w:r>
      <w:r w:rsidR="005F0B66" w:rsidRPr="004044F9">
        <w:rPr>
          <w:rFonts w:asciiTheme="majorHAnsi" w:hAnsiTheme="majorHAnsi" w:cstheme="majorHAnsi"/>
          <w:bCs/>
          <w:szCs w:val="22"/>
          <w:lang w:val="en-GB"/>
        </w:rPr>
        <w:t>clearly referenced in the paper as to, in addition to more general priorities, shine light on</w:t>
      </w:r>
      <w:r w:rsidR="004044F9" w:rsidRPr="004044F9">
        <w:rPr>
          <w:rFonts w:asciiTheme="majorHAnsi" w:hAnsiTheme="majorHAnsi" w:cstheme="majorHAnsi"/>
          <w:bCs/>
          <w:szCs w:val="22"/>
          <w:lang w:val="en-GB"/>
        </w:rPr>
        <w:t xml:space="preserve"> the</w:t>
      </w:r>
      <w:r w:rsidR="005F0B66" w:rsidRPr="004044F9">
        <w:rPr>
          <w:rFonts w:asciiTheme="majorHAnsi" w:hAnsiTheme="majorHAnsi" w:cstheme="majorHAnsi"/>
          <w:bCs/>
          <w:szCs w:val="22"/>
          <w:lang w:val="en-GB"/>
        </w:rPr>
        <w:t xml:space="preserve"> concrete ICC proposals that have been previously brought forward. </w:t>
      </w:r>
    </w:p>
    <w:p w14:paraId="2767294F" w14:textId="77777777" w:rsidR="004044F9" w:rsidRPr="004172BA" w:rsidRDefault="004044F9" w:rsidP="004044F9">
      <w:pPr>
        <w:rPr>
          <w:lang w:val="en-US"/>
        </w:rPr>
      </w:pPr>
    </w:p>
    <w:p w14:paraId="402CBE7A" w14:textId="2F7392BB" w:rsidR="004044F9" w:rsidRPr="004044F9" w:rsidRDefault="00E15597" w:rsidP="005F0B66">
      <w:pPr>
        <w:tabs>
          <w:tab w:val="left" w:pos="3119"/>
          <w:tab w:val="left" w:pos="5245"/>
          <w:tab w:val="left" w:pos="6379"/>
        </w:tabs>
        <w:rPr>
          <w:rFonts w:ascii="Calibri" w:hAnsi="Calibri" w:cs="Calibri"/>
          <w:bCs/>
          <w:szCs w:val="22"/>
          <w:lang w:val="en-GB"/>
        </w:rPr>
      </w:pPr>
      <w:r>
        <w:rPr>
          <w:rFonts w:ascii="Calibri" w:hAnsi="Calibri" w:cs="Calibri"/>
          <w:bCs/>
          <w:szCs w:val="22"/>
          <w:lang w:val="en-GB"/>
        </w:rPr>
        <w:t>Comments relating to the proposals, including suggestions of additional paragraphs</w:t>
      </w:r>
    </w:p>
    <w:p w14:paraId="10D999C6" w14:textId="74731C48" w:rsidR="00B4792C" w:rsidRPr="00B4792C" w:rsidRDefault="00B4792C" w:rsidP="00F14D8F">
      <w:pPr>
        <w:pStyle w:val="Liststycke"/>
        <w:numPr>
          <w:ilvl w:val="0"/>
          <w:numId w:val="14"/>
        </w:numPr>
        <w:tabs>
          <w:tab w:val="left" w:pos="3119"/>
          <w:tab w:val="left" w:pos="5245"/>
          <w:tab w:val="left" w:pos="6379"/>
        </w:tabs>
        <w:rPr>
          <w:rFonts w:asciiTheme="majorHAnsi" w:hAnsiTheme="majorHAnsi" w:cstheme="majorHAnsi"/>
          <w:bCs/>
          <w:szCs w:val="22"/>
          <w:lang w:val="en-US"/>
        </w:rPr>
      </w:pPr>
      <w:r w:rsidRPr="00374104">
        <w:rPr>
          <w:lang w:val="en-US"/>
        </w:rPr>
        <w:t>A functioning WTO dispute resolution system is central to upholding the multilateral trade system and ensure compliance with the rules agreed by the WTO</w:t>
      </w:r>
      <w:r>
        <w:rPr>
          <w:lang w:val="en-US"/>
        </w:rPr>
        <w:t xml:space="preserve"> members</w:t>
      </w:r>
      <w:r w:rsidRPr="00374104">
        <w:rPr>
          <w:lang w:val="en-US"/>
        </w:rPr>
        <w:t>. Currently, the para on reforming the dispute settlements system is too general. It should include concrete proposals on the fundamental components of such a reform, including increasing the number of Appellate Body members, mak</w:t>
      </w:r>
      <w:r w:rsidR="00E15597">
        <w:rPr>
          <w:lang w:val="en-US"/>
        </w:rPr>
        <w:t>ing</w:t>
      </w:r>
      <w:r w:rsidRPr="00374104">
        <w:rPr>
          <w:lang w:val="en-US"/>
        </w:rPr>
        <w:t xml:space="preserve"> appointments permanent for a defined </w:t>
      </w:r>
      <w:proofErr w:type="gramStart"/>
      <w:r w:rsidRPr="00374104">
        <w:rPr>
          <w:lang w:val="en-US"/>
        </w:rPr>
        <w:t>period of time</w:t>
      </w:r>
      <w:proofErr w:type="gramEnd"/>
      <w:r w:rsidRPr="00374104">
        <w:rPr>
          <w:lang w:val="en-US"/>
        </w:rPr>
        <w:t xml:space="preserve"> with a competitive pay grade, and expanding the recruitment pool to include not only civil servants and professors, but also lawyers with practical experience from the private sector. Similar proposals </w:t>
      </w:r>
      <w:r>
        <w:rPr>
          <w:lang w:val="en-US"/>
        </w:rPr>
        <w:t>were</w:t>
      </w:r>
      <w:r w:rsidRPr="00374104">
        <w:rPr>
          <w:lang w:val="en-US"/>
        </w:rPr>
        <w:t xml:space="preserve"> made </w:t>
      </w:r>
      <w:r>
        <w:rPr>
          <w:lang w:val="en-US"/>
        </w:rPr>
        <w:t xml:space="preserve">in </w:t>
      </w:r>
      <w:r w:rsidRPr="00374104">
        <w:rPr>
          <w:lang w:val="en-US"/>
        </w:rPr>
        <w:t xml:space="preserve">2019 </w:t>
      </w:r>
      <w:r>
        <w:rPr>
          <w:lang w:val="en-US"/>
        </w:rPr>
        <w:t xml:space="preserve">ICC </w:t>
      </w:r>
      <w:r w:rsidRPr="00374104">
        <w:rPr>
          <w:lang w:val="en-US"/>
        </w:rPr>
        <w:t>WTO</w:t>
      </w:r>
      <w:r>
        <w:rPr>
          <w:lang w:val="en-US"/>
        </w:rPr>
        <w:t xml:space="preserve"> reform</w:t>
      </w:r>
      <w:r w:rsidRPr="00374104">
        <w:rPr>
          <w:lang w:val="en-US"/>
        </w:rPr>
        <w:t xml:space="preserve"> paper.</w:t>
      </w:r>
    </w:p>
    <w:p w14:paraId="25B5EB68" w14:textId="77777777" w:rsidR="00B4792C" w:rsidRPr="00B4792C" w:rsidRDefault="00B4792C" w:rsidP="00B4792C">
      <w:pPr>
        <w:pStyle w:val="Liststycke"/>
        <w:tabs>
          <w:tab w:val="left" w:pos="3119"/>
          <w:tab w:val="left" w:pos="5245"/>
          <w:tab w:val="left" w:pos="6379"/>
        </w:tabs>
        <w:rPr>
          <w:rFonts w:asciiTheme="majorHAnsi" w:hAnsiTheme="majorHAnsi" w:cstheme="majorHAnsi"/>
          <w:bCs/>
          <w:szCs w:val="22"/>
          <w:lang w:val="en-US"/>
        </w:rPr>
      </w:pPr>
    </w:p>
    <w:p w14:paraId="2D90E2BE" w14:textId="5057C373" w:rsidR="00F217BB" w:rsidRPr="00F217BB" w:rsidRDefault="005F0B66" w:rsidP="00F14D8F">
      <w:pPr>
        <w:pStyle w:val="Liststycke"/>
        <w:numPr>
          <w:ilvl w:val="0"/>
          <w:numId w:val="14"/>
        </w:numPr>
        <w:tabs>
          <w:tab w:val="left" w:pos="3119"/>
          <w:tab w:val="left" w:pos="5245"/>
          <w:tab w:val="left" w:pos="6379"/>
        </w:tabs>
        <w:rPr>
          <w:rFonts w:asciiTheme="majorHAnsi" w:hAnsiTheme="majorHAnsi" w:cstheme="majorHAnsi"/>
          <w:bCs/>
          <w:szCs w:val="22"/>
          <w:lang w:val="en-US"/>
        </w:rPr>
      </w:pPr>
      <w:r w:rsidRPr="00F217BB">
        <w:rPr>
          <w:rFonts w:asciiTheme="majorHAnsi" w:hAnsiTheme="majorHAnsi" w:cstheme="majorHAnsi"/>
          <w:bCs/>
          <w:szCs w:val="22"/>
          <w:lang w:val="en-GB"/>
        </w:rPr>
        <w:t>We note that the paper</w:t>
      </w:r>
      <w:r w:rsidR="00344315" w:rsidRPr="00F217BB">
        <w:rPr>
          <w:rFonts w:asciiTheme="majorHAnsi" w:hAnsiTheme="majorHAnsi" w:cstheme="majorHAnsi"/>
          <w:bCs/>
          <w:szCs w:val="22"/>
          <w:lang w:val="en-GB"/>
        </w:rPr>
        <w:t xml:space="preserve"> does not mention industrial subsidies </w:t>
      </w:r>
      <w:r w:rsidRPr="00F217BB">
        <w:rPr>
          <w:rFonts w:asciiTheme="majorHAnsi" w:hAnsiTheme="majorHAnsi" w:cstheme="majorHAnsi"/>
          <w:bCs/>
          <w:szCs w:val="22"/>
          <w:lang w:val="en-GB"/>
        </w:rPr>
        <w:t xml:space="preserve">and advocate for including a new </w:t>
      </w:r>
      <w:r w:rsidR="00DF6A1C">
        <w:rPr>
          <w:rFonts w:asciiTheme="majorHAnsi" w:hAnsiTheme="majorHAnsi" w:cstheme="majorHAnsi"/>
          <w:bCs/>
          <w:szCs w:val="22"/>
          <w:lang w:val="en-GB"/>
        </w:rPr>
        <w:t>para</w:t>
      </w:r>
      <w:r w:rsidRPr="00F217BB">
        <w:rPr>
          <w:rFonts w:asciiTheme="majorHAnsi" w:hAnsiTheme="majorHAnsi" w:cstheme="majorHAnsi"/>
          <w:bCs/>
          <w:szCs w:val="22"/>
          <w:lang w:val="en-GB"/>
        </w:rPr>
        <w:t xml:space="preserve"> on the need for </w:t>
      </w:r>
      <w:r w:rsidR="00344315" w:rsidRPr="00F217BB">
        <w:rPr>
          <w:rFonts w:asciiTheme="majorHAnsi" w:hAnsiTheme="majorHAnsi" w:cstheme="majorHAnsi"/>
          <w:bCs/>
          <w:szCs w:val="22"/>
          <w:lang w:val="en-GB"/>
        </w:rPr>
        <w:t>further clarifying and improving WTO rules on subsidies and countervailing measures,</w:t>
      </w:r>
      <w:r w:rsidRPr="00F217BB">
        <w:rPr>
          <w:rFonts w:asciiTheme="majorHAnsi" w:hAnsiTheme="majorHAnsi" w:cstheme="majorHAnsi"/>
          <w:bCs/>
          <w:szCs w:val="22"/>
          <w:lang w:val="en-GB"/>
        </w:rPr>
        <w:t xml:space="preserve"> mirroring the </w:t>
      </w:r>
      <w:r w:rsidR="00E15597">
        <w:rPr>
          <w:rFonts w:asciiTheme="majorHAnsi" w:hAnsiTheme="majorHAnsi" w:cstheme="majorHAnsi"/>
          <w:bCs/>
          <w:szCs w:val="22"/>
          <w:lang w:val="en-GB"/>
        </w:rPr>
        <w:t xml:space="preserve">text of the </w:t>
      </w:r>
      <w:r w:rsidRPr="00F217BB">
        <w:rPr>
          <w:rFonts w:asciiTheme="majorHAnsi" w:hAnsiTheme="majorHAnsi" w:cstheme="majorHAnsi"/>
          <w:bCs/>
          <w:szCs w:val="22"/>
          <w:lang w:val="en-GB"/>
        </w:rPr>
        <w:t xml:space="preserve">2019 ICC paper: </w:t>
      </w:r>
    </w:p>
    <w:p w14:paraId="7776A643" w14:textId="77777777" w:rsidR="00F217BB" w:rsidRDefault="00F217BB" w:rsidP="00F217BB">
      <w:pPr>
        <w:pStyle w:val="Liststycke"/>
        <w:tabs>
          <w:tab w:val="left" w:pos="3119"/>
          <w:tab w:val="left" w:pos="5245"/>
          <w:tab w:val="left" w:pos="6379"/>
        </w:tabs>
        <w:rPr>
          <w:rFonts w:asciiTheme="majorHAnsi" w:hAnsiTheme="majorHAnsi" w:cstheme="majorHAnsi"/>
          <w:bCs/>
          <w:szCs w:val="22"/>
          <w:lang w:val="en-US"/>
        </w:rPr>
      </w:pPr>
    </w:p>
    <w:p w14:paraId="4448FE3B" w14:textId="77777777" w:rsidR="00F217BB" w:rsidRDefault="00344315" w:rsidP="00F217BB">
      <w:pPr>
        <w:pStyle w:val="Liststycke"/>
        <w:tabs>
          <w:tab w:val="left" w:pos="3119"/>
          <w:tab w:val="left" w:pos="5245"/>
          <w:tab w:val="left" w:pos="6379"/>
        </w:tabs>
        <w:rPr>
          <w:rFonts w:asciiTheme="majorHAnsi" w:hAnsiTheme="majorHAnsi" w:cstheme="majorHAnsi"/>
          <w:bCs/>
          <w:i/>
          <w:iCs/>
          <w:szCs w:val="22"/>
          <w:lang w:val="en-US"/>
        </w:rPr>
      </w:pPr>
      <w:proofErr w:type="gramStart"/>
      <w:r w:rsidRPr="00F217BB">
        <w:rPr>
          <w:rFonts w:asciiTheme="majorHAnsi" w:hAnsiTheme="majorHAnsi" w:cstheme="majorHAnsi"/>
          <w:bCs/>
          <w:i/>
          <w:iCs/>
          <w:szCs w:val="22"/>
          <w:lang w:val="en-US"/>
        </w:rPr>
        <w:t>”[</w:t>
      </w:r>
      <w:proofErr w:type="gramEnd"/>
      <w:r w:rsidRPr="00F217BB">
        <w:rPr>
          <w:rFonts w:asciiTheme="majorHAnsi" w:hAnsiTheme="majorHAnsi" w:cstheme="majorHAnsi"/>
          <w:bCs/>
          <w:i/>
          <w:iCs/>
          <w:szCs w:val="22"/>
          <w:lang w:val="en-US"/>
        </w:rPr>
        <w:t xml:space="preserve">…] </w:t>
      </w:r>
      <w:r w:rsidRPr="00344315">
        <w:rPr>
          <w:rFonts w:asciiTheme="majorHAnsi" w:hAnsiTheme="majorHAnsi" w:cstheme="majorHAnsi"/>
          <w:bCs/>
          <w:i/>
          <w:iCs/>
          <w:szCs w:val="22"/>
          <w:lang w:val="en-US"/>
        </w:rPr>
        <w:t>we consider there is scope to further clarify and improve the relevant WTO rules on subsidies and countervailing measures, with the objective of establishing—to the extent possible—a clear line between “public bodies” and “private bodies”. This should include, inter alia: (</w:t>
      </w:r>
      <w:proofErr w:type="spellStart"/>
      <w:r w:rsidRPr="00344315">
        <w:rPr>
          <w:rFonts w:asciiTheme="majorHAnsi" w:hAnsiTheme="majorHAnsi" w:cstheme="majorHAnsi"/>
          <w:bCs/>
          <w:i/>
          <w:iCs/>
          <w:szCs w:val="22"/>
          <w:lang w:val="en-US"/>
        </w:rPr>
        <w:t>i</w:t>
      </w:r>
      <w:proofErr w:type="spellEnd"/>
      <w:r w:rsidRPr="00344315">
        <w:rPr>
          <w:rFonts w:asciiTheme="majorHAnsi" w:hAnsiTheme="majorHAnsi" w:cstheme="majorHAnsi"/>
          <w:bCs/>
          <w:i/>
          <w:iCs/>
          <w:szCs w:val="22"/>
          <w:lang w:val="en-US"/>
        </w:rPr>
        <w:t>) clarifying the definitions of state-owned enterprises, public bodies, and other state-controlled enterprises; and (ii) clarifying current categories of subsidies, such as those given to an insolvent or ailing company without a credible restructuring plan.</w:t>
      </w:r>
      <w:r w:rsidRPr="00F217BB">
        <w:rPr>
          <w:rFonts w:asciiTheme="majorHAnsi" w:hAnsiTheme="majorHAnsi" w:cstheme="majorHAnsi"/>
          <w:bCs/>
          <w:i/>
          <w:iCs/>
          <w:szCs w:val="22"/>
          <w:lang w:val="en-US"/>
        </w:rPr>
        <w:t>”</w:t>
      </w:r>
    </w:p>
    <w:p w14:paraId="2C7E90D4" w14:textId="77777777" w:rsidR="00F217BB" w:rsidRDefault="00F217BB" w:rsidP="00F217BB">
      <w:pPr>
        <w:pStyle w:val="Liststycke"/>
        <w:tabs>
          <w:tab w:val="left" w:pos="3119"/>
          <w:tab w:val="left" w:pos="5245"/>
          <w:tab w:val="left" w:pos="6379"/>
        </w:tabs>
        <w:rPr>
          <w:rFonts w:asciiTheme="majorHAnsi" w:hAnsiTheme="majorHAnsi" w:cstheme="majorHAnsi"/>
          <w:bCs/>
          <w:i/>
          <w:iCs/>
          <w:szCs w:val="22"/>
          <w:lang w:val="en-US"/>
        </w:rPr>
      </w:pPr>
    </w:p>
    <w:p w14:paraId="05799198" w14:textId="2A443569" w:rsidR="00F217BB" w:rsidRDefault="00344315" w:rsidP="00F217BB">
      <w:pPr>
        <w:pStyle w:val="Liststycke"/>
        <w:tabs>
          <w:tab w:val="left" w:pos="3119"/>
          <w:tab w:val="left" w:pos="5245"/>
          <w:tab w:val="left" w:pos="6379"/>
        </w:tabs>
        <w:rPr>
          <w:rFonts w:asciiTheme="majorHAnsi" w:hAnsiTheme="majorHAnsi" w:cstheme="majorHAnsi"/>
          <w:bCs/>
          <w:szCs w:val="22"/>
          <w:lang w:val="en-GB"/>
        </w:rPr>
      </w:pPr>
      <w:r>
        <w:rPr>
          <w:rFonts w:asciiTheme="majorHAnsi" w:hAnsiTheme="majorHAnsi" w:cstheme="majorHAnsi"/>
          <w:bCs/>
          <w:szCs w:val="22"/>
          <w:lang w:val="en-GB"/>
        </w:rPr>
        <w:t xml:space="preserve">Such a </w:t>
      </w:r>
      <w:r w:rsidR="00DF6A1C">
        <w:rPr>
          <w:rFonts w:asciiTheme="majorHAnsi" w:hAnsiTheme="majorHAnsi" w:cstheme="majorHAnsi"/>
          <w:bCs/>
          <w:szCs w:val="22"/>
          <w:lang w:val="en-GB"/>
        </w:rPr>
        <w:t>para</w:t>
      </w:r>
      <w:r>
        <w:rPr>
          <w:rFonts w:asciiTheme="majorHAnsi" w:hAnsiTheme="majorHAnsi" w:cstheme="majorHAnsi"/>
          <w:bCs/>
          <w:szCs w:val="22"/>
          <w:lang w:val="en-GB"/>
        </w:rPr>
        <w:t xml:space="preserve"> should also include a reference to the need to forbid subsidies on fossil fuels, which is in line with the ICC statement on the EU Trade Policy Review from last year.</w:t>
      </w:r>
    </w:p>
    <w:p w14:paraId="57BD74EC" w14:textId="1A3B562E" w:rsidR="005046CA" w:rsidRDefault="005046CA" w:rsidP="00F217BB">
      <w:pPr>
        <w:pStyle w:val="Liststycke"/>
        <w:tabs>
          <w:tab w:val="left" w:pos="3119"/>
          <w:tab w:val="left" w:pos="5245"/>
          <w:tab w:val="left" w:pos="6379"/>
        </w:tabs>
        <w:rPr>
          <w:rFonts w:asciiTheme="majorHAnsi" w:hAnsiTheme="majorHAnsi" w:cstheme="majorHAnsi"/>
          <w:bCs/>
          <w:szCs w:val="22"/>
          <w:lang w:val="en-GB"/>
        </w:rPr>
      </w:pPr>
    </w:p>
    <w:p w14:paraId="6EEA3229" w14:textId="0D0ED54C" w:rsidR="005046CA" w:rsidRDefault="005046CA" w:rsidP="005046CA">
      <w:pPr>
        <w:pStyle w:val="Liststycke"/>
        <w:numPr>
          <w:ilvl w:val="0"/>
          <w:numId w:val="14"/>
        </w:numPr>
        <w:tabs>
          <w:tab w:val="left" w:pos="3119"/>
          <w:tab w:val="left" w:pos="5245"/>
          <w:tab w:val="left" w:pos="6379"/>
        </w:tabs>
        <w:rPr>
          <w:rFonts w:asciiTheme="majorHAnsi" w:hAnsiTheme="majorHAnsi" w:cstheme="majorHAnsi"/>
          <w:bCs/>
          <w:szCs w:val="22"/>
          <w:lang w:val="en-US"/>
        </w:rPr>
      </w:pPr>
      <w:proofErr w:type="gramStart"/>
      <w:r w:rsidRPr="005046CA">
        <w:rPr>
          <w:rFonts w:asciiTheme="majorHAnsi" w:hAnsiTheme="majorHAnsi" w:cstheme="majorHAnsi"/>
          <w:bCs/>
          <w:szCs w:val="22"/>
          <w:lang w:val="en-US"/>
        </w:rPr>
        <w:t>It is clear that the</w:t>
      </w:r>
      <w:proofErr w:type="gramEnd"/>
      <w:r w:rsidR="00E15597">
        <w:rPr>
          <w:rFonts w:asciiTheme="majorHAnsi" w:hAnsiTheme="majorHAnsi" w:cstheme="majorHAnsi"/>
          <w:bCs/>
          <w:szCs w:val="22"/>
          <w:lang w:val="en-US"/>
        </w:rPr>
        <w:t xml:space="preserve"> WTO</w:t>
      </w:r>
      <w:r w:rsidRPr="005046CA">
        <w:rPr>
          <w:rFonts w:asciiTheme="majorHAnsi" w:hAnsiTheme="majorHAnsi" w:cstheme="majorHAnsi"/>
          <w:bCs/>
          <w:szCs w:val="22"/>
          <w:lang w:val="en-US"/>
        </w:rPr>
        <w:t xml:space="preserve"> notification system is not working. We therefore welcome the proposal</w:t>
      </w:r>
      <w:r>
        <w:rPr>
          <w:rFonts w:asciiTheme="majorHAnsi" w:hAnsiTheme="majorHAnsi" w:cstheme="majorHAnsi"/>
          <w:bCs/>
          <w:szCs w:val="22"/>
          <w:lang w:val="en-US"/>
        </w:rPr>
        <w:t>s</w:t>
      </w:r>
      <w:r w:rsidRPr="005046CA">
        <w:rPr>
          <w:rFonts w:asciiTheme="majorHAnsi" w:hAnsiTheme="majorHAnsi" w:cstheme="majorHAnsi"/>
          <w:bCs/>
          <w:szCs w:val="22"/>
          <w:lang w:val="en-US"/>
        </w:rPr>
        <w:t xml:space="preserve"> made in the para on agreeing to improve the Secretariat’s capacity to monitor trade policy developments. In addition to the suggestions made, ICC </w:t>
      </w:r>
      <w:r>
        <w:rPr>
          <w:rFonts w:asciiTheme="majorHAnsi" w:hAnsiTheme="majorHAnsi" w:cstheme="majorHAnsi"/>
          <w:bCs/>
          <w:szCs w:val="22"/>
          <w:lang w:val="en-US"/>
        </w:rPr>
        <w:t xml:space="preserve">should express its </w:t>
      </w:r>
      <w:r w:rsidRPr="005046CA">
        <w:rPr>
          <w:rFonts w:asciiTheme="majorHAnsi" w:hAnsiTheme="majorHAnsi" w:cstheme="majorHAnsi"/>
          <w:bCs/>
          <w:szCs w:val="22"/>
          <w:lang w:val="en-US"/>
        </w:rPr>
        <w:t xml:space="preserve">support </w:t>
      </w:r>
      <w:r>
        <w:rPr>
          <w:rFonts w:asciiTheme="majorHAnsi" w:hAnsiTheme="majorHAnsi" w:cstheme="majorHAnsi"/>
          <w:bCs/>
          <w:szCs w:val="22"/>
          <w:lang w:val="en-US"/>
        </w:rPr>
        <w:t xml:space="preserve">for </w:t>
      </w:r>
      <w:r w:rsidRPr="005046CA">
        <w:rPr>
          <w:rFonts w:asciiTheme="majorHAnsi" w:hAnsiTheme="majorHAnsi" w:cstheme="majorHAnsi"/>
          <w:bCs/>
          <w:szCs w:val="22"/>
          <w:lang w:val="en-US"/>
        </w:rPr>
        <w:t xml:space="preserve">the ongoing discussions between the EU, US, and Japan on </w:t>
      </w:r>
      <w:r>
        <w:rPr>
          <w:rFonts w:asciiTheme="majorHAnsi" w:hAnsiTheme="majorHAnsi" w:cstheme="majorHAnsi"/>
          <w:bCs/>
          <w:szCs w:val="22"/>
          <w:lang w:val="en-US"/>
        </w:rPr>
        <w:t>ways to strengthen WTO rules on industrial subsidies.</w:t>
      </w:r>
      <w:r w:rsidRPr="005046CA">
        <w:rPr>
          <w:rFonts w:asciiTheme="majorHAnsi" w:hAnsiTheme="majorHAnsi" w:cstheme="majorHAnsi"/>
          <w:bCs/>
          <w:szCs w:val="22"/>
          <w:lang w:val="en-US"/>
        </w:rPr>
        <w:t xml:space="preserve"> </w:t>
      </w:r>
      <w:r>
        <w:rPr>
          <w:rFonts w:asciiTheme="majorHAnsi" w:hAnsiTheme="majorHAnsi" w:cstheme="majorHAnsi"/>
          <w:bCs/>
          <w:szCs w:val="22"/>
          <w:lang w:val="en-US"/>
        </w:rPr>
        <w:t xml:space="preserve">In line with this, </w:t>
      </w:r>
      <w:r w:rsidRPr="005046CA">
        <w:rPr>
          <w:rFonts w:asciiTheme="majorHAnsi" w:hAnsiTheme="majorHAnsi" w:cstheme="majorHAnsi"/>
          <w:bCs/>
          <w:szCs w:val="22"/>
          <w:lang w:val="en-US"/>
        </w:rPr>
        <w:t xml:space="preserve">ICC </w:t>
      </w:r>
      <w:r w:rsidR="00E15597">
        <w:rPr>
          <w:rFonts w:asciiTheme="majorHAnsi" w:hAnsiTheme="majorHAnsi" w:cstheme="majorHAnsi"/>
          <w:bCs/>
          <w:szCs w:val="22"/>
          <w:lang w:val="en-US"/>
        </w:rPr>
        <w:t>should</w:t>
      </w:r>
      <w:r w:rsidRPr="005046CA">
        <w:rPr>
          <w:rFonts w:asciiTheme="majorHAnsi" w:hAnsiTheme="majorHAnsi" w:cstheme="majorHAnsi"/>
          <w:bCs/>
          <w:szCs w:val="22"/>
          <w:lang w:val="en-US"/>
        </w:rPr>
        <w:t xml:space="preserve"> also </w:t>
      </w:r>
      <w:r>
        <w:rPr>
          <w:rFonts w:asciiTheme="majorHAnsi" w:hAnsiTheme="majorHAnsi" w:cstheme="majorHAnsi"/>
          <w:bCs/>
          <w:szCs w:val="22"/>
          <w:lang w:val="en-US"/>
        </w:rPr>
        <w:t xml:space="preserve">explicitly </w:t>
      </w:r>
      <w:r w:rsidRPr="005046CA">
        <w:rPr>
          <w:rFonts w:asciiTheme="majorHAnsi" w:hAnsiTheme="majorHAnsi" w:cstheme="majorHAnsi"/>
          <w:bCs/>
          <w:szCs w:val="22"/>
          <w:lang w:val="en-US"/>
        </w:rPr>
        <w:t xml:space="preserve">promote a system of reversed burden of proof in which subsidies will by default be seen as illegitimate should countries fail to meet their notification obligations. This para could also </w:t>
      </w:r>
      <w:proofErr w:type="gramStart"/>
      <w:r w:rsidR="009970A0">
        <w:rPr>
          <w:rFonts w:asciiTheme="majorHAnsi" w:hAnsiTheme="majorHAnsi" w:cstheme="majorHAnsi"/>
          <w:bCs/>
          <w:szCs w:val="22"/>
          <w:lang w:val="en-US"/>
        </w:rPr>
        <w:t>make reference</w:t>
      </w:r>
      <w:proofErr w:type="gramEnd"/>
      <w:r>
        <w:rPr>
          <w:rFonts w:asciiTheme="majorHAnsi" w:hAnsiTheme="majorHAnsi" w:cstheme="majorHAnsi"/>
          <w:bCs/>
          <w:szCs w:val="22"/>
          <w:lang w:val="en-US"/>
        </w:rPr>
        <w:t xml:space="preserve"> to the</w:t>
      </w:r>
      <w:r w:rsidRPr="005046CA">
        <w:rPr>
          <w:rFonts w:asciiTheme="majorHAnsi" w:hAnsiTheme="majorHAnsi" w:cstheme="majorHAnsi"/>
          <w:bCs/>
          <w:szCs w:val="22"/>
          <w:lang w:val="en-US"/>
        </w:rPr>
        <w:t xml:space="preserve"> TBT Agreement and the need for countries to adhere to </w:t>
      </w:r>
      <w:r w:rsidR="009970A0">
        <w:rPr>
          <w:rFonts w:asciiTheme="majorHAnsi" w:hAnsiTheme="majorHAnsi" w:cstheme="majorHAnsi"/>
          <w:bCs/>
          <w:szCs w:val="22"/>
          <w:lang w:val="en-US"/>
        </w:rPr>
        <w:t xml:space="preserve">the notification requirements on technical barriers to trade. </w:t>
      </w:r>
    </w:p>
    <w:p w14:paraId="1EABFABB" w14:textId="77777777" w:rsidR="005046CA" w:rsidRDefault="005046CA" w:rsidP="005046CA">
      <w:pPr>
        <w:pStyle w:val="Liststycke"/>
        <w:tabs>
          <w:tab w:val="left" w:pos="3119"/>
          <w:tab w:val="left" w:pos="5245"/>
          <w:tab w:val="left" w:pos="6379"/>
        </w:tabs>
        <w:rPr>
          <w:rFonts w:asciiTheme="majorHAnsi" w:hAnsiTheme="majorHAnsi" w:cstheme="majorHAnsi"/>
          <w:bCs/>
          <w:szCs w:val="22"/>
          <w:lang w:val="en-US"/>
        </w:rPr>
      </w:pPr>
    </w:p>
    <w:p w14:paraId="4318A3E6" w14:textId="7FBD23D4" w:rsidR="00DF6A1C" w:rsidRPr="00DF6A1C" w:rsidRDefault="00DF6A1C" w:rsidP="00DF6A1C">
      <w:pPr>
        <w:pStyle w:val="Liststycke"/>
        <w:numPr>
          <w:ilvl w:val="0"/>
          <w:numId w:val="14"/>
        </w:numPr>
        <w:tabs>
          <w:tab w:val="left" w:pos="3119"/>
          <w:tab w:val="left" w:pos="5245"/>
          <w:tab w:val="left" w:pos="6379"/>
        </w:tabs>
        <w:rPr>
          <w:rFonts w:ascii="Calibri" w:hAnsi="Calibri" w:cs="Calibri"/>
          <w:bCs/>
          <w:szCs w:val="22"/>
          <w:lang w:val="en-US"/>
        </w:rPr>
      </w:pPr>
      <w:r w:rsidRPr="00B4792C">
        <w:rPr>
          <w:rFonts w:asciiTheme="majorHAnsi" w:hAnsiTheme="majorHAnsi" w:cstheme="majorHAnsi"/>
          <w:bCs/>
          <w:szCs w:val="22"/>
          <w:lang w:val="en-US"/>
        </w:rPr>
        <w:t>We note that the paper lacks priorities related to market access. Historically, increasing market access has been one of the central functions of the WTO and its predecessor GATT. This should remain a key priority of the ICC and get its own para. GATS is not up-to-date and the Domestic Services Regulation, while an important step forward, lacks provisions on market access for services. This could be a long-term priority for ICC and the foundation of a forward-looking agenda when it comes to trade in services. Equally, common rules to ensure open, non-discriminatory access to digital and digitally enabled markets is key to a successful future e-commerce agreement, as is increased market access in terms of increasing the participation in ITA I and ITA II to help promote connectivity and bridge the digital divide</w:t>
      </w:r>
      <w:r>
        <w:rPr>
          <w:rFonts w:asciiTheme="majorHAnsi" w:hAnsiTheme="majorHAnsi" w:cstheme="majorHAnsi"/>
          <w:bCs/>
          <w:szCs w:val="22"/>
          <w:lang w:val="en-US"/>
        </w:rPr>
        <w:t>.</w:t>
      </w:r>
    </w:p>
    <w:p w14:paraId="2A1C6B9C" w14:textId="77777777" w:rsidR="00DF6A1C" w:rsidRPr="00DF6A1C" w:rsidRDefault="00DF6A1C" w:rsidP="00DF6A1C">
      <w:pPr>
        <w:pStyle w:val="Liststycke"/>
        <w:rPr>
          <w:rFonts w:ascii="Calibri" w:hAnsi="Calibri" w:cs="Calibri"/>
          <w:bCs/>
          <w:szCs w:val="22"/>
          <w:lang w:val="en-US"/>
        </w:rPr>
      </w:pPr>
    </w:p>
    <w:p w14:paraId="1EA4D6ED" w14:textId="0D1DCE42" w:rsidR="00DF6A1C" w:rsidRPr="00DF6A1C" w:rsidRDefault="00DF6A1C" w:rsidP="00DF6A1C">
      <w:pPr>
        <w:pStyle w:val="Liststycke"/>
        <w:numPr>
          <w:ilvl w:val="0"/>
          <w:numId w:val="14"/>
        </w:numPr>
        <w:tabs>
          <w:tab w:val="left" w:pos="3119"/>
          <w:tab w:val="left" w:pos="5245"/>
          <w:tab w:val="left" w:pos="6379"/>
        </w:tabs>
        <w:rPr>
          <w:rFonts w:ascii="Calibri" w:hAnsi="Calibri" w:cs="Calibri"/>
          <w:bCs/>
          <w:szCs w:val="22"/>
          <w:lang w:val="en-GB"/>
        </w:rPr>
      </w:pPr>
      <w:r w:rsidRPr="00F217BB">
        <w:rPr>
          <w:rFonts w:asciiTheme="majorHAnsi" w:hAnsiTheme="majorHAnsi" w:cstheme="majorHAnsi"/>
          <w:bCs/>
          <w:szCs w:val="22"/>
          <w:lang w:val="en-US"/>
        </w:rPr>
        <w:t xml:space="preserve">It should seriously </w:t>
      </w:r>
      <w:r w:rsidR="00E15597">
        <w:rPr>
          <w:rFonts w:asciiTheme="majorHAnsi" w:hAnsiTheme="majorHAnsi" w:cstheme="majorHAnsi"/>
          <w:bCs/>
          <w:szCs w:val="22"/>
          <w:lang w:val="en-US"/>
        </w:rPr>
        <w:t xml:space="preserve">be </w:t>
      </w:r>
      <w:r w:rsidRPr="00F217BB">
        <w:rPr>
          <w:rFonts w:asciiTheme="majorHAnsi" w:hAnsiTheme="majorHAnsi" w:cstheme="majorHAnsi"/>
          <w:bCs/>
          <w:szCs w:val="22"/>
          <w:lang w:val="en-US"/>
        </w:rPr>
        <w:t xml:space="preserve">considered whether ICC should at all </w:t>
      </w:r>
      <w:proofErr w:type="gramStart"/>
      <w:r w:rsidRPr="00F217BB">
        <w:rPr>
          <w:rFonts w:asciiTheme="majorHAnsi" w:hAnsiTheme="majorHAnsi" w:cstheme="majorHAnsi"/>
          <w:bCs/>
          <w:szCs w:val="22"/>
          <w:lang w:val="en-US"/>
        </w:rPr>
        <w:t>open up</w:t>
      </w:r>
      <w:proofErr w:type="gramEnd"/>
      <w:r w:rsidRPr="00F217BB">
        <w:rPr>
          <w:rFonts w:asciiTheme="majorHAnsi" w:hAnsiTheme="majorHAnsi" w:cstheme="majorHAnsi"/>
          <w:bCs/>
          <w:szCs w:val="22"/>
          <w:lang w:val="en-US"/>
        </w:rPr>
        <w:t xml:space="preserve"> for a waiver of intellectual property rights, even under the conditions enumerated in the paper. Intellectual property rights are a fundamental aspect of all market economies. There is a risk that the current situation is opportunistically used to undermine the intellectual property </w:t>
      </w:r>
      <w:proofErr w:type="gramStart"/>
      <w:r w:rsidRPr="00F217BB">
        <w:rPr>
          <w:rFonts w:asciiTheme="majorHAnsi" w:hAnsiTheme="majorHAnsi" w:cstheme="majorHAnsi"/>
          <w:bCs/>
          <w:szCs w:val="22"/>
          <w:lang w:val="en-US"/>
        </w:rPr>
        <w:t>system as a whole, which</w:t>
      </w:r>
      <w:proofErr w:type="gramEnd"/>
      <w:r w:rsidRPr="00F217BB">
        <w:rPr>
          <w:rFonts w:asciiTheme="majorHAnsi" w:hAnsiTheme="majorHAnsi" w:cstheme="majorHAnsi"/>
          <w:bCs/>
          <w:szCs w:val="22"/>
          <w:lang w:val="en-US"/>
        </w:rPr>
        <w:t xml:space="preserve"> would have far-reaching</w:t>
      </w:r>
      <w:r w:rsidR="00E15597">
        <w:rPr>
          <w:rFonts w:asciiTheme="majorHAnsi" w:hAnsiTheme="majorHAnsi" w:cstheme="majorHAnsi"/>
          <w:bCs/>
          <w:szCs w:val="22"/>
          <w:lang w:val="en-US"/>
        </w:rPr>
        <w:t>,</w:t>
      </w:r>
      <w:r w:rsidRPr="00F217BB">
        <w:rPr>
          <w:rFonts w:asciiTheme="majorHAnsi" w:hAnsiTheme="majorHAnsi" w:cstheme="majorHAnsi"/>
          <w:bCs/>
          <w:szCs w:val="22"/>
          <w:lang w:val="en-US"/>
        </w:rPr>
        <w:t xml:space="preserve"> long-term consequences for businesses globally. While there are </w:t>
      </w:r>
      <w:r w:rsidR="00E15597">
        <w:rPr>
          <w:rFonts w:asciiTheme="majorHAnsi" w:hAnsiTheme="majorHAnsi" w:cstheme="majorHAnsi"/>
          <w:bCs/>
          <w:szCs w:val="22"/>
          <w:lang w:val="en-US"/>
        </w:rPr>
        <w:t>challenges</w:t>
      </w:r>
      <w:r w:rsidRPr="00F217BB">
        <w:rPr>
          <w:rFonts w:asciiTheme="majorHAnsi" w:hAnsiTheme="majorHAnsi" w:cstheme="majorHAnsi"/>
          <w:bCs/>
          <w:szCs w:val="22"/>
          <w:lang w:val="en-US"/>
        </w:rPr>
        <w:t xml:space="preserve"> related to producing and distributing billions of vaccine doses, this is not a result of WTO rules. Should the last sentence of the </w:t>
      </w:r>
      <w:r>
        <w:rPr>
          <w:rFonts w:asciiTheme="majorHAnsi" w:hAnsiTheme="majorHAnsi" w:cstheme="majorHAnsi"/>
          <w:bCs/>
          <w:szCs w:val="22"/>
          <w:lang w:val="en-US"/>
        </w:rPr>
        <w:t>para</w:t>
      </w:r>
      <w:r w:rsidRPr="00F217BB">
        <w:rPr>
          <w:rFonts w:asciiTheme="majorHAnsi" w:hAnsiTheme="majorHAnsi" w:cstheme="majorHAnsi"/>
          <w:bCs/>
          <w:szCs w:val="22"/>
          <w:lang w:val="en-US"/>
        </w:rPr>
        <w:t xml:space="preserve"> remain in the paper, it should be </w:t>
      </w:r>
      <w:r w:rsidR="00E15597">
        <w:rPr>
          <w:rFonts w:asciiTheme="majorHAnsi" w:hAnsiTheme="majorHAnsi" w:cstheme="majorHAnsi"/>
          <w:bCs/>
          <w:szCs w:val="22"/>
          <w:lang w:val="en-US"/>
        </w:rPr>
        <w:t>made very</w:t>
      </w:r>
      <w:r w:rsidRPr="00F217BB">
        <w:rPr>
          <w:rFonts w:asciiTheme="majorHAnsi" w:hAnsiTheme="majorHAnsi" w:cstheme="majorHAnsi"/>
          <w:bCs/>
          <w:szCs w:val="22"/>
          <w:lang w:val="en-US"/>
        </w:rPr>
        <w:t xml:space="preserve"> </w:t>
      </w:r>
      <w:r w:rsidR="00E15597">
        <w:rPr>
          <w:rFonts w:asciiTheme="majorHAnsi" w:hAnsiTheme="majorHAnsi" w:cstheme="majorHAnsi"/>
          <w:bCs/>
          <w:szCs w:val="22"/>
          <w:lang w:val="en-US"/>
        </w:rPr>
        <w:t xml:space="preserve">clear </w:t>
      </w:r>
      <w:r w:rsidRPr="00F217BB">
        <w:rPr>
          <w:rFonts w:asciiTheme="majorHAnsi" w:hAnsiTheme="majorHAnsi" w:cstheme="majorHAnsi"/>
          <w:bCs/>
          <w:szCs w:val="22"/>
          <w:lang w:val="en-US"/>
        </w:rPr>
        <w:t xml:space="preserve">that a waiver must necessarily be very limited in scope and time. </w:t>
      </w:r>
      <w:r w:rsidR="00CE7B5F">
        <w:rPr>
          <w:rFonts w:asciiTheme="majorHAnsi" w:hAnsiTheme="majorHAnsi" w:cstheme="majorHAnsi"/>
          <w:bCs/>
          <w:szCs w:val="22"/>
          <w:lang w:val="en-US"/>
        </w:rPr>
        <w:t xml:space="preserve">This is an also issue that the ICC Commission on Intellectual Property could address further. </w:t>
      </w:r>
    </w:p>
    <w:p w14:paraId="2E52C3C6" w14:textId="77777777" w:rsidR="00DF6A1C" w:rsidRPr="00DF6A1C" w:rsidRDefault="00DF6A1C" w:rsidP="00DF6A1C">
      <w:pPr>
        <w:pStyle w:val="Liststycke"/>
        <w:rPr>
          <w:rFonts w:ascii="Calibri" w:hAnsi="Calibri" w:cs="Calibri"/>
          <w:bCs/>
          <w:szCs w:val="22"/>
          <w:lang w:val="en-GB"/>
        </w:rPr>
      </w:pPr>
    </w:p>
    <w:p w14:paraId="514223C3" w14:textId="7AD195B2" w:rsidR="00DF6A1C" w:rsidRDefault="00DF6A1C" w:rsidP="00DF6A1C">
      <w:pPr>
        <w:pStyle w:val="Liststycke"/>
        <w:numPr>
          <w:ilvl w:val="0"/>
          <w:numId w:val="14"/>
        </w:numPr>
        <w:rPr>
          <w:lang w:val="en-US"/>
        </w:rPr>
      </w:pPr>
      <w:r>
        <w:rPr>
          <w:lang w:val="en-US"/>
        </w:rPr>
        <w:t xml:space="preserve">Moving from a system </w:t>
      </w:r>
      <w:r w:rsidR="00E15597">
        <w:rPr>
          <w:lang w:val="en-US"/>
        </w:rPr>
        <w:t>of</w:t>
      </w:r>
      <w:r>
        <w:rPr>
          <w:lang w:val="en-US"/>
        </w:rPr>
        <w:t xml:space="preserve"> self-designated development country status is a key priority. </w:t>
      </w:r>
      <w:r w:rsidRPr="00F217BB">
        <w:rPr>
          <w:lang w:val="en-US"/>
        </w:rPr>
        <w:t>The para on Special and Differential Treatment would</w:t>
      </w:r>
      <w:r>
        <w:rPr>
          <w:lang w:val="en-US"/>
        </w:rPr>
        <w:t>, however,</w:t>
      </w:r>
      <w:r w:rsidRPr="00F217BB">
        <w:rPr>
          <w:lang w:val="en-US"/>
        </w:rPr>
        <w:t xml:space="preserve"> benefit from clarifying what is meant by “case-by-case” approach</w:t>
      </w:r>
      <w:r>
        <w:rPr>
          <w:lang w:val="en-US"/>
        </w:rPr>
        <w:t xml:space="preserve">. Does it mean that </w:t>
      </w:r>
      <w:r w:rsidRPr="00F217BB">
        <w:rPr>
          <w:lang w:val="en-US"/>
        </w:rPr>
        <w:t xml:space="preserve">a country </w:t>
      </w:r>
      <w:r>
        <w:rPr>
          <w:lang w:val="en-US"/>
        </w:rPr>
        <w:t>should</w:t>
      </w:r>
      <w:r w:rsidRPr="00F217BB">
        <w:rPr>
          <w:lang w:val="en-US"/>
        </w:rPr>
        <w:t xml:space="preserve"> </w:t>
      </w:r>
      <w:r>
        <w:rPr>
          <w:lang w:val="en-US"/>
        </w:rPr>
        <w:t xml:space="preserve">be </w:t>
      </w:r>
      <w:r w:rsidRPr="00F217BB">
        <w:rPr>
          <w:lang w:val="en-US"/>
        </w:rPr>
        <w:t>given developing status in relation to individual agreements</w:t>
      </w:r>
      <w:r>
        <w:rPr>
          <w:lang w:val="en-US"/>
        </w:rPr>
        <w:t>?</w:t>
      </w:r>
      <w:r w:rsidRPr="00F217BB">
        <w:rPr>
          <w:lang w:val="en-US"/>
        </w:rPr>
        <w:t xml:space="preserve"> The para would also benefit from underlining that if developing status is awarded based on objective criteria, then developed economies will view capacity building measures and targeted technical assistance as more legitimate.</w:t>
      </w:r>
    </w:p>
    <w:p w14:paraId="7162D178" w14:textId="77777777" w:rsidR="00DF6A1C" w:rsidRPr="00374104" w:rsidRDefault="00DF6A1C" w:rsidP="00DF6A1C">
      <w:pPr>
        <w:pStyle w:val="Liststycke"/>
        <w:rPr>
          <w:lang w:val="en-US"/>
        </w:rPr>
      </w:pPr>
    </w:p>
    <w:p w14:paraId="770ADC6E" w14:textId="77777777" w:rsidR="00DF6A1C" w:rsidRDefault="00DF6A1C" w:rsidP="00DF6A1C">
      <w:pPr>
        <w:pStyle w:val="Liststycke"/>
        <w:numPr>
          <w:ilvl w:val="0"/>
          <w:numId w:val="14"/>
        </w:numPr>
        <w:tabs>
          <w:tab w:val="left" w:pos="3119"/>
          <w:tab w:val="left" w:pos="5245"/>
          <w:tab w:val="left" w:pos="6379"/>
        </w:tabs>
        <w:rPr>
          <w:rFonts w:asciiTheme="majorHAnsi" w:hAnsiTheme="majorHAnsi" w:cstheme="majorHAnsi"/>
          <w:bCs/>
          <w:szCs w:val="22"/>
          <w:lang w:val="en-GB"/>
        </w:rPr>
      </w:pPr>
      <w:r w:rsidRPr="00B4792C">
        <w:rPr>
          <w:rFonts w:asciiTheme="majorHAnsi" w:hAnsiTheme="majorHAnsi" w:cstheme="majorHAnsi"/>
          <w:bCs/>
          <w:szCs w:val="22"/>
          <w:lang w:val="en-GB"/>
        </w:rPr>
        <w:t xml:space="preserve">We welcome the para on circular economy. It is central that the WTO addresses trade-related issues when it comes to the transition to a circular economy. The para could also be framed by underlining the importance of circularity </w:t>
      </w:r>
      <w:proofErr w:type="gramStart"/>
      <w:r w:rsidRPr="00B4792C">
        <w:rPr>
          <w:rFonts w:asciiTheme="majorHAnsi" w:hAnsiTheme="majorHAnsi" w:cstheme="majorHAnsi"/>
          <w:bCs/>
          <w:szCs w:val="22"/>
          <w:lang w:val="en-GB"/>
        </w:rPr>
        <w:t>in order to</w:t>
      </w:r>
      <w:proofErr w:type="gramEnd"/>
      <w:r w:rsidRPr="00B4792C">
        <w:rPr>
          <w:rFonts w:asciiTheme="majorHAnsi" w:hAnsiTheme="majorHAnsi" w:cstheme="majorHAnsi"/>
          <w:bCs/>
          <w:szCs w:val="22"/>
          <w:lang w:val="en-GB"/>
        </w:rPr>
        <w:t xml:space="preserve"> achieve the Sustainable Development Goals. </w:t>
      </w:r>
    </w:p>
    <w:p w14:paraId="76B76144" w14:textId="77777777" w:rsidR="00DF6A1C" w:rsidRPr="00B4792C" w:rsidRDefault="00DF6A1C" w:rsidP="00DF6A1C">
      <w:pPr>
        <w:pStyle w:val="Liststycke"/>
        <w:rPr>
          <w:rFonts w:asciiTheme="majorHAnsi" w:hAnsiTheme="majorHAnsi" w:cstheme="majorHAnsi"/>
          <w:bCs/>
          <w:szCs w:val="22"/>
          <w:lang w:val="en-US"/>
        </w:rPr>
      </w:pPr>
    </w:p>
    <w:p w14:paraId="3D56F43C" w14:textId="0909F322" w:rsidR="00DF6A1C" w:rsidRDefault="00DF6A1C" w:rsidP="00DF6A1C">
      <w:pPr>
        <w:pStyle w:val="Liststycke"/>
        <w:numPr>
          <w:ilvl w:val="0"/>
          <w:numId w:val="14"/>
        </w:numPr>
        <w:rPr>
          <w:lang w:val="en-US"/>
        </w:rPr>
      </w:pPr>
      <w:r w:rsidRPr="00DF6A1C">
        <w:rPr>
          <w:lang w:val="en-US"/>
        </w:rPr>
        <w:t xml:space="preserve">We welcome the strong support for plurilateral negotiations expressed in the paper. We believe, however, that ICC should also ask for </w:t>
      </w:r>
      <w:r w:rsidR="00E15597">
        <w:rPr>
          <w:lang w:val="en-US"/>
        </w:rPr>
        <w:t>the introduction of a</w:t>
      </w:r>
      <w:r w:rsidRPr="00DF6A1C">
        <w:rPr>
          <w:lang w:val="en-US"/>
        </w:rPr>
        <w:t xml:space="preserve"> formal mechanism that would allow for plurilateral agreements to eventually become multilateral. </w:t>
      </w:r>
    </w:p>
    <w:p w14:paraId="429D33C6" w14:textId="77777777" w:rsidR="00DF6A1C" w:rsidRPr="00DF6A1C" w:rsidRDefault="00DF6A1C" w:rsidP="00DF6A1C">
      <w:pPr>
        <w:pStyle w:val="Liststycke"/>
        <w:rPr>
          <w:lang w:val="en-US"/>
        </w:rPr>
      </w:pPr>
    </w:p>
    <w:p w14:paraId="2C946D39" w14:textId="2F6071CF" w:rsidR="00DF6A1C" w:rsidRPr="005046CA" w:rsidRDefault="00DF6A1C" w:rsidP="00DF6A1C">
      <w:pPr>
        <w:pStyle w:val="Liststycke"/>
        <w:numPr>
          <w:ilvl w:val="0"/>
          <w:numId w:val="14"/>
        </w:numPr>
        <w:tabs>
          <w:tab w:val="left" w:pos="3119"/>
          <w:tab w:val="left" w:pos="5245"/>
          <w:tab w:val="left" w:pos="6379"/>
        </w:tabs>
        <w:rPr>
          <w:rFonts w:ascii="Calibri" w:hAnsi="Calibri" w:cs="Calibri"/>
          <w:bCs/>
          <w:szCs w:val="22"/>
          <w:lang w:val="en-US"/>
        </w:rPr>
      </w:pPr>
      <w:r w:rsidRPr="005046CA">
        <w:rPr>
          <w:rFonts w:asciiTheme="majorHAnsi" w:hAnsiTheme="majorHAnsi" w:cstheme="majorHAnsi"/>
          <w:bCs/>
          <w:szCs w:val="22"/>
          <w:lang w:val="en-US"/>
        </w:rPr>
        <w:t xml:space="preserve">We welcome the para on creating an enabling legal environment for paperless trade. This is a key </w:t>
      </w:r>
      <w:r w:rsidR="00767F85">
        <w:rPr>
          <w:rFonts w:asciiTheme="majorHAnsi" w:hAnsiTheme="majorHAnsi" w:cstheme="majorHAnsi"/>
          <w:bCs/>
          <w:szCs w:val="22"/>
          <w:lang w:val="en-US"/>
        </w:rPr>
        <w:t>priority</w:t>
      </w:r>
      <w:r w:rsidRPr="005046CA">
        <w:rPr>
          <w:rFonts w:asciiTheme="majorHAnsi" w:hAnsiTheme="majorHAnsi" w:cstheme="majorHAnsi"/>
          <w:bCs/>
          <w:szCs w:val="22"/>
          <w:lang w:val="en-US"/>
        </w:rPr>
        <w:t xml:space="preserve"> that could have very positive practical effect for businesses as it would simplify, streamline, and expediate customs and trade procedures by minimizing physical paperwork. Apart from a ministerial statement championing the </w:t>
      </w:r>
      <w:proofErr w:type="spellStart"/>
      <w:r w:rsidRPr="005046CA">
        <w:rPr>
          <w:rFonts w:asciiTheme="majorHAnsi" w:hAnsiTheme="majorHAnsi" w:cstheme="majorHAnsi"/>
          <w:bCs/>
          <w:szCs w:val="22"/>
          <w:lang w:val="en-US"/>
        </w:rPr>
        <w:t>UNCITRAL</w:t>
      </w:r>
      <w:proofErr w:type="spellEnd"/>
      <w:r w:rsidRPr="005046CA">
        <w:rPr>
          <w:rFonts w:asciiTheme="majorHAnsi" w:hAnsiTheme="majorHAnsi" w:cstheme="majorHAnsi"/>
          <w:bCs/>
          <w:szCs w:val="22"/>
          <w:lang w:val="en-US"/>
        </w:rPr>
        <w:t xml:space="preserve"> Model Law on Electronic Transferable Records, the para should also make clear that a provision mandating the adoption and implementation of the model law is essential for a high standard e-commerce agreement. </w:t>
      </w:r>
    </w:p>
    <w:p w14:paraId="552EEB90" w14:textId="77777777" w:rsidR="00DF6A1C" w:rsidRPr="005046CA" w:rsidRDefault="00DF6A1C" w:rsidP="00DF6A1C">
      <w:pPr>
        <w:pStyle w:val="Liststycke"/>
        <w:rPr>
          <w:rFonts w:asciiTheme="majorHAnsi" w:hAnsiTheme="majorHAnsi" w:cstheme="majorHAnsi"/>
          <w:bCs/>
          <w:szCs w:val="22"/>
          <w:lang w:val="en-US"/>
        </w:rPr>
      </w:pPr>
    </w:p>
    <w:p w14:paraId="040FD493" w14:textId="21FAEA04" w:rsidR="00DF6A1C" w:rsidRPr="005046CA" w:rsidRDefault="00DF6A1C" w:rsidP="00DF6A1C">
      <w:pPr>
        <w:pStyle w:val="Liststycke"/>
        <w:numPr>
          <w:ilvl w:val="0"/>
          <w:numId w:val="14"/>
        </w:numPr>
        <w:tabs>
          <w:tab w:val="left" w:pos="3119"/>
          <w:tab w:val="left" w:pos="5245"/>
          <w:tab w:val="left" w:pos="6379"/>
        </w:tabs>
        <w:rPr>
          <w:rFonts w:ascii="Calibri" w:hAnsi="Calibri" w:cs="Calibri"/>
          <w:bCs/>
          <w:szCs w:val="22"/>
          <w:lang w:val="en-US"/>
        </w:rPr>
      </w:pPr>
      <w:r w:rsidRPr="005046CA">
        <w:rPr>
          <w:rFonts w:asciiTheme="majorHAnsi" w:hAnsiTheme="majorHAnsi" w:cstheme="majorHAnsi"/>
          <w:bCs/>
          <w:szCs w:val="22"/>
          <w:lang w:val="en-US"/>
        </w:rPr>
        <w:t xml:space="preserve">We welcome that the paper asks for the creation of a business advisory council and a civil society council. This is important to </w:t>
      </w:r>
      <w:r>
        <w:rPr>
          <w:rFonts w:asciiTheme="majorHAnsi" w:hAnsiTheme="majorHAnsi" w:cstheme="majorHAnsi"/>
          <w:bCs/>
          <w:szCs w:val="22"/>
          <w:lang w:val="en-US"/>
        </w:rPr>
        <w:t>facilitate</w:t>
      </w:r>
      <w:r w:rsidRPr="005046CA">
        <w:rPr>
          <w:rFonts w:asciiTheme="majorHAnsi" w:hAnsiTheme="majorHAnsi" w:cstheme="majorHAnsi"/>
          <w:bCs/>
          <w:szCs w:val="22"/>
          <w:lang w:val="en-US"/>
        </w:rPr>
        <w:t xml:space="preserve"> a structured stakeholder dialogue</w:t>
      </w:r>
      <w:r>
        <w:rPr>
          <w:rFonts w:asciiTheme="majorHAnsi" w:hAnsiTheme="majorHAnsi" w:cstheme="majorHAnsi"/>
          <w:bCs/>
          <w:szCs w:val="22"/>
          <w:lang w:val="en-US"/>
        </w:rPr>
        <w:t xml:space="preserve"> and ensure </w:t>
      </w:r>
      <w:r>
        <w:rPr>
          <w:rFonts w:asciiTheme="majorHAnsi" w:hAnsiTheme="majorHAnsi" w:cstheme="majorHAnsi"/>
          <w:bCs/>
          <w:szCs w:val="22"/>
          <w:lang w:val="en-US"/>
        </w:rPr>
        <w:lastRenderedPageBreak/>
        <w:t>that WTO rulemaking provides practical benefits to businesses and societies alike</w:t>
      </w:r>
      <w:r w:rsidRPr="005046CA">
        <w:rPr>
          <w:rFonts w:asciiTheme="majorHAnsi" w:hAnsiTheme="majorHAnsi" w:cstheme="majorHAnsi"/>
          <w:bCs/>
          <w:szCs w:val="22"/>
          <w:lang w:val="en-US"/>
        </w:rPr>
        <w:t xml:space="preserve">. However, we feel that this priority could be placed earlier in the paper and even be </w:t>
      </w:r>
      <w:r>
        <w:rPr>
          <w:rFonts w:asciiTheme="majorHAnsi" w:hAnsiTheme="majorHAnsi" w:cstheme="majorHAnsi"/>
          <w:bCs/>
          <w:szCs w:val="22"/>
          <w:lang w:val="en-US"/>
        </w:rPr>
        <w:t xml:space="preserve">recommended as a </w:t>
      </w:r>
      <w:r w:rsidRPr="005046CA">
        <w:rPr>
          <w:rFonts w:asciiTheme="majorHAnsi" w:hAnsiTheme="majorHAnsi" w:cstheme="majorHAnsi"/>
          <w:bCs/>
          <w:szCs w:val="22"/>
          <w:lang w:val="en-US"/>
        </w:rPr>
        <w:t xml:space="preserve">deliverable for MC12. </w:t>
      </w:r>
    </w:p>
    <w:p w14:paraId="6E5AB609" w14:textId="77777777" w:rsidR="00DF6A1C" w:rsidRPr="005046CA" w:rsidRDefault="00DF6A1C" w:rsidP="00DF6A1C">
      <w:pPr>
        <w:pStyle w:val="Liststycke"/>
        <w:rPr>
          <w:lang w:val="en-US"/>
        </w:rPr>
      </w:pPr>
    </w:p>
    <w:p w14:paraId="29065EAC" w14:textId="569A1EE0" w:rsidR="00DF6A1C" w:rsidRPr="009970A0" w:rsidRDefault="00DF6A1C" w:rsidP="00DF6A1C">
      <w:pPr>
        <w:pStyle w:val="Liststycke"/>
        <w:numPr>
          <w:ilvl w:val="0"/>
          <w:numId w:val="14"/>
        </w:numPr>
        <w:tabs>
          <w:tab w:val="left" w:pos="3119"/>
          <w:tab w:val="left" w:pos="5245"/>
          <w:tab w:val="left" w:pos="6379"/>
        </w:tabs>
        <w:rPr>
          <w:rFonts w:ascii="Calibri" w:hAnsi="Calibri" w:cs="Calibri"/>
          <w:bCs/>
          <w:szCs w:val="22"/>
          <w:lang w:val="en-US"/>
        </w:rPr>
      </w:pPr>
      <w:r w:rsidRPr="005046CA">
        <w:rPr>
          <w:lang w:val="en-US"/>
        </w:rPr>
        <w:t xml:space="preserve">The paper </w:t>
      </w:r>
      <w:r w:rsidR="00767F85">
        <w:rPr>
          <w:lang w:val="en-US"/>
        </w:rPr>
        <w:t>suggests an</w:t>
      </w:r>
      <w:r w:rsidRPr="005046CA">
        <w:rPr>
          <w:lang w:val="en-US"/>
        </w:rPr>
        <w:t xml:space="preserve"> increased </w:t>
      </w:r>
      <w:r w:rsidR="00767F85">
        <w:rPr>
          <w:lang w:val="en-US"/>
        </w:rPr>
        <w:t>mandate for the</w:t>
      </w:r>
      <w:r w:rsidRPr="005046CA">
        <w:rPr>
          <w:lang w:val="en-US"/>
        </w:rPr>
        <w:t xml:space="preserve"> Secretariat</w:t>
      </w:r>
      <w:r w:rsidR="00767F85">
        <w:rPr>
          <w:lang w:val="en-US"/>
        </w:rPr>
        <w:t xml:space="preserve"> </w:t>
      </w:r>
      <w:r w:rsidRPr="005046CA">
        <w:rPr>
          <w:lang w:val="en-US"/>
        </w:rPr>
        <w:t xml:space="preserve">in relation to notification and monitoring, but we feel that ICC could </w:t>
      </w:r>
      <w:r w:rsidR="00767F85">
        <w:rPr>
          <w:lang w:val="en-US"/>
        </w:rPr>
        <w:t xml:space="preserve">also </w:t>
      </w:r>
      <w:r w:rsidRPr="005046CA">
        <w:rPr>
          <w:lang w:val="en-US"/>
        </w:rPr>
        <w:t xml:space="preserve">present a more ambitious vision of the future role of the </w:t>
      </w:r>
      <w:r w:rsidR="00767F85">
        <w:rPr>
          <w:lang w:val="en-US"/>
        </w:rPr>
        <w:t>S</w:t>
      </w:r>
      <w:r w:rsidRPr="005046CA">
        <w:rPr>
          <w:lang w:val="en-US"/>
        </w:rPr>
        <w:t>ecretariat. The Secretariat could play a role in collecting facts and best practices and contribute with analyses to ensure that discussions and negotiations are conducted on an as constructive and empirical basis as possible. This could also include a more pronounced role of the Secretariat in analyzing the effects of current global developments on international trade and how international trade could further support key policy objectives, such as combating climate change</w:t>
      </w:r>
      <w:r>
        <w:rPr>
          <w:lang w:val="en-US"/>
        </w:rPr>
        <w:t xml:space="preserve"> and</w:t>
      </w:r>
      <w:r w:rsidRPr="005046CA">
        <w:rPr>
          <w:lang w:val="en-US"/>
        </w:rPr>
        <w:t xml:space="preserve"> support the transition to a circular economy</w:t>
      </w:r>
      <w:r>
        <w:rPr>
          <w:lang w:val="en-US"/>
        </w:rPr>
        <w:t>.</w:t>
      </w:r>
    </w:p>
    <w:p w14:paraId="135B19D1" w14:textId="77777777" w:rsidR="00DF6A1C" w:rsidRPr="00DF6A1C" w:rsidRDefault="00DF6A1C" w:rsidP="00DF6A1C">
      <w:pPr>
        <w:pStyle w:val="Liststycke"/>
        <w:rPr>
          <w:lang w:val="en-US"/>
        </w:rPr>
      </w:pPr>
    </w:p>
    <w:p w14:paraId="395934FE" w14:textId="0C9BFA18" w:rsidR="00DF6A1C" w:rsidRPr="00DF6A1C" w:rsidRDefault="00DF6A1C" w:rsidP="00DF6A1C">
      <w:pPr>
        <w:pStyle w:val="Liststycke"/>
        <w:numPr>
          <w:ilvl w:val="0"/>
          <w:numId w:val="14"/>
        </w:numPr>
        <w:tabs>
          <w:tab w:val="left" w:pos="3119"/>
          <w:tab w:val="left" w:pos="5245"/>
          <w:tab w:val="left" w:pos="6379"/>
        </w:tabs>
        <w:rPr>
          <w:rFonts w:asciiTheme="majorHAnsi" w:hAnsiTheme="majorHAnsi" w:cstheme="majorHAnsi"/>
          <w:bCs/>
          <w:szCs w:val="22"/>
          <w:lang w:val="en-US"/>
        </w:rPr>
      </w:pPr>
      <w:r w:rsidRPr="003A491F">
        <w:rPr>
          <w:lang w:val="en-US"/>
        </w:rPr>
        <w:t xml:space="preserve">In relation to the para on trade and health, it should be explicated that the </w:t>
      </w:r>
      <w:r w:rsidR="00767F85">
        <w:rPr>
          <w:lang w:val="en-US"/>
        </w:rPr>
        <w:t xml:space="preserve">single </w:t>
      </w:r>
      <w:r w:rsidRPr="003A491F">
        <w:rPr>
          <w:lang w:val="en-US"/>
        </w:rPr>
        <w:t>best way for trade to support health policy objectives is zero tariffs on pharmaceutical goods and substances. An agreement eliminating tariffs and other duties already exists in form of the Agreement on Trade in Pharmaceutical Products concluded by a group of WTO member states</w:t>
      </w:r>
      <w:r w:rsidR="00767F85">
        <w:rPr>
          <w:lang w:val="en-US"/>
        </w:rPr>
        <w:t xml:space="preserve"> in 1994</w:t>
      </w:r>
      <w:r w:rsidRPr="003A491F">
        <w:rPr>
          <w:lang w:val="en-US"/>
        </w:rPr>
        <w:t>,</w:t>
      </w:r>
      <w:r w:rsidR="00767F85">
        <w:rPr>
          <w:lang w:val="en-US"/>
        </w:rPr>
        <w:t xml:space="preserve"> and which has</w:t>
      </w:r>
      <w:r w:rsidRPr="003A491F">
        <w:rPr>
          <w:lang w:val="en-US"/>
        </w:rPr>
        <w:t xml:space="preserve"> since then seen several updates. ICC should promote increased participation in this agreement.</w:t>
      </w:r>
    </w:p>
    <w:p w14:paraId="7C520440" w14:textId="77777777" w:rsidR="00DF6A1C" w:rsidRDefault="00DF6A1C" w:rsidP="00DF6A1C">
      <w:pPr>
        <w:pStyle w:val="Liststycke"/>
        <w:rPr>
          <w:lang w:val="en-US"/>
        </w:rPr>
      </w:pPr>
    </w:p>
    <w:p w14:paraId="1C29B714" w14:textId="2BB2CA3B" w:rsidR="00DF6A1C" w:rsidRPr="00DF6A1C" w:rsidRDefault="00DF6A1C" w:rsidP="00DF6A1C">
      <w:pPr>
        <w:pStyle w:val="Liststycke"/>
        <w:numPr>
          <w:ilvl w:val="0"/>
          <w:numId w:val="14"/>
        </w:numPr>
        <w:rPr>
          <w:lang w:val="en-US"/>
        </w:rPr>
      </w:pPr>
      <w:r w:rsidRPr="00DF6A1C">
        <w:rPr>
          <w:lang w:val="en-US"/>
        </w:rPr>
        <w:t>The enumeration of new areas for rulemaking mentions several key areas for the WTO to address, but we believe that some of these warrants their own paras. Investment is one such area. Considering the ongoing structured discussions aimed at starting negotiations on an Investment Facilitation for Development Agreement, ICC should clearly express its support for an ambitious such agreement.</w:t>
      </w:r>
    </w:p>
    <w:p w14:paraId="38CB052D" w14:textId="77777777" w:rsidR="00DF6A1C" w:rsidRPr="00DF6A1C" w:rsidRDefault="00DF6A1C" w:rsidP="00DF6A1C">
      <w:pPr>
        <w:pStyle w:val="Liststycke"/>
        <w:tabs>
          <w:tab w:val="left" w:pos="3119"/>
          <w:tab w:val="left" w:pos="5245"/>
          <w:tab w:val="left" w:pos="6379"/>
        </w:tabs>
        <w:rPr>
          <w:rFonts w:ascii="Calibri" w:hAnsi="Calibri" w:cs="Calibri"/>
          <w:bCs/>
          <w:szCs w:val="22"/>
          <w:lang w:val="en-US"/>
        </w:rPr>
      </w:pPr>
    </w:p>
    <w:p w14:paraId="0F4BE538" w14:textId="2D5FD325" w:rsidR="00D43721" w:rsidRDefault="00D43721" w:rsidP="006335B6">
      <w:pPr>
        <w:pStyle w:val="Liststycke"/>
        <w:numPr>
          <w:ilvl w:val="0"/>
          <w:numId w:val="14"/>
        </w:numPr>
        <w:tabs>
          <w:tab w:val="left" w:pos="3119"/>
          <w:tab w:val="left" w:pos="5245"/>
          <w:tab w:val="left" w:pos="6379"/>
        </w:tabs>
        <w:rPr>
          <w:rFonts w:asciiTheme="majorHAnsi" w:hAnsiTheme="majorHAnsi" w:cstheme="majorHAnsi"/>
          <w:bCs/>
          <w:szCs w:val="22"/>
          <w:lang w:val="en-GB"/>
        </w:rPr>
      </w:pPr>
      <w:r w:rsidRPr="00F217BB">
        <w:rPr>
          <w:rFonts w:asciiTheme="majorHAnsi" w:hAnsiTheme="majorHAnsi" w:cstheme="majorHAnsi"/>
          <w:bCs/>
          <w:szCs w:val="22"/>
          <w:lang w:val="en-GB"/>
        </w:rPr>
        <w:t>Carbon</w:t>
      </w:r>
      <w:r w:rsidR="00344315" w:rsidRPr="00F217BB">
        <w:rPr>
          <w:rFonts w:asciiTheme="majorHAnsi" w:hAnsiTheme="majorHAnsi" w:cstheme="majorHAnsi"/>
          <w:bCs/>
          <w:szCs w:val="22"/>
          <w:lang w:val="en-GB"/>
        </w:rPr>
        <w:t xml:space="preserve"> border </w:t>
      </w:r>
      <w:r w:rsidRPr="00F217BB">
        <w:rPr>
          <w:rFonts w:asciiTheme="majorHAnsi" w:hAnsiTheme="majorHAnsi" w:cstheme="majorHAnsi"/>
          <w:bCs/>
          <w:szCs w:val="22"/>
          <w:lang w:val="en-GB"/>
        </w:rPr>
        <w:t xml:space="preserve">adjustment </w:t>
      </w:r>
      <w:r w:rsidR="00344315" w:rsidRPr="00F217BB">
        <w:rPr>
          <w:rFonts w:asciiTheme="majorHAnsi" w:hAnsiTheme="majorHAnsi" w:cstheme="majorHAnsi"/>
          <w:bCs/>
          <w:szCs w:val="22"/>
          <w:lang w:val="en-GB"/>
        </w:rPr>
        <w:t>mechanisms</w:t>
      </w:r>
      <w:r w:rsidRPr="00F217BB">
        <w:rPr>
          <w:rFonts w:asciiTheme="majorHAnsi" w:hAnsiTheme="majorHAnsi" w:cstheme="majorHAnsi"/>
          <w:bCs/>
          <w:szCs w:val="22"/>
          <w:lang w:val="en-GB"/>
        </w:rPr>
        <w:t xml:space="preserve"> are increasingly seen as an important instrument in ramping up sustainability ambitions while avoiding so called “carbon leakage”. At the same time, there are fears that such mechanisms can be used not only to legitimate policy objective</w:t>
      </w:r>
      <w:r w:rsidR="00767F85">
        <w:rPr>
          <w:rFonts w:asciiTheme="majorHAnsi" w:hAnsiTheme="majorHAnsi" w:cstheme="majorHAnsi"/>
          <w:bCs/>
          <w:szCs w:val="22"/>
          <w:lang w:val="en-GB"/>
        </w:rPr>
        <w:t>s</w:t>
      </w:r>
      <w:r w:rsidRPr="00F217BB">
        <w:rPr>
          <w:rFonts w:asciiTheme="majorHAnsi" w:hAnsiTheme="majorHAnsi" w:cstheme="majorHAnsi"/>
          <w:bCs/>
          <w:szCs w:val="22"/>
          <w:lang w:val="en-GB"/>
        </w:rPr>
        <w:t xml:space="preserve">, but to distort the level playing field and protect domestic companies from foreign competition. Considering this, it would be advisable if </w:t>
      </w:r>
      <w:r w:rsidR="00594185" w:rsidRPr="00F217BB">
        <w:rPr>
          <w:rFonts w:asciiTheme="majorHAnsi" w:hAnsiTheme="majorHAnsi" w:cstheme="majorHAnsi"/>
          <w:bCs/>
          <w:szCs w:val="22"/>
          <w:lang w:val="en-GB"/>
        </w:rPr>
        <w:t>a para was added that</w:t>
      </w:r>
      <w:r w:rsidRPr="00F217BB">
        <w:rPr>
          <w:rFonts w:asciiTheme="majorHAnsi" w:hAnsiTheme="majorHAnsi" w:cstheme="majorHAnsi"/>
          <w:bCs/>
          <w:szCs w:val="22"/>
          <w:lang w:val="en-GB"/>
        </w:rPr>
        <w:t xml:space="preserve"> suggest</w:t>
      </w:r>
      <w:r w:rsidR="00594185" w:rsidRPr="00F217BB">
        <w:rPr>
          <w:rFonts w:asciiTheme="majorHAnsi" w:hAnsiTheme="majorHAnsi" w:cstheme="majorHAnsi"/>
          <w:bCs/>
          <w:szCs w:val="22"/>
          <w:lang w:val="en-GB"/>
        </w:rPr>
        <w:t>s</w:t>
      </w:r>
      <w:r w:rsidRPr="00F217BB">
        <w:rPr>
          <w:rFonts w:asciiTheme="majorHAnsi" w:hAnsiTheme="majorHAnsi" w:cstheme="majorHAnsi"/>
          <w:bCs/>
          <w:szCs w:val="22"/>
          <w:lang w:val="en-GB"/>
        </w:rPr>
        <w:t xml:space="preserve"> that the WTO address</w:t>
      </w:r>
      <w:r w:rsidR="00594185" w:rsidRPr="00F217BB">
        <w:rPr>
          <w:rFonts w:asciiTheme="majorHAnsi" w:hAnsiTheme="majorHAnsi" w:cstheme="majorHAnsi"/>
          <w:bCs/>
          <w:szCs w:val="22"/>
          <w:lang w:val="en-GB"/>
        </w:rPr>
        <w:t>es</w:t>
      </w:r>
      <w:r w:rsidRPr="00F217BB">
        <w:rPr>
          <w:rFonts w:asciiTheme="majorHAnsi" w:hAnsiTheme="majorHAnsi" w:cstheme="majorHAnsi"/>
          <w:bCs/>
          <w:szCs w:val="22"/>
          <w:lang w:val="en-GB"/>
        </w:rPr>
        <w:t xml:space="preserve"> this issue. As a minimum, the WTO Secretariat could propose guiding principles for such mechanisms that are compatible with WTO non-discrimination </w:t>
      </w:r>
      <w:r w:rsidR="00767F85">
        <w:rPr>
          <w:rFonts w:asciiTheme="majorHAnsi" w:hAnsiTheme="majorHAnsi" w:cstheme="majorHAnsi"/>
          <w:bCs/>
          <w:szCs w:val="22"/>
          <w:lang w:val="en-GB"/>
        </w:rPr>
        <w:t>rules.</w:t>
      </w:r>
      <w:r w:rsidRPr="00F217BB">
        <w:rPr>
          <w:rFonts w:asciiTheme="majorHAnsi" w:hAnsiTheme="majorHAnsi" w:cstheme="majorHAnsi"/>
          <w:bCs/>
          <w:szCs w:val="22"/>
          <w:lang w:val="en-GB"/>
        </w:rPr>
        <w:t xml:space="preserve"> </w:t>
      </w:r>
    </w:p>
    <w:p w14:paraId="34899C9A" w14:textId="068FD1A1" w:rsidR="00C610B7" w:rsidRPr="00D43721" w:rsidRDefault="00C610B7" w:rsidP="00C610B7">
      <w:pPr>
        <w:rPr>
          <w:rFonts w:ascii="Calibri" w:hAnsi="Calibri" w:cs="Calibri"/>
          <w:bCs/>
          <w:szCs w:val="22"/>
          <w:lang w:val="en-US"/>
        </w:rPr>
      </w:pPr>
    </w:p>
    <w:p w14:paraId="2E0B1261" w14:textId="1EF967D8" w:rsidR="00594185" w:rsidRPr="00F217BB" w:rsidRDefault="00594185" w:rsidP="00F217BB">
      <w:pPr>
        <w:pStyle w:val="Liststycke"/>
        <w:numPr>
          <w:ilvl w:val="0"/>
          <w:numId w:val="14"/>
        </w:numPr>
        <w:rPr>
          <w:lang w:val="en-US"/>
        </w:rPr>
      </w:pPr>
      <w:r w:rsidRPr="00F217BB">
        <w:rPr>
          <w:lang w:val="en-US"/>
        </w:rPr>
        <w:t>Consider adding a para on</w:t>
      </w:r>
      <w:r w:rsidR="00B7134F" w:rsidRPr="00F217BB">
        <w:rPr>
          <w:lang w:val="en-US"/>
        </w:rPr>
        <w:t xml:space="preserve"> the need for</w:t>
      </w:r>
      <w:r w:rsidRPr="00F217BB">
        <w:rPr>
          <w:lang w:val="en-US"/>
        </w:rPr>
        <w:t xml:space="preserve"> updating the rules on protective tariffs. </w:t>
      </w:r>
      <w:r w:rsidR="00B7134F" w:rsidRPr="00F217BB">
        <w:rPr>
          <w:lang w:val="en-US"/>
        </w:rPr>
        <w:t>As the rules stand, protective tariffs are not seldom used to weigh up for a lack of competitiveness of domestic companies. Far-reaching use (and misuse) of protective tariffs, i</w:t>
      </w:r>
      <w:r w:rsidR="00B7134F" w:rsidRPr="00F217BB">
        <w:rPr>
          <w:lang w:val="en-US"/>
        </w:rPr>
        <w:t>ncluding in reference to national security interests</w:t>
      </w:r>
      <w:r w:rsidR="00B7134F" w:rsidRPr="00F217BB">
        <w:rPr>
          <w:lang w:val="en-US"/>
        </w:rPr>
        <w:t>, also undermine the multilateral trade system by providing an argument to countries which are not by default pro-free trade to introduce unilateral distorting measures</w:t>
      </w:r>
      <w:r w:rsidR="00F217BB">
        <w:rPr>
          <w:lang w:val="en-US"/>
        </w:rPr>
        <w:t xml:space="preserve"> in response</w:t>
      </w:r>
      <w:r w:rsidR="00B7134F" w:rsidRPr="00F217BB">
        <w:rPr>
          <w:lang w:val="en-US"/>
        </w:rPr>
        <w:t xml:space="preserve">. </w:t>
      </w:r>
    </w:p>
    <w:p w14:paraId="63AC1CDC" w14:textId="77777777" w:rsidR="00F217BB" w:rsidRPr="00F217BB" w:rsidRDefault="00F217BB" w:rsidP="00F217BB">
      <w:pPr>
        <w:pStyle w:val="Liststycke"/>
        <w:rPr>
          <w:rFonts w:ascii="Calibri" w:hAnsi="Calibri" w:cs="Calibri"/>
          <w:bCs/>
          <w:szCs w:val="22"/>
          <w:lang w:val="en-GB"/>
        </w:rPr>
      </w:pPr>
    </w:p>
    <w:p w14:paraId="4B5F5B69" w14:textId="093BCC44" w:rsidR="001038FF" w:rsidRPr="00DF6A1C" w:rsidRDefault="009970A0" w:rsidP="001A6D0B">
      <w:pPr>
        <w:pStyle w:val="Liststycke"/>
        <w:numPr>
          <w:ilvl w:val="0"/>
          <w:numId w:val="14"/>
        </w:numPr>
        <w:tabs>
          <w:tab w:val="left" w:pos="3119"/>
          <w:tab w:val="left" w:pos="5245"/>
          <w:tab w:val="left" w:pos="6379"/>
        </w:tabs>
        <w:rPr>
          <w:lang w:val="en-US"/>
        </w:rPr>
      </w:pPr>
      <w:r w:rsidRPr="00DF6A1C">
        <w:rPr>
          <w:rFonts w:asciiTheme="majorHAnsi" w:hAnsiTheme="majorHAnsi" w:cstheme="majorHAnsi"/>
          <w:bCs/>
          <w:szCs w:val="22"/>
          <w:lang w:val="en-US"/>
        </w:rPr>
        <w:t xml:space="preserve">The increasing role of digital platforms as an intermediary and </w:t>
      </w:r>
      <w:r w:rsidR="00767F85">
        <w:rPr>
          <w:rFonts w:asciiTheme="majorHAnsi" w:hAnsiTheme="majorHAnsi" w:cstheme="majorHAnsi"/>
          <w:bCs/>
          <w:szCs w:val="22"/>
          <w:lang w:val="en-US"/>
        </w:rPr>
        <w:t>the way</w:t>
      </w:r>
      <w:r w:rsidRPr="00DF6A1C">
        <w:rPr>
          <w:rFonts w:asciiTheme="majorHAnsi" w:hAnsiTheme="majorHAnsi" w:cstheme="majorHAnsi"/>
          <w:bCs/>
          <w:szCs w:val="22"/>
          <w:lang w:val="en-US"/>
        </w:rPr>
        <w:t xml:space="preserve"> it changes the nature of international trade and business-consumer relations is a key policy issue in many jurisdictions, such as the EU (Digital Services Act and Digital Markets Act) and the US (Shop Safe Act and Inform Consumers Act). As the challenge is global in nature, it would only be natural for the WTO to play a role. Are aspects of this already covered by the e-commerce </w:t>
      </w:r>
      <w:r w:rsidRPr="00DF6A1C">
        <w:rPr>
          <w:rFonts w:asciiTheme="majorHAnsi" w:hAnsiTheme="majorHAnsi" w:cstheme="majorHAnsi"/>
          <w:bCs/>
          <w:szCs w:val="22"/>
          <w:lang w:val="en-US"/>
        </w:rPr>
        <w:lastRenderedPageBreak/>
        <w:t>negotiations? If not, ICC should propose that the WTO investigates how the issue can be addressed</w:t>
      </w:r>
      <w:r w:rsidR="004755BE" w:rsidRPr="00DF6A1C">
        <w:rPr>
          <w:rFonts w:asciiTheme="majorHAnsi" w:hAnsiTheme="majorHAnsi" w:cstheme="majorHAnsi"/>
          <w:bCs/>
          <w:szCs w:val="22"/>
          <w:lang w:val="en-US"/>
        </w:rPr>
        <w:t xml:space="preserve"> as to avoid regionally fragmented regulations</w:t>
      </w:r>
      <w:r w:rsidRPr="00DF6A1C">
        <w:rPr>
          <w:rFonts w:asciiTheme="majorHAnsi" w:hAnsiTheme="majorHAnsi" w:cstheme="majorHAnsi"/>
          <w:bCs/>
          <w:szCs w:val="22"/>
          <w:lang w:val="en-US"/>
        </w:rPr>
        <w:t xml:space="preserve">. </w:t>
      </w:r>
    </w:p>
    <w:sectPr w:rsidR="001038FF" w:rsidRPr="00DF6A1C">
      <w:headerReference w:type="even" r:id="rId7"/>
      <w:headerReference w:type="default" r:id="rId8"/>
      <w:headerReference w:type="first" r:id="rId9"/>
      <w:footerReference w:type="first" r:id="rId10"/>
      <w:pgSz w:w="11907" w:h="16840" w:code="9"/>
      <w:pgMar w:top="2381" w:right="1418" w:bottom="1418" w:left="1588" w:header="737" w:footer="510" w:gutter="0"/>
      <w:paperSrc w:first="258" w:other="258"/>
      <w:cols w:space="720"/>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F65DC6" w14:textId="77777777" w:rsidR="00C27462" w:rsidRDefault="00C27462">
      <w:r>
        <w:separator/>
      </w:r>
    </w:p>
  </w:endnote>
  <w:endnote w:type="continuationSeparator" w:id="0">
    <w:p w14:paraId="6CD10670" w14:textId="77777777" w:rsidR="00C27462" w:rsidRDefault="00C27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ED239" w14:textId="77777777" w:rsidR="00AC0DFA" w:rsidRDefault="00AC0DFA" w:rsidP="00AC0DFA">
    <w:pPr>
      <w:rPr>
        <w:rFonts w:asciiTheme="majorHAnsi" w:hAnsiTheme="majorHAnsi" w:cstheme="majorHAnsi"/>
        <w:color w:val="0064A8"/>
        <w:szCs w:val="26"/>
      </w:rPr>
    </w:pPr>
  </w:p>
  <w:p w14:paraId="01B3AFF9" w14:textId="77777777" w:rsidR="00670DD2" w:rsidRPr="00896629" w:rsidRDefault="00670DD2" w:rsidP="00896629">
    <w:pPr>
      <w:spacing w:after="120" w:line="276" w:lineRule="auto"/>
      <w:contextualSpacing/>
      <w:rPr>
        <w:rFonts w:asciiTheme="majorHAnsi" w:hAnsiTheme="majorHAnsi" w:cstheme="majorHAnsi"/>
        <w:color w:val="0064A8"/>
        <w:sz w:val="20"/>
        <w:szCs w:val="21"/>
        <w:lang w:val="en-US"/>
      </w:rPr>
    </w:pPr>
    <w:r w:rsidRPr="00896629">
      <w:rPr>
        <w:rFonts w:asciiTheme="minorHAnsi" w:hAnsiTheme="minorHAnsi" w:cstheme="minorHAnsi"/>
        <w:color w:val="0064A8"/>
        <w:sz w:val="20"/>
        <w:szCs w:val="21"/>
        <w:lang w:val="en-US"/>
      </w:rPr>
      <w:t>ICC Sweden</w:t>
    </w:r>
    <w:r w:rsidR="00896629" w:rsidRPr="00896629">
      <w:rPr>
        <w:rFonts w:asciiTheme="minorHAnsi" w:hAnsiTheme="minorHAnsi" w:cstheme="minorHAnsi"/>
        <w:color w:val="0064A8"/>
        <w:sz w:val="20"/>
        <w:szCs w:val="21"/>
        <w:lang w:val="en-US"/>
      </w:rPr>
      <w:t xml:space="preserve"> </w:t>
    </w:r>
    <w:r w:rsidR="00896629" w:rsidRPr="00896629">
      <w:rPr>
        <w:rFonts w:asciiTheme="majorHAnsi" w:hAnsiTheme="majorHAnsi" w:cstheme="majorHAnsi"/>
        <w:color w:val="000000" w:themeColor="text1"/>
        <w:sz w:val="20"/>
        <w:szCs w:val="21"/>
        <w:lang w:val="en-US"/>
      </w:rPr>
      <w:t xml:space="preserve">| International Chamber of Commerce </w:t>
    </w:r>
  </w:p>
  <w:p w14:paraId="6572A012" w14:textId="77777777" w:rsidR="00670DD2" w:rsidRPr="00896629" w:rsidRDefault="00052090" w:rsidP="00896629">
    <w:pPr>
      <w:spacing w:line="276" w:lineRule="auto"/>
      <w:contextualSpacing/>
      <w:rPr>
        <w:rFonts w:asciiTheme="majorHAnsi" w:hAnsiTheme="majorHAnsi" w:cstheme="majorHAnsi"/>
        <w:sz w:val="20"/>
        <w:szCs w:val="21"/>
      </w:rPr>
    </w:pPr>
    <w:proofErr w:type="spellStart"/>
    <w:r w:rsidRPr="00896629">
      <w:rPr>
        <w:rFonts w:asciiTheme="majorHAnsi" w:hAnsiTheme="majorHAnsi" w:cstheme="majorHAnsi"/>
        <w:sz w:val="20"/>
        <w:szCs w:val="21"/>
      </w:rPr>
      <w:t>P.O</w:t>
    </w:r>
    <w:proofErr w:type="spellEnd"/>
    <w:r w:rsidRPr="00896629">
      <w:rPr>
        <w:rFonts w:asciiTheme="majorHAnsi" w:hAnsiTheme="majorHAnsi" w:cstheme="majorHAnsi"/>
        <w:sz w:val="20"/>
        <w:szCs w:val="21"/>
      </w:rPr>
      <w:t xml:space="preserve">. </w:t>
    </w:r>
    <w:r w:rsidR="007E0EA1" w:rsidRPr="00896629">
      <w:rPr>
        <w:rFonts w:asciiTheme="majorHAnsi" w:hAnsiTheme="majorHAnsi" w:cstheme="majorHAnsi"/>
        <w:sz w:val="20"/>
        <w:szCs w:val="21"/>
      </w:rPr>
      <w:t>Box 160 50</w:t>
    </w:r>
    <w:r w:rsidR="00896629" w:rsidRPr="00896629">
      <w:rPr>
        <w:rFonts w:asciiTheme="majorHAnsi" w:hAnsiTheme="majorHAnsi" w:cstheme="majorHAnsi"/>
        <w:sz w:val="20"/>
        <w:szCs w:val="21"/>
      </w:rPr>
      <w:t>,</w:t>
    </w:r>
    <w:r w:rsidR="00AC0DFA" w:rsidRPr="00896629">
      <w:rPr>
        <w:rFonts w:asciiTheme="majorHAnsi" w:hAnsiTheme="majorHAnsi" w:cstheme="majorHAnsi"/>
        <w:sz w:val="20"/>
        <w:szCs w:val="16"/>
      </w:rPr>
      <w:t xml:space="preserve"> </w:t>
    </w:r>
    <w:r w:rsidRPr="00896629">
      <w:rPr>
        <w:rFonts w:asciiTheme="majorHAnsi" w:hAnsiTheme="majorHAnsi" w:cstheme="majorHAnsi"/>
        <w:sz w:val="20"/>
        <w:szCs w:val="16"/>
      </w:rPr>
      <w:t>SE-</w:t>
    </w:r>
    <w:r w:rsidR="00670DD2" w:rsidRPr="00896629">
      <w:rPr>
        <w:rFonts w:asciiTheme="majorHAnsi" w:hAnsiTheme="majorHAnsi" w:cstheme="majorHAnsi"/>
        <w:sz w:val="20"/>
        <w:szCs w:val="16"/>
      </w:rPr>
      <w:t>1</w:t>
    </w:r>
    <w:r w:rsidR="007E0EA1" w:rsidRPr="00896629">
      <w:rPr>
        <w:rFonts w:asciiTheme="majorHAnsi" w:hAnsiTheme="majorHAnsi" w:cstheme="majorHAnsi"/>
        <w:sz w:val="20"/>
        <w:szCs w:val="21"/>
      </w:rPr>
      <w:t>03</w:t>
    </w:r>
    <w:r w:rsidR="00670DD2" w:rsidRPr="00896629">
      <w:rPr>
        <w:rFonts w:asciiTheme="majorHAnsi" w:hAnsiTheme="majorHAnsi" w:cstheme="majorHAnsi"/>
        <w:sz w:val="20"/>
        <w:szCs w:val="21"/>
      </w:rPr>
      <w:t xml:space="preserve"> </w:t>
    </w:r>
    <w:r w:rsidR="007E0EA1" w:rsidRPr="00896629">
      <w:rPr>
        <w:rFonts w:asciiTheme="majorHAnsi" w:hAnsiTheme="majorHAnsi" w:cstheme="majorHAnsi"/>
        <w:sz w:val="20"/>
        <w:szCs w:val="21"/>
      </w:rPr>
      <w:t>21</w:t>
    </w:r>
    <w:r w:rsidR="00670DD2" w:rsidRPr="00896629">
      <w:rPr>
        <w:rFonts w:asciiTheme="majorHAnsi" w:hAnsiTheme="majorHAnsi" w:cstheme="majorHAnsi"/>
        <w:sz w:val="20"/>
        <w:szCs w:val="21"/>
      </w:rPr>
      <w:t xml:space="preserve"> Stockholm</w:t>
    </w:r>
  </w:p>
  <w:p w14:paraId="7973D0B8" w14:textId="77777777" w:rsidR="00AC0DFA" w:rsidRPr="00896629" w:rsidRDefault="00AC0DFA" w:rsidP="00896629">
    <w:pPr>
      <w:spacing w:line="276" w:lineRule="auto"/>
      <w:contextualSpacing/>
      <w:rPr>
        <w:rFonts w:asciiTheme="majorHAnsi" w:hAnsiTheme="majorHAnsi" w:cstheme="majorHAnsi"/>
        <w:sz w:val="21"/>
        <w:szCs w:val="21"/>
      </w:rPr>
    </w:pPr>
    <w:r w:rsidRPr="00896629">
      <w:rPr>
        <w:rFonts w:asciiTheme="majorHAnsi" w:hAnsiTheme="majorHAnsi" w:cstheme="majorHAnsi"/>
        <w:sz w:val="20"/>
        <w:szCs w:val="20"/>
      </w:rPr>
      <w:t xml:space="preserve">www.icc.se </w:t>
    </w:r>
  </w:p>
  <w:p w14:paraId="6B1B0F30" w14:textId="77777777" w:rsidR="00AC0DFA" w:rsidRPr="001A4E81" w:rsidRDefault="00AC0DFA" w:rsidP="00AC0DFA">
    <w:pPr>
      <w:pStyle w:val="Sidfot"/>
      <w:spacing w:before="0" w:after="0"/>
      <w:rPr>
        <w:rFonts w:asciiTheme="majorHAnsi" w:hAnsiTheme="majorHAnsi" w:cstheme="majorHAnsi"/>
        <w:sz w:val="22"/>
        <w:szCs w:val="22"/>
        <w:lang w:val="sv-SE"/>
      </w:rPr>
    </w:pPr>
  </w:p>
  <w:p w14:paraId="08229775" w14:textId="77777777" w:rsidR="00512C70" w:rsidRPr="001A4E81" w:rsidRDefault="00512C70">
    <w:pPr>
      <w:pStyle w:val="Sidfot"/>
      <w:spacing w:before="0" w:after="0"/>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788A0C" w14:textId="77777777" w:rsidR="00C27462" w:rsidRDefault="00C27462">
      <w:r>
        <w:separator/>
      </w:r>
    </w:p>
  </w:footnote>
  <w:footnote w:type="continuationSeparator" w:id="0">
    <w:p w14:paraId="32DC31DC" w14:textId="77777777" w:rsidR="00C27462" w:rsidRDefault="00C27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214EE8" w14:textId="77777777" w:rsidR="00512C70" w:rsidRDefault="00512C70">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1</w:t>
    </w:r>
    <w:r>
      <w:rPr>
        <w:rStyle w:val="Sidnummer"/>
      </w:rPr>
      <w:fldChar w:fldCharType="end"/>
    </w:r>
  </w:p>
  <w:p w14:paraId="6FDCF89D" w14:textId="77777777" w:rsidR="00512C70" w:rsidRDefault="00512C70">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CEDCD" w14:textId="77777777" w:rsidR="00512C70" w:rsidRDefault="00512C70" w:rsidP="00120CC0">
    <w:pPr>
      <w:rPr>
        <w:noProof/>
      </w:rPr>
    </w:pPr>
  </w:p>
  <w:p w14:paraId="13ABC41E" w14:textId="77777777" w:rsidR="00512C70" w:rsidRDefault="00512C70">
    <w:pPr>
      <w:pStyle w:val="Sidhuvud"/>
      <w:tabs>
        <w:tab w:val="clear" w:pos="4536"/>
        <w:tab w:val="clear" w:pos="9072"/>
        <w:tab w:val="right" w:pos="8931"/>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3087E" w14:textId="77777777" w:rsidR="00512C70" w:rsidRDefault="00F80465">
    <w:pPr>
      <w:pStyle w:val="Sidhuvud"/>
      <w:tabs>
        <w:tab w:val="clear" w:pos="4536"/>
        <w:tab w:val="clear" w:pos="9072"/>
        <w:tab w:val="right" w:pos="8931"/>
      </w:tabs>
      <w:spacing w:after="0"/>
      <w:ind w:left="-57"/>
      <w:rPr>
        <w:sz w:val="26"/>
      </w:rPr>
    </w:pPr>
    <w:r>
      <w:rPr>
        <w:noProof/>
        <w:sz w:val="26"/>
      </w:rPr>
      <w:drawing>
        <wp:inline distT="0" distB="0" distL="0" distR="0" wp14:anchorId="1C75D902" wp14:editId="7012F3D8">
          <wp:extent cx="1594298" cy="338582"/>
          <wp:effectExtent l="0" t="0" r="0" b="4445"/>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594298" cy="338582"/>
                  </a:xfrm>
                  <a:prstGeom prst="rect">
                    <a:avLst/>
                  </a:prstGeom>
                </pic:spPr>
              </pic:pic>
            </a:graphicData>
          </a:graphic>
        </wp:inline>
      </w:drawing>
    </w:r>
    <w:r>
      <w:rPr>
        <w:noProof/>
        <w:sz w:val="26"/>
      </w:rPr>
      <mc:AlternateContent>
        <mc:Choice Requires="wps">
          <w:drawing>
            <wp:anchor distT="0" distB="0" distL="114300" distR="114300" simplePos="0" relativeHeight="251657728" behindDoc="0" locked="0" layoutInCell="0" allowOverlap="1" wp14:anchorId="2221A8AC" wp14:editId="00508410">
              <wp:simplePos x="0" y="0"/>
              <wp:positionH relativeFrom="column">
                <wp:posOffset>3122930</wp:posOffset>
              </wp:positionH>
              <wp:positionV relativeFrom="paragraph">
                <wp:posOffset>629285</wp:posOffset>
              </wp:positionV>
              <wp:extent cx="2653665" cy="2743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5366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7086B" w14:textId="7E0E04AF" w:rsidR="00512C70" w:rsidRPr="00CB56C8" w:rsidRDefault="00512C70">
                          <w:pPr>
                            <w:pStyle w:val="Sidhuvud"/>
                            <w:rPr>
                              <w:rFonts w:cs="Calibri Light"/>
                              <w:sz w:val="20"/>
                            </w:rPr>
                          </w:pPr>
                          <w:r w:rsidRPr="00CB56C8">
                            <w:rPr>
                              <w:rFonts w:cs="Calibri Light"/>
                              <w:sz w:val="20"/>
                            </w:rPr>
                            <w:t xml:space="preserve">Stockholm, </w:t>
                          </w:r>
                          <w:r w:rsidRPr="00CB56C8">
                            <w:rPr>
                              <w:rFonts w:cs="Calibri Light"/>
                              <w:sz w:val="20"/>
                            </w:rPr>
                            <w:fldChar w:fldCharType="begin"/>
                          </w:r>
                          <w:r w:rsidRPr="00CB56C8">
                            <w:rPr>
                              <w:rFonts w:cs="Calibri Light"/>
                              <w:sz w:val="20"/>
                            </w:rPr>
                            <w:instrText xml:space="preserve"> TIME \@ "d MMMM yyyy" \* MERGEFORMAT </w:instrText>
                          </w:r>
                          <w:r w:rsidRPr="00CB56C8">
                            <w:rPr>
                              <w:rFonts w:cs="Calibri Light"/>
                              <w:sz w:val="20"/>
                            </w:rPr>
                            <w:fldChar w:fldCharType="separate"/>
                          </w:r>
                          <w:r w:rsidR="00DF6A1C">
                            <w:rPr>
                              <w:rFonts w:cs="Calibri Light"/>
                              <w:noProof/>
                              <w:sz w:val="20"/>
                            </w:rPr>
                            <w:t>1 July 2021</w:t>
                          </w:r>
                          <w:r w:rsidRPr="00CB56C8">
                            <w:rPr>
                              <w:rFonts w:cs="Calibri Light"/>
                              <w:sz w:val="20"/>
                            </w:rPr>
                            <w:fldChar w:fldCharType="end"/>
                          </w:r>
                          <w:r w:rsidR="007E0EA1" w:rsidRPr="00CB56C8">
                            <w:rPr>
                              <w:rFonts w:cs="Calibri Light"/>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21A8AC" id="_x0000_t202" coordsize="21600,21600" o:spt="202" path="m,l,21600r21600,l21600,xe">
              <v:stroke joinstyle="miter"/>
              <v:path gradientshapeok="t" o:connecttype="rect"/>
            </v:shapetype>
            <v:shape id="Text Box 1" o:spid="_x0000_s1026" type="#_x0000_t202" style="position:absolute;left:0;text-align:left;margin-left:245.9pt;margin-top:49.55pt;width:208.95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" o:allowincell="f" filled="f" stroked="f">
              <v:path arrowok="t"/>
              <v:textbox>
                <w:txbxContent>
                  <w:p w14:paraId="2BE7086B" w14:textId="7E0E04AF" w:rsidR="00512C70" w:rsidRPr="00CB56C8" w:rsidRDefault="00512C70">
                    <w:pPr>
                      <w:pStyle w:val="Sidhuvud"/>
                      <w:rPr>
                        <w:rFonts w:cs="Calibri Light"/>
                        <w:sz w:val="20"/>
                      </w:rPr>
                    </w:pPr>
                    <w:r w:rsidRPr="00CB56C8">
                      <w:rPr>
                        <w:rFonts w:cs="Calibri Light"/>
                        <w:sz w:val="20"/>
                      </w:rPr>
                      <w:t xml:space="preserve">Stockholm, </w:t>
                    </w:r>
                    <w:r w:rsidRPr="00CB56C8">
                      <w:rPr>
                        <w:rFonts w:cs="Calibri Light"/>
                        <w:sz w:val="20"/>
                      </w:rPr>
                      <w:fldChar w:fldCharType="begin"/>
                    </w:r>
                    <w:r w:rsidRPr="00CB56C8">
                      <w:rPr>
                        <w:rFonts w:cs="Calibri Light"/>
                        <w:sz w:val="20"/>
                      </w:rPr>
                      <w:instrText xml:space="preserve"> TIME \@ "d MMMM yyyy" \* MERGEFORMAT </w:instrText>
                    </w:r>
                    <w:r w:rsidRPr="00CB56C8">
                      <w:rPr>
                        <w:rFonts w:cs="Calibri Light"/>
                        <w:sz w:val="20"/>
                      </w:rPr>
                      <w:fldChar w:fldCharType="separate"/>
                    </w:r>
                    <w:r w:rsidR="00DF6A1C">
                      <w:rPr>
                        <w:rFonts w:cs="Calibri Light"/>
                        <w:noProof/>
                        <w:sz w:val="20"/>
                      </w:rPr>
                      <w:t>1 July 2021</w:t>
                    </w:r>
                    <w:r w:rsidRPr="00CB56C8">
                      <w:rPr>
                        <w:rFonts w:cs="Calibri Light"/>
                        <w:sz w:val="20"/>
                      </w:rPr>
                      <w:fldChar w:fldCharType="end"/>
                    </w:r>
                    <w:r w:rsidR="007E0EA1" w:rsidRPr="00CB56C8">
                      <w:rPr>
                        <w:rFonts w:cs="Calibri Light"/>
                        <w:sz w:val="20"/>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4627CD4"/>
    <w:lvl w:ilvl="0">
      <w:start w:val="1"/>
      <w:numFmt w:val="bullet"/>
      <w:pStyle w:val="Punktlista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62A9330"/>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EE22326"/>
    <w:multiLevelType w:val="hybridMultilevel"/>
    <w:tmpl w:val="EC74B66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2D235CF"/>
    <w:multiLevelType w:val="hybridMultilevel"/>
    <w:tmpl w:val="DFAE90DC"/>
    <w:lvl w:ilvl="0" w:tplc="595EF0F8">
      <w:start w:val="5"/>
      <w:numFmt w:val="bullet"/>
      <w:lvlText w:val="-"/>
      <w:lvlJc w:val="left"/>
      <w:pPr>
        <w:ind w:left="720" w:hanging="360"/>
      </w:pPr>
      <w:rPr>
        <w:rFonts w:ascii="Calibri Light" w:eastAsia="Times New Roman" w:hAnsi="Calibri Light" w:cs="Calibri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53C705F"/>
    <w:multiLevelType w:val="hybridMultilevel"/>
    <w:tmpl w:val="9FD6489E"/>
    <w:lvl w:ilvl="0" w:tplc="83CEDD34">
      <w:start w:val="1"/>
      <w:numFmt w:val="bullet"/>
      <w:lvlText w:val="-"/>
      <w:lvlJc w:val="left"/>
      <w:pPr>
        <w:ind w:left="720" w:hanging="360"/>
      </w:pPr>
      <w:rPr>
        <w:rFonts w:ascii="Calibri Light" w:eastAsia="Times New Roman" w:hAnsi="Calibri Light" w:cs="Calibri Light"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5E004E7"/>
    <w:multiLevelType w:val="hybridMultilevel"/>
    <w:tmpl w:val="EC74B66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AAB025E"/>
    <w:multiLevelType w:val="hybridMultilevel"/>
    <w:tmpl w:val="EC74B66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04D79C8"/>
    <w:multiLevelType w:val="multilevel"/>
    <w:tmpl w:val="769823C6"/>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5E26183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FF46A3D"/>
    <w:multiLevelType w:val="hybridMultilevel"/>
    <w:tmpl w:val="EC74B66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1BF23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7DE08D9"/>
    <w:multiLevelType w:val="singleLevel"/>
    <w:tmpl w:val="79B0CEB8"/>
    <w:lvl w:ilvl="0">
      <w:start w:val="1"/>
      <w:numFmt w:val="decimal"/>
      <w:pStyle w:val="Punktlistanumrerad"/>
      <w:lvlText w:val="%1."/>
      <w:lvlJc w:val="left"/>
      <w:pPr>
        <w:tabs>
          <w:tab w:val="num" w:pos="360"/>
        </w:tabs>
        <w:ind w:left="360" w:hanging="360"/>
      </w:pPr>
    </w:lvl>
  </w:abstractNum>
  <w:abstractNum w:abstractNumId="12" w15:restartNumberingAfterBreak="0">
    <w:nsid w:val="6A602302"/>
    <w:multiLevelType w:val="hybridMultilevel"/>
    <w:tmpl w:val="C1FA342C"/>
    <w:lvl w:ilvl="0" w:tplc="94CA8384">
      <w:start w:val="5"/>
      <w:numFmt w:val="bullet"/>
      <w:lvlText w:val="-"/>
      <w:lvlJc w:val="left"/>
      <w:pPr>
        <w:ind w:left="720" w:hanging="360"/>
      </w:pPr>
      <w:rPr>
        <w:rFonts w:ascii="Calibri Light" w:eastAsia="Times New Roman" w:hAnsi="Calibri Light" w:cs="Calibri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E533734"/>
    <w:multiLevelType w:val="hybridMultilevel"/>
    <w:tmpl w:val="071ACF02"/>
    <w:lvl w:ilvl="0" w:tplc="3E0EEDD8">
      <w:start w:val="3"/>
      <w:numFmt w:val="bullet"/>
      <w:lvlText w:val="-"/>
      <w:lvlJc w:val="left"/>
      <w:pPr>
        <w:ind w:left="720" w:hanging="360"/>
      </w:pPr>
      <w:rPr>
        <w:rFonts w:ascii="Calibri Light" w:eastAsia="Times New Roman" w:hAnsi="Calibri Light" w:cs="Calibri Light"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8"/>
  </w:num>
  <w:num w:numId="4">
    <w:abstractNumId w:val="1"/>
  </w:num>
  <w:num w:numId="5">
    <w:abstractNumId w:val="0"/>
  </w:num>
  <w:num w:numId="6">
    <w:abstractNumId w:val="11"/>
  </w:num>
  <w:num w:numId="7">
    <w:abstractNumId w:val="13"/>
  </w:num>
  <w:num w:numId="8">
    <w:abstractNumId w:val="4"/>
  </w:num>
  <w:num w:numId="9">
    <w:abstractNumId w:val="9"/>
  </w:num>
  <w:num w:numId="10">
    <w:abstractNumId w:val="5"/>
  </w:num>
  <w:num w:numId="11">
    <w:abstractNumId w:val="2"/>
  </w:num>
  <w:num w:numId="12">
    <w:abstractNumId w:val="6"/>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851"/>
  <w:hyphenationZone w:val="425"/>
  <w:drawingGridHorizontalSpacing w:val="57"/>
  <w:drawingGridVerticalSpacing w:val="39"/>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125"/>
    <w:rsid w:val="000046EC"/>
    <w:rsid w:val="000072CA"/>
    <w:rsid w:val="00023F70"/>
    <w:rsid w:val="00031762"/>
    <w:rsid w:val="000433A6"/>
    <w:rsid w:val="000446D5"/>
    <w:rsid w:val="00044759"/>
    <w:rsid w:val="00052090"/>
    <w:rsid w:val="0006667B"/>
    <w:rsid w:val="00074CF6"/>
    <w:rsid w:val="00075241"/>
    <w:rsid w:val="00077214"/>
    <w:rsid w:val="00085E47"/>
    <w:rsid w:val="000876D2"/>
    <w:rsid w:val="00087B7A"/>
    <w:rsid w:val="000A37BC"/>
    <w:rsid w:val="000B56D7"/>
    <w:rsid w:val="000C58A1"/>
    <w:rsid w:val="000D531A"/>
    <w:rsid w:val="000E615A"/>
    <w:rsid w:val="000F7A80"/>
    <w:rsid w:val="001026F7"/>
    <w:rsid w:val="001038FF"/>
    <w:rsid w:val="0011072D"/>
    <w:rsid w:val="00113318"/>
    <w:rsid w:val="00113A21"/>
    <w:rsid w:val="00113E84"/>
    <w:rsid w:val="00120CC0"/>
    <w:rsid w:val="00123241"/>
    <w:rsid w:val="00131D6C"/>
    <w:rsid w:val="001334B3"/>
    <w:rsid w:val="00153383"/>
    <w:rsid w:val="00162499"/>
    <w:rsid w:val="00183E07"/>
    <w:rsid w:val="00196300"/>
    <w:rsid w:val="001A4E81"/>
    <w:rsid w:val="001B1CD0"/>
    <w:rsid w:val="001B5D0D"/>
    <w:rsid w:val="001C7C81"/>
    <w:rsid w:val="001F2A58"/>
    <w:rsid w:val="001F5588"/>
    <w:rsid w:val="001F692A"/>
    <w:rsid w:val="00201283"/>
    <w:rsid w:val="00222E1A"/>
    <w:rsid w:val="00226969"/>
    <w:rsid w:val="00237AE9"/>
    <w:rsid w:val="00246682"/>
    <w:rsid w:val="00254EBD"/>
    <w:rsid w:val="002737E2"/>
    <w:rsid w:val="0028607A"/>
    <w:rsid w:val="0029274E"/>
    <w:rsid w:val="002A2798"/>
    <w:rsid w:val="002A3F89"/>
    <w:rsid w:val="002B6D1C"/>
    <w:rsid w:val="002B77E5"/>
    <w:rsid w:val="002D72A6"/>
    <w:rsid w:val="002D7B59"/>
    <w:rsid w:val="002E5B85"/>
    <w:rsid w:val="002F077B"/>
    <w:rsid w:val="002F614B"/>
    <w:rsid w:val="00300763"/>
    <w:rsid w:val="00301708"/>
    <w:rsid w:val="00302A7D"/>
    <w:rsid w:val="003142D2"/>
    <w:rsid w:val="0031520C"/>
    <w:rsid w:val="00315FB9"/>
    <w:rsid w:val="00320070"/>
    <w:rsid w:val="003200F5"/>
    <w:rsid w:val="00325AFA"/>
    <w:rsid w:val="0033021D"/>
    <w:rsid w:val="003355C8"/>
    <w:rsid w:val="00343A50"/>
    <w:rsid w:val="00343D8A"/>
    <w:rsid w:val="00344315"/>
    <w:rsid w:val="00344CD2"/>
    <w:rsid w:val="00353A82"/>
    <w:rsid w:val="00355ACD"/>
    <w:rsid w:val="00363B73"/>
    <w:rsid w:val="00364858"/>
    <w:rsid w:val="003648EE"/>
    <w:rsid w:val="00374104"/>
    <w:rsid w:val="00393F8F"/>
    <w:rsid w:val="003A491F"/>
    <w:rsid w:val="003A6508"/>
    <w:rsid w:val="003D1A76"/>
    <w:rsid w:val="003D5DCF"/>
    <w:rsid w:val="003E1B80"/>
    <w:rsid w:val="003E1D9A"/>
    <w:rsid w:val="003E24F0"/>
    <w:rsid w:val="003E4D36"/>
    <w:rsid w:val="004044F9"/>
    <w:rsid w:val="00410F5B"/>
    <w:rsid w:val="004172BA"/>
    <w:rsid w:val="00422427"/>
    <w:rsid w:val="004343D1"/>
    <w:rsid w:val="00441BC0"/>
    <w:rsid w:val="004467D1"/>
    <w:rsid w:val="00450B7A"/>
    <w:rsid w:val="00454C93"/>
    <w:rsid w:val="00454D2C"/>
    <w:rsid w:val="00472DB8"/>
    <w:rsid w:val="004755BE"/>
    <w:rsid w:val="00481776"/>
    <w:rsid w:val="00490B75"/>
    <w:rsid w:val="00491F97"/>
    <w:rsid w:val="00492C24"/>
    <w:rsid w:val="0049466E"/>
    <w:rsid w:val="004A4810"/>
    <w:rsid w:val="004B09F1"/>
    <w:rsid w:val="004B3027"/>
    <w:rsid w:val="004B5ADC"/>
    <w:rsid w:val="004C0B21"/>
    <w:rsid w:val="004C4EE2"/>
    <w:rsid w:val="004E0938"/>
    <w:rsid w:val="004E3D05"/>
    <w:rsid w:val="004F2858"/>
    <w:rsid w:val="004F3F7E"/>
    <w:rsid w:val="004F5101"/>
    <w:rsid w:val="004F6DA3"/>
    <w:rsid w:val="005046CA"/>
    <w:rsid w:val="005061C9"/>
    <w:rsid w:val="00512C70"/>
    <w:rsid w:val="00527F9F"/>
    <w:rsid w:val="0053537A"/>
    <w:rsid w:val="00537F8E"/>
    <w:rsid w:val="005502B5"/>
    <w:rsid w:val="005517CF"/>
    <w:rsid w:val="005550D4"/>
    <w:rsid w:val="00562D7F"/>
    <w:rsid w:val="005641DA"/>
    <w:rsid w:val="00565109"/>
    <w:rsid w:val="0057132B"/>
    <w:rsid w:val="00577D80"/>
    <w:rsid w:val="00591F0F"/>
    <w:rsid w:val="00594185"/>
    <w:rsid w:val="005C0522"/>
    <w:rsid w:val="005D7125"/>
    <w:rsid w:val="005E7705"/>
    <w:rsid w:val="005F0B66"/>
    <w:rsid w:val="005F7546"/>
    <w:rsid w:val="006027D0"/>
    <w:rsid w:val="0060529F"/>
    <w:rsid w:val="006128B2"/>
    <w:rsid w:val="006135E2"/>
    <w:rsid w:val="00624902"/>
    <w:rsid w:val="00637259"/>
    <w:rsid w:val="00646B31"/>
    <w:rsid w:val="00647F98"/>
    <w:rsid w:val="00653460"/>
    <w:rsid w:val="00670DD2"/>
    <w:rsid w:val="00672C14"/>
    <w:rsid w:val="00673E18"/>
    <w:rsid w:val="00682F9A"/>
    <w:rsid w:val="006946F1"/>
    <w:rsid w:val="006A16E5"/>
    <w:rsid w:val="006A4EBB"/>
    <w:rsid w:val="006C22F6"/>
    <w:rsid w:val="006D7FF7"/>
    <w:rsid w:val="006E5064"/>
    <w:rsid w:val="006E7C49"/>
    <w:rsid w:val="006F12C3"/>
    <w:rsid w:val="006F2057"/>
    <w:rsid w:val="006F3BA4"/>
    <w:rsid w:val="006F41EC"/>
    <w:rsid w:val="00704DD4"/>
    <w:rsid w:val="00704EF8"/>
    <w:rsid w:val="007073D1"/>
    <w:rsid w:val="007120B5"/>
    <w:rsid w:val="00712CAB"/>
    <w:rsid w:val="00713DDB"/>
    <w:rsid w:val="00750EBD"/>
    <w:rsid w:val="0075120F"/>
    <w:rsid w:val="007523E7"/>
    <w:rsid w:val="007558CA"/>
    <w:rsid w:val="00755CB2"/>
    <w:rsid w:val="0075740D"/>
    <w:rsid w:val="00767F85"/>
    <w:rsid w:val="007737B1"/>
    <w:rsid w:val="00785D15"/>
    <w:rsid w:val="007A2ABD"/>
    <w:rsid w:val="007A60CF"/>
    <w:rsid w:val="007B0070"/>
    <w:rsid w:val="007B66D7"/>
    <w:rsid w:val="007B6F7D"/>
    <w:rsid w:val="007D30E4"/>
    <w:rsid w:val="007E0EA1"/>
    <w:rsid w:val="007E6962"/>
    <w:rsid w:val="007F017C"/>
    <w:rsid w:val="007F3288"/>
    <w:rsid w:val="008008F8"/>
    <w:rsid w:val="00821245"/>
    <w:rsid w:val="008248A9"/>
    <w:rsid w:val="00847DB2"/>
    <w:rsid w:val="008917B0"/>
    <w:rsid w:val="00896165"/>
    <w:rsid w:val="00896629"/>
    <w:rsid w:val="008A0600"/>
    <w:rsid w:val="008A7EE4"/>
    <w:rsid w:val="008C29F5"/>
    <w:rsid w:val="008C6EDB"/>
    <w:rsid w:val="008D629D"/>
    <w:rsid w:val="008E5CBE"/>
    <w:rsid w:val="00902FA5"/>
    <w:rsid w:val="0090444F"/>
    <w:rsid w:val="0091306E"/>
    <w:rsid w:val="00913144"/>
    <w:rsid w:val="00916E9D"/>
    <w:rsid w:val="00917280"/>
    <w:rsid w:val="009212E0"/>
    <w:rsid w:val="009300AB"/>
    <w:rsid w:val="009313D7"/>
    <w:rsid w:val="009324D4"/>
    <w:rsid w:val="00945A15"/>
    <w:rsid w:val="00953FE8"/>
    <w:rsid w:val="0096495A"/>
    <w:rsid w:val="0096529D"/>
    <w:rsid w:val="009837E2"/>
    <w:rsid w:val="00983992"/>
    <w:rsid w:val="009970A0"/>
    <w:rsid w:val="009A5129"/>
    <w:rsid w:val="009A77A9"/>
    <w:rsid w:val="009B1E15"/>
    <w:rsid w:val="009B3BE8"/>
    <w:rsid w:val="009C0293"/>
    <w:rsid w:val="009C5E5B"/>
    <w:rsid w:val="009D1A2F"/>
    <w:rsid w:val="009D2966"/>
    <w:rsid w:val="009E5859"/>
    <w:rsid w:val="00A037A8"/>
    <w:rsid w:val="00A03DFD"/>
    <w:rsid w:val="00A22E9D"/>
    <w:rsid w:val="00A42D04"/>
    <w:rsid w:val="00A4560E"/>
    <w:rsid w:val="00A53AFB"/>
    <w:rsid w:val="00A604E1"/>
    <w:rsid w:val="00A72AF0"/>
    <w:rsid w:val="00A76D35"/>
    <w:rsid w:val="00A935FC"/>
    <w:rsid w:val="00AA3202"/>
    <w:rsid w:val="00AB2215"/>
    <w:rsid w:val="00AC0DFA"/>
    <w:rsid w:val="00AD41F1"/>
    <w:rsid w:val="00AD6DF0"/>
    <w:rsid w:val="00AD76B6"/>
    <w:rsid w:val="00AE4B57"/>
    <w:rsid w:val="00AF1D08"/>
    <w:rsid w:val="00AF74A6"/>
    <w:rsid w:val="00B01172"/>
    <w:rsid w:val="00B16618"/>
    <w:rsid w:val="00B1751F"/>
    <w:rsid w:val="00B3138B"/>
    <w:rsid w:val="00B460E6"/>
    <w:rsid w:val="00B4792C"/>
    <w:rsid w:val="00B53757"/>
    <w:rsid w:val="00B54BD3"/>
    <w:rsid w:val="00B7134F"/>
    <w:rsid w:val="00B75173"/>
    <w:rsid w:val="00B80F14"/>
    <w:rsid w:val="00B81047"/>
    <w:rsid w:val="00B84618"/>
    <w:rsid w:val="00B91A02"/>
    <w:rsid w:val="00B927BF"/>
    <w:rsid w:val="00B976B7"/>
    <w:rsid w:val="00B97EBE"/>
    <w:rsid w:val="00BA7849"/>
    <w:rsid w:val="00BB3DAA"/>
    <w:rsid w:val="00BB5C1D"/>
    <w:rsid w:val="00BC27C6"/>
    <w:rsid w:val="00BD6DCB"/>
    <w:rsid w:val="00BE1CB0"/>
    <w:rsid w:val="00BE2CBE"/>
    <w:rsid w:val="00BE5317"/>
    <w:rsid w:val="00BE5F00"/>
    <w:rsid w:val="00BE749E"/>
    <w:rsid w:val="00C01B61"/>
    <w:rsid w:val="00C1274F"/>
    <w:rsid w:val="00C1383D"/>
    <w:rsid w:val="00C20412"/>
    <w:rsid w:val="00C22CF3"/>
    <w:rsid w:val="00C24080"/>
    <w:rsid w:val="00C2467D"/>
    <w:rsid w:val="00C27462"/>
    <w:rsid w:val="00C33EFE"/>
    <w:rsid w:val="00C44EA2"/>
    <w:rsid w:val="00C45811"/>
    <w:rsid w:val="00C52D26"/>
    <w:rsid w:val="00C5749C"/>
    <w:rsid w:val="00C610B7"/>
    <w:rsid w:val="00C623B4"/>
    <w:rsid w:val="00C72448"/>
    <w:rsid w:val="00C85104"/>
    <w:rsid w:val="00C879CF"/>
    <w:rsid w:val="00C94B9D"/>
    <w:rsid w:val="00C976AE"/>
    <w:rsid w:val="00CA2E2D"/>
    <w:rsid w:val="00CA44A9"/>
    <w:rsid w:val="00CB56C8"/>
    <w:rsid w:val="00CB5EA6"/>
    <w:rsid w:val="00CB7257"/>
    <w:rsid w:val="00CC50A3"/>
    <w:rsid w:val="00CC6275"/>
    <w:rsid w:val="00CD5868"/>
    <w:rsid w:val="00CE2E6F"/>
    <w:rsid w:val="00CE7B5F"/>
    <w:rsid w:val="00CF0B49"/>
    <w:rsid w:val="00CF4251"/>
    <w:rsid w:val="00CF57F7"/>
    <w:rsid w:val="00D0465B"/>
    <w:rsid w:val="00D05B32"/>
    <w:rsid w:val="00D13B32"/>
    <w:rsid w:val="00D153BF"/>
    <w:rsid w:val="00D30158"/>
    <w:rsid w:val="00D310A0"/>
    <w:rsid w:val="00D3124F"/>
    <w:rsid w:val="00D369F2"/>
    <w:rsid w:val="00D43721"/>
    <w:rsid w:val="00D61333"/>
    <w:rsid w:val="00D75C1E"/>
    <w:rsid w:val="00D779E7"/>
    <w:rsid w:val="00D80E3F"/>
    <w:rsid w:val="00D81BB2"/>
    <w:rsid w:val="00D858AD"/>
    <w:rsid w:val="00D87517"/>
    <w:rsid w:val="00DA1492"/>
    <w:rsid w:val="00DA4286"/>
    <w:rsid w:val="00DA4637"/>
    <w:rsid w:val="00DD6F6F"/>
    <w:rsid w:val="00DE39B0"/>
    <w:rsid w:val="00DE446D"/>
    <w:rsid w:val="00DE705E"/>
    <w:rsid w:val="00DF0895"/>
    <w:rsid w:val="00DF404E"/>
    <w:rsid w:val="00DF6A1C"/>
    <w:rsid w:val="00E15597"/>
    <w:rsid w:val="00E32DA7"/>
    <w:rsid w:val="00E44F80"/>
    <w:rsid w:val="00E45EE0"/>
    <w:rsid w:val="00E50FAB"/>
    <w:rsid w:val="00E61B24"/>
    <w:rsid w:val="00E6261E"/>
    <w:rsid w:val="00E65976"/>
    <w:rsid w:val="00E71F60"/>
    <w:rsid w:val="00E72EEA"/>
    <w:rsid w:val="00E77A4B"/>
    <w:rsid w:val="00E838FC"/>
    <w:rsid w:val="00E93B20"/>
    <w:rsid w:val="00E94C44"/>
    <w:rsid w:val="00E97505"/>
    <w:rsid w:val="00EA1BA3"/>
    <w:rsid w:val="00EB2B93"/>
    <w:rsid w:val="00EB53B9"/>
    <w:rsid w:val="00EC29CB"/>
    <w:rsid w:val="00EC4A98"/>
    <w:rsid w:val="00EC4F1C"/>
    <w:rsid w:val="00EC66F4"/>
    <w:rsid w:val="00ED5BC1"/>
    <w:rsid w:val="00ED6F96"/>
    <w:rsid w:val="00EF050C"/>
    <w:rsid w:val="00EF1E2A"/>
    <w:rsid w:val="00EF1F69"/>
    <w:rsid w:val="00F025EC"/>
    <w:rsid w:val="00F04416"/>
    <w:rsid w:val="00F045D4"/>
    <w:rsid w:val="00F05EC0"/>
    <w:rsid w:val="00F0671F"/>
    <w:rsid w:val="00F105B3"/>
    <w:rsid w:val="00F144C9"/>
    <w:rsid w:val="00F1780F"/>
    <w:rsid w:val="00F217BB"/>
    <w:rsid w:val="00F40D43"/>
    <w:rsid w:val="00F43912"/>
    <w:rsid w:val="00F45A06"/>
    <w:rsid w:val="00F5372B"/>
    <w:rsid w:val="00F55BC4"/>
    <w:rsid w:val="00F63E9B"/>
    <w:rsid w:val="00F701B5"/>
    <w:rsid w:val="00F76767"/>
    <w:rsid w:val="00F80465"/>
    <w:rsid w:val="00F83EA2"/>
    <w:rsid w:val="00F93755"/>
    <w:rsid w:val="00FA01A1"/>
    <w:rsid w:val="00FA1522"/>
    <w:rsid w:val="00FA662E"/>
    <w:rsid w:val="00FA6DA5"/>
    <w:rsid w:val="00FB04E2"/>
    <w:rsid w:val="00FB39B4"/>
    <w:rsid w:val="00FC019C"/>
    <w:rsid w:val="00FC48EC"/>
    <w:rsid w:val="00FC5E89"/>
    <w:rsid w:val="00FC613C"/>
    <w:rsid w:val="00FC6C11"/>
    <w:rsid w:val="00FD20B2"/>
    <w:rsid w:val="00FE366E"/>
    <w:rsid w:val="00FE581E"/>
    <w:rsid w:val="00FE5AD3"/>
    <w:rsid w:val="00FF57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87AA23"/>
  <w15:chartTrackingRefBased/>
  <w15:docId w15:val="{22B6860C-6051-4847-81FC-6A5FBADE0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185"/>
    <w:rPr>
      <w:rFonts w:ascii="Calibri Light" w:hAnsi="Calibri Light"/>
      <w:sz w:val="22"/>
      <w:szCs w:val="24"/>
    </w:rPr>
  </w:style>
  <w:style w:type="paragraph" w:styleId="Rubrik1">
    <w:name w:val="heading 1"/>
    <w:basedOn w:val="Normal"/>
    <w:next w:val="Normal"/>
    <w:qFormat/>
    <w:pPr>
      <w:keepNext/>
      <w:keepLines/>
      <w:spacing w:before="240"/>
      <w:outlineLvl w:val="0"/>
    </w:pPr>
    <w:rPr>
      <w:rFonts w:ascii="Arial" w:hAnsi="Arial"/>
      <w:b/>
      <w:sz w:val="32"/>
      <w:szCs w:val="20"/>
      <w:lang w:val="en-US"/>
    </w:rPr>
  </w:style>
  <w:style w:type="paragraph" w:styleId="Rubrik2">
    <w:name w:val="heading 2"/>
    <w:basedOn w:val="Rubrik1"/>
    <w:next w:val="Normal"/>
    <w:qFormat/>
    <w:pPr>
      <w:shd w:val="clear" w:color="FFFFFF" w:fill="auto"/>
      <w:outlineLvl w:val="1"/>
    </w:pPr>
    <w:rPr>
      <w:sz w:val="28"/>
    </w:rPr>
  </w:style>
  <w:style w:type="paragraph" w:styleId="Rubrik3">
    <w:name w:val="heading 3"/>
    <w:basedOn w:val="Rubrik2"/>
    <w:next w:val="Normal"/>
    <w:qFormat/>
    <w:pPr>
      <w:outlineLvl w:val="2"/>
    </w:pPr>
    <w:rPr>
      <w:sz w:val="24"/>
    </w:rPr>
  </w:style>
  <w:style w:type="paragraph" w:styleId="Rubrik4">
    <w:name w:val="heading 4"/>
    <w:basedOn w:val="Normal"/>
    <w:next w:val="Normal"/>
    <w:link w:val="Rubrik4Char"/>
    <w:qFormat/>
    <w:rsid w:val="003A6508"/>
    <w:pPr>
      <w:keepNext/>
      <w:keepLines/>
      <w:spacing w:before="240" w:after="60"/>
      <w:outlineLvl w:val="3"/>
    </w:pPr>
    <w:rPr>
      <w:rFonts w:ascii="Arial" w:hAnsi="Arial"/>
      <w:b/>
      <w:szCs w:val="20"/>
      <w:lang w:val="en-U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pPr>
      <w:keepLines/>
      <w:tabs>
        <w:tab w:val="center" w:pos="4536"/>
        <w:tab w:val="right" w:pos="9072"/>
      </w:tabs>
      <w:spacing w:after="120"/>
    </w:pPr>
    <w:rPr>
      <w:szCs w:val="20"/>
      <w:lang w:val="en-US"/>
    </w:rPr>
  </w:style>
  <w:style w:type="paragraph" w:styleId="Sidfot">
    <w:name w:val="footer"/>
    <w:basedOn w:val="Normal"/>
    <w:link w:val="SidfotChar"/>
    <w:pPr>
      <w:keepLines/>
      <w:tabs>
        <w:tab w:val="center" w:pos="4536"/>
        <w:tab w:val="right" w:pos="9072"/>
      </w:tabs>
      <w:spacing w:before="20" w:after="120"/>
    </w:pPr>
    <w:rPr>
      <w:rFonts w:ascii="Arial" w:hAnsi="Arial"/>
      <w:sz w:val="14"/>
      <w:szCs w:val="20"/>
      <w:lang w:val="en-US"/>
    </w:rPr>
  </w:style>
  <w:style w:type="character" w:styleId="Sidnummer">
    <w:name w:val="page number"/>
    <w:basedOn w:val="Standardstycketeckensnitt"/>
    <w:semiHidden/>
  </w:style>
  <w:style w:type="paragraph" w:customStyle="1" w:styleId="Adress">
    <w:name w:val="Adress"/>
    <w:basedOn w:val="Normal"/>
    <w:pPr>
      <w:keepLines/>
      <w:ind w:left="5103"/>
    </w:pPr>
    <w:rPr>
      <w:szCs w:val="20"/>
      <w:lang w:val="en-US"/>
    </w:rPr>
  </w:style>
  <w:style w:type="paragraph" w:customStyle="1" w:styleId="Normalfet">
    <w:name w:val="Normal fet"/>
    <w:basedOn w:val="Normal"/>
    <w:pPr>
      <w:keepLines/>
      <w:spacing w:after="120"/>
    </w:pPr>
    <w:rPr>
      <w:b/>
      <w:szCs w:val="20"/>
      <w:lang w:val="en-US"/>
    </w:rPr>
  </w:style>
  <w:style w:type="paragraph" w:customStyle="1" w:styleId="rende">
    <w:name w:val="Ärende"/>
    <w:basedOn w:val="Normal"/>
    <w:next w:val="Normal"/>
    <w:pPr>
      <w:keepLines/>
      <w:spacing w:before="240" w:after="120"/>
    </w:pPr>
    <w:rPr>
      <w:rFonts w:ascii="Arial" w:hAnsi="Arial"/>
      <w:b/>
      <w:szCs w:val="20"/>
      <w:lang w:val="en-US"/>
    </w:rPr>
  </w:style>
  <w:style w:type="paragraph" w:customStyle="1" w:styleId="Normalenkelt">
    <w:name w:val="Normal enkelt"/>
    <w:basedOn w:val="Normal"/>
    <w:pPr>
      <w:keepLines/>
    </w:pPr>
    <w:rPr>
      <w:szCs w:val="20"/>
      <w:lang w:val="en-US"/>
    </w:rPr>
  </w:style>
  <w:style w:type="paragraph" w:customStyle="1" w:styleId="Normalenkeltfet">
    <w:name w:val="Normal enkelt fet"/>
    <w:basedOn w:val="Normalenkelt"/>
    <w:rPr>
      <w:b/>
    </w:rPr>
  </w:style>
  <w:style w:type="paragraph" w:customStyle="1" w:styleId="Punktlista2numrerad">
    <w:name w:val="Punktlista 2 numrerad"/>
    <w:basedOn w:val="Punktlistanumrerad"/>
    <w:next w:val="Normal"/>
    <w:pPr>
      <w:spacing w:after="120"/>
    </w:pPr>
  </w:style>
  <w:style w:type="paragraph" w:customStyle="1" w:styleId="Tabellrubrik">
    <w:name w:val="Tabellrubrik"/>
    <w:basedOn w:val="Normalenkelt"/>
    <w:rPr>
      <w:b/>
      <w:i/>
      <w:sz w:val="20"/>
    </w:rPr>
  </w:style>
  <w:style w:type="paragraph" w:styleId="Punktlista">
    <w:name w:val="List Bullet"/>
    <w:basedOn w:val="Normal"/>
    <w:semiHidden/>
    <w:pPr>
      <w:keepLines/>
      <w:numPr>
        <w:numId w:val="4"/>
      </w:numPr>
      <w:tabs>
        <w:tab w:val="clear" w:pos="360"/>
        <w:tab w:val="num" w:pos="426"/>
      </w:tabs>
      <w:ind w:left="425" w:hanging="425"/>
    </w:pPr>
    <w:rPr>
      <w:szCs w:val="20"/>
      <w:lang w:val="en-US"/>
    </w:rPr>
  </w:style>
  <w:style w:type="paragraph" w:styleId="Punktlista2">
    <w:name w:val="List Bullet 2"/>
    <w:basedOn w:val="Punktlista"/>
    <w:next w:val="Normal"/>
    <w:semiHidden/>
    <w:pPr>
      <w:numPr>
        <w:numId w:val="5"/>
      </w:numPr>
      <w:tabs>
        <w:tab w:val="clear" w:pos="643"/>
        <w:tab w:val="num" w:pos="426"/>
      </w:tabs>
      <w:spacing w:after="120"/>
      <w:ind w:left="425" w:hanging="425"/>
    </w:pPr>
  </w:style>
  <w:style w:type="paragraph" w:customStyle="1" w:styleId="Punktlistanumrerad">
    <w:name w:val="Punktlista numrerad"/>
    <w:basedOn w:val="Rubrik3"/>
    <w:pPr>
      <w:numPr>
        <w:numId w:val="6"/>
      </w:numPr>
      <w:tabs>
        <w:tab w:val="clear" w:pos="360"/>
        <w:tab w:val="num" w:pos="426"/>
      </w:tabs>
      <w:spacing w:before="0"/>
      <w:ind w:left="425" w:hanging="425"/>
    </w:pPr>
    <w:rPr>
      <w:rFonts w:ascii="Times New Roman" w:hAnsi="Times New Roman"/>
    </w:rPr>
  </w:style>
  <w:style w:type="character" w:customStyle="1" w:styleId="Rubrik4Char">
    <w:name w:val="Rubrik 4 Char"/>
    <w:link w:val="Rubrik4"/>
    <w:rsid w:val="003A6508"/>
    <w:rPr>
      <w:rFonts w:ascii="Arial" w:hAnsi="Arial"/>
      <w:b/>
      <w:sz w:val="24"/>
      <w:lang w:val="en-US"/>
    </w:rPr>
  </w:style>
  <w:style w:type="paragraph" w:styleId="Ballongtext">
    <w:name w:val="Balloon Text"/>
    <w:basedOn w:val="Normal"/>
    <w:link w:val="BallongtextChar"/>
    <w:uiPriority w:val="99"/>
    <w:semiHidden/>
    <w:unhideWhenUsed/>
    <w:rsid w:val="003648EE"/>
    <w:pPr>
      <w:keepLines/>
    </w:pPr>
    <w:rPr>
      <w:sz w:val="18"/>
      <w:szCs w:val="18"/>
      <w:lang w:val="en-US"/>
    </w:rPr>
  </w:style>
  <w:style w:type="character" w:customStyle="1" w:styleId="BallongtextChar">
    <w:name w:val="Ballongtext Char"/>
    <w:link w:val="Ballongtext"/>
    <w:uiPriority w:val="99"/>
    <w:semiHidden/>
    <w:rsid w:val="003648EE"/>
    <w:rPr>
      <w:sz w:val="18"/>
      <w:szCs w:val="18"/>
      <w:lang w:val="en-US"/>
    </w:rPr>
  </w:style>
  <w:style w:type="character" w:customStyle="1" w:styleId="SidfotChar">
    <w:name w:val="Sidfot Char"/>
    <w:basedOn w:val="Standardstycketeckensnitt"/>
    <w:link w:val="Sidfot"/>
    <w:rsid w:val="00670DD2"/>
    <w:rPr>
      <w:rFonts w:ascii="Arial" w:hAnsi="Arial"/>
      <w:sz w:val="14"/>
      <w:lang w:val="en-US"/>
    </w:rPr>
  </w:style>
  <w:style w:type="character" w:styleId="Hyperlnk">
    <w:name w:val="Hyperlink"/>
    <w:basedOn w:val="Standardstycketeckensnitt"/>
    <w:uiPriority w:val="99"/>
    <w:unhideWhenUsed/>
    <w:rsid w:val="00AC0DFA"/>
    <w:rPr>
      <w:color w:val="0563C1" w:themeColor="hyperlink"/>
      <w:u w:val="single"/>
    </w:rPr>
  </w:style>
  <w:style w:type="character" w:styleId="Olstomnmnande">
    <w:name w:val="Unresolved Mention"/>
    <w:basedOn w:val="Standardstycketeckensnitt"/>
    <w:uiPriority w:val="99"/>
    <w:semiHidden/>
    <w:unhideWhenUsed/>
    <w:rsid w:val="00AC0DFA"/>
    <w:rPr>
      <w:color w:val="605E5C"/>
      <w:shd w:val="clear" w:color="auto" w:fill="E1DFDD"/>
    </w:rPr>
  </w:style>
  <w:style w:type="character" w:customStyle="1" w:styleId="locality">
    <w:name w:val="locality"/>
    <w:basedOn w:val="Standardstycketeckensnitt"/>
    <w:rsid w:val="004B3027"/>
  </w:style>
  <w:style w:type="character" w:customStyle="1" w:styleId="state">
    <w:name w:val="state"/>
    <w:basedOn w:val="Standardstycketeckensnitt"/>
    <w:rsid w:val="004B3027"/>
  </w:style>
  <w:style w:type="character" w:customStyle="1" w:styleId="postal-code">
    <w:name w:val="postal-code"/>
    <w:basedOn w:val="Standardstycketeckensnitt"/>
    <w:rsid w:val="004B3027"/>
  </w:style>
  <w:style w:type="character" w:customStyle="1" w:styleId="country">
    <w:name w:val="country"/>
    <w:basedOn w:val="Standardstycketeckensnitt"/>
    <w:rsid w:val="004B3027"/>
  </w:style>
  <w:style w:type="paragraph" w:customStyle="1" w:styleId="Formatmall1">
    <w:name w:val="Formatmall1"/>
    <w:basedOn w:val="Normal"/>
    <w:qFormat/>
    <w:rsid w:val="00C20412"/>
    <w:pPr>
      <w:tabs>
        <w:tab w:val="left" w:pos="3119"/>
        <w:tab w:val="left" w:pos="5245"/>
        <w:tab w:val="left" w:pos="6379"/>
      </w:tabs>
    </w:pPr>
    <w:rPr>
      <w:rFonts w:asciiTheme="minorHAnsi" w:hAnsiTheme="minorHAnsi" w:cstheme="minorHAnsi"/>
      <w:color w:val="0068A4"/>
      <w:lang w:val="en-US"/>
    </w:rPr>
  </w:style>
  <w:style w:type="paragraph" w:styleId="Liststycke">
    <w:name w:val="List Paragraph"/>
    <w:basedOn w:val="Normal"/>
    <w:uiPriority w:val="34"/>
    <w:qFormat/>
    <w:rsid w:val="000C58A1"/>
    <w:pPr>
      <w:ind w:left="720"/>
      <w:contextualSpacing/>
    </w:pPr>
  </w:style>
  <w:style w:type="paragraph" w:styleId="Ingetavstnd">
    <w:name w:val="No Spacing"/>
    <w:uiPriority w:val="1"/>
    <w:qFormat/>
    <w:rsid w:val="003355C8"/>
    <w:rPr>
      <w:rFonts w:asciiTheme="minorHAnsi" w:eastAsiaTheme="minorHAnsi"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349305">
      <w:bodyDiv w:val="1"/>
      <w:marLeft w:val="0"/>
      <w:marRight w:val="0"/>
      <w:marTop w:val="0"/>
      <w:marBottom w:val="0"/>
      <w:divBdr>
        <w:top w:val="none" w:sz="0" w:space="0" w:color="auto"/>
        <w:left w:val="none" w:sz="0" w:space="0" w:color="auto"/>
        <w:bottom w:val="none" w:sz="0" w:space="0" w:color="auto"/>
        <w:right w:val="none" w:sz="0" w:space="0" w:color="auto"/>
      </w:divBdr>
    </w:div>
    <w:div w:id="137648738">
      <w:bodyDiv w:val="1"/>
      <w:marLeft w:val="0"/>
      <w:marRight w:val="0"/>
      <w:marTop w:val="0"/>
      <w:marBottom w:val="0"/>
      <w:divBdr>
        <w:top w:val="none" w:sz="0" w:space="0" w:color="auto"/>
        <w:left w:val="none" w:sz="0" w:space="0" w:color="auto"/>
        <w:bottom w:val="none" w:sz="0" w:space="0" w:color="auto"/>
        <w:right w:val="none" w:sz="0" w:space="0" w:color="auto"/>
      </w:divBdr>
    </w:div>
    <w:div w:id="180749708">
      <w:bodyDiv w:val="1"/>
      <w:marLeft w:val="0"/>
      <w:marRight w:val="0"/>
      <w:marTop w:val="0"/>
      <w:marBottom w:val="0"/>
      <w:divBdr>
        <w:top w:val="none" w:sz="0" w:space="0" w:color="auto"/>
        <w:left w:val="none" w:sz="0" w:space="0" w:color="auto"/>
        <w:bottom w:val="none" w:sz="0" w:space="0" w:color="auto"/>
        <w:right w:val="none" w:sz="0" w:space="0" w:color="auto"/>
      </w:divBdr>
    </w:div>
    <w:div w:id="307706229">
      <w:bodyDiv w:val="1"/>
      <w:marLeft w:val="0"/>
      <w:marRight w:val="0"/>
      <w:marTop w:val="0"/>
      <w:marBottom w:val="0"/>
      <w:divBdr>
        <w:top w:val="none" w:sz="0" w:space="0" w:color="auto"/>
        <w:left w:val="none" w:sz="0" w:space="0" w:color="auto"/>
        <w:bottom w:val="none" w:sz="0" w:space="0" w:color="auto"/>
        <w:right w:val="none" w:sz="0" w:space="0" w:color="auto"/>
      </w:divBdr>
    </w:div>
    <w:div w:id="606541681">
      <w:bodyDiv w:val="1"/>
      <w:marLeft w:val="0"/>
      <w:marRight w:val="0"/>
      <w:marTop w:val="0"/>
      <w:marBottom w:val="0"/>
      <w:divBdr>
        <w:top w:val="none" w:sz="0" w:space="0" w:color="auto"/>
        <w:left w:val="none" w:sz="0" w:space="0" w:color="auto"/>
        <w:bottom w:val="none" w:sz="0" w:space="0" w:color="auto"/>
        <w:right w:val="none" w:sz="0" w:space="0" w:color="auto"/>
      </w:divBdr>
    </w:div>
    <w:div w:id="710305539">
      <w:bodyDiv w:val="1"/>
      <w:marLeft w:val="0"/>
      <w:marRight w:val="0"/>
      <w:marTop w:val="0"/>
      <w:marBottom w:val="0"/>
      <w:divBdr>
        <w:top w:val="none" w:sz="0" w:space="0" w:color="auto"/>
        <w:left w:val="none" w:sz="0" w:space="0" w:color="auto"/>
        <w:bottom w:val="none" w:sz="0" w:space="0" w:color="auto"/>
        <w:right w:val="none" w:sz="0" w:space="0" w:color="auto"/>
      </w:divBdr>
    </w:div>
    <w:div w:id="722607226">
      <w:bodyDiv w:val="1"/>
      <w:marLeft w:val="0"/>
      <w:marRight w:val="0"/>
      <w:marTop w:val="0"/>
      <w:marBottom w:val="0"/>
      <w:divBdr>
        <w:top w:val="none" w:sz="0" w:space="0" w:color="auto"/>
        <w:left w:val="none" w:sz="0" w:space="0" w:color="auto"/>
        <w:bottom w:val="none" w:sz="0" w:space="0" w:color="auto"/>
        <w:right w:val="none" w:sz="0" w:space="0" w:color="auto"/>
      </w:divBdr>
    </w:div>
    <w:div w:id="739790308">
      <w:bodyDiv w:val="1"/>
      <w:marLeft w:val="0"/>
      <w:marRight w:val="0"/>
      <w:marTop w:val="0"/>
      <w:marBottom w:val="0"/>
      <w:divBdr>
        <w:top w:val="none" w:sz="0" w:space="0" w:color="auto"/>
        <w:left w:val="none" w:sz="0" w:space="0" w:color="auto"/>
        <w:bottom w:val="none" w:sz="0" w:space="0" w:color="auto"/>
        <w:right w:val="none" w:sz="0" w:space="0" w:color="auto"/>
      </w:divBdr>
    </w:div>
    <w:div w:id="806051442">
      <w:bodyDiv w:val="1"/>
      <w:marLeft w:val="0"/>
      <w:marRight w:val="0"/>
      <w:marTop w:val="0"/>
      <w:marBottom w:val="0"/>
      <w:divBdr>
        <w:top w:val="none" w:sz="0" w:space="0" w:color="auto"/>
        <w:left w:val="none" w:sz="0" w:space="0" w:color="auto"/>
        <w:bottom w:val="none" w:sz="0" w:space="0" w:color="auto"/>
        <w:right w:val="none" w:sz="0" w:space="0" w:color="auto"/>
      </w:divBdr>
    </w:div>
    <w:div w:id="959535706">
      <w:bodyDiv w:val="1"/>
      <w:marLeft w:val="0"/>
      <w:marRight w:val="0"/>
      <w:marTop w:val="0"/>
      <w:marBottom w:val="0"/>
      <w:divBdr>
        <w:top w:val="none" w:sz="0" w:space="0" w:color="auto"/>
        <w:left w:val="none" w:sz="0" w:space="0" w:color="auto"/>
        <w:bottom w:val="none" w:sz="0" w:space="0" w:color="auto"/>
        <w:right w:val="none" w:sz="0" w:space="0" w:color="auto"/>
      </w:divBdr>
    </w:div>
    <w:div w:id="1211570384">
      <w:bodyDiv w:val="1"/>
      <w:marLeft w:val="0"/>
      <w:marRight w:val="0"/>
      <w:marTop w:val="0"/>
      <w:marBottom w:val="0"/>
      <w:divBdr>
        <w:top w:val="none" w:sz="0" w:space="0" w:color="auto"/>
        <w:left w:val="none" w:sz="0" w:space="0" w:color="auto"/>
        <w:bottom w:val="none" w:sz="0" w:space="0" w:color="auto"/>
        <w:right w:val="none" w:sz="0" w:space="0" w:color="auto"/>
      </w:divBdr>
    </w:div>
    <w:div w:id="1392391092">
      <w:bodyDiv w:val="1"/>
      <w:marLeft w:val="0"/>
      <w:marRight w:val="0"/>
      <w:marTop w:val="0"/>
      <w:marBottom w:val="0"/>
      <w:divBdr>
        <w:top w:val="none" w:sz="0" w:space="0" w:color="auto"/>
        <w:left w:val="none" w:sz="0" w:space="0" w:color="auto"/>
        <w:bottom w:val="none" w:sz="0" w:space="0" w:color="auto"/>
        <w:right w:val="none" w:sz="0" w:space="0" w:color="auto"/>
      </w:divBdr>
    </w:div>
    <w:div w:id="1407995613">
      <w:bodyDiv w:val="1"/>
      <w:marLeft w:val="0"/>
      <w:marRight w:val="0"/>
      <w:marTop w:val="0"/>
      <w:marBottom w:val="0"/>
      <w:divBdr>
        <w:top w:val="none" w:sz="0" w:space="0" w:color="auto"/>
        <w:left w:val="none" w:sz="0" w:space="0" w:color="auto"/>
        <w:bottom w:val="none" w:sz="0" w:space="0" w:color="auto"/>
        <w:right w:val="none" w:sz="0" w:space="0" w:color="auto"/>
      </w:divBdr>
    </w:div>
    <w:div w:id="1542283113">
      <w:bodyDiv w:val="1"/>
      <w:marLeft w:val="0"/>
      <w:marRight w:val="0"/>
      <w:marTop w:val="0"/>
      <w:marBottom w:val="0"/>
      <w:divBdr>
        <w:top w:val="none" w:sz="0" w:space="0" w:color="auto"/>
        <w:left w:val="none" w:sz="0" w:space="0" w:color="auto"/>
        <w:bottom w:val="none" w:sz="0" w:space="0" w:color="auto"/>
        <w:right w:val="none" w:sz="0" w:space="0" w:color="auto"/>
      </w:divBdr>
    </w:div>
    <w:div w:id="1576627233">
      <w:bodyDiv w:val="1"/>
      <w:marLeft w:val="0"/>
      <w:marRight w:val="0"/>
      <w:marTop w:val="0"/>
      <w:marBottom w:val="0"/>
      <w:divBdr>
        <w:top w:val="none" w:sz="0" w:space="0" w:color="auto"/>
        <w:left w:val="none" w:sz="0" w:space="0" w:color="auto"/>
        <w:bottom w:val="none" w:sz="0" w:space="0" w:color="auto"/>
        <w:right w:val="none" w:sz="0" w:space="0" w:color="auto"/>
      </w:divBdr>
    </w:div>
    <w:div w:id="1638487616">
      <w:bodyDiv w:val="1"/>
      <w:marLeft w:val="0"/>
      <w:marRight w:val="0"/>
      <w:marTop w:val="0"/>
      <w:marBottom w:val="0"/>
      <w:divBdr>
        <w:top w:val="none" w:sz="0" w:space="0" w:color="auto"/>
        <w:left w:val="none" w:sz="0" w:space="0" w:color="auto"/>
        <w:bottom w:val="none" w:sz="0" w:space="0" w:color="auto"/>
        <w:right w:val="none" w:sz="0" w:space="0" w:color="auto"/>
      </w:divBdr>
      <w:divsChild>
        <w:div w:id="216404492">
          <w:marLeft w:val="0"/>
          <w:marRight w:val="0"/>
          <w:marTop w:val="0"/>
          <w:marBottom w:val="0"/>
          <w:divBdr>
            <w:top w:val="none" w:sz="0" w:space="0" w:color="auto"/>
            <w:left w:val="none" w:sz="0" w:space="0" w:color="auto"/>
            <w:bottom w:val="none" w:sz="0" w:space="0" w:color="auto"/>
            <w:right w:val="none" w:sz="0" w:space="0" w:color="auto"/>
          </w:divBdr>
        </w:div>
      </w:divsChild>
    </w:div>
    <w:div w:id="1640303542">
      <w:bodyDiv w:val="1"/>
      <w:marLeft w:val="0"/>
      <w:marRight w:val="0"/>
      <w:marTop w:val="0"/>
      <w:marBottom w:val="0"/>
      <w:divBdr>
        <w:top w:val="none" w:sz="0" w:space="0" w:color="auto"/>
        <w:left w:val="none" w:sz="0" w:space="0" w:color="auto"/>
        <w:bottom w:val="none" w:sz="0" w:space="0" w:color="auto"/>
        <w:right w:val="none" w:sz="0" w:space="0" w:color="auto"/>
      </w:divBdr>
    </w:div>
    <w:div w:id="1648824975">
      <w:bodyDiv w:val="1"/>
      <w:marLeft w:val="0"/>
      <w:marRight w:val="0"/>
      <w:marTop w:val="0"/>
      <w:marBottom w:val="0"/>
      <w:divBdr>
        <w:top w:val="none" w:sz="0" w:space="0" w:color="auto"/>
        <w:left w:val="none" w:sz="0" w:space="0" w:color="auto"/>
        <w:bottom w:val="none" w:sz="0" w:space="0" w:color="auto"/>
        <w:right w:val="none" w:sz="0" w:space="0" w:color="auto"/>
      </w:divBdr>
    </w:div>
    <w:div w:id="1658876443">
      <w:bodyDiv w:val="1"/>
      <w:marLeft w:val="0"/>
      <w:marRight w:val="0"/>
      <w:marTop w:val="0"/>
      <w:marBottom w:val="0"/>
      <w:divBdr>
        <w:top w:val="none" w:sz="0" w:space="0" w:color="auto"/>
        <w:left w:val="none" w:sz="0" w:space="0" w:color="auto"/>
        <w:bottom w:val="none" w:sz="0" w:space="0" w:color="auto"/>
        <w:right w:val="none" w:sz="0" w:space="0" w:color="auto"/>
      </w:divBdr>
    </w:div>
    <w:div w:id="1700349232">
      <w:bodyDiv w:val="1"/>
      <w:marLeft w:val="0"/>
      <w:marRight w:val="0"/>
      <w:marTop w:val="0"/>
      <w:marBottom w:val="0"/>
      <w:divBdr>
        <w:top w:val="none" w:sz="0" w:space="0" w:color="auto"/>
        <w:left w:val="none" w:sz="0" w:space="0" w:color="auto"/>
        <w:bottom w:val="none" w:sz="0" w:space="0" w:color="auto"/>
        <w:right w:val="none" w:sz="0" w:space="0" w:color="auto"/>
      </w:divBdr>
    </w:div>
    <w:div w:id="1990209680">
      <w:bodyDiv w:val="1"/>
      <w:marLeft w:val="0"/>
      <w:marRight w:val="0"/>
      <w:marTop w:val="0"/>
      <w:marBottom w:val="0"/>
      <w:divBdr>
        <w:top w:val="none" w:sz="0" w:space="0" w:color="auto"/>
        <w:left w:val="none" w:sz="0" w:space="0" w:color="auto"/>
        <w:bottom w:val="none" w:sz="0" w:space="0" w:color="auto"/>
        <w:right w:val="none" w:sz="0" w:space="0" w:color="auto"/>
      </w:divBdr>
      <w:divsChild>
        <w:div w:id="2017032527">
          <w:marLeft w:val="0"/>
          <w:marRight w:val="0"/>
          <w:marTop w:val="0"/>
          <w:marBottom w:val="0"/>
          <w:divBdr>
            <w:top w:val="none" w:sz="0" w:space="0" w:color="auto"/>
            <w:left w:val="none" w:sz="0" w:space="0" w:color="auto"/>
            <w:bottom w:val="none" w:sz="0" w:space="0" w:color="auto"/>
            <w:right w:val="none" w:sz="0" w:space="0" w:color="auto"/>
          </w:divBdr>
        </w:div>
      </w:divsChild>
    </w:div>
    <w:div w:id="2082436729">
      <w:bodyDiv w:val="1"/>
      <w:marLeft w:val="0"/>
      <w:marRight w:val="0"/>
      <w:marTop w:val="0"/>
      <w:marBottom w:val="0"/>
      <w:divBdr>
        <w:top w:val="none" w:sz="0" w:space="0" w:color="auto"/>
        <w:left w:val="none" w:sz="0" w:space="0" w:color="auto"/>
        <w:bottom w:val="none" w:sz="0" w:space="0" w:color="auto"/>
        <w:right w:val="none" w:sz="0" w:space="0" w:color="auto"/>
      </w:divBdr>
      <w:divsChild>
        <w:div w:id="383523895">
          <w:marLeft w:val="0"/>
          <w:marRight w:val="0"/>
          <w:marTop w:val="0"/>
          <w:marBottom w:val="0"/>
          <w:divBdr>
            <w:top w:val="none" w:sz="0" w:space="0" w:color="auto"/>
            <w:left w:val="none" w:sz="0" w:space="0" w:color="auto"/>
            <w:bottom w:val="none" w:sz="0" w:space="0" w:color="auto"/>
            <w:right w:val="none" w:sz="0" w:space="0" w:color="auto"/>
          </w:divBdr>
        </w:div>
      </w:divsChild>
    </w:div>
    <w:div w:id="2089381996">
      <w:bodyDiv w:val="1"/>
      <w:marLeft w:val="0"/>
      <w:marRight w:val="0"/>
      <w:marTop w:val="0"/>
      <w:marBottom w:val="0"/>
      <w:divBdr>
        <w:top w:val="none" w:sz="0" w:space="0" w:color="auto"/>
        <w:left w:val="none" w:sz="0" w:space="0" w:color="auto"/>
        <w:bottom w:val="none" w:sz="0" w:space="0" w:color="auto"/>
        <w:right w:val="none" w:sz="0" w:space="0" w:color="auto"/>
      </w:divBdr>
    </w:div>
    <w:div w:id="209789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jsa/Library/Group%20Containers/UBF8T346G9.Office/User%20Content.localized/Templates.localized/ICC-Brevmall2019_engelska.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ICC-Brevmall2019_engelska.dotx</Template>
  <TotalTime>306</TotalTime>
  <Pages>5</Pages>
  <Words>2188</Words>
  <Characters>11602</Characters>
  <Application>Microsoft Office Word</Application>
  <DocSecurity>0</DocSecurity>
  <Lines>96</Lines>
  <Paragraphs>27</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adress</vt:lpstr>
      <vt:lpstr>adress</vt:lpstr>
    </vt:vector>
  </TitlesOfParts>
  <Company>ICC Sweden</Company>
  <LinksUpToDate>false</LinksUpToDate>
  <CharactersWithSpaces>13763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dc:title>
  <dc:subject/>
  <dc:creator>Kajsa Persson-Berg</dc:creator>
  <cp:keywords/>
  <cp:lastModifiedBy>ICC Sweden</cp:lastModifiedBy>
  <cp:revision>21</cp:revision>
  <cp:lastPrinted>2019-03-27T13:33:00Z</cp:lastPrinted>
  <dcterms:created xsi:type="dcterms:W3CDTF">2021-06-30T13:18:00Z</dcterms:created>
  <dcterms:modified xsi:type="dcterms:W3CDTF">2021-07-01T13:17:00Z</dcterms:modified>
</cp:coreProperties>
</file>