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6CE49" w14:textId="3BAB3786" w:rsidR="00F8730C" w:rsidRPr="00B80B1E" w:rsidRDefault="00D02148" w:rsidP="00D02148">
      <w:pPr>
        <w:pStyle w:val="Heading1"/>
        <w:jc w:val="center"/>
        <w:rPr>
          <w:rFonts w:ascii="Arial" w:hAnsi="Arial" w:cs="Arial"/>
          <w:b/>
          <w:bCs/>
        </w:rPr>
      </w:pPr>
      <w:r w:rsidRPr="00B80B1E">
        <w:rPr>
          <w:rFonts w:ascii="Arial" w:hAnsi="Arial" w:cs="Arial"/>
          <w:b/>
          <w:bCs/>
        </w:rPr>
        <w:t xml:space="preserve">Global Business Priorities for </w:t>
      </w:r>
      <w:r w:rsidR="00F662DE" w:rsidRPr="00B80B1E">
        <w:rPr>
          <w:rFonts w:ascii="Arial" w:hAnsi="Arial" w:cs="Arial"/>
          <w:b/>
          <w:bCs/>
        </w:rPr>
        <w:t xml:space="preserve">the </w:t>
      </w:r>
      <w:r w:rsidR="00C70479" w:rsidRPr="00B80B1E">
        <w:rPr>
          <w:rFonts w:ascii="Arial" w:hAnsi="Arial" w:cs="Arial"/>
          <w:b/>
          <w:bCs/>
        </w:rPr>
        <w:t>WTO</w:t>
      </w:r>
    </w:p>
    <w:p w14:paraId="4E6A77B1" w14:textId="657E978B" w:rsidR="00D02148" w:rsidRPr="00B80B1E" w:rsidRDefault="00D02148" w:rsidP="00D02148">
      <w:pPr>
        <w:rPr>
          <w:rFonts w:ascii="Arial" w:hAnsi="Arial" w:cs="Arial"/>
        </w:rPr>
      </w:pPr>
    </w:p>
    <w:p w14:paraId="05D354DA" w14:textId="05B22CFE" w:rsidR="00347A34" w:rsidRPr="00B80B1E" w:rsidRDefault="00F13DDF" w:rsidP="00D02148">
      <w:pPr>
        <w:pStyle w:val="Heading2"/>
        <w:rPr>
          <w:rFonts w:ascii="Arial" w:hAnsi="Arial" w:cs="Arial"/>
        </w:rPr>
      </w:pPr>
      <w:r w:rsidRPr="00B80B1E">
        <w:rPr>
          <w:rFonts w:ascii="Arial" w:hAnsi="Arial" w:cs="Arial"/>
        </w:rPr>
        <w:t>Introduction</w:t>
      </w:r>
    </w:p>
    <w:p w14:paraId="72470A49" w14:textId="4E67F0E1" w:rsidR="00A914B7" w:rsidRPr="00B80B1E" w:rsidRDefault="00396BA4" w:rsidP="003879AB">
      <w:pPr>
        <w:jc w:val="both"/>
        <w:rPr>
          <w:rFonts w:ascii="Arial" w:hAnsi="Arial" w:cs="Arial"/>
        </w:rPr>
      </w:pPr>
      <w:r w:rsidRPr="00B80B1E">
        <w:rPr>
          <w:rFonts w:ascii="Arial" w:hAnsi="Arial" w:cs="Arial"/>
        </w:rPr>
        <w:t xml:space="preserve">The COVID-19 pandemic </w:t>
      </w:r>
      <w:r w:rsidR="00BF283B" w:rsidRPr="00B80B1E">
        <w:rPr>
          <w:rFonts w:ascii="Arial" w:hAnsi="Arial" w:cs="Arial"/>
        </w:rPr>
        <w:t xml:space="preserve">has </w:t>
      </w:r>
      <w:r w:rsidRPr="00B80B1E">
        <w:rPr>
          <w:rFonts w:ascii="Arial" w:hAnsi="Arial" w:cs="Arial"/>
        </w:rPr>
        <w:t>underscored the vital importance of the multilateral rules-based trading system.</w:t>
      </w:r>
      <w:r w:rsidR="005B6AA8" w:rsidRPr="00B80B1E">
        <w:rPr>
          <w:rFonts w:ascii="Arial" w:hAnsi="Arial" w:cs="Arial"/>
        </w:rPr>
        <w:t xml:space="preserve"> Facing a once-in-a-century stress test to the global </w:t>
      </w:r>
      <w:r w:rsidR="00F13DDF" w:rsidRPr="00B80B1E">
        <w:rPr>
          <w:rFonts w:ascii="Arial" w:hAnsi="Arial" w:cs="Arial"/>
        </w:rPr>
        <w:t xml:space="preserve">real </w:t>
      </w:r>
      <w:r w:rsidR="005B6AA8" w:rsidRPr="00B80B1E">
        <w:rPr>
          <w:rFonts w:ascii="Arial" w:hAnsi="Arial" w:cs="Arial"/>
        </w:rPr>
        <w:t xml:space="preserve">economy, </w:t>
      </w:r>
      <w:r w:rsidR="00A914B7" w:rsidRPr="00B80B1E">
        <w:rPr>
          <w:rFonts w:ascii="Arial" w:hAnsi="Arial" w:cs="Arial"/>
        </w:rPr>
        <w:t>over half the</w:t>
      </w:r>
      <w:r w:rsidR="00BC6254" w:rsidRPr="00B80B1E">
        <w:rPr>
          <w:rFonts w:ascii="Arial" w:hAnsi="Arial" w:cs="Arial"/>
        </w:rPr>
        <w:t xml:space="preserve"> </w:t>
      </w:r>
      <w:r w:rsidR="00A914B7" w:rsidRPr="00B80B1E">
        <w:rPr>
          <w:rFonts w:ascii="Arial" w:hAnsi="Arial" w:cs="Arial"/>
        </w:rPr>
        <w:t>members of the W</w:t>
      </w:r>
      <w:r w:rsidR="003879AB" w:rsidRPr="00B80B1E">
        <w:rPr>
          <w:rFonts w:ascii="Arial" w:hAnsi="Arial" w:cs="Arial"/>
        </w:rPr>
        <w:t xml:space="preserve">orld </w:t>
      </w:r>
      <w:r w:rsidR="00A914B7" w:rsidRPr="00B80B1E">
        <w:rPr>
          <w:rFonts w:ascii="Arial" w:hAnsi="Arial" w:cs="Arial"/>
        </w:rPr>
        <w:t>T</w:t>
      </w:r>
      <w:r w:rsidR="003879AB" w:rsidRPr="00B80B1E">
        <w:rPr>
          <w:rFonts w:ascii="Arial" w:hAnsi="Arial" w:cs="Arial"/>
        </w:rPr>
        <w:t xml:space="preserve">rade </w:t>
      </w:r>
      <w:r w:rsidR="00A914B7" w:rsidRPr="00B80B1E">
        <w:rPr>
          <w:rFonts w:ascii="Arial" w:hAnsi="Arial" w:cs="Arial"/>
        </w:rPr>
        <w:t>O</w:t>
      </w:r>
      <w:r w:rsidR="003879AB" w:rsidRPr="00B80B1E">
        <w:rPr>
          <w:rFonts w:ascii="Arial" w:hAnsi="Arial" w:cs="Arial"/>
        </w:rPr>
        <w:t>rganization (</w:t>
      </w:r>
      <w:r w:rsidR="003879AB" w:rsidRPr="00B80B1E">
        <w:rPr>
          <w:rFonts w:ascii="Arial" w:hAnsi="Arial" w:cs="Arial"/>
          <w:b/>
          <w:bCs/>
        </w:rPr>
        <w:t>WTO</w:t>
      </w:r>
      <w:r w:rsidR="003879AB" w:rsidRPr="00B80B1E">
        <w:rPr>
          <w:rFonts w:ascii="Arial" w:hAnsi="Arial" w:cs="Arial"/>
        </w:rPr>
        <w:t>)</w:t>
      </w:r>
      <w:r w:rsidR="00A914B7" w:rsidRPr="00B80B1E">
        <w:rPr>
          <w:rFonts w:ascii="Arial" w:hAnsi="Arial" w:cs="Arial"/>
        </w:rPr>
        <w:t xml:space="preserve"> took trade measures of either a restrictive o</w:t>
      </w:r>
      <w:r w:rsidR="00EB107A" w:rsidRPr="00B80B1E">
        <w:rPr>
          <w:rFonts w:ascii="Arial" w:hAnsi="Arial" w:cs="Arial"/>
        </w:rPr>
        <w:t>r</w:t>
      </w:r>
      <w:r w:rsidR="00A914B7" w:rsidRPr="00B80B1E">
        <w:rPr>
          <w:rFonts w:ascii="Arial" w:hAnsi="Arial" w:cs="Arial"/>
        </w:rPr>
        <w:t xml:space="preserve"> facilitative character</w:t>
      </w:r>
      <w:r w:rsidR="0007467E" w:rsidRPr="00B80B1E">
        <w:rPr>
          <w:rFonts w:ascii="Arial" w:hAnsi="Arial" w:cs="Arial"/>
        </w:rPr>
        <w:t xml:space="preserve">, often employing </w:t>
      </w:r>
      <w:r w:rsidR="001E6538" w:rsidRPr="00B80B1E">
        <w:rPr>
          <w:rFonts w:ascii="Arial" w:hAnsi="Arial" w:cs="Arial"/>
        </w:rPr>
        <w:t>flexibilities built into the WTO rulebook</w:t>
      </w:r>
      <w:r w:rsidR="00A914B7" w:rsidRPr="00B80B1E">
        <w:rPr>
          <w:rFonts w:ascii="Arial" w:hAnsi="Arial" w:cs="Arial"/>
        </w:rPr>
        <w:t>.</w:t>
      </w:r>
    </w:p>
    <w:p w14:paraId="1DEB3C61" w14:textId="32D61DC0" w:rsidR="00A914B7" w:rsidRPr="00B80B1E" w:rsidRDefault="00F13DDF" w:rsidP="003879AB">
      <w:pPr>
        <w:jc w:val="both"/>
        <w:rPr>
          <w:rFonts w:ascii="Arial" w:hAnsi="Arial" w:cs="Arial"/>
        </w:rPr>
      </w:pPr>
      <w:r w:rsidRPr="00B80B1E">
        <w:rPr>
          <w:rFonts w:ascii="Arial" w:hAnsi="Arial" w:cs="Arial"/>
        </w:rPr>
        <w:t>Some m</w:t>
      </w:r>
      <w:r w:rsidR="00A914B7" w:rsidRPr="00B80B1E">
        <w:rPr>
          <w:rFonts w:ascii="Arial" w:hAnsi="Arial" w:cs="Arial"/>
        </w:rPr>
        <w:t>embers also implemented liberalising measures, including expedited regulatory approvals, streamlined customs procedures and the temporary suspension of tariffs. In so doing, Members were able to strengthen supply chains and facilitate trade to mutual benefit.</w:t>
      </w:r>
    </w:p>
    <w:p w14:paraId="5B40272A" w14:textId="1F789F43" w:rsidR="001E6538" w:rsidRPr="00B80B1E" w:rsidRDefault="001E6538" w:rsidP="003879AB">
      <w:pPr>
        <w:jc w:val="both"/>
        <w:rPr>
          <w:rFonts w:ascii="Arial" w:hAnsi="Arial" w:cs="Arial"/>
        </w:rPr>
      </w:pPr>
      <w:r w:rsidRPr="00B80B1E">
        <w:rPr>
          <w:rFonts w:ascii="Arial" w:hAnsi="Arial" w:cs="Arial"/>
        </w:rPr>
        <w:t>Members also engaged in unilateral measures that restricted trade in essential supplies, with a beggar-thy-neighbour approach marking the first several months of the pandemic. Some of these restrictive measures remain in effect, and several fall short of the principle of “targeted, proportionate, transparent, temporary and consistent with WTO rules”.</w:t>
      </w:r>
    </w:p>
    <w:p w14:paraId="1BBCD619" w14:textId="706BFC41" w:rsidR="00F13DDF" w:rsidRPr="00B80B1E" w:rsidRDefault="00F13DDF" w:rsidP="00F13DDF">
      <w:pPr>
        <w:jc w:val="both"/>
        <w:rPr>
          <w:rFonts w:ascii="Arial" w:hAnsi="Arial" w:cs="Arial"/>
        </w:rPr>
      </w:pPr>
      <w:r w:rsidRPr="00B80B1E">
        <w:rPr>
          <w:rFonts w:ascii="Arial" w:hAnsi="Arial" w:cs="Arial"/>
        </w:rPr>
        <w:t>The multilateral trading system emerging from the pandemic is strained but has not buckled. All three of the WTO’s functions are under pressure and require unambiguous reform: serving as a forum for trade negotiations, administering global trade rules, and providing mechanisms to settle trade disputes.</w:t>
      </w:r>
    </w:p>
    <w:p w14:paraId="09201410" w14:textId="5AD94DB3" w:rsidR="003879AB" w:rsidRPr="00B80B1E" w:rsidRDefault="00F13DDF" w:rsidP="003879AB">
      <w:pPr>
        <w:jc w:val="both"/>
        <w:rPr>
          <w:rFonts w:ascii="Arial" w:hAnsi="Arial" w:cs="Arial"/>
        </w:rPr>
      </w:pPr>
      <w:r w:rsidRPr="00B80B1E">
        <w:rPr>
          <w:rFonts w:ascii="Arial" w:hAnsi="Arial" w:cs="Arial"/>
        </w:rPr>
        <w:t xml:space="preserve">In considering the reforms necessary to the multilateral rules-based trading system, </w:t>
      </w:r>
      <w:r w:rsidR="00BC6254" w:rsidRPr="00B80B1E">
        <w:rPr>
          <w:rFonts w:ascii="Arial" w:hAnsi="Arial" w:cs="Arial"/>
        </w:rPr>
        <w:t xml:space="preserve">we are </w:t>
      </w:r>
      <w:r w:rsidRPr="00B80B1E">
        <w:rPr>
          <w:rFonts w:ascii="Arial" w:hAnsi="Arial" w:cs="Arial"/>
        </w:rPr>
        <w:t xml:space="preserve">guided by three </w:t>
      </w:r>
      <w:r w:rsidR="00BF283B" w:rsidRPr="00B80B1E">
        <w:rPr>
          <w:rFonts w:ascii="Arial" w:hAnsi="Arial" w:cs="Arial"/>
        </w:rPr>
        <w:t>principles</w:t>
      </w:r>
      <w:r w:rsidRPr="00B80B1E">
        <w:rPr>
          <w:rFonts w:ascii="Arial" w:hAnsi="Arial" w:cs="Arial"/>
        </w:rPr>
        <w:t>:</w:t>
      </w:r>
    </w:p>
    <w:p w14:paraId="56205F74" w14:textId="2C3EAE05" w:rsidR="003879AB" w:rsidRPr="00B80B1E" w:rsidRDefault="00F13DDF" w:rsidP="003879AB">
      <w:pPr>
        <w:pStyle w:val="ListParagraph"/>
        <w:numPr>
          <w:ilvl w:val="0"/>
          <w:numId w:val="3"/>
        </w:numPr>
        <w:jc w:val="both"/>
        <w:rPr>
          <w:rFonts w:ascii="Arial" w:hAnsi="Arial" w:cs="Arial"/>
        </w:rPr>
      </w:pPr>
      <w:r w:rsidRPr="00B80B1E">
        <w:rPr>
          <w:rFonts w:ascii="Arial" w:hAnsi="Arial" w:cs="Arial"/>
        </w:rPr>
        <w:t>We r</w:t>
      </w:r>
      <w:r w:rsidR="003879AB" w:rsidRPr="00B80B1E">
        <w:rPr>
          <w:rFonts w:ascii="Arial" w:hAnsi="Arial" w:cs="Arial"/>
        </w:rPr>
        <w:t xml:space="preserve">eaffirm </w:t>
      </w:r>
      <w:r w:rsidRPr="00B80B1E">
        <w:rPr>
          <w:rFonts w:ascii="Arial" w:hAnsi="Arial" w:cs="Arial"/>
        </w:rPr>
        <w:t xml:space="preserve">the </w:t>
      </w:r>
      <w:r w:rsidR="00BF283B" w:rsidRPr="00B80B1E">
        <w:rPr>
          <w:rFonts w:ascii="Arial" w:hAnsi="Arial" w:cs="Arial"/>
        </w:rPr>
        <w:t xml:space="preserve">critical </w:t>
      </w:r>
      <w:r w:rsidR="003879AB" w:rsidRPr="00B80B1E">
        <w:rPr>
          <w:rFonts w:ascii="Arial" w:hAnsi="Arial" w:cs="Arial"/>
        </w:rPr>
        <w:t xml:space="preserve">importance of </w:t>
      </w:r>
      <w:r w:rsidRPr="00B80B1E">
        <w:rPr>
          <w:rFonts w:ascii="Arial" w:hAnsi="Arial" w:cs="Arial"/>
        </w:rPr>
        <w:t xml:space="preserve">the </w:t>
      </w:r>
      <w:r w:rsidR="003879AB" w:rsidRPr="00B80B1E">
        <w:rPr>
          <w:rFonts w:ascii="Arial" w:hAnsi="Arial" w:cs="Arial"/>
        </w:rPr>
        <w:t xml:space="preserve">WTO </w:t>
      </w:r>
      <w:r w:rsidR="001E6538" w:rsidRPr="00B80B1E">
        <w:rPr>
          <w:rFonts w:ascii="Arial" w:hAnsi="Arial" w:cs="Arial"/>
        </w:rPr>
        <w:t>to both</w:t>
      </w:r>
      <w:r w:rsidR="00BC6254" w:rsidRPr="00B80B1E">
        <w:rPr>
          <w:rFonts w:ascii="Arial" w:hAnsi="Arial" w:cs="Arial"/>
        </w:rPr>
        <w:t xml:space="preserve"> the multilateral rules-based trading system and </w:t>
      </w:r>
      <w:r w:rsidR="00BF283B" w:rsidRPr="00B80B1E">
        <w:rPr>
          <w:rFonts w:ascii="Arial" w:hAnsi="Arial" w:cs="Arial"/>
        </w:rPr>
        <w:t>businesses as end-users of the trading system</w:t>
      </w:r>
      <w:r w:rsidR="003879AB" w:rsidRPr="00B80B1E">
        <w:rPr>
          <w:rFonts w:ascii="Arial" w:hAnsi="Arial" w:cs="Arial"/>
        </w:rPr>
        <w:t>.</w:t>
      </w:r>
    </w:p>
    <w:p w14:paraId="70A30CC6" w14:textId="77777777" w:rsidR="001E6538" w:rsidRPr="00B80B1E" w:rsidRDefault="001E6538" w:rsidP="001E6538">
      <w:pPr>
        <w:pStyle w:val="ListParagraph"/>
        <w:ind w:left="360"/>
        <w:jc w:val="both"/>
        <w:rPr>
          <w:rFonts w:ascii="Arial" w:hAnsi="Arial" w:cs="Arial"/>
        </w:rPr>
      </w:pPr>
    </w:p>
    <w:p w14:paraId="153BAB94" w14:textId="7B7457A0" w:rsidR="001E6538" w:rsidRPr="00B80B1E" w:rsidRDefault="001E6538" w:rsidP="001E6538">
      <w:pPr>
        <w:pStyle w:val="ListParagraph"/>
        <w:numPr>
          <w:ilvl w:val="0"/>
          <w:numId w:val="3"/>
        </w:numPr>
        <w:jc w:val="both"/>
        <w:rPr>
          <w:rFonts w:ascii="Arial" w:hAnsi="Arial" w:cs="Arial"/>
        </w:rPr>
      </w:pPr>
      <w:r w:rsidRPr="00B80B1E">
        <w:rPr>
          <w:rFonts w:ascii="Arial" w:hAnsi="Arial" w:cs="Arial"/>
        </w:rPr>
        <w:t xml:space="preserve">We </w:t>
      </w:r>
      <w:r w:rsidR="00BF283B" w:rsidRPr="00B80B1E">
        <w:rPr>
          <w:rFonts w:ascii="Arial" w:hAnsi="Arial" w:cs="Arial"/>
        </w:rPr>
        <w:t>believe</w:t>
      </w:r>
      <w:r w:rsidRPr="00B80B1E">
        <w:rPr>
          <w:rFonts w:ascii="Arial" w:hAnsi="Arial" w:cs="Arial"/>
        </w:rPr>
        <w:t xml:space="preserve"> that plurilateral groupings are </w:t>
      </w:r>
      <w:r w:rsidR="00BF283B" w:rsidRPr="00B80B1E">
        <w:rPr>
          <w:rFonts w:ascii="Arial" w:hAnsi="Arial" w:cs="Arial"/>
        </w:rPr>
        <w:t xml:space="preserve">legitimate and </w:t>
      </w:r>
      <w:r w:rsidRPr="00B80B1E">
        <w:rPr>
          <w:rFonts w:ascii="Arial" w:hAnsi="Arial" w:cs="Arial"/>
        </w:rPr>
        <w:t>valuable mechanisms to advance necessary rulemaking efforts and</w:t>
      </w:r>
      <w:r w:rsidR="00BF283B" w:rsidRPr="00B80B1E">
        <w:rPr>
          <w:rFonts w:ascii="Arial" w:hAnsi="Arial" w:cs="Arial"/>
        </w:rPr>
        <w:t xml:space="preserve"> therefore</w:t>
      </w:r>
      <w:r w:rsidRPr="00B80B1E">
        <w:rPr>
          <w:rFonts w:ascii="Arial" w:hAnsi="Arial" w:cs="Arial"/>
        </w:rPr>
        <w:t xml:space="preserve"> support the Joint Statement Initiatives (</w:t>
      </w:r>
      <w:r w:rsidRPr="00B80B1E">
        <w:rPr>
          <w:rFonts w:ascii="Arial" w:hAnsi="Arial" w:cs="Arial"/>
          <w:b/>
          <w:bCs/>
        </w:rPr>
        <w:t>JSIs</w:t>
      </w:r>
      <w:r w:rsidRPr="00B80B1E">
        <w:rPr>
          <w:rFonts w:ascii="Arial" w:hAnsi="Arial" w:cs="Arial"/>
        </w:rPr>
        <w:t xml:space="preserve">). </w:t>
      </w:r>
    </w:p>
    <w:p w14:paraId="2302F379" w14:textId="77777777" w:rsidR="001E6538" w:rsidRPr="00B80B1E" w:rsidRDefault="001E6538" w:rsidP="001E6538">
      <w:pPr>
        <w:pStyle w:val="ListParagraph"/>
        <w:rPr>
          <w:rFonts w:ascii="Arial" w:hAnsi="Arial" w:cs="Arial"/>
        </w:rPr>
      </w:pPr>
    </w:p>
    <w:p w14:paraId="139AD4CC" w14:textId="39422C5B" w:rsidR="001E6538" w:rsidRPr="00B80B1E" w:rsidRDefault="001E6538" w:rsidP="001E6538">
      <w:pPr>
        <w:pStyle w:val="ListParagraph"/>
        <w:numPr>
          <w:ilvl w:val="0"/>
          <w:numId w:val="3"/>
        </w:numPr>
        <w:jc w:val="both"/>
        <w:rPr>
          <w:rFonts w:ascii="Arial" w:hAnsi="Arial" w:cs="Arial"/>
        </w:rPr>
      </w:pPr>
      <w:r w:rsidRPr="00B80B1E">
        <w:rPr>
          <w:rFonts w:ascii="Arial" w:hAnsi="Arial" w:cs="Arial"/>
        </w:rPr>
        <w:t xml:space="preserve">We welcome </w:t>
      </w:r>
      <w:r w:rsidR="00296FF7" w:rsidRPr="00B80B1E">
        <w:rPr>
          <w:rFonts w:ascii="Arial" w:hAnsi="Arial" w:cs="Arial"/>
        </w:rPr>
        <w:t>greater efforts to make</w:t>
      </w:r>
      <w:r w:rsidR="00BF283B" w:rsidRPr="00B80B1E">
        <w:rPr>
          <w:rFonts w:ascii="Arial" w:hAnsi="Arial" w:cs="Arial"/>
        </w:rPr>
        <w:t xml:space="preserve"> trade </w:t>
      </w:r>
      <w:r w:rsidR="00296FF7" w:rsidRPr="00B80B1E">
        <w:rPr>
          <w:rFonts w:ascii="Arial" w:hAnsi="Arial" w:cs="Arial"/>
        </w:rPr>
        <w:t>work to achieve</w:t>
      </w:r>
      <w:r w:rsidR="00BF283B" w:rsidRPr="00B80B1E">
        <w:rPr>
          <w:rFonts w:ascii="Arial" w:hAnsi="Arial" w:cs="Arial"/>
        </w:rPr>
        <w:t xml:space="preserve"> global policy priorities, including environmental sustainability, development</w:t>
      </w:r>
      <w:r w:rsidR="00296FF7" w:rsidRPr="00B80B1E">
        <w:rPr>
          <w:rFonts w:ascii="Arial" w:hAnsi="Arial" w:cs="Arial"/>
        </w:rPr>
        <w:t xml:space="preserve">, </w:t>
      </w:r>
      <w:r w:rsidR="00BF283B" w:rsidRPr="00B80B1E">
        <w:rPr>
          <w:rFonts w:ascii="Arial" w:hAnsi="Arial" w:cs="Arial"/>
        </w:rPr>
        <w:t>gender equality</w:t>
      </w:r>
      <w:r w:rsidR="00296FF7" w:rsidRPr="00B80B1E">
        <w:rPr>
          <w:rFonts w:ascii="Arial" w:hAnsi="Arial" w:cs="Arial"/>
        </w:rPr>
        <w:t xml:space="preserve"> and climate change</w:t>
      </w:r>
      <w:r w:rsidRPr="00B80B1E">
        <w:rPr>
          <w:rFonts w:ascii="Arial" w:hAnsi="Arial" w:cs="Arial"/>
        </w:rPr>
        <w:t>.</w:t>
      </w:r>
    </w:p>
    <w:p w14:paraId="6978DCEE" w14:textId="07547E6B" w:rsidR="00EC48AE" w:rsidRDefault="005B6AA8" w:rsidP="003879AB">
      <w:pPr>
        <w:jc w:val="both"/>
        <w:rPr>
          <w:rFonts w:ascii="Arial" w:hAnsi="Arial" w:cs="Arial"/>
        </w:rPr>
      </w:pPr>
      <w:r w:rsidRPr="00B80B1E">
        <w:rPr>
          <w:rFonts w:ascii="Arial" w:hAnsi="Arial" w:cs="Arial"/>
        </w:rPr>
        <w:t>This paper sets out global business priorities for the 164 members of the WTO and its Secretariat. Arranged in three parts, part</w:t>
      </w:r>
      <w:r w:rsidR="001F0F64" w:rsidRPr="00B80B1E">
        <w:rPr>
          <w:rFonts w:ascii="Arial" w:hAnsi="Arial" w:cs="Arial"/>
        </w:rPr>
        <w:t xml:space="preserve"> one</w:t>
      </w:r>
      <w:r w:rsidRPr="00B80B1E">
        <w:rPr>
          <w:rFonts w:ascii="Arial" w:hAnsi="Arial" w:cs="Arial"/>
        </w:rPr>
        <w:t xml:space="preserve"> considers what the WTO and its Members can do now in the run up to the 12</w:t>
      </w:r>
      <w:r w:rsidRPr="00B80B1E">
        <w:rPr>
          <w:rFonts w:ascii="Arial" w:hAnsi="Arial" w:cs="Arial"/>
          <w:vertAlign w:val="superscript"/>
        </w:rPr>
        <w:t>th</w:t>
      </w:r>
      <w:r w:rsidRPr="00B80B1E">
        <w:rPr>
          <w:rFonts w:ascii="Arial" w:hAnsi="Arial" w:cs="Arial"/>
        </w:rPr>
        <w:t xml:space="preserve"> Ministerial Conference (</w:t>
      </w:r>
      <w:r w:rsidRPr="00B80B1E">
        <w:rPr>
          <w:rFonts w:ascii="Arial" w:hAnsi="Arial" w:cs="Arial"/>
          <w:b/>
          <w:bCs/>
        </w:rPr>
        <w:t>MC12</w:t>
      </w:r>
      <w:r w:rsidRPr="00B80B1E">
        <w:rPr>
          <w:rFonts w:ascii="Arial" w:hAnsi="Arial" w:cs="Arial"/>
        </w:rPr>
        <w:t xml:space="preserve">); </w:t>
      </w:r>
      <w:r w:rsidR="001F0F64" w:rsidRPr="00B80B1E">
        <w:rPr>
          <w:rFonts w:ascii="Arial" w:hAnsi="Arial" w:cs="Arial"/>
        </w:rPr>
        <w:t xml:space="preserve">part two </w:t>
      </w:r>
      <w:r w:rsidRPr="00B80B1E">
        <w:rPr>
          <w:rFonts w:ascii="Arial" w:hAnsi="Arial" w:cs="Arial"/>
        </w:rPr>
        <w:t xml:space="preserve">considers the key negotiation breakthroughs and decisions global business is seeking at MC12; and </w:t>
      </w:r>
      <w:r w:rsidR="001F0F64" w:rsidRPr="00B80B1E">
        <w:rPr>
          <w:rFonts w:ascii="Arial" w:hAnsi="Arial" w:cs="Arial"/>
        </w:rPr>
        <w:t xml:space="preserve">part three </w:t>
      </w:r>
      <w:r w:rsidRPr="00B80B1E">
        <w:rPr>
          <w:rFonts w:ascii="Arial" w:hAnsi="Arial" w:cs="Arial"/>
        </w:rPr>
        <w:t>considers a trade agenda for the futur</w:t>
      </w:r>
      <w:r w:rsidR="00C92169" w:rsidRPr="00B80B1E">
        <w:rPr>
          <w:rFonts w:ascii="Arial" w:hAnsi="Arial" w:cs="Arial"/>
        </w:rPr>
        <w:t>e, including medium-term reforms to the WTO</w:t>
      </w:r>
      <w:r w:rsidRPr="00B80B1E">
        <w:rPr>
          <w:rFonts w:ascii="Arial" w:hAnsi="Arial" w:cs="Arial"/>
        </w:rPr>
        <w:t>.</w:t>
      </w:r>
    </w:p>
    <w:p w14:paraId="4F829228" w14:textId="77777777" w:rsidR="00B80B1E" w:rsidRPr="00B80B1E" w:rsidRDefault="00B80B1E" w:rsidP="00B80B1E">
      <w:pPr>
        <w:spacing w:after="0"/>
        <w:jc w:val="both"/>
        <w:rPr>
          <w:rFonts w:ascii="Arial" w:hAnsi="Arial" w:cs="Arial"/>
        </w:rPr>
      </w:pPr>
    </w:p>
    <w:p w14:paraId="44888BF5" w14:textId="3F79CF90" w:rsidR="00D02148" w:rsidRPr="00B80B1E" w:rsidRDefault="00D02148" w:rsidP="00D02148">
      <w:pPr>
        <w:pStyle w:val="Heading2"/>
        <w:rPr>
          <w:rFonts w:ascii="Arial" w:hAnsi="Arial" w:cs="Arial"/>
        </w:rPr>
      </w:pPr>
      <w:r w:rsidRPr="00B80B1E">
        <w:rPr>
          <w:rFonts w:ascii="Arial" w:hAnsi="Arial" w:cs="Arial"/>
        </w:rPr>
        <w:t xml:space="preserve">I. </w:t>
      </w:r>
      <w:r w:rsidR="00C70479" w:rsidRPr="00B80B1E">
        <w:rPr>
          <w:rFonts w:ascii="Arial" w:hAnsi="Arial" w:cs="Arial"/>
        </w:rPr>
        <w:t>What the WTO</w:t>
      </w:r>
      <w:r w:rsidR="00831DFD" w:rsidRPr="00B80B1E">
        <w:rPr>
          <w:rFonts w:ascii="Arial" w:hAnsi="Arial" w:cs="Arial"/>
        </w:rPr>
        <w:t xml:space="preserve"> </w:t>
      </w:r>
      <w:r w:rsidR="00C70479" w:rsidRPr="00B80B1E">
        <w:rPr>
          <w:rFonts w:ascii="Arial" w:hAnsi="Arial" w:cs="Arial"/>
        </w:rPr>
        <w:t>can do now</w:t>
      </w:r>
    </w:p>
    <w:p w14:paraId="39553D8B" w14:textId="3D7FD7E0" w:rsidR="005B6AA8" w:rsidRPr="00B80B1E" w:rsidRDefault="005B6AA8" w:rsidP="000E4F75">
      <w:pPr>
        <w:jc w:val="both"/>
        <w:rPr>
          <w:rFonts w:ascii="Arial" w:hAnsi="Arial" w:cs="Arial"/>
        </w:rPr>
      </w:pPr>
      <w:r w:rsidRPr="00B80B1E">
        <w:rPr>
          <w:rFonts w:ascii="Arial" w:hAnsi="Arial" w:cs="Arial"/>
        </w:rPr>
        <w:t>In the lead up to MC12 there is much to be done and no time to waste. Global business calls for a step change in activity on the part of WTO Members to achieve meaningful progress in the following areas:</w:t>
      </w:r>
    </w:p>
    <w:p w14:paraId="6C898B88" w14:textId="5DAAADB7" w:rsidR="00C4695A" w:rsidRPr="00B80B1E" w:rsidRDefault="00C4695A" w:rsidP="007223A5">
      <w:pPr>
        <w:pStyle w:val="ListParagraph"/>
        <w:numPr>
          <w:ilvl w:val="0"/>
          <w:numId w:val="3"/>
        </w:numPr>
        <w:jc w:val="both"/>
        <w:rPr>
          <w:rFonts w:ascii="Arial" w:hAnsi="Arial" w:cs="Arial"/>
        </w:rPr>
      </w:pPr>
      <w:r w:rsidRPr="00B80B1E">
        <w:rPr>
          <w:rFonts w:ascii="Arial" w:hAnsi="Arial" w:cs="Arial"/>
          <w:b/>
          <w:bCs/>
        </w:rPr>
        <w:t>Ensure trade policies facilitate vaccine manufacturing</w:t>
      </w:r>
      <w:r w:rsidR="001C6247" w:rsidRPr="00B80B1E">
        <w:rPr>
          <w:rFonts w:ascii="Arial" w:hAnsi="Arial" w:cs="Arial"/>
          <w:b/>
          <w:bCs/>
        </w:rPr>
        <w:t xml:space="preserve"> and distribution</w:t>
      </w:r>
      <w:r w:rsidRPr="00B80B1E">
        <w:rPr>
          <w:rFonts w:ascii="Arial" w:hAnsi="Arial" w:cs="Arial"/>
          <w:b/>
          <w:bCs/>
        </w:rPr>
        <w:t>.</w:t>
      </w:r>
      <w:r w:rsidRPr="00B80B1E">
        <w:rPr>
          <w:rFonts w:ascii="Arial" w:hAnsi="Arial" w:cs="Arial"/>
        </w:rPr>
        <w:t xml:space="preserve"> We welcome the launch by the COVAX co-leads of the COVAX Manufacturing Task Force in May. The WTO Secretariat should work to identify and encourage the elimination of trade practices that inhibit the scaling of vaccine production capacity. </w:t>
      </w:r>
      <w:r w:rsidR="00871195" w:rsidRPr="00B80B1E">
        <w:rPr>
          <w:rFonts w:ascii="Arial" w:hAnsi="Arial" w:cs="Arial"/>
        </w:rPr>
        <w:t xml:space="preserve">WTO Members should </w:t>
      </w:r>
      <w:r w:rsidR="007223A5" w:rsidRPr="00B80B1E">
        <w:rPr>
          <w:rFonts w:ascii="Arial" w:hAnsi="Arial" w:cs="Arial"/>
        </w:rPr>
        <w:t xml:space="preserve">not take any measures that limit trade in inputs necessary for vaccines and therapeutics production or supplies to COVAX. Members with any such measures in force should </w:t>
      </w:r>
      <w:r w:rsidR="00871195" w:rsidRPr="00B80B1E">
        <w:rPr>
          <w:rFonts w:ascii="Arial" w:hAnsi="Arial" w:cs="Arial"/>
        </w:rPr>
        <w:t xml:space="preserve">unilaterally remove </w:t>
      </w:r>
      <w:r w:rsidR="007223A5" w:rsidRPr="00B80B1E">
        <w:rPr>
          <w:rFonts w:ascii="Arial" w:hAnsi="Arial" w:cs="Arial"/>
        </w:rPr>
        <w:lastRenderedPageBreak/>
        <w:t>them as a matter of urgency</w:t>
      </w:r>
      <w:r w:rsidR="00871195" w:rsidRPr="00B80B1E">
        <w:rPr>
          <w:rFonts w:ascii="Arial" w:hAnsi="Arial" w:cs="Arial"/>
        </w:rPr>
        <w:t>.</w:t>
      </w:r>
      <w:r w:rsidR="001C6247" w:rsidRPr="00B80B1E">
        <w:rPr>
          <w:rFonts w:ascii="Arial" w:hAnsi="Arial" w:cs="Arial"/>
        </w:rPr>
        <w:t xml:space="preserve"> </w:t>
      </w:r>
      <w:r w:rsidR="007223A5" w:rsidRPr="00B80B1E">
        <w:rPr>
          <w:rFonts w:ascii="Arial" w:hAnsi="Arial" w:cs="Arial"/>
        </w:rPr>
        <w:t>And vaccine and therapeutics producing countries should commit to avoid disruptions in global supply chains, including a cast-iron commitment to avoid export restrictions.</w:t>
      </w:r>
    </w:p>
    <w:p w14:paraId="5A975B86" w14:textId="6CE38E0E" w:rsidR="00C4695A" w:rsidRPr="00B80B1E" w:rsidRDefault="00C4695A" w:rsidP="00C4695A">
      <w:pPr>
        <w:pStyle w:val="ListParagraph"/>
        <w:ind w:left="360"/>
        <w:jc w:val="both"/>
        <w:rPr>
          <w:rFonts w:ascii="Arial" w:hAnsi="Arial" w:cs="Arial"/>
        </w:rPr>
      </w:pPr>
    </w:p>
    <w:p w14:paraId="46066B3F" w14:textId="7CAEBC9A" w:rsidR="0092786B" w:rsidRPr="00B80B1E" w:rsidRDefault="0092786B" w:rsidP="0092786B">
      <w:pPr>
        <w:pStyle w:val="ListParagraph"/>
        <w:numPr>
          <w:ilvl w:val="0"/>
          <w:numId w:val="3"/>
        </w:numPr>
        <w:jc w:val="both"/>
        <w:rPr>
          <w:rFonts w:ascii="Arial" w:hAnsi="Arial" w:cs="Arial"/>
          <w:b/>
          <w:bCs/>
        </w:rPr>
      </w:pPr>
      <w:r w:rsidRPr="00B80B1E">
        <w:rPr>
          <w:rFonts w:ascii="Arial" w:hAnsi="Arial" w:cs="Arial"/>
          <w:b/>
          <w:bCs/>
        </w:rPr>
        <w:t xml:space="preserve">Creation of a transparency mechanism on vaccine supply chains. </w:t>
      </w:r>
      <w:r w:rsidRPr="00B80B1E">
        <w:rPr>
          <w:rFonts w:ascii="Arial" w:hAnsi="Arial" w:cs="Arial"/>
        </w:rPr>
        <w:t>Discussions around vaccine manufacturing capacity have been stymied by a lack of transparency and knowledge regarding the supply chains of vital vaccine inputs. We call on WTO Members to task the Secretariat with the creation of a more sophisticated transparency mechanism empowered to collect data, in conjunction with IMF, WBG and OECD.</w:t>
      </w:r>
      <w:r w:rsidR="007223A5" w:rsidRPr="00B80B1E">
        <w:rPr>
          <w:rFonts w:ascii="Arial" w:hAnsi="Arial" w:cs="Arial"/>
        </w:rPr>
        <w:t xml:space="preserve"> Members should notify immediately the Secretariat of all domestic measures, including provisions in vaccine procurement contacts, that may have a restrictive effect on exports, even if exports are not explicitly targeted. And the Secretariat should publish regular reports identifying actions taken – and not taken – by governments to ensure the free flow of goods and services essential to the fight against Covid-19.</w:t>
      </w:r>
    </w:p>
    <w:p w14:paraId="40C6ADF3" w14:textId="77777777" w:rsidR="0092786B" w:rsidRPr="00B80B1E" w:rsidRDefault="0092786B" w:rsidP="0092786B">
      <w:pPr>
        <w:pStyle w:val="ListParagraph"/>
        <w:rPr>
          <w:rFonts w:ascii="Arial" w:hAnsi="Arial" w:cs="Arial"/>
          <w:b/>
          <w:bCs/>
        </w:rPr>
      </w:pPr>
    </w:p>
    <w:p w14:paraId="6F073020" w14:textId="7B460D95" w:rsidR="0092786B" w:rsidRPr="00B80B1E" w:rsidRDefault="0092786B" w:rsidP="000E4F75">
      <w:pPr>
        <w:pStyle w:val="ListParagraph"/>
        <w:numPr>
          <w:ilvl w:val="0"/>
          <w:numId w:val="3"/>
        </w:numPr>
        <w:jc w:val="both"/>
        <w:rPr>
          <w:rFonts w:ascii="Arial" w:hAnsi="Arial" w:cs="Arial"/>
          <w:b/>
          <w:bCs/>
        </w:rPr>
      </w:pPr>
      <w:r w:rsidRPr="00B80B1E">
        <w:rPr>
          <w:rFonts w:ascii="Arial" w:hAnsi="Arial" w:cs="Arial"/>
          <w:b/>
          <w:bCs/>
        </w:rPr>
        <w:t xml:space="preserve">Develop a framework for massive investment in vaccines. </w:t>
      </w:r>
      <w:r w:rsidR="000E4F75" w:rsidRPr="00B80B1E">
        <w:rPr>
          <w:rFonts w:ascii="Arial" w:hAnsi="Arial" w:cs="Arial"/>
        </w:rPr>
        <w:t xml:space="preserve">There is an urgent need for massive coordinated investments across the vaccine supply chain to reverse the trend towards a ‘two-track pandemic’ and ensure equitable distribution of vaccines. </w:t>
      </w:r>
      <w:r w:rsidRPr="00B80B1E">
        <w:rPr>
          <w:rFonts w:ascii="Arial" w:hAnsi="Arial" w:cs="Arial"/>
        </w:rPr>
        <w:t xml:space="preserve">We call on </w:t>
      </w:r>
      <w:r w:rsidR="001125BA" w:rsidRPr="00B80B1E">
        <w:rPr>
          <w:rFonts w:ascii="Arial" w:hAnsi="Arial" w:cs="Arial"/>
        </w:rPr>
        <w:t>Members</w:t>
      </w:r>
      <w:r w:rsidR="000E4F75" w:rsidRPr="00B80B1E">
        <w:rPr>
          <w:rFonts w:ascii="Arial" w:hAnsi="Arial" w:cs="Arial"/>
        </w:rPr>
        <w:t xml:space="preserve">, </w:t>
      </w:r>
      <w:r w:rsidR="001125BA" w:rsidRPr="00B80B1E">
        <w:rPr>
          <w:rFonts w:ascii="Arial" w:hAnsi="Arial" w:cs="Arial"/>
        </w:rPr>
        <w:t xml:space="preserve">in collaboration </w:t>
      </w:r>
      <w:r w:rsidR="000E4F75" w:rsidRPr="00B80B1E">
        <w:rPr>
          <w:rFonts w:ascii="Arial" w:hAnsi="Arial" w:cs="Arial"/>
        </w:rPr>
        <w:t xml:space="preserve">with </w:t>
      </w:r>
      <w:r w:rsidRPr="00B80B1E">
        <w:rPr>
          <w:rFonts w:ascii="Arial" w:hAnsi="Arial" w:cs="Arial"/>
        </w:rPr>
        <w:t>multilateral lending institutions</w:t>
      </w:r>
      <w:r w:rsidR="000E4F75" w:rsidRPr="00B80B1E">
        <w:rPr>
          <w:rFonts w:ascii="Arial" w:hAnsi="Arial" w:cs="Arial"/>
        </w:rPr>
        <w:t>,</w:t>
      </w:r>
      <w:r w:rsidRPr="00B80B1E">
        <w:rPr>
          <w:rFonts w:ascii="Arial" w:hAnsi="Arial" w:cs="Arial"/>
        </w:rPr>
        <w:t xml:space="preserve"> to develop </w:t>
      </w:r>
      <w:r w:rsidR="000E4F75" w:rsidRPr="00B80B1E">
        <w:rPr>
          <w:rFonts w:ascii="Arial" w:hAnsi="Arial" w:cs="Arial"/>
        </w:rPr>
        <w:t xml:space="preserve">such </w:t>
      </w:r>
      <w:r w:rsidRPr="00B80B1E">
        <w:rPr>
          <w:rFonts w:ascii="Arial" w:hAnsi="Arial" w:cs="Arial"/>
        </w:rPr>
        <w:t xml:space="preserve">a framework </w:t>
      </w:r>
      <w:r w:rsidR="000E4F75" w:rsidRPr="00B80B1E">
        <w:rPr>
          <w:rFonts w:ascii="Arial" w:hAnsi="Arial" w:cs="Arial"/>
        </w:rPr>
        <w:t xml:space="preserve">to finance </w:t>
      </w:r>
      <w:r w:rsidRPr="00B80B1E">
        <w:rPr>
          <w:rFonts w:ascii="Arial" w:hAnsi="Arial" w:cs="Arial"/>
        </w:rPr>
        <w:t>investments across the vaccine supply chain, including through the use of targeted subsidies.</w:t>
      </w:r>
      <w:r w:rsidR="009D0E66" w:rsidRPr="00B80B1E">
        <w:rPr>
          <w:rFonts w:ascii="Arial" w:hAnsi="Arial" w:cs="Arial"/>
        </w:rPr>
        <w:t xml:space="preserve"> </w:t>
      </w:r>
    </w:p>
    <w:p w14:paraId="6A184973" w14:textId="77777777" w:rsidR="0092786B" w:rsidRPr="00B80B1E" w:rsidRDefault="0092786B" w:rsidP="0092786B">
      <w:pPr>
        <w:pStyle w:val="ListParagraph"/>
        <w:ind w:left="360"/>
        <w:jc w:val="both"/>
        <w:rPr>
          <w:rFonts w:ascii="Arial" w:hAnsi="Arial" w:cs="Arial"/>
          <w:b/>
          <w:bCs/>
        </w:rPr>
      </w:pPr>
    </w:p>
    <w:p w14:paraId="590254DA" w14:textId="5A300E18" w:rsidR="00682E29" w:rsidRPr="00B80B1E" w:rsidRDefault="005F5C8F" w:rsidP="0092786B">
      <w:pPr>
        <w:pStyle w:val="ListParagraph"/>
        <w:numPr>
          <w:ilvl w:val="0"/>
          <w:numId w:val="3"/>
        </w:numPr>
        <w:jc w:val="both"/>
        <w:rPr>
          <w:rFonts w:ascii="Arial" w:hAnsi="Arial" w:cs="Arial"/>
          <w:b/>
          <w:bCs/>
        </w:rPr>
      </w:pPr>
      <w:r w:rsidRPr="00B80B1E">
        <w:rPr>
          <w:rFonts w:ascii="Arial" w:hAnsi="Arial" w:cs="Arial"/>
          <w:b/>
          <w:bCs/>
        </w:rPr>
        <w:t xml:space="preserve">[ </w:t>
      </w:r>
      <w:r w:rsidR="0092786B" w:rsidRPr="00B80B1E">
        <w:rPr>
          <w:rFonts w:ascii="Arial" w:hAnsi="Arial" w:cs="Arial"/>
          <w:b/>
          <w:bCs/>
        </w:rPr>
        <w:t>Adopt a</w:t>
      </w:r>
      <w:r w:rsidR="006F3CE6" w:rsidRPr="00B80B1E">
        <w:rPr>
          <w:rFonts w:ascii="Arial" w:hAnsi="Arial" w:cs="Arial"/>
          <w:b/>
          <w:bCs/>
        </w:rPr>
        <w:t>n effective</w:t>
      </w:r>
      <w:r w:rsidR="00226E8B" w:rsidRPr="00B80B1E">
        <w:rPr>
          <w:rFonts w:ascii="Arial" w:hAnsi="Arial" w:cs="Arial"/>
          <w:b/>
          <w:bCs/>
        </w:rPr>
        <w:t xml:space="preserve"> </w:t>
      </w:r>
      <w:r w:rsidR="0092786B" w:rsidRPr="00B80B1E">
        <w:rPr>
          <w:rFonts w:ascii="Arial" w:hAnsi="Arial" w:cs="Arial"/>
          <w:b/>
          <w:bCs/>
        </w:rPr>
        <w:t xml:space="preserve">approach to </w:t>
      </w:r>
      <w:r w:rsidR="001C6247" w:rsidRPr="00B80B1E">
        <w:rPr>
          <w:rFonts w:ascii="Arial" w:hAnsi="Arial" w:cs="Arial"/>
          <w:b/>
          <w:bCs/>
        </w:rPr>
        <w:t>intellectual property</w:t>
      </w:r>
      <w:r w:rsidR="0092786B" w:rsidRPr="00B80B1E">
        <w:rPr>
          <w:rFonts w:ascii="Arial" w:hAnsi="Arial" w:cs="Arial"/>
          <w:b/>
          <w:bCs/>
        </w:rPr>
        <w:t xml:space="preserve">. </w:t>
      </w:r>
      <w:r w:rsidR="0092786B" w:rsidRPr="00B80B1E">
        <w:rPr>
          <w:rFonts w:ascii="Arial" w:hAnsi="Arial" w:cs="Arial"/>
        </w:rPr>
        <w:t>Members</w:t>
      </w:r>
      <w:r w:rsidR="00682E29" w:rsidRPr="00B80B1E">
        <w:rPr>
          <w:rFonts w:ascii="Arial" w:hAnsi="Arial" w:cs="Arial"/>
        </w:rPr>
        <w:t xml:space="preserve"> should focus squarely on actions that </w:t>
      </w:r>
      <w:r w:rsidR="00226E8B" w:rsidRPr="00B80B1E">
        <w:rPr>
          <w:rFonts w:ascii="Arial" w:hAnsi="Arial" w:cs="Arial"/>
        </w:rPr>
        <w:t>can</w:t>
      </w:r>
      <w:r w:rsidR="00682E29" w:rsidRPr="00B80B1E">
        <w:rPr>
          <w:rFonts w:ascii="Arial" w:hAnsi="Arial" w:cs="Arial"/>
        </w:rPr>
        <w:t xml:space="preserve"> ramp up production of vaccines and treatments at the requisite scale</w:t>
      </w:r>
      <w:r w:rsidR="006F3CE6" w:rsidRPr="00B80B1E">
        <w:rPr>
          <w:rFonts w:ascii="Arial" w:hAnsi="Arial" w:cs="Arial"/>
        </w:rPr>
        <w:t xml:space="preserve"> as quickly as possible</w:t>
      </w:r>
      <w:r w:rsidR="00682E29" w:rsidRPr="00B80B1E">
        <w:rPr>
          <w:rFonts w:ascii="Arial" w:hAnsi="Arial" w:cs="Arial"/>
        </w:rPr>
        <w:t xml:space="preserve">. </w:t>
      </w:r>
      <w:r w:rsidR="006F3CE6" w:rsidRPr="00B80B1E">
        <w:rPr>
          <w:rFonts w:ascii="Arial" w:hAnsi="Arial" w:cs="Arial"/>
        </w:rPr>
        <w:t xml:space="preserve"> This demands prioritising the use of voluntary licensing and, failing that, granting targeted compulsory licences within the existing TRIPS framework. </w:t>
      </w:r>
      <w:r w:rsidR="00226E8B" w:rsidRPr="00B80B1E">
        <w:rPr>
          <w:rFonts w:ascii="Arial" w:hAnsi="Arial" w:cs="Arial"/>
        </w:rPr>
        <w:t xml:space="preserve">To facilitate this, </w:t>
      </w:r>
      <w:r w:rsidR="006F3CE6" w:rsidRPr="00B80B1E">
        <w:rPr>
          <w:rFonts w:ascii="Arial" w:hAnsi="Arial" w:cs="Arial"/>
        </w:rPr>
        <w:t xml:space="preserve">Members should agree that the Covid-19 pandemic is an exceptional circumstance of national emergency, which would provide greater legal certainty about the legitimacy of </w:t>
      </w:r>
      <w:r w:rsidR="00F90155" w:rsidRPr="00B80B1E">
        <w:rPr>
          <w:rFonts w:ascii="Arial" w:hAnsi="Arial" w:cs="Arial"/>
        </w:rPr>
        <w:t xml:space="preserve">resorting to compulsory licensing. </w:t>
      </w:r>
      <w:r w:rsidR="00296FF7" w:rsidRPr="00B80B1E">
        <w:rPr>
          <w:rFonts w:ascii="Arial" w:hAnsi="Arial" w:cs="Arial"/>
        </w:rPr>
        <w:t>Any</w:t>
      </w:r>
      <w:r w:rsidR="00226E8B" w:rsidRPr="00B80B1E">
        <w:rPr>
          <w:rFonts w:ascii="Arial" w:hAnsi="Arial" w:cs="Arial"/>
        </w:rPr>
        <w:t xml:space="preserve"> p</w:t>
      </w:r>
      <w:r w:rsidR="00F90155" w:rsidRPr="00B80B1E">
        <w:rPr>
          <w:rFonts w:ascii="Arial" w:hAnsi="Arial" w:cs="Arial"/>
        </w:rPr>
        <w:t>roposal to “waive” intellectual property rights related to Covid-19 tools should only be considered if they can be proven to quickly ramp up production, avoid interrupting fragile supply chains, and not disrupt market-based incentives for further pharmaceutical research and innovation, which will continue to be critical in the fight against Covid-19 and future pandemics.</w:t>
      </w:r>
      <w:r w:rsidRPr="00B80B1E">
        <w:rPr>
          <w:rFonts w:ascii="Arial" w:hAnsi="Arial" w:cs="Arial"/>
        </w:rPr>
        <w:t xml:space="preserve"> </w:t>
      </w:r>
      <w:r w:rsidRPr="00B80B1E">
        <w:rPr>
          <w:rFonts w:ascii="Arial" w:hAnsi="Arial" w:cs="Arial"/>
          <w:b/>
          <w:bCs/>
        </w:rPr>
        <w:t>]</w:t>
      </w:r>
    </w:p>
    <w:p w14:paraId="718BE947" w14:textId="77777777" w:rsidR="0092786B" w:rsidRPr="00B80B1E" w:rsidRDefault="0092786B" w:rsidP="0092786B">
      <w:pPr>
        <w:pStyle w:val="ListParagraph"/>
        <w:ind w:left="360"/>
        <w:jc w:val="both"/>
        <w:rPr>
          <w:rFonts w:ascii="Arial" w:hAnsi="Arial" w:cs="Arial"/>
          <w:b/>
          <w:bCs/>
        </w:rPr>
      </w:pPr>
    </w:p>
    <w:p w14:paraId="655921B6" w14:textId="2E995FE1" w:rsidR="00831DFD" w:rsidRPr="00B80B1E" w:rsidRDefault="00831DFD" w:rsidP="00850430">
      <w:pPr>
        <w:pStyle w:val="ListParagraph"/>
        <w:numPr>
          <w:ilvl w:val="0"/>
          <w:numId w:val="3"/>
        </w:numPr>
        <w:jc w:val="both"/>
        <w:rPr>
          <w:rFonts w:ascii="Arial" w:hAnsi="Arial" w:cs="Arial"/>
          <w:b/>
          <w:bCs/>
        </w:rPr>
      </w:pPr>
      <w:r w:rsidRPr="00B80B1E">
        <w:rPr>
          <w:rFonts w:ascii="Arial" w:hAnsi="Arial" w:cs="Arial"/>
          <w:b/>
          <w:bCs/>
        </w:rPr>
        <w:t>Finalise the fisheries subsidies negotiations.</w:t>
      </w:r>
      <w:r w:rsidR="006679FE" w:rsidRPr="00B80B1E">
        <w:rPr>
          <w:rFonts w:ascii="Arial" w:hAnsi="Arial" w:cs="Arial"/>
          <w:b/>
          <w:bCs/>
        </w:rPr>
        <w:t xml:space="preserve"> </w:t>
      </w:r>
      <w:r w:rsidR="006679FE" w:rsidRPr="00B80B1E">
        <w:rPr>
          <w:rFonts w:ascii="Arial" w:hAnsi="Arial" w:cs="Arial"/>
        </w:rPr>
        <w:t>Completion of these negotiations is essential to the credibility of the WTO as a multilateral trade policy forum</w:t>
      </w:r>
      <w:r w:rsidR="00296FF7" w:rsidRPr="00B80B1E">
        <w:rPr>
          <w:rFonts w:ascii="Arial" w:hAnsi="Arial" w:cs="Arial"/>
        </w:rPr>
        <w:t xml:space="preserve"> and to achieving the Sustainable Development Goals (14.6)</w:t>
      </w:r>
      <w:r w:rsidR="006679FE" w:rsidRPr="00B80B1E">
        <w:rPr>
          <w:rFonts w:ascii="Arial" w:hAnsi="Arial" w:cs="Arial"/>
        </w:rPr>
        <w:t>. The repeated failure to meet self-imposed deadlines—including the end-2019 deadline agreed by consensus at the WTO’s 11</w:t>
      </w:r>
      <w:r w:rsidR="006679FE" w:rsidRPr="00B80B1E">
        <w:rPr>
          <w:rFonts w:ascii="Arial" w:hAnsi="Arial" w:cs="Arial"/>
          <w:vertAlign w:val="superscript"/>
        </w:rPr>
        <w:t>th</w:t>
      </w:r>
      <w:r w:rsidR="006679FE" w:rsidRPr="00B80B1E">
        <w:rPr>
          <w:rFonts w:ascii="Arial" w:hAnsi="Arial" w:cs="Arial"/>
        </w:rPr>
        <w:t xml:space="preserve"> Ministerial Conference—has caused reputational harm to the institution and failed to arrest the unsustainable depletion of the world’s oceans. Concluding this deal is a first-order priority for the International Chamber of Commerce and its members.</w:t>
      </w:r>
    </w:p>
    <w:p w14:paraId="297034DB" w14:textId="77777777" w:rsidR="00EC48AE" w:rsidRPr="00B80B1E" w:rsidRDefault="00EC48AE" w:rsidP="00EC48AE">
      <w:pPr>
        <w:pStyle w:val="ListParagraph"/>
        <w:ind w:left="360"/>
        <w:jc w:val="both"/>
        <w:rPr>
          <w:rFonts w:ascii="Arial" w:hAnsi="Arial" w:cs="Arial"/>
          <w:b/>
          <w:bCs/>
        </w:rPr>
      </w:pPr>
    </w:p>
    <w:p w14:paraId="52671799" w14:textId="453092D2" w:rsidR="00D02148" w:rsidRPr="00B80B1E" w:rsidRDefault="00D02148" w:rsidP="00D02148">
      <w:pPr>
        <w:pStyle w:val="Heading2"/>
        <w:rPr>
          <w:rFonts w:ascii="Arial" w:hAnsi="Arial" w:cs="Arial"/>
        </w:rPr>
      </w:pPr>
      <w:r w:rsidRPr="00B80B1E">
        <w:rPr>
          <w:rFonts w:ascii="Arial" w:hAnsi="Arial" w:cs="Arial"/>
        </w:rPr>
        <w:t xml:space="preserve">II. </w:t>
      </w:r>
      <w:r w:rsidR="00C70479" w:rsidRPr="00B80B1E">
        <w:rPr>
          <w:rFonts w:ascii="Arial" w:hAnsi="Arial" w:cs="Arial"/>
        </w:rPr>
        <w:t>What the WTO can do at MC12</w:t>
      </w:r>
      <w:r w:rsidRPr="00B80B1E">
        <w:rPr>
          <w:rFonts w:ascii="Arial" w:hAnsi="Arial" w:cs="Arial"/>
        </w:rPr>
        <w:t xml:space="preserve"> </w:t>
      </w:r>
    </w:p>
    <w:p w14:paraId="0C119D6A" w14:textId="2A52C639" w:rsidR="00BC6254" w:rsidRPr="00B80B1E" w:rsidRDefault="00BC6254" w:rsidP="001E6538">
      <w:pPr>
        <w:jc w:val="both"/>
        <w:rPr>
          <w:rFonts w:ascii="Arial" w:hAnsi="Arial" w:cs="Arial"/>
        </w:rPr>
      </w:pPr>
      <w:r w:rsidRPr="00B80B1E">
        <w:rPr>
          <w:rFonts w:ascii="Arial" w:hAnsi="Arial" w:cs="Arial"/>
        </w:rPr>
        <w:t>MC12 comes at a pivotal moment – almost two years since the first identified case of COVID-19, providing an opportunity to set the policies that will accelerate vaccine distribution and ensure a trade-led post-pandemic recovery.</w:t>
      </w:r>
    </w:p>
    <w:p w14:paraId="0C711F7E" w14:textId="11AE4B0E" w:rsidR="00831DFD" w:rsidRPr="00B80B1E" w:rsidRDefault="00831DFD" w:rsidP="00850430">
      <w:pPr>
        <w:pStyle w:val="ListParagraph"/>
        <w:numPr>
          <w:ilvl w:val="0"/>
          <w:numId w:val="4"/>
        </w:numPr>
        <w:jc w:val="both"/>
        <w:rPr>
          <w:rFonts w:ascii="Arial" w:hAnsi="Arial" w:cs="Arial"/>
          <w:b/>
          <w:bCs/>
        </w:rPr>
      </w:pPr>
      <w:r w:rsidRPr="00B80B1E">
        <w:rPr>
          <w:rFonts w:ascii="Arial" w:hAnsi="Arial" w:cs="Arial"/>
          <w:b/>
          <w:bCs/>
        </w:rPr>
        <w:t>Adopt the Trade and Health Initiative</w:t>
      </w:r>
      <w:r w:rsidR="000C23DC" w:rsidRPr="00B80B1E">
        <w:rPr>
          <w:rFonts w:ascii="Arial" w:hAnsi="Arial" w:cs="Arial"/>
          <w:b/>
          <w:bCs/>
        </w:rPr>
        <w:t>.</w:t>
      </w:r>
      <w:r w:rsidR="006878C0" w:rsidRPr="00B80B1E">
        <w:rPr>
          <w:rFonts w:ascii="Arial" w:hAnsi="Arial" w:cs="Arial"/>
          <w:b/>
          <w:bCs/>
        </w:rPr>
        <w:t xml:space="preserve"> </w:t>
      </w:r>
      <w:r w:rsidR="006878C0" w:rsidRPr="00B80B1E">
        <w:rPr>
          <w:rFonts w:ascii="Arial" w:hAnsi="Arial" w:cs="Arial"/>
        </w:rPr>
        <w:t>International trade remains a powerful tool to help contain the pandemic and contribute to economic recovery.</w:t>
      </w:r>
      <w:r w:rsidR="00A914B7" w:rsidRPr="00B80B1E">
        <w:rPr>
          <w:rFonts w:ascii="Arial" w:hAnsi="Arial" w:cs="Arial"/>
        </w:rPr>
        <w:t xml:space="preserve"> The Trade and Health Initiative, </w:t>
      </w:r>
      <w:r w:rsidR="009075B5" w:rsidRPr="00B80B1E">
        <w:rPr>
          <w:rFonts w:ascii="Arial" w:hAnsi="Arial" w:cs="Arial"/>
        </w:rPr>
        <w:t xml:space="preserve">proposed by </w:t>
      </w:r>
      <w:r w:rsidR="00850430" w:rsidRPr="00B80B1E">
        <w:rPr>
          <w:rFonts w:ascii="Arial" w:hAnsi="Arial" w:cs="Arial"/>
        </w:rPr>
        <w:t>t</w:t>
      </w:r>
      <w:r w:rsidR="00A914B7" w:rsidRPr="00B80B1E">
        <w:rPr>
          <w:rFonts w:ascii="Arial" w:hAnsi="Arial" w:cs="Arial"/>
        </w:rPr>
        <w:t xml:space="preserve">he Ottawa Group, </w:t>
      </w:r>
      <w:r w:rsidR="009075B5" w:rsidRPr="00B80B1E">
        <w:rPr>
          <w:rFonts w:ascii="Arial" w:hAnsi="Arial" w:cs="Arial"/>
        </w:rPr>
        <w:t xml:space="preserve">outlines </w:t>
      </w:r>
      <w:r w:rsidR="00A914B7" w:rsidRPr="00B80B1E">
        <w:rPr>
          <w:rFonts w:ascii="Arial" w:hAnsi="Arial" w:cs="Arial"/>
        </w:rPr>
        <w:t xml:space="preserve">specific actions relating to export restrictions, </w:t>
      </w:r>
      <w:r w:rsidR="00A914B7" w:rsidRPr="00B80B1E">
        <w:rPr>
          <w:rFonts w:ascii="Arial" w:hAnsi="Arial" w:cs="Arial"/>
        </w:rPr>
        <w:lastRenderedPageBreak/>
        <w:t xml:space="preserve">trade facilitation, technical regulations, tariffs, </w:t>
      </w:r>
      <w:r w:rsidR="00CF2E22" w:rsidRPr="00B80B1E">
        <w:rPr>
          <w:rFonts w:ascii="Arial" w:hAnsi="Arial" w:cs="Arial"/>
        </w:rPr>
        <w:t xml:space="preserve">and </w:t>
      </w:r>
      <w:r w:rsidR="00A914B7" w:rsidRPr="00B80B1E">
        <w:rPr>
          <w:rFonts w:ascii="Arial" w:hAnsi="Arial" w:cs="Arial"/>
        </w:rPr>
        <w:t>transparency and review exercises that reflect emerging best practice</w:t>
      </w:r>
      <w:r w:rsidR="00CF2E22" w:rsidRPr="00B80B1E">
        <w:rPr>
          <w:rFonts w:ascii="Arial" w:hAnsi="Arial" w:cs="Arial"/>
        </w:rPr>
        <w:t>.</w:t>
      </w:r>
      <w:r w:rsidR="00EB107A" w:rsidRPr="00B80B1E">
        <w:rPr>
          <w:rFonts w:ascii="Arial" w:hAnsi="Arial" w:cs="Arial"/>
        </w:rPr>
        <w:t xml:space="preserve"> These </w:t>
      </w:r>
      <w:r w:rsidR="00850430" w:rsidRPr="00B80B1E">
        <w:rPr>
          <w:rFonts w:ascii="Arial" w:hAnsi="Arial" w:cs="Arial"/>
        </w:rPr>
        <w:t>action</w:t>
      </w:r>
      <w:r w:rsidR="00EB107A" w:rsidRPr="00B80B1E">
        <w:rPr>
          <w:rFonts w:ascii="Arial" w:hAnsi="Arial" w:cs="Arial"/>
        </w:rPr>
        <w:t xml:space="preserve">s should be </w:t>
      </w:r>
      <w:r w:rsidR="00850430" w:rsidRPr="00B80B1E">
        <w:rPr>
          <w:rFonts w:ascii="Arial" w:hAnsi="Arial" w:cs="Arial"/>
        </w:rPr>
        <w:t>adopted by the broader membership and inform a consensus statement to establish new WTO commitments on trade and health.</w:t>
      </w:r>
    </w:p>
    <w:p w14:paraId="2E4C9758" w14:textId="546667EA" w:rsidR="00831DFD" w:rsidRPr="00B80B1E" w:rsidRDefault="00831DFD" w:rsidP="00831DFD">
      <w:pPr>
        <w:pStyle w:val="ListParagraph"/>
        <w:rPr>
          <w:rFonts w:ascii="Arial" w:hAnsi="Arial" w:cs="Arial"/>
        </w:rPr>
      </w:pPr>
    </w:p>
    <w:p w14:paraId="36130D5F" w14:textId="1EAC7A4C" w:rsidR="00831DFD" w:rsidRPr="00B80B1E" w:rsidRDefault="00831DFD" w:rsidP="00CA4382">
      <w:pPr>
        <w:pStyle w:val="ListParagraph"/>
        <w:numPr>
          <w:ilvl w:val="0"/>
          <w:numId w:val="4"/>
        </w:numPr>
        <w:jc w:val="both"/>
        <w:rPr>
          <w:rFonts w:ascii="Arial" w:hAnsi="Arial" w:cs="Arial"/>
          <w:b/>
          <w:bCs/>
        </w:rPr>
      </w:pPr>
      <w:r w:rsidRPr="00B80B1E">
        <w:rPr>
          <w:rFonts w:ascii="Arial" w:hAnsi="Arial" w:cs="Arial"/>
          <w:b/>
          <w:bCs/>
        </w:rPr>
        <w:t>Set a one-year deadline to finalise e-commerce negotiations.</w:t>
      </w:r>
      <w:r w:rsidR="00CA4382" w:rsidRPr="00B80B1E">
        <w:rPr>
          <w:rFonts w:ascii="Arial" w:hAnsi="Arial" w:cs="Arial"/>
          <w:b/>
          <w:bCs/>
        </w:rPr>
        <w:t xml:space="preserve"> </w:t>
      </w:r>
      <w:r w:rsidR="00CA4382" w:rsidRPr="00B80B1E">
        <w:rPr>
          <w:rFonts w:ascii="Arial" w:hAnsi="Arial" w:cs="Arial"/>
        </w:rPr>
        <w:t>As communities socially distanced to flatten the curve, contactless payments enabled safe, COVID-free transactions; brick-and-mortar retailers rapidly moved to sell their wares online, powered by a vibrant ecosystem of software</w:t>
      </w:r>
      <w:r w:rsidR="00AC526C" w:rsidRPr="00B80B1E">
        <w:rPr>
          <w:rFonts w:ascii="Arial" w:hAnsi="Arial" w:cs="Arial"/>
        </w:rPr>
        <w:t>-</w:t>
      </w:r>
      <w:r w:rsidR="00CA4382" w:rsidRPr="00B80B1E">
        <w:rPr>
          <w:rFonts w:ascii="Arial" w:hAnsi="Arial" w:cs="Arial"/>
        </w:rPr>
        <w:t>as</w:t>
      </w:r>
      <w:r w:rsidR="00AC526C" w:rsidRPr="00B80B1E">
        <w:rPr>
          <w:rFonts w:ascii="Arial" w:hAnsi="Arial" w:cs="Arial"/>
        </w:rPr>
        <w:t>-</w:t>
      </w:r>
      <w:r w:rsidR="00CA4382" w:rsidRPr="00B80B1E">
        <w:rPr>
          <w:rFonts w:ascii="Arial" w:hAnsi="Arial" w:cs="Arial"/>
        </w:rPr>
        <w:t>a</w:t>
      </w:r>
      <w:r w:rsidR="00AC526C" w:rsidRPr="00B80B1E">
        <w:rPr>
          <w:rFonts w:ascii="Arial" w:hAnsi="Arial" w:cs="Arial"/>
        </w:rPr>
        <w:t>-</w:t>
      </w:r>
      <w:r w:rsidR="00CA4382" w:rsidRPr="00B80B1E">
        <w:rPr>
          <w:rFonts w:ascii="Arial" w:hAnsi="Arial" w:cs="Arial"/>
        </w:rPr>
        <w:t>service providers; citizens used social media to maintain connection with friends and loved ones across the globe; and e-commerce marketplaces provided consumers with safety, choice and convenience.</w:t>
      </w:r>
      <w:r w:rsidR="002534F0" w:rsidRPr="00B80B1E">
        <w:rPr>
          <w:rFonts w:ascii="Arial" w:hAnsi="Arial" w:cs="Arial"/>
        </w:rPr>
        <w:t xml:space="preserve"> </w:t>
      </w:r>
      <w:r w:rsidR="0048247C" w:rsidRPr="00B80B1E">
        <w:rPr>
          <w:rFonts w:ascii="Arial" w:hAnsi="Arial" w:cs="Arial"/>
        </w:rPr>
        <w:t xml:space="preserve">In this time the E-commerce JSI made significant progress, achieving consensus on several disciplines. The task now is to accelerate progress and ensure a high standard outcome. </w:t>
      </w:r>
      <w:r w:rsidR="003879AB" w:rsidRPr="00B80B1E">
        <w:rPr>
          <w:rFonts w:ascii="Arial" w:hAnsi="Arial" w:cs="Arial"/>
        </w:rPr>
        <w:t xml:space="preserve">We call on </w:t>
      </w:r>
      <w:r w:rsidR="00AC526C" w:rsidRPr="00B80B1E">
        <w:rPr>
          <w:rFonts w:ascii="Arial" w:hAnsi="Arial" w:cs="Arial"/>
        </w:rPr>
        <w:t xml:space="preserve">the </w:t>
      </w:r>
      <w:r w:rsidR="003879AB" w:rsidRPr="00B80B1E">
        <w:rPr>
          <w:rFonts w:ascii="Arial" w:hAnsi="Arial" w:cs="Arial"/>
        </w:rPr>
        <w:t>trade ministers of participating WTO Members to commit to a one-year deadline at MC12.</w:t>
      </w:r>
    </w:p>
    <w:p w14:paraId="7635F138" w14:textId="77777777" w:rsidR="00831DFD" w:rsidRPr="00B80B1E" w:rsidRDefault="00831DFD" w:rsidP="00831DFD">
      <w:pPr>
        <w:pStyle w:val="ListParagraph"/>
        <w:rPr>
          <w:rFonts w:ascii="Arial" w:hAnsi="Arial" w:cs="Arial"/>
        </w:rPr>
      </w:pPr>
    </w:p>
    <w:p w14:paraId="7595283F" w14:textId="23B27F80" w:rsidR="00831DFD" w:rsidRPr="00B80B1E" w:rsidRDefault="00831DFD" w:rsidP="00CA4382">
      <w:pPr>
        <w:pStyle w:val="ListParagraph"/>
        <w:numPr>
          <w:ilvl w:val="0"/>
          <w:numId w:val="4"/>
        </w:numPr>
        <w:jc w:val="both"/>
        <w:rPr>
          <w:rFonts w:ascii="Arial" w:hAnsi="Arial" w:cs="Arial"/>
          <w:b/>
          <w:bCs/>
        </w:rPr>
      </w:pPr>
      <w:r w:rsidRPr="00B80B1E">
        <w:rPr>
          <w:rFonts w:ascii="Arial" w:hAnsi="Arial" w:cs="Arial"/>
          <w:b/>
          <w:bCs/>
        </w:rPr>
        <w:t>Make permanent the moratorium on customs duties on electronic transmissions.</w:t>
      </w:r>
      <w:r w:rsidR="00850430" w:rsidRPr="00B80B1E">
        <w:rPr>
          <w:rFonts w:ascii="Arial" w:hAnsi="Arial" w:cs="Arial"/>
          <w:b/>
          <w:bCs/>
        </w:rPr>
        <w:t xml:space="preserve"> </w:t>
      </w:r>
      <w:r w:rsidR="00944E0D" w:rsidRPr="00B80B1E">
        <w:rPr>
          <w:rFonts w:ascii="Arial" w:hAnsi="Arial" w:cs="Arial"/>
        </w:rPr>
        <w:t xml:space="preserve">The moratorium has enabled digital trade to flourish since 1998, preventing the </w:t>
      </w:r>
      <w:r w:rsidR="004E1296" w:rsidRPr="00B80B1E">
        <w:rPr>
          <w:rFonts w:ascii="Arial" w:hAnsi="Arial" w:cs="Arial"/>
        </w:rPr>
        <w:t>imposition</w:t>
      </w:r>
      <w:r w:rsidR="00944E0D" w:rsidRPr="00B80B1E">
        <w:rPr>
          <w:rFonts w:ascii="Arial" w:hAnsi="Arial" w:cs="Arial"/>
        </w:rPr>
        <w:t xml:space="preserve"> of</w:t>
      </w:r>
      <w:r w:rsidR="004E1296" w:rsidRPr="00B80B1E">
        <w:rPr>
          <w:rFonts w:ascii="Arial" w:hAnsi="Arial" w:cs="Arial"/>
        </w:rPr>
        <w:t xml:space="preserve"> burdensome tariff and non-tariff</w:t>
      </w:r>
      <w:r w:rsidR="00944E0D" w:rsidRPr="00B80B1E">
        <w:rPr>
          <w:rFonts w:ascii="Arial" w:hAnsi="Arial" w:cs="Arial"/>
        </w:rPr>
        <w:t xml:space="preserve"> barriers. </w:t>
      </w:r>
      <w:r w:rsidR="004E1296" w:rsidRPr="00B80B1E">
        <w:rPr>
          <w:rFonts w:ascii="Arial" w:hAnsi="Arial" w:cs="Arial"/>
        </w:rPr>
        <w:t>Th</w:t>
      </w:r>
      <w:r w:rsidR="00CA4382" w:rsidRPr="00B80B1E">
        <w:rPr>
          <w:rFonts w:ascii="Arial" w:hAnsi="Arial" w:cs="Arial"/>
        </w:rPr>
        <w:t>is</w:t>
      </w:r>
      <w:r w:rsidR="004E1296" w:rsidRPr="00B80B1E">
        <w:rPr>
          <w:rFonts w:ascii="Arial" w:hAnsi="Arial" w:cs="Arial"/>
        </w:rPr>
        <w:t xml:space="preserve"> enabling environment </w:t>
      </w:r>
      <w:r w:rsidR="00CA4382" w:rsidRPr="00B80B1E">
        <w:rPr>
          <w:rFonts w:ascii="Arial" w:hAnsi="Arial" w:cs="Arial"/>
        </w:rPr>
        <w:t>no doubt contributed to business continuity for the millions of MSMEs that successfully transformed their operations during the pandemic. It is time for a permanent prohibition on customs duties on electronic transmissions.</w:t>
      </w:r>
    </w:p>
    <w:p w14:paraId="58DE816E" w14:textId="77777777" w:rsidR="00831DFD" w:rsidRPr="00B80B1E" w:rsidRDefault="00831DFD" w:rsidP="00831DFD">
      <w:pPr>
        <w:pStyle w:val="ListParagraph"/>
        <w:rPr>
          <w:rFonts w:ascii="Arial" w:hAnsi="Arial" w:cs="Arial"/>
        </w:rPr>
      </w:pPr>
    </w:p>
    <w:p w14:paraId="3964535A" w14:textId="0355F67F" w:rsidR="00831DFD" w:rsidRPr="00B80B1E" w:rsidRDefault="00831DFD" w:rsidP="005F5C8F">
      <w:pPr>
        <w:pStyle w:val="ListParagraph"/>
        <w:numPr>
          <w:ilvl w:val="0"/>
          <w:numId w:val="4"/>
        </w:numPr>
        <w:rPr>
          <w:rFonts w:ascii="Arial" w:hAnsi="Arial" w:cs="Arial"/>
          <w:b/>
          <w:bCs/>
        </w:rPr>
      </w:pPr>
      <w:r w:rsidRPr="00B80B1E">
        <w:rPr>
          <w:rFonts w:ascii="Arial" w:hAnsi="Arial" w:cs="Arial"/>
          <w:b/>
          <w:bCs/>
        </w:rPr>
        <w:t>Finalise draft schedules for the Services Domestic Regulation.</w:t>
      </w:r>
      <w:r w:rsidR="00957012" w:rsidRPr="00B80B1E">
        <w:rPr>
          <w:rFonts w:ascii="Arial" w:hAnsi="Arial" w:cs="Arial"/>
          <w:b/>
          <w:bCs/>
        </w:rPr>
        <w:t xml:space="preserve"> </w:t>
      </w:r>
      <w:r w:rsidR="00957012" w:rsidRPr="00B80B1E">
        <w:rPr>
          <w:rFonts w:ascii="Arial" w:hAnsi="Arial" w:cs="Arial"/>
        </w:rPr>
        <w:t>These new disciplines</w:t>
      </w:r>
      <w:r w:rsidR="005F5C8F" w:rsidRPr="00B80B1E">
        <w:rPr>
          <w:rFonts w:ascii="Arial" w:hAnsi="Arial" w:cs="Arial"/>
        </w:rPr>
        <w:t xml:space="preserve"> to ensure on transparency, legal certainty and predictability and regulatory quality and facilitation</w:t>
      </w:r>
      <w:r w:rsidR="00957012" w:rsidRPr="00B80B1E">
        <w:rPr>
          <w:rFonts w:ascii="Arial" w:hAnsi="Arial" w:cs="Arial"/>
        </w:rPr>
        <w:t xml:space="preserve"> offer significant benefits for global business</w:t>
      </w:r>
      <w:r w:rsidR="005F5C8F" w:rsidRPr="00B80B1E">
        <w:rPr>
          <w:rFonts w:ascii="Arial" w:hAnsi="Arial" w:cs="Arial"/>
        </w:rPr>
        <w:t xml:space="preserve"> and will remove unnecessary barriers to trade and services. A</w:t>
      </w:r>
      <w:r w:rsidR="00957012" w:rsidRPr="00B80B1E">
        <w:rPr>
          <w:rFonts w:ascii="Arial" w:hAnsi="Arial" w:cs="Arial"/>
        </w:rPr>
        <w:t xml:space="preserve">n outcome at MC12 would demonstrate the WTO can deliver tangible results for the real economy. More WTO Members should </w:t>
      </w:r>
      <w:r w:rsidR="001125BA" w:rsidRPr="00B80B1E">
        <w:rPr>
          <w:rFonts w:ascii="Arial" w:hAnsi="Arial" w:cs="Arial"/>
        </w:rPr>
        <w:t>commit to this</w:t>
      </w:r>
      <w:r w:rsidR="00957012" w:rsidRPr="00B80B1E">
        <w:rPr>
          <w:rFonts w:ascii="Arial" w:hAnsi="Arial" w:cs="Arial"/>
        </w:rPr>
        <w:t xml:space="preserve"> initiative so as to maximise the global economic benefits. </w:t>
      </w:r>
      <w:r w:rsidR="003879AB" w:rsidRPr="00B80B1E">
        <w:rPr>
          <w:rFonts w:ascii="Arial" w:hAnsi="Arial" w:cs="Arial"/>
          <w:b/>
          <w:bCs/>
        </w:rPr>
        <w:t xml:space="preserve"> </w:t>
      </w:r>
    </w:p>
    <w:p w14:paraId="10F480EE" w14:textId="77777777" w:rsidR="00831DFD" w:rsidRPr="00B80B1E" w:rsidRDefault="00831DFD" w:rsidP="00831DFD">
      <w:pPr>
        <w:pStyle w:val="ListParagraph"/>
        <w:rPr>
          <w:rFonts w:ascii="Arial" w:hAnsi="Arial" w:cs="Arial"/>
          <w:highlight w:val="yellow"/>
        </w:rPr>
      </w:pPr>
    </w:p>
    <w:p w14:paraId="160D2296" w14:textId="13DE0D8D" w:rsidR="00831DFD" w:rsidRPr="00B80B1E" w:rsidRDefault="00EE0E61" w:rsidP="0094709E">
      <w:pPr>
        <w:pStyle w:val="ListParagraph"/>
        <w:numPr>
          <w:ilvl w:val="0"/>
          <w:numId w:val="4"/>
        </w:numPr>
        <w:jc w:val="both"/>
        <w:rPr>
          <w:rFonts w:ascii="Arial" w:hAnsi="Arial" w:cs="Arial"/>
          <w:b/>
          <w:bCs/>
        </w:rPr>
      </w:pPr>
      <w:r w:rsidRPr="00B80B1E">
        <w:rPr>
          <w:rFonts w:ascii="Arial" w:hAnsi="Arial" w:cs="Arial"/>
          <w:b/>
          <w:bCs/>
        </w:rPr>
        <w:t>Adopt the full package of recommendations of the MSME group.</w:t>
      </w:r>
      <w:r w:rsidR="000C7DC3" w:rsidRPr="00B80B1E">
        <w:rPr>
          <w:rFonts w:ascii="Arial" w:hAnsi="Arial" w:cs="Arial"/>
          <w:b/>
          <w:bCs/>
        </w:rPr>
        <w:t xml:space="preserve"> </w:t>
      </w:r>
      <w:r w:rsidR="0094709E" w:rsidRPr="00B80B1E">
        <w:rPr>
          <w:rFonts w:ascii="Arial" w:hAnsi="Arial" w:cs="Arial"/>
        </w:rPr>
        <w:t>Micro-, Small- and Medium-sized Enterprises (</w:t>
      </w:r>
      <w:r w:rsidR="0094709E" w:rsidRPr="00B80B1E">
        <w:rPr>
          <w:rFonts w:ascii="Arial" w:hAnsi="Arial" w:cs="Arial"/>
          <w:b/>
          <w:bCs/>
        </w:rPr>
        <w:t>MSMEs</w:t>
      </w:r>
      <w:r w:rsidR="0094709E" w:rsidRPr="00B80B1E">
        <w:rPr>
          <w:rFonts w:ascii="Arial" w:hAnsi="Arial" w:cs="Arial"/>
        </w:rPr>
        <w:t>) continue to face substantial obstacles to participation in international trade, and were disproportionately affected by the economic impacts of the pandemic. We encourage all WTO Members to adopt the full package of recommendations of the Informal Working Group on MSMEs</w:t>
      </w:r>
      <w:r w:rsidR="005F5C8F" w:rsidRPr="00B80B1E">
        <w:rPr>
          <w:rFonts w:ascii="Arial" w:hAnsi="Arial" w:cs="Arial"/>
        </w:rPr>
        <w:t xml:space="preserve">. </w:t>
      </w:r>
      <w:r w:rsidR="00161B7C" w:rsidRPr="00B80B1E">
        <w:rPr>
          <w:rFonts w:ascii="Arial" w:hAnsi="Arial" w:cs="Arial"/>
        </w:rPr>
        <w:t xml:space="preserve">Post-MC12, we encourage the MSME Working Group to consider how the WTO and its Members can more meaningfully address the trade finance gap given that many small businesses, especially in developing markets, remain severely cash constrained and at risk of insolvency owing to the Covid-19 pandemic. </w:t>
      </w:r>
    </w:p>
    <w:p w14:paraId="42A64945" w14:textId="77777777" w:rsidR="00EE0E61" w:rsidRPr="00B80B1E" w:rsidRDefault="00EE0E61" w:rsidP="00EE0E61">
      <w:pPr>
        <w:pStyle w:val="ListParagraph"/>
        <w:rPr>
          <w:rFonts w:ascii="Arial" w:hAnsi="Arial" w:cs="Arial"/>
        </w:rPr>
      </w:pPr>
    </w:p>
    <w:p w14:paraId="27F679A4" w14:textId="589786CC" w:rsidR="00EE0E61" w:rsidRPr="00B80B1E" w:rsidRDefault="00B575C5" w:rsidP="0094709E">
      <w:pPr>
        <w:pStyle w:val="ListParagraph"/>
        <w:numPr>
          <w:ilvl w:val="0"/>
          <w:numId w:val="4"/>
        </w:numPr>
        <w:jc w:val="both"/>
        <w:rPr>
          <w:rFonts w:ascii="Arial" w:hAnsi="Arial" w:cs="Arial"/>
          <w:b/>
          <w:bCs/>
        </w:rPr>
      </w:pPr>
      <w:r w:rsidRPr="00B80B1E">
        <w:rPr>
          <w:rFonts w:ascii="Arial" w:hAnsi="Arial" w:cs="Arial"/>
          <w:b/>
          <w:bCs/>
        </w:rPr>
        <w:t>Create</w:t>
      </w:r>
      <w:r w:rsidR="0094709E" w:rsidRPr="00B80B1E">
        <w:rPr>
          <w:rFonts w:ascii="Arial" w:hAnsi="Arial" w:cs="Arial"/>
          <w:b/>
          <w:bCs/>
        </w:rPr>
        <w:t xml:space="preserve"> an enabling legal environment for paperless trade. </w:t>
      </w:r>
      <w:r w:rsidR="0094709E" w:rsidRPr="00B80B1E">
        <w:rPr>
          <w:rFonts w:ascii="Arial" w:hAnsi="Arial" w:cs="Arial"/>
        </w:rPr>
        <w:t xml:space="preserve">International merchandise trade remains stubbornly wedded to paper-based transactions, despite the cost, delay, inefficiency, fraud, error, and environmental impacts of this antiquated business practice. A key bottleneck </w:t>
      </w:r>
      <w:r w:rsidR="00C92169" w:rsidRPr="00B80B1E">
        <w:rPr>
          <w:rFonts w:ascii="Arial" w:hAnsi="Arial" w:cs="Arial"/>
        </w:rPr>
        <w:t xml:space="preserve">to the transition to paperless trade is the requirement in most jurisdictions that negotiable instruments be in paper form. </w:t>
      </w:r>
      <w:r w:rsidR="0094709E" w:rsidRPr="00B80B1E">
        <w:rPr>
          <w:rFonts w:ascii="Arial" w:hAnsi="Arial" w:cs="Arial"/>
        </w:rPr>
        <w:t>We call on WTO Members to adopt a ministerial statement championing the UNCITRAL Model Law on Electronic Transferable Records.</w:t>
      </w:r>
    </w:p>
    <w:p w14:paraId="5EA58CD4" w14:textId="77777777" w:rsidR="00347A34" w:rsidRPr="00B80B1E" w:rsidRDefault="00347A34" w:rsidP="00347A34">
      <w:pPr>
        <w:pStyle w:val="ListParagraph"/>
        <w:rPr>
          <w:rFonts w:ascii="Arial" w:hAnsi="Arial" w:cs="Arial"/>
        </w:rPr>
      </w:pPr>
    </w:p>
    <w:p w14:paraId="0E9D1129" w14:textId="30BFF673" w:rsidR="000E4F75" w:rsidRPr="00B80B1E" w:rsidRDefault="000E4F75" w:rsidP="002378F7">
      <w:pPr>
        <w:pStyle w:val="ListParagraph"/>
        <w:numPr>
          <w:ilvl w:val="0"/>
          <w:numId w:val="4"/>
        </w:numPr>
        <w:jc w:val="both"/>
        <w:rPr>
          <w:rFonts w:ascii="Arial" w:hAnsi="Arial" w:cs="Arial"/>
        </w:rPr>
      </w:pPr>
      <w:r w:rsidRPr="00B80B1E">
        <w:rPr>
          <w:rFonts w:ascii="Arial" w:hAnsi="Arial" w:cs="Arial"/>
          <w:b/>
          <w:bCs/>
        </w:rPr>
        <w:t xml:space="preserve">Commit not to impose export restrictions on </w:t>
      </w:r>
      <w:r w:rsidR="00B575C5" w:rsidRPr="00B80B1E">
        <w:rPr>
          <w:rFonts w:ascii="Arial" w:hAnsi="Arial" w:cs="Arial"/>
          <w:b/>
          <w:bCs/>
        </w:rPr>
        <w:t>humanitarian aid</w:t>
      </w:r>
      <w:r w:rsidRPr="00B80B1E">
        <w:rPr>
          <w:rFonts w:ascii="Arial" w:hAnsi="Arial" w:cs="Arial"/>
          <w:b/>
          <w:bCs/>
        </w:rPr>
        <w:t>.</w:t>
      </w:r>
      <w:r w:rsidR="00B575C5" w:rsidRPr="00B80B1E">
        <w:rPr>
          <w:rFonts w:ascii="Arial" w:hAnsi="Arial" w:cs="Arial"/>
          <w:b/>
          <w:bCs/>
        </w:rPr>
        <w:t xml:space="preserve"> </w:t>
      </w:r>
      <w:r w:rsidR="002378F7" w:rsidRPr="00B80B1E">
        <w:rPr>
          <w:rFonts w:ascii="Arial" w:hAnsi="Arial" w:cs="Arial"/>
        </w:rPr>
        <w:t xml:space="preserve">The use of trade restrictions on agricultural products purchased for non-commercial humanitarian purposes </w:t>
      </w:r>
      <w:r w:rsidR="002378F7" w:rsidRPr="00B80B1E">
        <w:rPr>
          <w:rFonts w:ascii="Arial" w:hAnsi="Arial" w:cs="Arial"/>
        </w:rPr>
        <w:lastRenderedPageBreak/>
        <w:t>is unconscionable</w:t>
      </w:r>
      <w:r w:rsidR="00226E8B" w:rsidRPr="00B80B1E">
        <w:rPr>
          <w:rFonts w:ascii="Arial" w:hAnsi="Arial" w:cs="Arial"/>
        </w:rPr>
        <w:t xml:space="preserve"> and undermines cooperation in the multilateral trading system</w:t>
      </w:r>
      <w:r w:rsidR="002378F7" w:rsidRPr="00B80B1E">
        <w:rPr>
          <w:rFonts w:ascii="Arial" w:hAnsi="Arial" w:cs="Arial"/>
        </w:rPr>
        <w:t xml:space="preserve">. We call on WTO Members to adopt a consensus ministerial statement that </w:t>
      </w:r>
      <w:r w:rsidR="00B575C5" w:rsidRPr="00B80B1E">
        <w:rPr>
          <w:rFonts w:ascii="Arial" w:hAnsi="Arial" w:cs="Arial"/>
        </w:rPr>
        <w:t>commit</w:t>
      </w:r>
      <w:r w:rsidR="002378F7" w:rsidRPr="00B80B1E">
        <w:rPr>
          <w:rFonts w:ascii="Arial" w:hAnsi="Arial" w:cs="Arial"/>
        </w:rPr>
        <w:t>s</w:t>
      </w:r>
      <w:r w:rsidR="00B575C5" w:rsidRPr="00B80B1E">
        <w:rPr>
          <w:rFonts w:ascii="Arial" w:hAnsi="Arial" w:cs="Arial"/>
        </w:rPr>
        <w:t xml:space="preserve"> not </w:t>
      </w:r>
      <w:r w:rsidR="002378F7" w:rsidRPr="00B80B1E">
        <w:rPr>
          <w:rFonts w:ascii="Arial" w:hAnsi="Arial" w:cs="Arial"/>
        </w:rPr>
        <w:t xml:space="preserve">to </w:t>
      </w:r>
      <w:r w:rsidR="00B575C5" w:rsidRPr="00B80B1E">
        <w:rPr>
          <w:rFonts w:ascii="Arial" w:hAnsi="Arial" w:cs="Arial"/>
        </w:rPr>
        <w:t>impose export prohibitions or strictions on foodstuffs purchased for non-commercial humanitarian purposes by the World Food Programme.</w:t>
      </w:r>
    </w:p>
    <w:p w14:paraId="73AEDB47" w14:textId="77777777" w:rsidR="001125BA" w:rsidRPr="00B80B1E" w:rsidRDefault="001125BA" w:rsidP="00EC48AE">
      <w:pPr>
        <w:pStyle w:val="ListParagraph"/>
        <w:rPr>
          <w:rFonts w:ascii="Arial" w:hAnsi="Arial" w:cs="Arial"/>
        </w:rPr>
      </w:pPr>
    </w:p>
    <w:p w14:paraId="0FF37B80" w14:textId="3C7EC9B7" w:rsidR="001125BA" w:rsidRPr="00B80B1E" w:rsidRDefault="00161B7C" w:rsidP="001125BA">
      <w:pPr>
        <w:pStyle w:val="ListParagraph"/>
        <w:numPr>
          <w:ilvl w:val="0"/>
          <w:numId w:val="4"/>
        </w:numPr>
        <w:jc w:val="both"/>
        <w:rPr>
          <w:rFonts w:ascii="Arial" w:hAnsi="Arial" w:cs="Arial"/>
          <w:b/>
          <w:bCs/>
        </w:rPr>
      </w:pPr>
      <w:r w:rsidRPr="00B80B1E">
        <w:rPr>
          <w:rFonts w:ascii="Arial" w:hAnsi="Arial" w:cs="Arial"/>
          <w:b/>
          <w:bCs/>
        </w:rPr>
        <w:t>Adopt a declaration with concrete proposals to advance women in trade</w:t>
      </w:r>
      <w:r w:rsidR="001125BA" w:rsidRPr="00B80B1E">
        <w:rPr>
          <w:rFonts w:ascii="Arial" w:hAnsi="Arial" w:cs="Arial"/>
          <w:b/>
          <w:bCs/>
        </w:rPr>
        <w:t xml:space="preserve">. </w:t>
      </w:r>
      <w:r w:rsidR="001125BA" w:rsidRPr="00B80B1E">
        <w:rPr>
          <w:rFonts w:ascii="Arial" w:hAnsi="Arial" w:cs="Arial"/>
        </w:rPr>
        <w:t xml:space="preserve">Women continue to face obstacles to their full participation in international trade. Further, the WTO reports that women are more likely to be negatively affected by COVID-19-related trade disruptions than men. </w:t>
      </w:r>
      <w:r w:rsidR="00717CFD" w:rsidRPr="00B80B1E">
        <w:rPr>
          <w:rFonts w:ascii="Arial" w:hAnsi="Arial" w:cs="Arial"/>
        </w:rPr>
        <w:t>The declaration should include meaningful actions, including the application of a gender lens in Trade Policy Reviews</w:t>
      </w:r>
      <w:r w:rsidR="001125BA" w:rsidRPr="00B80B1E">
        <w:rPr>
          <w:rFonts w:ascii="Arial" w:hAnsi="Arial" w:cs="Arial"/>
        </w:rPr>
        <w:t>.</w:t>
      </w:r>
      <w:r w:rsidR="00613169" w:rsidRPr="00B80B1E">
        <w:rPr>
          <w:rFonts w:ascii="Arial" w:hAnsi="Arial" w:cs="Arial"/>
        </w:rPr>
        <w:t xml:space="preserve"> WTO Members should also identify opportunities in current negotiations, such as the Services Domestic Regulation talks, to include provisions that promote gender equality in trade.</w:t>
      </w:r>
      <w:r w:rsidR="00717CFD" w:rsidRPr="00B80B1E">
        <w:rPr>
          <w:rFonts w:ascii="Arial" w:hAnsi="Arial" w:cs="Arial"/>
        </w:rPr>
        <w:t xml:space="preserve"> ICC stands ready to facilitate participation of women entrepreneurs in policy dialogue.</w:t>
      </w:r>
    </w:p>
    <w:p w14:paraId="223F8A57" w14:textId="77777777" w:rsidR="001125BA" w:rsidRPr="00B80B1E" w:rsidRDefault="001125BA" w:rsidP="00EC48AE">
      <w:pPr>
        <w:pStyle w:val="ListParagraph"/>
        <w:rPr>
          <w:rFonts w:ascii="Arial" w:hAnsi="Arial" w:cs="Arial"/>
          <w:b/>
          <w:bCs/>
        </w:rPr>
      </w:pPr>
    </w:p>
    <w:p w14:paraId="5D09D85F" w14:textId="0FDAF4A9" w:rsidR="001125BA" w:rsidRPr="00B80B1E" w:rsidRDefault="00717CFD" w:rsidP="001125BA">
      <w:pPr>
        <w:pStyle w:val="ListParagraph"/>
        <w:numPr>
          <w:ilvl w:val="0"/>
          <w:numId w:val="4"/>
        </w:numPr>
        <w:jc w:val="both"/>
        <w:rPr>
          <w:rFonts w:ascii="Arial" w:hAnsi="Arial" w:cs="Arial"/>
        </w:rPr>
      </w:pPr>
      <w:r w:rsidRPr="00B80B1E">
        <w:rPr>
          <w:rFonts w:ascii="Arial" w:hAnsi="Arial" w:cs="Arial"/>
          <w:b/>
          <w:bCs/>
        </w:rPr>
        <w:t>Develop a package</w:t>
      </w:r>
      <w:r w:rsidR="001125BA" w:rsidRPr="00B80B1E">
        <w:rPr>
          <w:rFonts w:ascii="Arial" w:hAnsi="Arial" w:cs="Arial"/>
          <w:b/>
          <w:bCs/>
        </w:rPr>
        <w:t xml:space="preserve"> </w:t>
      </w:r>
      <w:r w:rsidRPr="00B80B1E">
        <w:rPr>
          <w:rFonts w:ascii="Arial" w:hAnsi="Arial" w:cs="Arial"/>
          <w:b/>
          <w:bCs/>
        </w:rPr>
        <w:t>of</w:t>
      </w:r>
      <w:r w:rsidR="001125BA" w:rsidRPr="00B80B1E">
        <w:rPr>
          <w:rFonts w:ascii="Arial" w:hAnsi="Arial" w:cs="Arial"/>
          <w:b/>
          <w:bCs/>
        </w:rPr>
        <w:t xml:space="preserve"> recommendations </w:t>
      </w:r>
      <w:r w:rsidRPr="00B80B1E">
        <w:rPr>
          <w:rFonts w:ascii="Arial" w:hAnsi="Arial" w:cs="Arial"/>
          <w:b/>
          <w:bCs/>
        </w:rPr>
        <w:t>on trade and</w:t>
      </w:r>
      <w:r w:rsidR="001125BA" w:rsidRPr="00B80B1E">
        <w:rPr>
          <w:rFonts w:ascii="Arial" w:hAnsi="Arial" w:cs="Arial"/>
          <w:b/>
          <w:bCs/>
        </w:rPr>
        <w:t xml:space="preserve"> the circular economy.</w:t>
      </w:r>
      <w:r w:rsidR="001125BA" w:rsidRPr="00B80B1E">
        <w:rPr>
          <w:rFonts w:ascii="Arial" w:hAnsi="Arial" w:cs="Arial"/>
        </w:rPr>
        <w:t xml:space="preserve"> Government and private sector interest in circular economy approaches is rapidly growing. Members should move beyond mere policy dialogue within the Committee on Trade and Environment and agree to a roadmap that focuses on (i) improving their collective understanding of how trade interacts with the circular economy; (ii) building trust and confidence to engage in mutually beneficial trade related to circular economy activities; (iii) opening and facilitating trade in key areas of the circular economy; and (iv) supporting efforts in developing countries to seize the potential environmental, economic and trade benefits of a circular economy.</w:t>
      </w:r>
    </w:p>
    <w:p w14:paraId="5DBEAA99" w14:textId="77777777" w:rsidR="001125BA" w:rsidRPr="00B80B1E" w:rsidRDefault="001125BA" w:rsidP="001125BA">
      <w:pPr>
        <w:pStyle w:val="ListParagraph"/>
        <w:rPr>
          <w:rFonts w:ascii="Arial" w:hAnsi="Arial" w:cs="Arial"/>
        </w:rPr>
      </w:pPr>
    </w:p>
    <w:p w14:paraId="757CB585" w14:textId="2FF7282F" w:rsidR="00EC48AE" w:rsidRPr="00B80B1E" w:rsidRDefault="001125BA" w:rsidP="00B80B1E">
      <w:pPr>
        <w:pStyle w:val="ListParagraph"/>
        <w:numPr>
          <w:ilvl w:val="0"/>
          <w:numId w:val="4"/>
        </w:numPr>
        <w:jc w:val="both"/>
        <w:rPr>
          <w:rFonts w:ascii="Arial" w:hAnsi="Arial" w:cs="Arial"/>
        </w:rPr>
      </w:pPr>
      <w:r w:rsidRPr="00B80B1E">
        <w:rPr>
          <w:rFonts w:ascii="Arial" w:hAnsi="Arial" w:cs="Arial"/>
          <w:b/>
          <w:bCs/>
        </w:rPr>
        <w:t xml:space="preserve">Agree to a formal roadmap to address specific issues on trade and environmental sustainability. </w:t>
      </w:r>
      <w:r w:rsidR="009A46B9" w:rsidRPr="00B80B1E">
        <w:rPr>
          <w:rFonts w:ascii="Arial" w:hAnsi="Arial" w:cs="Arial"/>
        </w:rPr>
        <w:t>Members should remove tariffs on environmental goods, revive the stalled Environmental Goods Agreement, and expand its coverage to liberalise trade in environmental services.</w:t>
      </w:r>
      <w:r w:rsidR="00613169" w:rsidRPr="00B80B1E">
        <w:rPr>
          <w:rFonts w:ascii="Arial" w:hAnsi="Arial" w:cs="Arial"/>
        </w:rPr>
        <w:t xml:space="preserve"> </w:t>
      </w:r>
      <w:r w:rsidR="00B70DF7" w:rsidRPr="00B80B1E">
        <w:rPr>
          <w:rFonts w:ascii="Arial" w:hAnsi="Arial" w:cs="Arial"/>
        </w:rPr>
        <w:t xml:space="preserve">Members should launch discussions as quickly as possible so as to ensure the multilateral trading system meaningfully assists governments meet the goals of the Paris Agreement and reach net-zero greenhouse gas emissions by 2050. </w:t>
      </w:r>
      <w:r w:rsidR="00613169" w:rsidRPr="00B80B1E">
        <w:rPr>
          <w:rFonts w:ascii="Arial" w:hAnsi="Arial" w:cs="Arial"/>
        </w:rPr>
        <w:t>We strongly support the Structured Discussions on Trade and Environmental Sustainability and the Informal Working Group on Plastics, and we encourage greater engagement by Members.</w:t>
      </w:r>
    </w:p>
    <w:p w14:paraId="171AAD72" w14:textId="77777777" w:rsidR="00EC48AE" w:rsidRPr="00B80B1E" w:rsidRDefault="00EC48AE" w:rsidP="00EC48AE">
      <w:pPr>
        <w:pStyle w:val="ListParagraph"/>
        <w:ind w:left="360"/>
        <w:jc w:val="both"/>
        <w:rPr>
          <w:rFonts w:ascii="Arial" w:hAnsi="Arial" w:cs="Arial"/>
        </w:rPr>
      </w:pPr>
    </w:p>
    <w:p w14:paraId="202E7299" w14:textId="6914A093" w:rsidR="00D02148" w:rsidRPr="00B80B1E" w:rsidRDefault="00D02148" w:rsidP="00D02148">
      <w:pPr>
        <w:pStyle w:val="Heading2"/>
        <w:rPr>
          <w:rFonts w:ascii="Arial" w:hAnsi="Arial" w:cs="Arial"/>
        </w:rPr>
      </w:pPr>
      <w:r w:rsidRPr="00B80B1E">
        <w:rPr>
          <w:rFonts w:ascii="Arial" w:hAnsi="Arial" w:cs="Arial"/>
        </w:rPr>
        <w:t xml:space="preserve">III. </w:t>
      </w:r>
      <w:r w:rsidR="00C70479" w:rsidRPr="00B80B1E">
        <w:rPr>
          <w:rFonts w:ascii="Arial" w:hAnsi="Arial" w:cs="Arial"/>
        </w:rPr>
        <w:t>A forward</w:t>
      </w:r>
      <w:r w:rsidR="005B6AA8" w:rsidRPr="00B80B1E">
        <w:rPr>
          <w:rFonts w:ascii="Arial" w:hAnsi="Arial" w:cs="Arial"/>
        </w:rPr>
        <w:t>-looking</w:t>
      </w:r>
      <w:r w:rsidR="00C70479" w:rsidRPr="00B80B1E">
        <w:rPr>
          <w:rFonts w:ascii="Arial" w:hAnsi="Arial" w:cs="Arial"/>
        </w:rPr>
        <w:t xml:space="preserve"> agenda</w:t>
      </w:r>
      <w:r w:rsidRPr="00B80B1E">
        <w:rPr>
          <w:rFonts w:ascii="Arial" w:hAnsi="Arial" w:cs="Arial"/>
        </w:rPr>
        <w:t xml:space="preserve"> </w:t>
      </w:r>
    </w:p>
    <w:p w14:paraId="4B06E6CF" w14:textId="109A2E60" w:rsidR="00C92169" w:rsidRPr="00B80B1E" w:rsidRDefault="00C92169" w:rsidP="00C92169">
      <w:pPr>
        <w:jc w:val="both"/>
        <w:rPr>
          <w:rFonts w:ascii="Arial" w:hAnsi="Arial" w:cs="Arial"/>
        </w:rPr>
      </w:pPr>
      <w:r w:rsidRPr="00B80B1E">
        <w:rPr>
          <w:rFonts w:ascii="Arial" w:hAnsi="Arial" w:cs="Arial"/>
        </w:rPr>
        <w:t>For some elements of WTO reform we need to look beyond MC12. WTO Members should be guided by the following issues in scoping out WTO reform efforts:</w:t>
      </w:r>
    </w:p>
    <w:p w14:paraId="6DD0F680" w14:textId="17C1C480" w:rsidR="00F53716" w:rsidRPr="00B80B1E" w:rsidRDefault="00F53716" w:rsidP="00EC48AE">
      <w:pPr>
        <w:pStyle w:val="ListParagraph"/>
        <w:numPr>
          <w:ilvl w:val="0"/>
          <w:numId w:val="3"/>
        </w:numPr>
        <w:rPr>
          <w:rFonts w:ascii="Arial" w:hAnsi="Arial" w:cs="Arial"/>
        </w:rPr>
      </w:pPr>
      <w:r w:rsidRPr="00B80B1E">
        <w:rPr>
          <w:rFonts w:ascii="Arial" w:hAnsi="Arial" w:cs="Arial"/>
          <w:b/>
          <w:bCs/>
        </w:rPr>
        <w:t>Agree on a coherent holistic vision for WTO reform.</w:t>
      </w:r>
      <w:r w:rsidRPr="00B80B1E">
        <w:rPr>
          <w:rFonts w:ascii="Arial" w:hAnsi="Arial" w:cs="Arial"/>
        </w:rPr>
        <w:t xml:space="preserve"> </w:t>
      </w:r>
      <w:r w:rsidR="00886C5F" w:rsidRPr="00B80B1E">
        <w:rPr>
          <w:rFonts w:ascii="Arial" w:hAnsi="Arial" w:cs="Arial"/>
        </w:rPr>
        <w:t xml:space="preserve">Above all, </w:t>
      </w:r>
      <w:r w:rsidR="00762F90" w:rsidRPr="00B80B1E">
        <w:rPr>
          <w:rFonts w:ascii="Arial" w:hAnsi="Arial" w:cs="Arial"/>
        </w:rPr>
        <w:t xml:space="preserve">WTO Members must give leader-level political support </w:t>
      </w:r>
      <w:r w:rsidR="00717CFD" w:rsidRPr="00B80B1E">
        <w:rPr>
          <w:rFonts w:ascii="Arial" w:hAnsi="Arial" w:cs="Arial"/>
        </w:rPr>
        <w:t>to make the necessary reforms and improve the functions of the WTO</w:t>
      </w:r>
      <w:r w:rsidR="00762F90" w:rsidRPr="00B80B1E">
        <w:rPr>
          <w:rFonts w:ascii="Arial" w:hAnsi="Arial" w:cs="Arial"/>
        </w:rPr>
        <w:t>. Leaders should agree to a collective vision on the common objectives and foundational principles of the WTO</w:t>
      </w:r>
      <w:r w:rsidR="001B4410" w:rsidRPr="00B80B1E">
        <w:rPr>
          <w:rFonts w:ascii="Arial" w:hAnsi="Arial" w:cs="Arial"/>
        </w:rPr>
        <w:t>, including market access and trade liberalisation,</w:t>
      </w:r>
      <w:r w:rsidR="00762F90" w:rsidRPr="00B80B1E">
        <w:rPr>
          <w:rFonts w:ascii="Arial" w:hAnsi="Arial" w:cs="Arial"/>
        </w:rPr>
        <w:t xml:space="preserve"> and the key areas of reform to prioritise.</w:t>
      </w:r>
      <w:r w:rsidR="00886C5F" w:rsidRPr="00B80B1E">
        <w:rPr>
          <w:rFonts w:ascii="Arial" w:hAnsi="Arial" w:cs="Arial"/>
        </w:rPr>
        <w:t xml:space="preserve"> Leaders should mandate trade ministers to agree to a package of reforms covering all three functions of the organisation – negotiations, dispute settlement and monitoring. </w:t>
      </w:r>
    </w:p>
    <w:p w14:paraId="6EE0C75D" w14:textId="77777777" w:rsidR="00F53716" w:rsidRPr="00B80B1E" w:rsidRDefault="00F53716" w:rsidP="00EC48AE">
      <w:pPr>
        <w:pStyle w:val="ListParagraph"/>
        <w:ind w:left="360"/>
        <w:jc w:val="both"/>
        <w:rPr>
          <w:rFonts w:ascii="Arial" w:hAnsi="Arial" w:cs="Arial"/>
        </w:rPr>
      </w:pPr>
    </w:p>
    <w:p w14:paraId="2459CE98" w14:textId="370EF551" w:rsidR="001B4410" w:rsidRPr="00B80B1E" w:rsidRDefault="00886C5F" w:rsidP="00195987">
      <w:pPr>
        <w:pStyle w:val="ListParagraph"/>
        <w:numPr>
          <w:ilvl w:val="0"/>
          <w:numId w:val="3"/>
        </w:numPr>
        <w:jc w:val="both"/>
        <w:rPr>
          <w:rFonts w:ascii="Arial" w:hAnsi="Arial" w:cs="Arial"/>
        </w:rPr>
      </w:pPr>
      <w:r w:rsidRPr="00B80B1E">
        <w:rPr>
          <w:rFonts w:ascii="Arial" w:hAnsi="Arial" w:cs="Arial"/>
          <w:b/>
          <w:bCs/>
        </w:rPr>
        <w:t xml:space="preserve">Agree on a path forward to improving the negotiation function. </w:t>
      </w:r>
      <w:r w:rsidRPr="00B80B1E">
        <w:rPr>
          <w:rFonts w:ascii="Arial" w:hAnsi="Arial" w:cs="Arial"/>
        </w:rPr>
        <w:t xml:space="preserve"> This should include recognising the legitimacy, legality and need for advancing rule-making through so-called plurilateral negotiations exemplified by the “Joint Statement Initiatives”. Global business, including in developing countries has very high regard for the progress made since MC11 </w:t>
      </w:r>
      <w:r w:rsidRPr="00B80B1E">
        <w:rPr>
          <w:rFonts w:ascii="Arial" w:hAnsi="Arial" w:cs="Arial"/>
        </w:rPr>
        <w:lastRenderedPageBreak/>
        <w:t xml:space="preserve">on the various JSIs under negotiation. WTO Members should recognise the power of plurilateral negotiations in writing trade rules fit for the twenty-first century and as a central means through which governments can achieve critical development outcomes, combat poverty and reduce inequality between nations. </w:t>
      </w:r>
      <w:r w:rsidR="001B4410" w:rsidRPr="00B80B1E">
        <w:rPr>
          <w:rFonts w:ascii="Arial" w:hAnsi="Arial" w:cs="Arial"/>
        </w:rPr>
        <w:t>WTO members should explore new approaches and rulemaking structures, including formalized cross-institutional dialogue, as appropriate.</w:t>
      </w:r>
    </w:p>
    <w:p w14:paraId="24576993" w14:textId="77777777" w:rsidR="001B4410" w:rsidRPr="00B80B1E" w:rsidRDefault="001B4410" w:rsidP="00EC48AE">
      <w:pPr>
        <w:pStyle w:val="ListParagraph"/>
        <w:rPr>
          <w:rFonts w:ascii="Arial" w:hAnsi="Arial" w:cs="Arial"/>
          <w:b/>
          <w:bCs/>
        </w:rPr>
      </w:pPr>
    </w:p>
    <w:p w14:paraId="467C46E4" w14:textId="7B417D84" w:rsidR="00886C5F" w:rsidRPr="00B80B1E" w:rsidRDefault="001B4410" w:rsidP="00195987">
      <w:pPr>
        <w:pStyle w:val="ListParagraph"/>
        <w:numPr>
          <w:ilvl w:val="0"/>
          <w:numId w:val="3"/>
        </w:numPr>
        <w:jc w:val="both"/>
        <w:rPr>
          <w:rFonts w:ascii="Arial" w:hAnsi="Arial" w:cs="Arial"/>
        </w:rPr>
      </w:pPr>
      <w:r w:rsidRPr="00B80B1E">
        <w:rPr>
          <w:rFonts w:ascii="Arial" w:hAnsi="Arial" w:cs="Arial"/>
          <w:b/>
          <w:bCs/>
        </w:rPr>
        <w:t>A</w:t>
      </w:r>
      <w:r w:rsidR="00886C5F" w:rsidRPr="00B80B1E">
        <w:rPr>
          <w:rFonts w:ascii="Arial" w:hAnsi="Arial" w:cs="Arial"/>
          <w:b/>
          <w:bCs/>
        </w:rPr>
        <w:t>dopt a new evidence-based, case-by-</w:t>
      </w:r>
      <w:r w:rsidRPr="00B80B1E">
        <w:rPr>
          <w:rFonts w:ascii="Arial" w:hAnsi="Arial" w:cs="Arial"/>
          <w:b/>
          <w:bCs/>
        </w:rPr>
        <w:t>c</w:t>
      </w:r>
      <w:r w:rsidR="00886C5F" w:rsidRPr="00B80B1E">
        <w:rPr>
          <w:rFonts w:ascii="Arial" w:hAnsi="Arial" w:cs="Arial"/>
          <w:b/>
          <w:bCs/>
        </w:rPr>
        <w:t xml:space="preserve">ase approach to </w:t>
      </w:r>
      <w:r w:rsidRPr="00B80B1E">
        <w:rPr>
          <w:rFonts w:ascii="Arial" w:hAnsi="Arial" w:cs="Arial"/>
          <w:b/>
          <w:bCs/>
        </w:rPr>
        <w:t xml:space="preserve">Special and Differential Treatment. </w:t>
      </w:r>
      <w:r w:rsidR="00886C5F" w:rsidRPr="00B80B1E">
        <w:rPr>
          <w:rFonts w:ascii="Arial" w:hAnsi="Arial" w:cs="Arial"/>
        </w:rPr>
        <w:t xml:space="preserve"> </w:t>
      </w:r>
      <w:r w:rsidRPr="00B80B1E">
        <w:rPr>
          <w:rFonts w:ascii="Arial" w:hAnsi="Arial" w:cs="Arial"/>
        </w:rPr>
        <w:t>SDT is a critical element of the trading system that provides flexibilities to developing countries. To retain its integrity, however, there is a need for a new evidence-based, case-by-case approach to SDT based on objective economic criteria. This would provide</w:t>
      </w:r>
      <w:r w:rsidR="00886C5F" w:rsidRPr="00B80B1E">
        <w:rPr>
          <w:rFonts w:ascii="Arial" w:hAnsi="Arial" w:cs="Arial"/>
        </w:rPr>
        <w:t xml:space="preserve"> business with greater certainty as to the application of WTO rules</w:t>
      </w:r>
      <w:r w:rsidRPr="00B80B1E">
        <w:rPr>
          <w:rFonts w:ascii="Arial" w:hAnsi="Arial" w:cs="Arial"/>
        </w:rPr>
        <w:t>, help ensure</w:t>
      </w:r>
      <w:r w:rsidR="00886C5F" w:rsidRPr="00B80B1E">
        <w:rPr>
          <w:rFonts w:ascii="Arial" w:hAnsi="Arial" w:cs="Arial"/>
        </w:rPr>
        <w:t xml:space="preserve"> for a</w:t>
      </w:r>
      <w:r w:rsidRPr="00B80B1E">
        <w:rPr>
          <w:rFonts w:ascii="Arial" w:hAnsi="Arial" w:cs="Arial"/>
        </w:rPr>
        <w:t xml:space="preserve"> genuinely</w:t>
      </w:r>
      <w:r w:rsidR="00886C5F" w:rsidRPr="00B80B1E">
        <w:rPr>
          <w:rFonts w:ascii="Arial" w:hAnsi="Arial" w:cs="Arial"/>
        </w:rPr>
        <w:t xml:space="preserve"> level playing field</w:t>
      </w:r>
      <w:r w:rsidRPr="00B80B1E">
        <w:rPr>
          <w:rFonts w:ascii="Arial" w:hAnsi="Arial" w:cs="Arial"/>
        </w:rPr>
        <w:t>, and enable the full participation of developing countries in the multilateral trading system</w:t>
      </w:r>
      <w:r w:rsidR="00957012" w:rsidRPr="00B80B1E">
        <w:rPr>
          <w:rFonts w:ascii="Arial" w:hAnsi="Arial" w:cs="Arial"/>
        </w:rPr>
        <w:t>.</w:t>
      </w:r>
    </w:p>
    <w:p w14:paraId="28B87A29" w14:textId="77777777" w:rsidR="00886C5F" w:rsidRPr="00B80B1E" w:rsidRDefault="00886C5F" w:rsidP="00EC48AE">
      <w:pPr>
        <w:pStyle w:val="ListParagraph"/>
        <w:rPr>
          <w:rFonts w:ascii="Arial" w:hAnsi="Arial" w:cs="Arial"/>
          <w:b/>
          <w:bCs/>
        </w:rPr>
      </w:pPr>
    </w:p>
    <w:p w14:paraId="5A0C1BA4" w14:textId="233F47CB" w:rsidR="00D02148" w:rsidRPr="00B80B1E" w:rsidRDefault="00831DFD" w:rsidP="00195987">
      <w:pPr>
        <w:pStyle w:val="ListParagraph"/>
        <w:numPr>
          <w:ilvl w:val="0"/>
          <w:numId w:val="3"/>
        </w:numPr>
        <w:jc w:val="both"/>
        <w:rPr>
          <w:rFonts w:ascii="Arial" w:hAnsi="Arial" w:cs="Arial"/>
        </w:rPr>
      </w:pPr>
      <w:r w:rsidRPr="00B80B1E">
        <w:rPr>
          <w:rFonts w:ascii="Arial" w:hAnsi="Arial" w:cs="Arial"/>
          <w:b/>
          <w:bCs/>
        </w:rPr>
        <w:t xml:space="preserve">Agree on a path forward for </w:t>
      </w:r>
      <w:r w:rsidR="00C9376A" w:rsidRPr="00B80B1E">
        <w:rPr>
          <w:rFonts w:ascii="Arial" w:hAnsi="Arial" w:cs="Arial"/>
          <w:b/>
          <w:bCs/>
        </w:rPr>
        <w:t>reforming the dispute settlement system</w:t>
      </w:r>
      <w:r w:rsidRPr="00B80B1E">
        <w:rPr>
          <w:rFonts w:ascii="Arial" w:hAnsi="Arial" w:cs="Arial"/>
          <w:b/>
          <w:bCs/>
        </w:rPr>
        <w:t>.</w:t>
      </w:r>
      <w:r w:rsidR="00195987" w:rsidRPr="00B80B1E">
        <w:rPr>
          <w:rFonts w:ascii="Arial" w:hAnsi="Arial" w:cs="Arial"/>
          <w:b/>
          <w:bCs/>
        </w:rPr>
        <w:t xml:space="preserve"> </w:t>
      </w:r>
      <w:r w:rsidR="00C9376A" w:rsidRPr="00B80B1E">
        <w:rPr>
          <w:rFonts w:ascii="Arial" w:hAnsi="Arial" w:cs="Arial"/>
        </w:rPr>
        <w:t xml:space="preserve">The WTO must have a functioning dispute settlement system. </w:t>
      </w:r>
      <w:r w:rsidR="00886C5F" w:rsidRPr="00B80B1E">
        <w:rPr>
          <w:rFonts w:ascii="Arial" w:hAnsi="Arial" w:cs="Arial"/>
        </w:rPr>
        <w:t>W</w:t>
      </w:r>
      <w:r w:rsidR="00BA53C5" w:rsidRPr="00B80B1E">
        <w:rPr>
          <w:rFonts w:ascii="Arial" w:hAnsi="Arial" w:cs="Arial"/>
        </w:rPr>
        <w:t>e</w:t>
      </w:r>
      <w:r w:rsidR="00886C5F" w:rsidRPr="00B80B1E">
        <w:rPr>
          <w:rFonts w:ascii="Arial" w:hAnsi="Arial" w:cs="Arial"/>
        </w:rPr>
        <w:t xml:space="preserve"> appreciate efforts of many governments to provide </w:t>
      </w:r>
      <w:r w:rsidR="00BA53C5" w:rsidRPr="00B80B1E">
        <w:rPr>
          <w:rFonts w:ascii="Arial" w:hAnsi="Arial" w:cs="Arial"/>
        </w:rPr>
        <w:t>temporary solutions to t</w:t>
      </w:r>
      <w:r w:rsidR="00C9376A" w:rsidRPr="00B80B1E">
        <w:rPr>
          <w:rFonts w:ascii="Arial" w:hAnsi="Arial" w:cs="Arial"/>
        </w:rPr>
        <w:t xml:space="preserve">he “Appellate Body impasse” </w:t>
      </w:r>
      <w:r w:rsidR="00BA53C5" w:rsidRPr="00B80B1E">
        <w:rPr>
          <w:rFonts w:ascii="Arial" w:hAnsi="Arial" w:cs="Arial"/>
        </w:rPr>
        <w:t xml:space="preserve">through the creation of the </w:t>
      </w:r>
      <w:r w:rsidR="00C33AEB" w:rsidRPr="00B80B1E">
        <w:rPr>
          <w:rFonts w:ascii="Arial" w:hAnsi="Arial" w:cs="Arial"/>
        </w:rPr>
        <w:t>Multi-Party Interim Appeal Arrangement</w:t>
      </w:r>
      <w:r w:rsidR="00E9230D" w:rsidRPr="00B80B1E">
        <w:rPr>
          <w:rFonts w:ascii="Arial" w:hAnsi="Arial" w:cs="Arial"/>
        </w:rPr>
        <w:t xml:space="preserve">. However, this alone is insufficient: </w:t>
      </w:r>
      <w:r w:rsidR="00BA53C5" w:rsidRPr="00B80B1E">
        <w:rPr>
          <w:rFonts w:ascii="Arial" w:hAnsi="Arial" w:cs="Arial"/>
        </w:rPr>
        <w:t xml:space="preserve">the global business community needs a permanent solution </w:t>
      </w:r>
      <w:r w:rsidR="00C9376A" w:rsidRPr="00B80B1E">
        <w:rPr>
          <w:rFonts w:ascii="Arial" w:hAnsi="Arial" w:cs="Arial"/>
        </w:rPr>
        <w:t>that allows disputes to be resolved with finality</w:t>
      </w:r>
      <w:r w:rsidR="00BA53C5" w:rsidRPr="00B80B1E">
        <w:rPr>
          <w:rFonts w:ascii="Arial" w:hAnsi="Arial" w:cs="Arial"/>
        </w:rPr>
        <w:t>, predictability</w:t>
      </w:r>
      <w:r w:rsidR="00C9376A" w:rsidRPr="00B80B1E">
        <w:rPr>
          <w:rFonts w:ascii="Arial" w:hAnsi="Arial" w:cs="Arial"/>
        </w:rPr>
        <w:t xml:space="preserve"> and certainty in a commercially relevant timeframe.</w:t>
      </w:r>
      <w:r w:rsidR="00BA53C5" w:rsidRPr="00B80B1E">
        <w:rPr>
          <w:rFonts w:ascii="Arial" w:hAnsi="Arial" w:cs="Arial"/>
        </w:rPr>
        <w:t xml:space="preserve"> </w:t>
      </w:r>
    </w:p>
    <w:p w14:paraId="46E83EB0" w14:textId="77777777" w:rsidR="00BA53C5" w:rsidRPr="00B80B1E" w:rsidRDefault="00BA53C5" w:rsidP="00EC48AE">
      <w:pPr>
        <w:pStyle w:val="ListParagraph"/>
        <w:rPr>
          <w:rFonts w:ascii="Arial" w:hAnsi="Arial" w:cs="Arial"/>
        </w:rPr>
      </w:pPr>
    </w:p>
    <w:p w14:paraId="097E21ED" w14:textId="44E33EF1" w:rsidR="00BA53C5" w:rsidRPr="00B80B1E" w:rsidRDefault="00BA53C5" w:rsidP="00195987">
      <w:pPr>
        <w:pStyle w:val="ListParagraph"/>
        <w:numPr>
          <w:ilvl w:val="0"/>
          <w:numId w:val="3"/>
        </w:numPr>
        <w:jc w:val="both"/>
        <w:rPr>
          <w:rFonts w:ascii="Arial" w:hAnsi="Arial" w:cs="Arial"/>
        </w:rPr>
      </w:pPr>
      <w:r w:rsidRPr="00B80B1E">
        <w:rPr>
          <w:rFonts w:ascii="Arial" w:hAnsi="Arial" w:cs="Arial"/>
          <w:b/>
          <w:bCs/>
        </w:rPr>
        <w:t xml:space="preserve">Agree to improve the Secretariat’s capacity to monitor trade policy developments.  </w:t>
      </w:r>
      <w:r w:rsidRPr="00B80B1E">
        <w:rPr>
          <w:rFonts w:ascii="Arial" w:hAnsi="Arial" w:cs="Arial"/>
        </w:rPr>
        <w:t>Members have not adhered sufficiently to their notification obligations. This undermines faith in the multilateral trading system and limits the utility of Secretariat monitoring for business. Members should develop a framework that creates greater incentives for compliance with notification obligations. Further, in the modern digital era, Members should be compelled to notify changes in trade policy within much shorter timeframes. The Secretariat should be empowered to monitor independently changes without relying exclusively on notifications, and be given the far more resources to do this in a timely and comprehensive manner. Developing countries should be provided financial and technical assistance, where required, to boost their capacity to comply with notification obligations.</w:t>
      </w:r>
    </w:p>
    <w:p w14:paraId="13C9ADC1" w14:textId="7DFEF422" w:rsidR="00831DFD" w:rsidRPr="00B80B1E" w:rsidRDefault="00831DFD" w:rsidP="00831DFD">
      <w:pPr>
        <w:pStyle w:val="ListParagraph"/>
        <w:rPr>
          <w:rFonts w:ascii="Arial" w:hAnsi="Arial" w:cs="Arial"/>
        </w:rPr>
      </w:pPr>
    </w:p>
    <w:p w14:paraId="1FA6956F" w14:textId="5D9EB88D" w:rsidR="00302F49" w:rsidRPr="00B80B1E" w:rsidRDefault="00302F49" w:rsidP="00911EFD">
      <w:pPr>
        <w:pStyle w:val="ListParagraph"/>
        <w:numPr>
          <w:ilvl w:val="0"/>
          <w:numId w:val="3"/>
        </w:numPr>
        <w:jc w:val="both"/>
        <w:rPr>
          <w:rFonts w:ascii="Arial" w:hAnsi="Arial" w:cs="Arial"/>
        </w:rPr>
      </w:pPr>
      <w:r w:rsidRPr="00B80B1E">
        <w:rPr>
          <w:rFonts w:ascii="Arial" w:hAnsi="Arial" w:cs="Arial"/>
          <w:b/>
          <w:bCs/>
        </w:rPr>
        <w:t xml:space="preserve">Identify new areas for rulemaking based on best practice from bilateral and regional trade agreements. </w:t>
      </w:r>
      <w:r w:rsidRPr="00B80B1E">
        <w:rPr>
          <w:rFonts w:ascii="Arial" w:hAnsi="Arial" w:cs="Arial"/>
        </w:rPr>
        <w:t>Global business has appreciated government efforts to write new “WTO+” and “</w:t>
      </w:r>
      <w:proofErr w:type="spellStart"/>
      <w:r w:rsidRPr="00B80B1E">
        <w:rPr>
          <w:rFonts w:ascii="Arial" w:hAnsi="Arial" w:cs="Arial"/>
        </w:rPr>
        <w:t>WTO</w:t>
      </w:r>
      <w:r w:rsidR="00E9230D" w:rsidRPr="00B80B1E">
        <w:rPr>
          <w:rFonts w:ascii="Arial" w:hAnsi="Arial" w:cs="Arial"/>
        </w:rPr>
        <w:t>x</w:t>
      </w:r>
      <w:proofErr w:type="spellEnd"/>
      <w:r w:rsidRPr="00B80B1E">
        <w:rPr>
          <w:rFonts w:ascii="Arial" w:hAnsi="Arial" w:cs="Arial"/>
        </w:rPr>
        <w:t xml:space="preserve">” rules. Hundreds of preferential trade agreements deal with </w:t>
      </w:r>
      <w:r w:rsidR="00957012" w:rsidRPr="00B80B1E">
        <w:rPr>
          <w:rFonts w:ascii="Arial" w:hAnsi="Arial" w:cs="Arial"/>
        </w:rPr>
        <w:t xml:space="preserve">topics such as competition policy, investment, movement of capital, intellectual property rights, environmental laws and the digital economy – to name a few – in a much more significant way than is presently dealt with by baseline global WTO rules. WTO Members should consider launching JSI-style negotiations on these topics where substantial common ground already exists.  </w:t>
      </w:r>
    </w:p>
    <w:p w14:paraId="54BF83FD" w14:textId="77777777" w:rsidR="00302F49" w:rsidRPr="00B80B1E" w:rsidRDefault="00302F49" w:rsidP="00EC48AE">
      <w:pPr>
        <w:pStyle w:val="ListParagraph"/>
        <w:rPr>
          <w:rFonts w:ascii="Arial" w:hAnsi="Arial" w:cs="Arial"/>
          <w:b/>
          <w:bCs/>
        </w:rPr>
      </w:pPr>
    </w:p>
    <w:p w14:paraId="4D3455D1" w14:textId="7D7669A4" w:rsidR="009075B5" w:rsidRPr="00B80B1E" w:rsidRDefault="00831DFD" w:rsidP="00911EFD">
      <w:pPr>
        <w:pStyle w:val="ListParagraph"/>
        <w:numPr>
          <w:ilvl w:val="0"/>
          <w:numId w:val="3"/>
        </w:numPr>
        <w:jc w:val="both"/>
        <w:rPr>
          <w:rFonts w:ascii="Arial" w:hAnsi="Arial" w:cs="Arial"/>
        </w:rPr>
      </w:pPr>
      <w:r w:rsidRPr="00B80B1E">
        <w:rPr>
          <w:rFonts w:ascii="Arial" w:hAnsi="Arial" w:cs="Arial"/>
          <w:b/>
          <w:bCs/>
        </w:rPr>
        <w:t xml:space="preserve">Launch negotiations on a long-term approach to </w:t>
      </w:r>
      <w:r w:rsidR="000C23DC" w:rsidRPr="00B80B1E">
        <w:rPr>
          <w:rFonts w:ascii="Arial" w:hAnsi="Arial" w:cs="Arial"/>
          <w:b/>
          <w:bCs/>
        </w:rPr>
        <w:t xml:space="preserve">healthcare and </w:t>
      </w:r>
      <w:r w:rsidRPr="00B80B1E">
        <w:rPr>
          <w:rFonts w:ascii="Arial" w:hAnsi="Arial" w:cs="Arial"/>
          <w:b/>
          <w:bCs/>
        </w:rPr>
        <w:t>pandemic preparedness</w:t>
      </w:r>
      <w:r w:rsidR="00AC526C" w:rsidRPr="00B80B1E">
        <w:rPr>
          <w:rFonts w:ascii="Arial" w:hAnsi="Arial" w:cs="Arial"/>
          <w:b/>
          <w:bCs/>
        </w:rPr>
        <w:t>.</w:t>
      </w:r>
      <w:r w:rsidR="009075B5" w:rsidRPr="00B80B1E">
        <w:rPr>
          <w:rFonts w:ascii="Arial" w:hAnsi="Arial" w:cs="Arial"/>
        </w:rPr>
        <w:t xml:space="preserve"> The pandemic has exposed a pressing need for new commitments on healthcare and pandemic preparedness across a range of portfolios, not least international trade. </w:t>
      </w:r>
      <w:r w:rsidR="00AC526C" w:rsidRPr="00B80B1E">
        <w:rPr>
          <w:rFonts w:ascii="Arial" w:hAnsi="Arial" w:cs="Arial"/>
        </w:rPr>
        <w:t>Informed by the Trade and Health Initiative</w:t>
      </w:r>
      <w:r w:rsidR="009075B5" w:rsidRPr="00B80B1E">
        <w:rPr>
          <w:rFonts w:ascii="Arial" w:hAnsi="Arial" w:cs="Arial"/>
        </w:rPr>
        <w:t xml:space="preserve">, WTO members should embark on structured negotiations that encompass, </w:t>
      </w:r>
      <w:r w:rsidR="009075B5" w:rsidRPr="00B80B1E">
        <w:rPr>
          <w:rFonts w:ascii="Arial" w:hAnsi="Arial" w:cs="Arial"/>
          <w:i/>
          <w:iCs/>
        </w:rPr>
        <w:t>inter alia</w:t>
      </w:r>
      <w:r w:rsidR="009075B5" w:rsidRPr="00B80B1E">
        <w:rPr>
          <w:rFonts w:ascii="Arial" w:hAnsi="Arial" w:cs="Arial"/>
        </w:rPr>
        <w:t>, the e</w:t>
      </w:r>
      <w:r w:rsidR="000C23DC" w:rsidRPr="00B80B1E">
        <w:rPr>
          <w:rFonts w:ascii="Arial" w:hAnsi="Arial" w:cs="Arial"/>
        </w:rPr>
        <w:t>limination of tariffs on medical goods</w:t>
      </w:r>
      <w:r w:rsidR="00911EFD" w:rsidRPr="00B80B1E">
        <w:rPr>
          <w:rFonts w:ascii="Arial" w:hAnsi="Arial" w:cs="Arial"/>
        </w:rPr>
        <w:t>;</w:t>
      </w:r>
      <w:r w:rsidR="009075B5" w:rsidRPr="00B80B1E">
        <w:rPr>
          <w:rFonts w:ascii="Arial" w:hAnsi="Arial" w:cs="Arial"/>
        </w:rPr>
        <w:t xml:space="preserve"> t</w:t>
      </w:r>
      <w:r w:rsidRPr="00B80B1E">
        <w:rPr>
          <w:rFonts w:ascii="Arial" w:hAnsi="Arial" w:cs="Arial"/>
        </w:rPr>
        <w:t>rade-facilitating measures relating to vaccine access</w:t>
      </w:r>
      <w:r w:rsidR="009075B5" w:rsidRPr="00B80B1E">
        <w:rPr>
          <w:rFonts w:ascii="Arial" w:hAnsi="Arial" w:cs="Arial"/>
        </w:rPr>
        <w:t>, c</w:t>
      </w:r>
      <w:r w:rsidRPr="00B80B1E">
        <w:rPr>
          <w:rFonts w:ascii="Arial" w:hAnsi="Arial" w:cs="Arial"/>
        </w:rPr>
        <w:t>ustoms and logistics</w:t>
      </w:r>
      <w:r w:rsidR="00911EFD" w:rsidRPr="00B80B1E">
        <w:rPr>
          <w:rFonts w:ascii="Arial" w:hAnsi="Arial" w:cs="Arial"/>
        </w:rPr>
        <w:t>;</w:t>
      </w:r>
      <w:r w:rsidR="009075B5" w:rsidRPr="00B80B1E">
        <w:rPr>
          <w:rFonts w:ascii="Arial" w:hAnsi="Arial" w:cs="Arial"/>
        </w:rPr>
        <w:t xml:space="preserve"> n</w:t>
      </w:r>
      <w:r w:rsidRPr="00B80B1E">
        <w:rPr>
          <w:rFonts w:ascii="Arial" w:hAnsi="Arial" w:cs="Arial"/>
        </w:rPr>
        <w:t>otifications</w:t>
      </w:r>
      <w:r w:rsidR="00911EFD" w:rsidRPr="00B80B1E">
        <w:rPr>
          <w:rFonts w:ascii="Arial" w:hAnsi="Arial" w:cs="Arial"/>
        </w:rPr>
        <w:t>;</w:t>
      </w:r>
      <w:r w:rsidR="009075B5" w:rsidRPr="00B80B1E">
        <w:rPr>
          <w:rFonts w:ascii="Arial" w:hAnsi="Arial" w:cs="Arial"/>
        </w:rPr>
        <w:t xml:space="preserve"> s</w:t>
      </w:r>
      <w:r w:rsidRPr="00B80B1E">
        <w:rPr>
          <w:rFonts w:ascii="Arial" w:hAnsi="Arial" w:cs="Arial"/>
        </w:rPr>
        <w:t xml:space="preserve">tandards </w:t>
      </w:r>
      <w:r w:rsidR="000C23DC" w:rsidRPr="00B80B1E">
        <w:rPr>
          <w:rFonts w:ascii="Arial" w:hAnsi="Arial" w:cs="Arial"/>
        </w:rPr>
        <w:t>harmonisation</w:t>
      </w:r>
      <w:r w:rsidR="00911EFD" w:rsidRPr="00B80B1E">
        <w:rPr>
          <w:rFonts w:ascii="Arial" w:hAnsi="Arial" w:cs="Arial"/>
        </w:rPr>
        <w:t>;</w:t>
      </w:r>
      <w:r w:rsidR="009075B5" w:rsidRPr="00B80B1E">
        <w:rPr>
          <w:rFonts w:ascii="Arial" w:hAnsi="Arial" w:cs="Arial"/>
        </w:rPr>
        <w:t xml:space="preserve"> greater </w:t>
      </w:r>
      <w:r w:rsidRPr="00B80B1E">
        <w:rPr>
          <w:rFonts w:ascii="Arial" w:hAnsi="Arial" w:cs="Arial"/>
        </w:rPr>
        <w:t>movement of health professionals</w:t>
      </w:r>
      <w:r w:rsidR="00911EFD" w:rsidRPr="00B80B1E">
        <w:rPr>
          <w:rFonts w:ascii="Arial" w:hAnsi="Arial" w:cs="Arial"/>
        </w:rPr>
        <w:t>;</w:t>
      </w:r>
      <w:r w:rsidR="009075B5" w:rsidRPr="00B80B1E">
        <w:rPr>
          <w:rFonts w:ascii="Arial" w:hAnsi="Arial" w:cs="Arial"/>
        </w:rPr>
        <w:t xml:space="preserve"> and m</w:t>
      </w:r>
      <w:r w:rsidR="000C23DC" w:rsidRPr="00B80B1E">
        <w:rPr>
          <w:rFonts w:ascii="Arial" w:hAnsi="Arial" w:cs="Arial"/>
        </w:rPr>
        <w:t>utual recognition agreements to speed trade in medical goods</w:t>
      </w:r>
      <w:r w:rsidR="009075B5" w:rsidRPr="00B80B1E">
        <w:rPr>
          <w:rFonts w:ascii="Arial" w:hAnsi="Arial" w:cs="Arial"/>
        </w:rPr>
        <w:t xml:space="preserve">. </w:t>
      </w:r>
      <w:r w:rsidR="00957012" w:rsidRPr="00B80B1E">
        <w:rPr>
          <w:rFonts w:ascii="Arial" w:hAnsi="Arial" w:cs="Arial"/>
        </w:rPr>
        <w:t xml:space="preserve"> Members should also </w:t>
      </w:r>
      <w:r w:rsidR="00957012" w:rsidRPr="00B80B1E">
        <w:rPr>
          <w:rFonts w:ascii="Arial" w:hAnsi="Arial" w:cs="Arial"/>
        </w:rPr>
        <w:lastRenderedPageBreak/>
        <w:t>permanently abolish tariffs on pharmaceutical products, especially those necessary for combatting pandemics and other health crises with particularly significant global economic effects.</w:t>
      </w:r>
    </w:p>
    <w:p w14:paraId="442CBD2A" w14:textId="77777777" w:rsidR="0081747B" w:rsidRPr="00B80B1E" w:rsidRDefault="0081747B" w:rsidP="0081747B">
      <w:pPr>
        <w:pStyle w:val="ListParagraph"/>
        <w:ind w:left="360"/>
        <w:jc w:val="both"/>
        <w:rPr>
          <w:rFonts w:ascii="Arial" w:hAnsi="Arial" w:cs="Arial"/>
        </w:rPr>
      </w:pPr>
    </w:p>
    <w:p w14:paraId="3C8C9956" w14:textId="78E3547A" w:rsidR="0081747B" w:rsidRPr="00B80B1E" w:rsidRDefault="0081747B" w:rsidP="0081747B">
      <w:pPr>
        <w:pStyle w:val="ListParagraph"/>
        <w:numPr>
          <w:ilvl w:val="0"/>
          <w:numId w:val="3"/>
        </w:numPr>
        <w:jc w:val="both"/>
        <w:rPr>
          <w:rFonts w:ascii="Arial" w:hAnsi="Arial" w:cs="Arial"/>
        </w:rPr>
      </w:pPr>
      <w:r w:rsidRPr="00B80B1E">
        <w:rPr>
          <w:rFonts w:ascii="Arial" w:hAnsi="Arial" w:cs="Arial"/>
          <w:b/>
          <w:bCs/>
        </w:rPr>
        <w:t xml:space="preserve">Create a crisis management protocol for future crises. </w:t>
      </w:r>
      <w:r w:rsidRPr="00B80B1E">
        <w:rPr>
          <w:rFonts w:ascii="Arial" w:hAnsi="Arial" w:cs="Arial"/>
        </w:rPr>
        <w:t>The pandemic presented acute challenges to the processes and procedures of multilateral rule-making institutions. We call on Members to task the Secretariat with a thorough review of pandemic-response protocols, with a view to developing a crisis management protocol for future crises that clarifies, among other things, the modalities of negotiating in virtual environments.</w:t>
      </w:r>
    </w:p>
    <w:p w14:paraId="16AF6340" w14:textId="77777777" w:rsidR="000C23DC" w:rsidRPr="00B80B1E" w:rsidRDefault="000C23DC" w:rsidP="000C23DC">
      <w:pPr>
        <w:pStyle w:val="ListParagraph"/>
        <w:rPr>
          <w:rFonts w:ascii="Arial" w:hAnsi="Arial" w:cs="Arial"/>
        </w:rPr>
      </w:pPr>
    </w:p>
    <w:p w14:paraId="3F9372FE" w14:textId="6F316C29" w:rsidR="000C23DC" w:rsidRPr="00B80B1E" w:rsidRDefault="000C23DC" w:rsidP="00B575C5">
      <w:pPr>
        <w:pStyle w:val="ListParagraph"/>
        <w:numPr>
          <w:ilvl w:val="0"/>
          <w:numId w:val="3"/>
        </w:numPr>
        <w:jc w:val="both"/>
        <w:rPr>
          <w:rFonts w:ascii="Arial" w:hAnsi="Arial" w:cs="Arial"/>
          <w:b/>
          <w:bCs/>
        </w:rPr>
      </w:pPr>
      <w:r w:rsidRPr="00B80B1E">
        <w:rPr>
          <w:rFonts w:ascii="Arial" w:hAnsi="Arial" w:cs="Arial"/>
          <w:b/>
          <w:bCs/>
        </w:rPr>
        <w:t>Create a business advisory council and a civil society council.</w:t>
      </w:r>
      <w:r w:rsidR="00B575C5" w:rsidRPr="00B80B1E">
        <w:rPr>
          <w:rFonts w:ascii="Arial" w:hAnsi="Arial" w:cs="Arial"/>
          <w:b/>
          <w:bCs/>
        </w:rPr>
        <w:t xml:space="preserve"> </w:t>
      </w:r>
      <w:r w:rsidR="00B575C5" w:rsidRPr="00B80B1E">
        <w:rPr>
          <w:rFonts w:ascii="Arial" w:hAnsi="Arial" w:cs="Arial"/>
        </w:rPr>
        <w:t xml:space="preserve">While initiatives such as the WTO Public Forum are welcome opportunities to engage, all stakeholders in the multilateral rules-based trading system would benefit from greater opportunities for dialogue – governments, civil society, and the private sector alike. </w:t>
      </w:r>
      <w:r w:rsidR="00C33AEB" w:rsidRPr="00B80B1E">
        <w:rPr>
          <w:rFonts w:ascii="Arial" w:hAnsi="Arial" w:cs="Arial"/>
        </w:rPr>
        <w:t>Creation of</w:t>
      </w:r>
      <w:r w:rsidR="00B575C5" w:rsidRPr="00B80B1E">
        <w:rPr>
          <w:rFonts w:ascii="Arial" w:hAnsi="Arial" w:cs="Arial"/>
        </w:rPr>
        <w:t xml:space="preserve"> advisory councils to crowd in the views of stakeholders</w:t>
      </w:r>
      <w:r w:rsidR="00C33AEB" w:rsidRPr="00B80B1E">
        <w:rPr>
          <w:rFonts w:ascii="Arial" w:hAnsi="Arial" w:cs="Arial"/>
        </w:rPr>
        <w:t xml:space="preserve"> could provide additional opportunities to provide stakeholder views</w:t>
      </w:r>
      <w:r w:rsidR="00B575C5" w:rsidRPr="00B80B1E">
        <w:rPr>
          <w:rFonts w:ascii="Arial" w:hAnsi="Arial" w:cs="Arial"/>
        </w:rPr>
        <w:t>.</w:t>
      </w:r>
      <w:r w:rsidR="00957012" w:rsidRPr="00B80B1E">
        <w:rPr>
          <w:rFonts w:ascii="Arial" w:hAnsi="Arial" w:cs="Arial"/>
        </w:rPr>
        <w:t xml:space="preserve"> </w:t>
      </w:r>
      <w:r w:rsidR="00C33AEB" w:rsidRPr="00B80B1E">
        <w:rPr>
          <w:rFonts w:ascii="Arial" w:hAnsi="Arial" w:cs="Arial"/>
        </w:rPr>
        <w:t>We strongly support the continuation of the Trade Dialogues process and increasing their frequency.</w:t>
      </w:r>
      <w:r w:rsidR="00957012" w:rsidRPr="00B80B1E">
        <w:rPr>
          <w:rFonts w:ascii="Arial" w:hAnsi="Arial" w:cs="Arial"/>
        </w:rPr>
        <w:t xml:space="preserve"> </w:t>
      </w:r>
    </w:p>
    <w:p w14:paraId="19BC3FB1" w14:textId="77777777" w:rsidR="00A43F0C" w:rsidRPr="00B80B1E" w:rsidRDefault="00A43F0C" w:rsidP="00A43F0C">
      <w:pPr>
        <w:pStyle w:val="ListParagraph"/>
        <w:rPr>
          <w:rFonts w:ascii="Arial" w:hAnsi="Arial" w:cs="Arial"/>
        </w:rPr>
      </w:pPr>
    </w:p>
    <w:p w14:paraId="3DE1EB9D" w14:textId="7C9FEF35" w:rsidR="00A43F0C" w:rsidRPr="00B80B1E" w:rsidRDefault="00A43F0C" w:rsidP="00A43F0C">
      <w:pPr>
        <w:rPr>
          <w:rFonts w:ascii="Arial" w:hAnsi="Arial" w:cs="Arial"/>
        </w:rPr>
      </w:pPr>
      <w:r w:rsidRPr="00B80B1E">
        <w:rPr>
          <w:rFonts w:ascii="Arial" w:hAnsi="Arial" w:cs="Arial"/>
        </w:rPr>
        <w:t xml:space="preserve">Note: These recommendations revise and </w:t>
      </w:r>
      <w:r w:rsidR="005B6AA8" w:rsidRPr="00B80B1E">
        <w:rPr>
          <w:rFonts w:ascii="Arial" w:hAnsi="Arial" w:cs="Arial"/>
        </w:rPr>
        <w:t>build on</w:t>
      </w:r>
      <w:r w:rsidRPr="00B80B1E">
        <w:rPr>
          <w:rFonts w:ascii="Arial" w:hAnsi="Arial" w:cs="Arial"/>
        </w:rPr>
        <w:t xml:space="preserve"> an earlier ICC publication, </w:t>
      </w:r>
      <w:r w:rsidR="006679FE" w:rsidRPr="00B80B1E">
        <w:rPr>
          <w:rFonts w:ascii="Arial" w:hAnsi="Arial" w:cs="Arial"/>
        </w:rPr>
        <w:t xml:space="preserve">published pre-pandemic: </w:t>
      </w:r>
      <w:hyperlink r:id="rId8" w:history="1">
        <w:r w:rsidRPr="00B80B1E">
          <w:rPr>
            <w:rStyle w:val="Hyperlink"/>
            <w:rFonts w:ascii="Arial" w:hAnsi="Arial" w:cs="Arial"/>
            <w:i/>
            <w:iCs/>
          </w:rPr>
          <w:t>Reforming the Multilateral Rules-Based Trading System: The outcomes we want for people and planet</w:t>
        </w:r>
      </w:hyperlink>
      <w:r w:rsidRPr="00B80B1E">
        <w:rPr>
          <w:rFonts w:ascii="Arial" w:hAnsi="Arial" w:cs="Arial"/>
        </w:rPr>
        <w:t>.</w:t>
      </w:r>
    </w:p>
    <w:sectPr w:rsidR="00A43F0C" w:rsidRPr="00B80B1E">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4B433" w14:textId="77777777" w:rsidR="00A87FED" w:rsidRDefault="00A87FED" w:rsidP="00C70479">
      <w:pPr>
        <w:spacing w:after="0" w:line="240" w:lineRule="auto"/>
      </w:pPr>
      <w:r>
        <w:separator/>
      </w:r>
    </w:p>
  </w:endnote>
  <w:endnote w:type="continuationSeparator" w:id="0">
    <w:p w14:paraId="4DFE75EC" w14:textId="77777777" w:rsidR="00A87FED" w:rsidRDefault="00A87FED" w:rsidP="00C70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407465065"/>
      <w:docPartObj>
        <w:docPartGallery w:val="Page Numbers (Bottom of Page)"/>
        <w:docPartUnique/>
      </w:docPartObj>
    </w:sdtPr>
    <w:sdtContent>
      <w:p w14:paraId="32717B6A" w14:textId="6038888E" w:rsidR="00B80B1E" w:rsidRPr="00B80B1E" w:rsidRDefault="00B80B1E">
        <w:pPr>
          <w:pStyle w:val="Footer"/>
          <w:jc w:val="center"/>
          <w:rPr>
            <w:rFonts w:ascii="Arial" w:hAnsi="Arial" w:cs="Arial"/>
          </w:rPr>
        </w:pPr>
        <w:r w:rsidRPr="00B80B1E">
          <w:rPr>
            <w:rFonts w:ascii="Arial" w:hAnsi="Arial" w:cs="Arial"/>
          </w:rPr>
          <w:fldChar w:fldCharType="begin"/>
        </w:r>
        <w:r w:rsidRPr="00B80B1E">
          <w:rPr>
            <w:rFonts w:ascii="Arial" w:hAnsi="Arial" w:cs="Arial"/>
          </w:rPr>
          <w:instrText>PAGE   \* MERGEFORMAT</w:instrText>
        </w:r>
        <w:r w:rsidRPr="00B80B1E">
          <w:rPr>
            <w:rFonts w:ascii="Arial" w:hAnsi="Arial" w:cs="Arial"/>
          </w:rPr>
          <w:fldChar w:fldCharType="separate"/>
        </w:r>
        <w:r w:rsidRPr="00B80B1E">
          <w:rPr>
            <w:rFonts w:ascii="Arial" w:hAnsi="Arial" w:cs="Arial"/>
            <w:lang w:val="fr-FR"/>
          </w:rPr>
          <w:t>2</w:t>
        </w:r>
        <w:r w:rsidRPr="00B80B1E">
          <w:rPr>
            <w:rFonts w:ascii="Arial" w:hAnsi="Arial" w:cs="Arial"/>
          </w:rPr>
          <w:fldChar w:fldCharType="end"/>
        </w:r>
      </w:p>
    </w:sdtContent>
  </w:sdt>
  <w:p w14:paraId="4C059BD8" w14:textId="77777777" w:rsidR="00B80B1E" w:rsidRPr="00B80B1E" w:rsidRDefault="00B80B1E">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D38EE" w14:textId="77777777" w:rsidR="00A87FED" w:rsidRDefault="00A87FED" w:rsidP="00C70479">
      <w:pPr>
        <w:spacing w:after="0" w:line="240" w:lineRule="auto"/>
      </w:pPr>
      <w:r>
        <w:separator/>
      </w:r>
    </w:p>
  </w:footnote>
  <w:footnote w:type="continuationSeparator" w:id="0">
    <w:p w14:paraId="0E9E9750" w14:textId="77777777" w:rsidR="00A87FED" w:rsidRDefault="00A87FED" w:rsidP="00C704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412F1" w14:textId="44F2B8F3" w:rsidR="00B575C5" w:rsidRPr="00B80B1E" w:rsidRDefault="00B575C5">
    <w:pPr>
      <w:pStyle w:val="Header"/>
      <w:rPr>
        <w:rFonts w:ascii="Arial" w:hAnsi="Arial" w:cs="Arial"/>
        <w:lang w:val="en-US"/>
      </w:rPr>
    </w:pPr>
    <w:r w:rsidRPr="00B80B1E">
      <w:rPr>
        <w:rFonts w:ascii="Arial" w:hAnsi="Arial" w:cs="Arial"/>
        <w:lang w:val="en-US"/>
      </w:rPr>
      <w:t xml:space="preserve">June </w:t>
    </w:r>
    <w:r w:rsidR="00EC48AE" w:rsidRPr="00B80B1E">
      <w:rPr>
        <w:rFonts w:ascii="Arial" w:hAnsi="Arial" w:cs="Arial"/>
        <w:lang w:val="en-US"/>
      </w:rPr>
      <w:t>15</w:t>
    </w:r>
    <w:r w:rsidRPr="00B80B1E">
      <w:rPr>
        <w:rFonts w:ascii="Arial" w:hAnsi="Arial" w:cs="Arial"/>
        <w:lang w:val="en-US"/>
      </w:rPr>
      <w:t>, 2021 – Version 1.1</w:t>
    </w:r>
  </w:p>
  <w:p w14:paraId="61C7B6A9" w14:textId="13E3E792" w:rsidR="00B575C5" w:rsidRPr="00B80B1E" w:rsidRDefault="00B575C5">
    <w:pPr>
      <w:pStyle w:val="Header"/>
      <w:rPr>
        <w:rFonts w:ascii="Arial" w:hAnsi="Arial" w:cs="Arial"/>
        <w:b/>
        <w:bCs/>
        <w:i/>
        <w:iCs/>
        <w:color w:val="FF0000"/>
        <w:lang w:val="en-US"/>
      </w:rPr>
    </w:pPr>
    <w:r w:rsidRPr="00B80B1E">
      <w:rPr>
        <w:rFonts w:ascii="Arial" w:hAnsi="Arial" w:cs="Arial"/>
        <w:b/>
        <w:bCs/>
        <w:i/>
        <w:iCs/>
        <w:color w:val="FF0000"/>
        <w:lang w:val="en-US"/>
      </w:rPr>
      <w:t>Draft for comment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960DF"/>
    <w:multiLevelType w:val="hybridMultilevel"/>
    <w:tmpl w:val="1B1C7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E025B1"/>
    <w:multiLevelType w:val="hybridMultilevel"/>
    <w:tmpl w:val="DA860356"/>
    <w:lvl w:ilvl="0" w:tplc="B784C808">
      <w:start w:val="5"/>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A74EDF"/>
    <w:multiLevelType w:val="hybridMultilevel"/>
    <w:tmpl w:val="1E2001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4637B1"/>
    <w:multiLevelType w:val="hybridMultilevel"/>
    <w:tmpl w:val="A33CE4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6E6E8D"/>
    <w:multiLevelType w:val="hybridMultilevel"/>
    <w:tmpl w:val="6C0EB0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D00D98"/>
    <w:multiLevelType w:val="hybridMultilevel"/>
    <w:tmpl w:val="76841B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AF44581"/>
    <w:multiLevelType w:val="hybridMultilevel"/>
    <w:tmpl w:val="54C0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5"/>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148"/>
    <w:rsid w:val="0007467E"/>
    <w:rsid w:val="000C23DC"/>
    <w:rsid w:val="000C42D0"/>
    <w:rsid w:val="000C7DC3"/>
    <w:rsid w:val="000E4F75"/>
    <w:rsid w:val="001125BA"/>
    <w:rsid w:val="00161B7C"/>
    <w:rsid w:val="00195987"/>
    <w:rsid w:val="001B4410"/>
    <w:rsid w:val="001C6247"/>
    <w:rsid w:val="001E6538"/>
    <w:rsid w:val="001F0F64"/>
    <w:rsid w:val="00226E8B"/>
    <w:rsid w:val="0023198A"/>
    <w:rsid w:val="002378F7"/>
    <w:rsid w:val="002534F0"/>
    <w:rsid w:val="00296FF7"/>
    <w:rsid w:val="002A5C53"/>
    <w:rsid w:val="00302F49"/>
    <w:rsid w:val="00347A34"/>
    <w:rsid w:val="003846C8"/>
    <w:rsid w:val="003879AB"/>
    <w:rsid w:val="00396BA4"/>
    <w:rsid w:val="00420CA5"/>
    <w:rsid w:val="004378B7"/>
    <w:rsid w:val="0048247C"/>
    <w:rsid w:val="004824BF"/>
    <w:rsid w:val="004E1296"/>
    <w:rsid w:val="0054230C"/>
    <w:rsid w:val="005B6AA8"/>
    <w:rsid w:val="005C6D0C"/>
    <w:rsid w:val="005D0DF9"/>
    <w:rsid w:val="005F5C8F"/>
    <w:rsid w:val="00613169"/>
    <w:rsid w:val="006679FE"/>
    <w:rsid w:val="00671BB3"/>
    <w:rsid w:val="00682E29"/>
    <w:rsid w:val="006878C0"/>
    <w:rsid w:val="006A19BD"/>
    <w:rsid w:val="006B00E4"/>
    <w:rsid w:val="006F3CE6"/>
    <w:rsid w:val="00717CFD"/>
    <w:rsid w:val="007223A5"/>
    <w:rsid w:val="00762F90"/>
    <w:rsid w:val="0081747B"/>
    <w:rsid w:val="00831DFD"/>
    <w:rsid w:val="00850430"/>
    <w:rsid w:val="00871195"/>
    <w:rsid w:val="00886C5F"/>
    <w:rsid w:val="008D1F42"/>
    <w:rsid w:val="008E4020"/>
    <w:rsid w:val="009075B5"/>
    <w:rsid w:val="00911EFD"/>
    <w:rsid w:val="00925AB1"/>
    <w:rsid w:val="0092786B"/>
    <w:rsid w:val="00944E0D"/>
    <w:rsid w:val="0094709E"/>
    <w:rsid w:val="00957012"/>
    <w:rsid w:val="0096513F"/>
    <w:rsid w:val="009A46B9"/>
    <w:rsid w:val="009B2BA2"/>
    <w:rsid w:val="009D0E66"/>
    <w:rsid w:val="00A43F0C"/>
    <w:rsid w:val="00A87FED"/>
    <w:rsid w:val="00A914B7"/>
    <w:rsid w:val="00AC526C"/>
    <w:rsid w:val="00B23717"/>
    <w:rsid w:val="00B575C5"/>
    <w:rsid w:val="00B70DF7"/>
    <w:rsid w:val="00B80B1E"/>
    <w:rsid w:val="00B9148C"/>
    <w:rsid w:val="00BA53C5"/>
    <w:rsid w:val="00BC6254"/>
    <w:rsid w:val="00BF283B"/>
    <w:rsid w:val="00C02B38"/>
    <w:rsid w:val="00C33AEB"/>
    <w:rsid w:val="00C4695A"/>
    <w:rsid w:val="00C70479"/>
    <w:rsid w:val="00C92169"/>
    <w:rsid w:val="00C9376A"/>
    <w:rsid w:val="00CA4382"/>
    <w:rsid w:val="00CF2E22"/>
    <w:rsid w:val="00D02148"/>
    <w:rsid w:val="00D148DD"/>
    <w:rsid w:val="00D603D7"/>
    <w:rsid w:val="00D95DD7"/>
    <w:rsid w:val="00E425AF"/>
    <w:rsid w:val="00E9230D"/>
    <w:rsid w:val="00EB107A"/>
    <w:rsid w:val="00EC48AE"/>
    <w:rsid w:val="00EC61F0"/>
    <w:rsid w:val="00EC7EBA"/>
    <w:rsid w:val="00EE0E61"/>
    <w:rsid w:val="00F13DDF"/>
    <w:rsid w:val="00F53716"/>
    <w:rsid w:val="00F662DE"/>
    <w:rsid w:val="00F8730C"/>
    <w:rsid w:val="00F9015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53332B"/>
  <w15:chartTrackingRefBased/>
  <w15:docId w15:val="{CF77F799-BDEB-46AE-A53F-6D65E7EDC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214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0214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14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0214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D1F42"/>
    <w:pPr>
      <w:ind w:left="720"/>
      <w:contextualSpacing/>
    </w:pPr>
  </w:style>
  <w:style w:type="paragraph" w:styleId="Header">
    <w:name w:val="header"/>
    <w:basedOn w:val="Normal"/>
    <w:link w:val="HeaderChar"/>
    <w:uiPriority w:val="99"/>
    <w:unhideWhenUsed/>
    <w:rsid w:val="00C704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0479"/>
  </w:style>
  <w:style w:type="paragraph" w:styleId="Footer">
    <w:name w:val="footer"/>
    <w:basedOn w:val="Normal"/>
    <w:link w:val="FooterChar"/>
    <w:uiPriority w:val="99"/>
    <w:unhideWhenUsed/>
    <w:rsid w:val="00C704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0479"/>
  </w:style>
  <w:style w:type="character" w:styleId="Hyperlink">
    <w:name w:val="Hyperlink"/>
    <w:basedOn w:val="DefaultParagraphFont"/>
    <w:uiPriority w:val="99"/>
    <w:unhideWhenUsed/>
    <w:rsid w:val="00A43F0C"/>
    <w:rPr>
      <w:color w:val="0563C1" w:themeColor="hyperlink"/>
      <w:u w:val="single"/>
    </w:rPr>
  </w:style>
  <w:style w:type="character" w:styleId="UnresolvedMention">
    <w:name w:val="Unresolved Mention"/>
    <w:basedOn w:val="DefaultParagraphFont"/>
    <w:uiPriority w:val="99"/>
    <w:semiHidden/>
    <w:unhideWhenUsed/>
    <w:rsid w:val="00A43F0C"/>
    <w:rPr>
      <w:color w:val="605E5C"/>
      <w:shd w:val="clear" w:color="auto" w:fill="E1DFDD"/>
    </w:rPr>
  </w:style>
  <w:style w:type="character" w:styleId="FollowedHyperlink">
    <w:name w:val="FollowedHyperlink"/>
    <w:basedOn w:val="DefaultParagraphFont"/>
    <w:uiPriority w:val="99"/>
    <w:semiHidden/>
    <w:unhideWhenUsed/>
    <w:rsid w:val="006679FE"/>
    <w:rPr>
      <w:color w:val="954F72" w:themeColor="followedHyperlink"/>
      <w:u w:val="single"/>
    </w:rPr>
  </w:style>
  <w:style w:type="character" w:styleId="CommentReference">
    <w:name w:val="annotation reference"/>
    <w:basedOn w:val="DefaultParagraphFont"/>
    <w:uiPriority w:val="99"/>
    <w:semiHidden/>
    <w:unhideWhenUsed/>
    <w:rsid w:val="00850430"/>
    <w:rPr>
      <w:sz w:val="16"/>
      <w:szCs w:val="16"/>
    </w:rPr>
  </w:style>
  <w:style w:type="paragraph" w:styleId="CommentText">
    <w:name w:val="annotation text"/>
    <w:basedOn w:val="Normal"/>
    <w:link w:val="CommentTextChar"/>
    <w:uiPriority w:val="99"/>
    <w:semiHidden/>
    <w:unhideWhenUsed/>
    <w:rsid w:val="00850430"/>
    <w:pPr>
      <w:spacing w:line="240" w:lineRule="auto"/>
    </w:pPr>
    <w:rPr>
      <w:sz w:val="20"/>
      <w:szCs w:val="20"/>
    </w:rPr>
  </w:style>
  <w:style w:type="character" w:customStyle="1" w:styleId="CommentTextChar">
    <w:name w:val="Comment Text Char"/>
    <w:basedOn w:val="DefaultParagraphFont"/>
    <w:link w:val="CommentText"/>
    <w:uiPriority w:val="99"/>
    <w:semiHidden/>
    <w:rsid w:val="00850430"/>
    <w:rPr>
      <w:sz w:val="20"/>
      <w:szCs w:val="20"/>
    </w:rPr>
  </w:style>
  <w:style w:type="paragraph" w:styleId="CommentSubject">
    <w:name w:val="annotation subject"/>
    <w:basedOn w:val="CommentText"/>
    <w:next w:val="CommentText"/>
    <w:link w:val="CommentSubjectChar"/>
    <w:uiPriority w:val="99"/>
    <w:semiHidden/>
    <w:unhideWhenUsed/>
    <w:rsid w:val="00850430"/>
    <w:rPr>
      <w:b/>
      <w:bCs/>
    </w:rPr>
  </w:style>
  <w:style w:type="character" w:customStyle="1" w:styleId="CommentSubjectChar">
    <w:name w:val="Comment Subject Char"/>
    <w:basedOn w:val="CommentTextChar"/>
    <w:link w:val="CommentSubject"/>
    <w:uiPriority w:val="99"/>
    <w:semiHidden/>
    <w:rsid w:val="008504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cwbo.org/content/uploads/sites/3/2019/10/2019-icc-recommendations-on-wto-reform.pdf"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E3D1B2D00823408CE8450BC0946B1D" ma:contentTypeVersion="16" ma:contentTypeDescription="Create a new document." ma:contentTypeScope="" ma:versionID="749933ac60cd275838fecaf2a2b42920">
  <xsd:schema xmlns:xsd="http://www.w3.org/2001/XMLSchema" xmlns:xs="http://www.w3.org/2001/XMLSchema" xmlns:p="http://schemas.microsoft.com/office/2006/metadata/properties" xmlns:ns2="6e0672cc-2b49-4aef-a692-9dbb21d7e3f3" xmlns:ns3="465ae127-5d1e-48f1-8bba-a4710e9de403" xmlns:ns4="598f140b-4145-4024-8bcc-6d7083f15a24" xmlns:ns5="42195723-b6d9-4926-97c3-bdd7cf343cf8" targetNamespace="http://schemas.microsoft.com/office/2006/metadata/properties" ma:root="true" ma:fieldsID="7718a048471fcf438c19e0fe88a087e1" ns2:_="" ns3:_="" ns4:_="" ns5:_="">
    <xsd:import namespace="6e0672cc-2b49-4aef-a692-9dbb21d7e3f3"/>
    <xsd:import namespace="465ae127-5d1e-48f1-8bba-a4710e9de403"/>
    <xsd:import namespace="598f140b-4145-4024-8bcc-6d7083f15a24"/>
    <xsd:import namespace="42195723-b6d9-4926-97c3-bdd7cf343cf8"/>
    <xsd:element name="properties">
      <xsd:complexType>
        <xsd:sequence>
          <xsd:element name="documentManagement">
            <xsd:complexType>
              <xsd:all>
                <xsd:element ref="ns2:cd566fe4f739453c890791ece589dd09" minOccurs="0"/>
                <xsd:element ref="ns4:TaxCatchAll" minOccurs="0"/>
                <xsd:element ref="ns5:MediaServiceMetadata" minOccurs="0"/>
                <xsd:element ref="ns5:MediaServiceFastMetadata" minOccurs="0"/>
                <xsd:element ref="ns5:MediaServiceAutoKeyPoints" minOccurs="0"/>
                <xsd:element ref="ns5:MediaServiceKeyPoints" minOccurs="0"/>
                <xsd:element ref="ns5:MediaServiceDateTaken" minOccurs="0"/>
                <xsd:element ref="ns3:SharedWithUsers" minOccurs="0"/>
                <xsd:element ref="ns3:SharedWithDetails"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672cc-2b49-4aef-a692-9dbb21d7e3f3" elementFormDefault="qualified">
    <xsd:import namespace="http://schemas.microsoft.com/office/2006/documentManagement/types"/>
    <xsd:import namespace="http://schemas.microsoft.com/office/infopath/2007/PartnerControls"/>
    <xsd:element name="cd566fe4f739453c890791ece589dd09" ma:index="8" nillable="true" ma:taxonomy="true" ma:internalName="cd566fe4f739453c890791ece589dd09" ma:taxonomyFieldName="Provenance" ma:displayName="Provenance" ma:default="" ma:fieldId="{cd566fe4-f739-453c-8907-91ece589dd09}" ma:sspId="b34d393a-c683-4ae6-92a3-16801d27c9b4" ma:termSetId="9e01a060-767e-4e44-bf53-df9ed62d733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5ae127-5d1e-48f1-8bba-a4710e9de40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8f140b-4145-4024-8bcc-6d7083f15a2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1108c5b-dc04-4112-92d3-dfe3254644ac}" ma:internalName="TaxCatchAll" ma:showField="CatchAllData" ma:web="465ae127-5d1e-48f1-8bba-a4710e9de4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195723-b6d9-4926-97c3-bdd7cf343cf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98f140b-4145-4024-8bcc-6d7083f15a24"/>
    <cd566fe4f739453c890791ece589dd09 xmlns="6e0672cc-2b49-4aef-a692-9dbb21d7e3f3">
      <Terms xmlns="http://schemas.microsoft.com/office/infopath/2007/PartnerControls"/>
    </cd566fe4f739453c890791ece589dd09>
  </documentManagement>
</p:properties>
</file>

<file path=customXml/itemProps1.xml><?xml version="1.0" encoding="utf-8"?>
<ds:datastoreItem xmlns:ds="http://schemas.openxmlformats.org/officeDocument/2006/customXml" ds:itemID="{34CE16C5-C001-497C-949B-BF4CBE1FADCC}">
  <ds:schemaRefs>
    <ds:schemaRef ds:uri="http://schemas.openxmlformats.org/officeDocument/2006/bibliography"/>
  </ds:schemaRefs>
</ds:datastoreItem>
</file>

<file path=customXml/itemProps2.xml><?xml version="1.0" encoding="utf-8"?>
<ds:datastoreItem xmlns:ds="http://schemas.openxmlformats.org/officeDocument/2006/customXml" ds:itemID="{BD7AF930-0E20-425E-BBD2-6FDDC2C50970}"/>
</file>

<file path=customXml/itemProps3.xml><?xml version="1.0" encoding="utf-8"?>
<ds:datastoreItem xmlns:ds="http://schemas.openxmlformats.org/officeDocument/2006/customXml" ds:itemID="{671214DA-30C3-4C98-AA3C-1EDCA0E2D21E}"/>
</file>

<file path=customXml/itemProps4.xml><?xml version="1.0" encoding="utf-8"?>
<ds:datastoreItem xmlns:ds="http://schemas.openxmlformats.org/officeDocument/2006/customXml" ds:itemID="{EC1C9616-0B9C-40F2-A3CB-AB035DC33EB1}"/>
</file>

<file path=docProps/app.xml><?xml version="1.0" encoding="utf-8"?>
<Properties xmlns="http://schemas.openxmlformats.org/officeDocument/2006/extended-properties" xmlns:vt="http://schemas.openxmlformats.org/officeDocument/2006/docPropsVTypes">
  <Template>Normal</Template>
  <TotalTime>0</TotalTime>
  <Pages>6</Pages>
  <Words>2887</Words>
  <Characters>15881</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RENARD Raoul</dc:creator>
  <cp:keywords/>
  <dc:description/>
  <cp:lastModifiedBy>DIAO-GUEYE Florence</cp:lastModifiedBy>
  <cp:revision>2</cp:revision>
  <dcterms:created xsi:type="dcterms:W3CDTF">2021-06-15T12:56:00Z</dcterms:created>
  <dcterms:modified xsi:type="dcterms:W3CDTF">2021-06-15T12:56:00Z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0x010100C9E3D1B2D00823408CE8450BC0946B1D</vt:lpwstr>
  </property>
</Properties>
</file>