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8B677" w14:textId="6D34E677" w:rsidR="00CE284E" w:rsidRDefault="00CE284E" w:rsidP="00CE284E">
      <w:pPr>
        <w:pStyle w:val="Rubrik1"/>
        <w:ind w:left="0"/>
        <w:jc w:val="right"/>
        <w:rPr>
          <w:b w:val="0"/>
          <w:bCs w:val="0"/>
        </w:rPr>
      </w:pPr>
      <w:r>
        <w:rPr>
          <w:b w:val="0"/>
          <w:bCs w:val="0"/>
        </w:rPr>
        <w:t>9 November 2020</w:t>
      </w:r>
    </w:p>
    <w:p w14:paraId="217A4803" w14:textId="77777777" w:rsidR="00CE284E" w:rsidRPr="00CE284E" w:rsidRDefault="00CE284E" w:rsidP="00CE284E">
      <w:pPr>
        <w:pStyle w:val="Rubrik1"/>
        <w:ind w:left="0"/>
        <w:jc w:val="left"/>
        <w:rPr>
          <w:b w:val="0"/>
          <w:bCs w:val="0"/>
        </w:rPr>
      </w:pPr>
    </w:p>
    <w:p w14:paraId="2022FDA3" w14:textId="6A0CEB93" w:rsidR="00CE284E" w:rsidRPr="00CE284E" w:rsidRDefault="00CE284E" w:rsidP="00CE284E">
      <w:pPr>
        <w:pStyle w:val="Rubrik1"/>
        <w:ind w:left="0"/>
        <w:jc w:val="left"/>
        <w:rPr>
          <w:color w:val="4472C4" w:themeColor="accent1"/>
          <w:sz w:val="28"/>
          <w:szCs w:val="28"/>
        </w:rPr>
      </w:pPr>
      <w:r w:rsidRPr="00CE284E">
        <w:rPr>
          <w:color w:val="4472C4" w:themeColor="accent1"/>
          <w:sz w:val="28"/>
          <w:szCs w:val="28"/>
          <w:u w:val="single"/>
        </w:rPr>
        <w:t>DRAFT</w:t>
      </w:r>
      <w:r w:rsidRPr="00CE284E">
        <w:rPr>
          <w:color w:val="4472C4" w:themeColor="accent1"/>
          <w:sz w:val="28"/>
          <w:szCs w:val="28"/>
        </w:rPr>
        <w:t xml:space="preserve"> – </w:t>
      </w:r>
      <w:r>
        <w:rPr>
          <w:color w:val="4472C4" w:themeColor="accent1"/>
          <w:sz w:val="28"/>
          <w:szCs w:val="28"/>
        </w:rPr>
        <w:t xml:space="preserve">ICC Statement on Sustainable Finance: </w:t>
      </w:r>
      <w:r w:rsidRPr="00CE284E">
        <w:rPr>
          <w:color w:val="4472C4" w:themeColor="accent1"/>
          <w:sz w:val="28"/>
          <w:szCs w:val="28"/>
        </w:rPr>
        <w:t xml:space="preserve">A </w:t>
      </w:r>
      <w:r w:rsidR="002B7762">
        <w:rPr>
          <w:color w:val="4472C4" w:themeColor="accent1"/>
          <w:sz w:val="28"/>
          <w:szCs w:val="28"/>
        </w:rPr>
        <w:t>P</w:t>
      </w:r>
      <w:r w:rsidRPr="00CE284E">
        <w:rPr>
          <w:color w:val="4472C4" w:themeColor="accent1"/>
          <w:sz w:val="28"/>
          <w:szCs w:val="28"/>
        </w:rPr>
        <w:t xml:space="preserve">olicy </w:t>
      </w:r>
      <w:r w:rsidR="002B7762">
        <w:rPr>
          <w:color w:val="4472C4" w:themeColor="accent1"/>
          <w:sz w:val="28"/>
          <w:szCs w:val="28"/>
        </w:rPr>
        <w:t>A</w:t>
      </w:r>
      <w:r w:rsidRPr="00CE284E">
        <w:rPr>
          <w:color w:val="4472C4" w:themeColor="accent1"/>
          <w:sz w:val="28"/>
          <w:szCs w:val="28"/>
        </w:rPr>
        <w:t xml:space="preserve">genda to </w:t>
      </w:r>
      <w:r w:rsidR="002B7762">
        <w:rPr>
          <w:color w:val="4472C4" w:themeColor="accent1"/>
          <w:sz w:val="28"/>
          <w:szCs w:val="28"/>
        </w:rPr>
        <w:t>M</w:t>
      </w:r>
      <w:r w:rsidRPr="00CE284E">
        <w:rPr>
          <w:color w:val="4472C4" w:themeColor="accent1"/>
          <w:sz w:val="28"/>
          <w:szCs w:val="28"/>
        </w:rPr>
        <w:t xml:space="preserve">obilise </w:t>
      </w:r>
      <w:r w:rsidR="002B7762">
        <w:rPr>
          <w:color w:val="4472C4" w:themeColor="accent1"/>
          <w:sz w:val="28"/>
          <w:szCs w:val="28"/>
        </w:rPr>
        <w:t>F</w:t>
      </w:r>
      <w:r w:rsidRPr="00CE284E">
        <w:rPr>
          <w:color w:val="4472C4" w:themeColor="accent1"/>
          <w:sz w:val="28"/>
          <w:szCs w:val="28"/>
        </w:rPr>
        <w:t xml:space="preserve">inance for </w:t>
      </w:r>
      <w:r w:rsidR="002B7762">
        <w:rPr>
          <w:color w:val="4472C4" w:themeColor="accent1"/>
          <w:sz w:val="28"/>
          <w:szCs w:val="28"/>
        </w:rPr>
        <w:t>P</w:t>
      </w:r>
      <w:r w:rsidRPr="00CE284E">
        <w:rPr>
          <w:color w:val="4472C4" w:themeColor="accent1"/>
          <w:sz w:val="28"/>
          <w:szCs w:val="28"/>
        </w:rPr>
        <w:t xml:space="preserve">eople, </w:t>
      </w:r>
      <w:r w:rsidR="002B7762">
        <w:rPr>
          <w:color w:val="4472C4" w:themeColor="accent1"/>
          <w:sz w:val="28"/>
          <w:szCs w:val="28"/>
        </w:rPr>
        <w:t>P</w:t>
      </w:r>
      <w:r w:rsidRPr="00CE284E">
        <w:rPr>
          <w:color w:val="4472C4" w:themeColor="accent1"/>
          <w:sz w:val="28"/>
          <w:szCs w:val="28"/>
        </w:rPr>
        <w:t xml:space="preserve">lanet and </w:t>
      </w:r>
      <w:r w:rsidR="002B7762">
        <w:rPr>
          <w:color w:val="4472C4" w:themeColor="accent1"/>
          <w:sz w:val="28"/>
          <w:szCs w:val="28"/>
        </w:rPr>
        <w:t>P</w:t>
      </w:r>
      <w:r w:rsidRPr="00CE284E">
        <w:rPr>
          <w:color w:val="4472C4" w:themeColor="accent1"/>
          <w:sz w:val="28"/>
          <w:szCs w:val="28"/>
        </w:rPr>
        <w:t>rosperity</w:t>
      </w:r>
    </w:p>
    <w:p w14:paraId="7969153A" w14:textId="77777777" w:rsidR="00CE284E" w:rsidRPr="00B8148C" w:rsidRDefault="00CE284E" w:rsidP="00CE284E">
      <w:pPr>
        <w:pStyle w:val="Brdtext"/>
      </w:pPr>
    </w:p>
    <w:p w14:paraId="4F60490E" w14:textId="2F535282" w:rsidR="00CE284E" w:rsidRPr="00B8148C" w:rsidRDefault="00CE284E" w:rsidP="00CE284E">
      <w:pPr>
        <w:pStyle w:val="Brdtext"/>
        <w:spacing w:before="1" w:line="244" w:lineRule="auto"/>
        <w:ind w:right="129"/>
        <w:rPr>
          <w:color w:val="303030"/>
        </w:rPr>
      </w:pPr>
      <w:r w:rsidRPr="00B8148C">
        <w:rPr>
          <w:color w:val="303030"/>
        </w:rPr>
        <w:t>The International Chamber of Commerce (ICC) – as the institutional representative of 45 million businesses worldwide and as Permanent Observer to the United Nations (UN) General Assembly and official UN Framework Convention on Climate Change Focal Point for Business and Industry – holds a deep commitment to the UN’s Sustainable Development Goals (“SDGs”) and we note with profound concern recent data highlighting significant – and, in some cases, widening – gaps in their implementation.</w:t>
      </w:r>
      <w:r w:rsidRPr="00B8148C">
        <w:t xml:space="preserve"> </w:t>
      </w:r>
      <w:r w:rsidRPr="00B8148C">
        <w:rPr>
          <w:color w:val="303030"/>
        </w:rPr>
        <w:t>The unprecedented health and economic crises resulting from the novel coronavirus pandemic continue to affect lives and livelihoods everywhere, making the achievement of the Goals even more challenging. Our ability to correct this trend hinges on the ability of countries to mobilise much greater levels of finance in areas such as clean energy, health, education and infrastructure – and we fully recognise the imperative for private finance to bridge these funding gaps globally.</w:t>
      </w:r>
    </w:p>
    <w:p w14:paraId="3BDF8902" w14:textId="77777777" w:rsidR="00CE284E" w:rsidRPr="00B8148C" w:rsidRDefault="00CE284E" w:rsidP="00CE284E">
      <w:pPr>
        <w:pStyle w:val="Brdtext"/>
        <w:spacing w:before="10"/>
      </w:pPr>
    </w:p>
    <w:p w14:paraId="0997F349" w14:textId="77777777" w:rsidR="00CE284E" w:rsidRPr="00B8148C" w:rsidRDefault="00CE284E" w:rsidP="00CE284E">
      <w:pPr>
        <w:pStyle w:val="Brdtext"/>
        <w:spacing w:line="244" w:lineRule="auto"/>
        <w:ind w:right="126"/>
      </w:pPr>
      <w:r w:rsidRPr="00B8148C">
        <w:rPr>
          <w:color w:val="303030"/>
        </w:rPr>
        <w:t xml:space="preserve">Despite the current crisis, we approach this challenge with a significant degree of optimism. Many governments and companies have called for policies that help facilitate a greener recovery. Indeed,  investors have increased their focus on ESG factors during the pandemic in recognition of the systemic risk posed to global financial markets from global health issues and supply chain resiliency concerns. The COVID-19 pandemic has helped raise awareness </w:t>
      </w:r>
      <w:r w:rsidRPr="00CE284E">
        <w:t xml:space="preserve">about other potential zoonotic diseases and highlighted the importance of biodiversity.  Several countries and companies are starting to go beyond a “net-neutral” approach to biodiversity and ecosystems impacts and are looking into making a percentage of their climate finance net positive for biodiversity while at the same time maintaining their primary focus on aligning their investment strategies with the Paris Agreement. As a result, there is growing momentum that is seeing sustainability-related considerations increasingly </w:t>
      </w:r>
      <w:r w:rsidRPr="00B8148C">
        <w:rPr>
          <w:color w:val="303030"/>
        </w:rPr>
        <w:t>factored into investment decision-making by a range of capital markets actors – all of whom command significant financial resources and are increasingly calling for governments to do more to meaningfully address the SDGs and climate change and biodiversity loss. Against this backdrop, innovative financial products, such as green bonds and other sustainability-indexed investment vehicles, are growing at an impressive annual</w:t>
      </w:r>
      <w:r w:rsidRPr="00B8148C">
        <w:rPr>
          <w:color w:val="303030"/>
          <w:spacing w:val="-20"/>
        </w:rPr>
        <w:t xml:space="preserve"> </w:t>
      </w:r>
      <w:r w:rsidRPr="00B8148C">
        <w:rPr>
          <w:color w:val="303030"/>
        </w:rPr>
        <w:t>rate.</w:t>
      </w:r>
    </w:p>
    <w:p w14:paraId="255CFE07" w14:textId="77777777" w:rsidR="00CE284E" w:rsidRPr="00B8148C" w:rsidRDefault="00CE284E" w:rsidP="00CE284E">
      <w:pPr>
        <w:pStyle w:val="Brdtext"/>
        <w:spacing w:before="5"/>
      </w:pPr>
    </w:p>
    <w:p w14:paraId="7B8A2975" w14:textId="77777777" w:rsidR="00CE284E" w:rsidRPr="00B8148C" w:rsidRDefault="00CE284E" w:rsidP="00CE284E">
      <w:pPr>
        <w:pStyle w:val="Brdtext"/>
        <w:spacing w:line="244" w:lineRule="auto"/>
        <w:ind w:right="134"/>
      </w:pPr>
      <w:r w:rsidRPr="00B8148C">
        <w:rPr>
          <w:color w:val="303030"/>
        </w:rPr>
        <w:t xml:space="preserve">Despite this encouraging momentum, however, the deployment of private capital for sustainable finance remains relatively limited as a share of the total stock of global assets. While financial systems are extremely heterogeneous, this observation holds generally true for both primary and secondary markets throughout the world. In short, sustainable finance remains a market exception at a moment in history when </w:t>
      </w:r>
      <w:r w:rsidRPr="00B8148C">
        <w:rPr>
          <w:color w:val="303030"/>
          <w:spacing w:val="-3"/>
        </w:rPr>
        <w:t xml:space="preserve">people </w:t>
      </w:r>
      <w:r w:rsidRPr="00B8148C">
        <w:rPr>
          <w:color w:val="303030"/>
        </w:rPr>
        <w:t>and our planet require it to be the</w:t>
      </w:r>
      <w:r w:rsidRPr="00B8148C">
        <w:rPr>
          <w:color w:val="303030"/>
          <w:spacing w:val="-34"/>
        </w:rPr>
        <w:t xml:space="preserve"> </w:t>
      </w:r>
      <w:r w:rsidRPr="00B8148C">
        <w:rPr>
          <w:color w:val="303030"/>
        </w:rPr>
        <w:t>norm.</w:t>
      </w:r>
    </w:p>
    <w:p w14:paraId="7E656250" w14:textId="77777777" w:rsidR="00CE284E" w:rsidRPr="00B8148C" w:rsidRDefault="00CE284E" w:rsidP="00CE284E">
      <w:pPr>
        <w:pStyle w:val="Brdtext"/>
      </w:pPr>
    </w:p>
    <w:p w14:paraId="12799E29" w14:textId="77777777" w:rsidR="00CE284E" w:rsidRPr="00B8148C" w:rsidRDefault="00CE284E" w:rsidP="00CE284E">
      <w:pPr>
        <w:pStyle w:val="Rubrik1"/>
        <w:spacing w:before="1"/>
        <w:ind w:left="0"/>
        <w:jc w:val="left"/>
      </w:pPr>
      <w:bookmarkStart w:id="0" w:name="A_roadmap_for_systems_change"/>
      <w:bookmarkEnd w:id="0"/>
      <w:r w:rsidRPr="00B8148C">
        <w:rPr>
          <w:color w:val="303030"/>
        </w:rPr>
        <w:t>A roadmap for systems change</w:t>
      </w:r>
    </w:p>
    <w:p w14:paraId="0D6580F6" w14:textId="509AED74" w:rsidR="00CE284E" w:rsidRDefault="00CE284E" w:rsidP="00CE284E">
      <w:pPr>
        <w:pStyle w:val="Brdtext"/>
        <w:spacing w:before="6" w:line="244" w:lineRule="auto"/>
        <w:ind w:right="130"/>
        <w:rPr>
          <w:color w:val="303030"/>
        </w:rPr>
      </w:pPr>
      <w:r w:rsidRPr="00B8148C">
        <w:rPr>
          <w:color w:val="303030"/>
        </w:rPr>
        <w:t xml:space="preserve">While we continue to champion normative frameworks and partnership models to mainstream sustainable finance and enable related markets to mature, a step-change is urgently required. In this connection, it is our view that there remains significant </w:t>
      </w:r>
      <w:r w:rsidRPr="00B8148C">
        <w:rPr>
          <w:color w:val="303030"/>
        </w:rPr>
        <w:lastRenderedPageBreak/>
        <w:t>untapped potential to utilise public policy levers – at national and global levels – to decisively align financial flows with global sustainability imperatives</w:t>
      </w:r>
      <w:r>
        <w:rPr>
          <w:color w:val="303030"/>
        </w:rPr>
        <w:t>.</w:t>
      </w:r>
    </w:p>
    <w:p w14:paraId="0A112860" w14:textId="77777777" w:rsidR="00CE284E" w:rsidRPr="00B8148C" w:rsidRDefault="00CE284E" w:rsidP="00CE284E">
      <w:pPr>
        <w:pStyle w:val="Brdtext"/>
        <w:spacing w:before="100" w:line="242" w:lineRule="auto"/>
        <w:ind w:right="125"/>
      </w:pPr>
      <w:r w:rsidRPr="00B8148C">
        <w:rPr>
          <w:color w:val="303030"/>
        </w:rPr>
        <w:t xml:space="preserve">Governments and regulatory bodies undertook an impressive and concerted programme to address the failings of the financial system in the wake of the 2008 financial crisis. A comparable decade-long action agenda with concrete outcomes is </w:t>
      </w:r>
      <w:r w:rsidRPr="00B8148C">
        <w:rPr>
          <w:color w:val="303030"/>
          <w:spacing w:val="-3"/>
        </w:rPr>
        <w:t xml:space="preserve">now </w:t>
      </w:r>
      <w:r w:rsidRPr="00B8148C">
        <w:rPr>
          <w:color w:val="303030"/>
        </w:rPr>
        <w:t xml:space="preserve">required to enable the financial system to weather the current crisis and address global sustainability challenges – most notably the growing climate and nature emergency. Without doing so, the collapse </w:t>
      </w:r>
      <w:r w:rsidRPr="00B8148C">
        <w:rPr>
          <w:color w:val="303030"/>
          <w:spacing w:val="-3"/>
        </w:rPr>
        <w:t xml:space="preserve">of </w:t>
      </w:r>
      <w:r w:rsidRPr="00B8148C">
        <w:rPr>
          <w:color w:val="303030"/>
        </w:rPr>
        <w:t>biodiversity, global warming and irreversible changes to natural systems and structures that we all depend on will produce adverse economic and societal impacts around the world</w:t>
      </w:r>
      <w:r w:rsidRPr="00B8148C">
        <w:rPr>
          <w:color w:val="303030"/>
          <w:spacing w:val="-6"/>
        </w:rPr>
        <w:t xml:space="preserve"> </w:t>
      </w:r>
      <w:r w:rsidRPr="00B8148C">
        <w:rPr>
          <w:color w:val="303030"/>
        </w:rPr>
        <w:t>that</w:t>
      </w:r>
      <w:r w:rsidRPr="00B8148C">
        <w:rPr>
          <w:color w:val="303030"/>
          <w:spacing w:val="-6"/>
        </w:rPr>
        <w:t xml:space="preserve"> </w:t>
      </w:r>
      <w:r w:rsidRPr="00B8148C">
        <w:rPr>
          <w:color w:val="303030"/>
        </w:rPr>
        <w:t>are</w:t>
      </w:r>
      <w:r w:rsidRPr="00B8148C">
        <w:rPr>
          <w:color w:val="303030"/>
          <w:spacing w:val="-3"/>
        </w:rPr>
        <w:t xml:space="preserve"> </w:t>
      </w:r>
      <w:r w:rsidRPr="00B8148C">
        <w:rPr>
          <w:color w:val="303030"/>
        </w:rPr>
        <w:t>far</w:t>
      </w:r>
      <w:r w:rsidRPr="00B8148C">
        <w:rPr>
          <w:color w:val="303030"/>
          <w:spacing w:val="-5"/>
        </w:rPr>
        <w:t xml:space="preserve"> </w:t>
      </w:r>
      <w:r w:rsidRPr="00B8148C">
        <w:rPr>
          <w:color w:val="303030"/>
        </w:rPr>
        <w:t>greater</w:t>
      </w:r>
      <w:r w:rsidRPr="00B8148C">
        <w:rPr>
          <w:color w:val="303030"/>
          <w:spacing w:val="-7"/>
        </w:rPr>
        <w:t xml:space="preserve"> </w:t>
      </w:r>
      <w:r w:rsidRPr="00B8148C">
        <w:rPr>
          <w:color w:val="303030"/>
        </w:rPr>
        <w:t>than</w:t>
      </w:r>
      <w:r w:rsidRPr="00B8148C">
        <w:rPr>
          <w:color w:val="303030"/>
          <w:spacing w:val="-6"/>
        </w:rPr>
        <w:t xml:space="preserve"> </w:t>
      </w:r>
      <w:r w:rsidRPr="00B8148C">
        <w:rPr>
          <w:color w:val="303030"/>
        </w:rPr>
        <w:t>those</w:t>
      </w:r>
      <w:r w:rsidRPr="00B8148C">
        <w:rPr>
          <w:color w:val="303030"/>
          <w:spacing w:val="-6"/>
        </w:rPr>
        <w:t xml:space="preserve"> </w:t>
      </w:r>
      <w:r w:rsidRPr="00B8148C">
        <w:rPr>
          <w:color w:val="303030"/>
        </w:rPr>
        <w:t>of</w:t>
      </w:r>
      <w:r w:rsidRPr="00B8148C">
        <w:rPr>
          <w:color w:val="303030"/>
          <w:spacing w:val="-5"/>
        </w:rPr>
        <w:t xml:space="preserve"> </w:t>
      </w:r>
      <w:r w:rsidRPr="00B8148C">
        <w:rPr>
          <w:color w:val="303030"/>
        </w:rPr>
        <w:t>the</w:t>
      </w:r>
      <w:r w:rsidRPr="00B8148C">
        <w:rPr>
          <w:color w:val="303030"/>
          <w:spacing w:val="-6"/>
        </w:rPr>
        <w:t xml:space="preserve"> current economic crisis and the </w:t>
      </w:r>
      <w:r w:rsidRPr="00B8148C">
        <w:rPr>
          <w:color w:val="303030"/>
        </w:rPr>
        <w:t>2008</w:t>
      </w:r>
      <w:r w:rsidRPr="00B8148C">
        <w:rPr>
          <w:color w:val="303030"/>
          <w:spacing w:val="-7"/>
        </w:rPr>
        <w:t xml:space="preserve"> </w:t>
      </w:r>
      <w:r w:rsidRPr="00B8148C">
        <w:rPr>
          <w:color w:val="303030"/>
        </w:rPr>
        <w:t>financial</w:t>
      </w:r>
      <w:r w:rsidRPr="00B8148C">
        <w:rPr>
          <w:color w:val="303030"/>
          <w:spacing w:val="-7"/>
        </w:rPr>
        <w:t xml:space="preserve"> </w:t>
      </w:r>
      <w:r w:rsidRPr="00B8148C">
        <w:rPr>
          <w:color w:val="303030"/>
        </w:rPr>
        <w:t xml:space="preserve">crash </w:t>
      </w:r>
    </w:p>
    <w:p w14:paraId="4F469788" w14:textId="77777777" w:rsidR="00CE284E" w:rsidRPr="00B8148C" w:rsidRDefault="00CE284E" w:rsidP="00CE284E">
      <w:pPr>
        <w:pStyle w:val="Brdtext"/>
        <w:spacing w:before="3"/>
      </w:pPr>
    </w:p>
    <w:p w14:paraId="62302022" w14:textId="77777777" w:rsidR="00CE284E" w:rsidRPr="00B8148C" w:rsidRDefault="00CE284E" w:rsidP="00CE284E">
      <w:pPr>
        <w:pStyle w:val="Brdtext"/>
        <w:spacing w:before="1"/>
        <w:ind w:right="127"/>
      </w:pPr>
      <w:r w:rsidRPr="00B8148C">
        <w:rPr>
          <w:color w:val="303030"/>
        </w:rPr>
        <w:t>We believe that with the right political leadership and cooperation, a policy-induced re- alignment of private finance with the SDGs and global climate goals is not only necessary but ultimately achievable. Such re-alignment would bring very significant economic,</w:t>
      </w:r>
      <w:r w:rsidRPr="00B8148C">
        <w:rPr>
          <w:color w:val="303030"/>
          <w:spacing w:val="-8"/>
        </w:rPr>
        <w:t xml:space="preserve"> </w:t>
      </w:r>
      <w:r w:rsidRPr="00B8148C">
        <w:rPr>
          <w:color w:val="303030"/>
        </w:rPr>
        <w:t>societal</w:t>
      </w:r>
      <w:r w:rsidRPr="00B8148C">
        <w:rPr>
          <w:color w:val="303030"/>
          <w:spacing w:val="-9"/>
        </w:rPr>
        <w:t xml:space="preserve"> </w:t>
      </w:r>
      <w:r w:rsidRPr="00B8148C">
        <w:rPr>
          <w:color w:val="303030"/>
        </w:rPr>
        <w:t>and</w:t>
      </w:r>
      <w:r w:rsidRPr="00B8148C">
        <w:rPr>
          <w:color w:val="303030"/>
          <w:spacing w:val="-9"/>
        </w:rPr>
        <w:t xml:space="preserve"> </w:t>
      </w:r>
      <w:r w:rsidRPr="00B8148C">
        <w:rPr>
          <w:color w:val="303030"/>
        </w:rPr>
        <w:t>environmental</w:t>
      </w:r>
      <w:r w:rsidRPr="00B8148C">
        <w:rPr>
          <w:color w:val="303030"/>
          <w:spacing w:val="-9"/>
        </w:rPr>
        <w:t xml:space="preserve"> </w:t>
      </w:r>
      <w:r w:rsidRPr="00B8148C">
        <w:rPr>
          <w:color w:val="303030"/>
        </w:rPr>
        <w:t>benefits</w:t>
      </w:r>
      <w:r w:rsidRPr="00B8148C">
        <w:rPr>
          <w:color w:val="303030"/>
          <w:spacing w:val="-8"/>
        </w:rPr>
        <w:t xml:space="preserve"> </w:t>
      </w:r>
      <w:r w:rsidRPr="00B8148C">
        <w:rPr>
          <w:color w:val="303030"/>
        </w:rPr>
        <w:t>to</w:t>
      </w:r>
      <w:r w:rsidRPr="00B8148C">
        <w:rPr>
          <w:color w:val="303030"/>
          <w:spacing w:val="-9"/>
        </w:rPr>
        <w:t xml:space="preserve"> </w:t>
      </w:r>
      <w:r w:rsidRPr="00B8148C">
        <w:rPr>
          <w:color w:val="303030"/>
        </w:rPr>
        <w:t>all.</w:t>
      </w:r>
    </w:p>
    <w:p w14:paraId="6B4DAF7C" w14:textId="77777777" w:rsidR="00CE284E" w:rsidRPr="00B8148C" w:rsidRDefault="00CE284E" w:rsidP="00CE284E">
      <w:pPr>
        <w:pStyle w:val="Brdtext"/>
        <w:spacing w:before="9"/>
      </w:pPr>
    </w:p>
    <w:p w14:paraId="1E5220E9" w14:textId="77777777" w:rsidR="00CE284E" w:rsidRPr="00021E2F" w:rsidRDefault="00CE284E" w:rsidP="00CE284E">
      <w:pPr>
        <w:pStyle w:val="Brdtext"/>
        <w:spacing w:line="244" w:lineRule="auto"/>
        <w:ind w:right="127"/>
      </w:pPr>
      <w:r w:rsidRPr="00B8148C">
        <w:rPr>
          <w:color w:val="303030"/>
        </w:rPr>
        <w:t>In this context, we</w:t>
      </w:r>
      <w:r>
        <w:rPr>
          <w:color w:val="303030"/>
        </w:rPr>
        <w:t xml:space="preserve"> </w:t>
      </w:r>
      <w:r w:rsidRPr="00B8148C">
        <w:rPr>
          <w:color w:val="303030"/>
        </w:rPr>
        <w:t>have set out 1</w:t>
      </w:r>
      <w:r>
        <w:rPr>
          <w:color w:val="303030"/>
        </w:rPr>
        <w:t>2</w:t>
      </w:r>
      <w:r w:rsidRPr="00B8148C">
        <w:rPr>
          <w:color w:val="303030"/>
        </w:rPr>
        <w:t xml:space="preserve"> potential areas for policy change that could have a significant effect on the way in which financial markets serve our world. These proposals build, </w:t>
      </w:r>
      <w:r w:rsidRPr="00B8148C">
        <w:rPr>
          <w:i/>
          <w:color w:val="303030"/>
        </w:rPr>
        <w:t>inter alia</w:t>
      </w:r>
      <w:r w:rsidRPr="00B8148C">
        <w:rPr>
          <w:color w:val="303030"/>
        </w:rPr>
        <w:t>, on the recent work and reports of the UN Secretary-General Global Investors for Sustainable Development Alliance, the G20 Sustainable Finance Study Group, the Network for Greening the Financial System, the landmark recommendations of the Business and Sustainable Development Commission</w:t>
      </w:r>
      <w:r>
        <w:rPr>
          <w:color w:val="303030"/>
        </w:rPr>
        <w:t xml:space="preserve"> – </w:t>
      </w:r>
      <w:r w:rsidRPr="00021E2F">
        <w:rPr>
          <w:color w:val="303030"/>
        </w:rPr>
        <w:t xml:space="preserve">as well as the expertise of major financial institutions and corporations within the </w:t>
      </w:r>
      <w:r w:rsidRPr="00021E2F">
        <w:rPr>
          <w:color w:val="303030"/>
          <w:spacing w:val="-3"/>
        </w:rPr>
        <w:t xml:space="preserve">ICC </w:t>
      </w:r>
      <w:r w:rsidRPr="00021E2F">
        <w:rPr>
          <w:color w:val="303030"/>
        </w:rPr>
        <w:t>network.</w:t>
      </w:r>
      <w:r w:rsidRPr="00021E2F">
        <w:rPr>
          <w:color w:val="303030"/>
          <w:spacing w:val="-12"/>
        </w:rPr>
        <w:t xml:space="preserve"> </w:t>
      </w:r>
      <w:r w:rsidRPr="00021E2F">
        <w:rPr>
          <w:color w:val="303030"/>
        </w:rPr>
        <w:t>Specifically:</w:t>
      </w:r>
    </w:p>
    <w:p w14:paraId="4FC53DAC" w14:textId="77777777" w:rsidR="00CE284E" w:rsidRPr="00B8148C" w:rsidRDefault="00CE284E" w:rsidP="00CE284E">
      <w:pPr>
        <w:pStyle w:val="Brdtext"/>
        <w:spacing w:before="11"/>
      </w:pPr>
    </w:p>
    <w:p w14:paraId="5CDBBDB5" w14:textId="77777777" w:rsidR="00CE284E" w:rsidRPr="00B8148C" w:rsidRDefault="00CE284E" w:rsidP="00CE284E">
      <w:pPr>
        <w:pStyle w:val="Liststycke"/>
        <w:numPr>
          <w:ilvl w:val="1"/>
          <w:numId w:val="1"/>
        </w:numPr>
        <w:tabs>
          <w:tab w:val="left" w:pos="1020"/>
        </w:tabs>
        <w:spacing w:line="244" w:lineRule="auto"/>
        <w:ind w:left="1019" w:right="129"/>
        <w:jc w:val="left"/>
        <w:rPr>
          <w:sz w:val="24"/>
          <w:szCs w:val="24"/>
        </w:rPr>
      </w:pPr>
      <w:r w:rsidRPr="00021E2F">
        <w:rPr>
          <w:b/>
          <w:bCs/>
          <w:sz w:val="24"/>
          <w:szCs w:val="24"/>
        </w:rPr>
        <w:t>Align COVID-19 recovery stimulus packages with sustainable development objectives</w:t>
      </w:r>
      <w:r w:rsidRPr="00B8148C">
        <w:rPr>
          <w:sz w:val="24"/>
          <w:szCs w:val="24"/>
        </w:rPr>
        <w:t>: It is accepted that direct economic support to small and medium-sized enterprises (SMEs) will be lasting feature of economic recovery packages. In particular, future waves of government support to businesses should be conditional to climate commitments in order to incentivise the transition to a more sustainable and resilient business model and supply-chains.</w:t>
      </w:r>
    </w:p>
    <w:p w14:paraId="7509BADE" w14:textId="77777777" w:rsidR="00CE284E" w:rsidRPr="00B8148C" w:rsidRDefault="00CE284E" w:rsidP="00CE284E">
      <w:pPr>
        <w:pStyle w:val="Liststycke"/>
        <w:tabs>
          <w:tab w:val="left" w:pos="1020"/>
        </w:tabs>
        <w:spacing w:line="244" w:lineRule="auto"/>
        <w:ind w:right="129"/>
        <w:jc w:val="left"/>
        <w:rPr>
          <w:sz w:val="24"/>
          <w:szCs w:val="24"/>
        </w:rPr>
      </w:pPr>
    </w:p>
    <w:p w14:paraId="1152C8FE" w14:textId="77777777" w:rsidR="00CE284E" w:rsidRPr="00B8148C" w:rsidRDefault="00CE284E" w:rsidP="00CE284E">
      <w:pPr>
        <w:pStyle w:val="Liststycke"/>
        <w:numPr>
          <w:ilvl w:val="1"/>
          <w:numId w:val="1"/>
        </w:numPr>
        <w:tabs>
          <w:tab w:val="left" w:pos="1020"/>
        </w:tabs>
        <w:spacing w:line="244" w:lineRule="auto"/>
        <w:ind w:left="1019" w:right="129"/>
        <w:jc w:val="left"/>
        <w:rPr>
          <w:sz w:val="24"/>
          <w:szCs w:val="24"/>
        </w:rPr>
      </w:pPr>
      <w:r w:rsidRPr="00B8148C">
        <w:rPr>
          <w:b/>
          <w:color w:val="303030"/>
          <w:sz w:val="24"/>
          <w:szCs w:val="24"/>
        </w:rPr>
        <w:t>Broaden the scope of central bank and regulatory mandates</w:t>
      </w:r>
      <w:r w:rsidRPr="00B8148C">
        <w:rPr>
          <w:color w:val="303030"/>
          <w:sz w:val="24"/>
          <w:szCs w:val="24"/>
        </w:rPr>
        <w:t xml:space="preserve">: Explore the potential to expand the concept of “financial stability” in central bank </w:t>
      </w:r>
      <w:r w:rsidRPr="00B8148C">
        <w:rPr>
          <w:color w:val="303030"/>
          <w:spacing w:val="-2"/>
          <w:sz w:val="24"/>
          <w:szCs w:val="24"/>
        </w:rPr>
        <w:t xml:space="preserve">and </w:t>
      </w:r>
      <w:r w:rsidRPr="00B8148C">
        <w:rPr>
          <w:color w:val="303030"/>
          <w:sz w:val="24"/>
          <w:szCs w:val="24"/>
        </w:rPr>
        <w:t xml:space="preserve">regulatory mandates to incorporate sustainability related risks and objectives. Given the growing risks posed to the global economy by climate </w:t>
      </w:r>
      <w:r w:rsidRPr="00B8148C">
        <w:rPr>
          <w:color w:val="303030"/>
          <w:spacing w:val="-3"/>
          <w:sz w:val="24"/>
          <w:szCs w:val="24"/>
        </w:rPr>
        <w:t xml:space="preserve">change, </w:t>
      </w:r>
      <w:r w:rsidRPr="00B8148C">
        <w:rPr>
          <w:color w:val="303030"/>
          <w:sz w:val="24"/>
          <w:szCs w:val="24"/>
        </w:rPr>
        <w:t>environmental degradation and global inequality, the objective of financial stability</w:t>
      </w:r>
      <w:r w:rsidRPr="00B8148C">
        <w:rPr>
          <w:color w:val="303030"/>
          <w:spacing w:val="-12"/>
          <w:sz w:val="24"/>
          <w:szCs w:val="24"/>
        </w:rPr>
        <w:t xml:space="preserve"> </w:t>
      </w:r>
      <w:r w:rsidRPr="00B8148C">
        <w:rPr>
          <w:color w:val="303030"/>
          <w:sz w:val="24"/>
          <w:szCs w:val="24"/>
        </w:rPr>
        <w:t>can</w:t>
      </w:r>
      <w:r w:rsidRPr="00B8148C">
        <w:rPr>
          <w:color w:val="303030"/>
          <w:spacing w:val="-10"/>
          <w:sz w:val="24"/>
          <w:szCs w:val="24"/>
        </w:rPr>
        <w:t xml:space="preserve"> </w:t>
      </w:r>
      <w:r w:rsidRPr="00B8148C">
        <w:rPr>
          <w:color w:val="303030"/>
          <w:sz w:val="24"/>
          <w:szCs w:val="24"/>
        </w:rPr>
        <w:t>no</w:t>
      </w:r>
      <w:r w:rsidRPr="00B8148C">
        <w:rPr>
          <w:color w:val="303030"/>
          <w:spacing w:val="-12"/>
          <w:sz w:val="24"/>
          <w:szCs w:val="24"/>
        </w:rPr>
        <w:t xml:space="preserve"> </w:t>
      </w:r>
      <w:r w:rsidRPr="00B8148C">
        <w:rPr>
          <w:color w:val="303030"/>
          <w:sz w:val="24"/>
          <w:szCs w:val="24"/>
        </w:rPr>
        <w:t>longer</w:t>
      </w:r>
      <w:r w:rsidRPr="00B8148C">
        <w:rPr>
          <w:color w:val="303030"/>
          <w:spacing w:val="-11"/>
          <w:sz w:val="24"/>
          <w:szCs w:val="24"/>
        </w:rPr>
        <w:t xml:space="preserve"> </w:t>
      </w:r>
      <w:r w:rsidRPr="00B8148C">
        <w:rPr>
          <w:color w:val="303030"/>
          <w:spacing w:val="-3"/>
          <w:sz w:val="24"/>
          <w:szCs w:val="24"/>
        </w:rPr>
        <w:t>be</w:t>
      </w:r>
      <w:r w:rsidRPr="00B8148C">
        <w:rPr>
          <w:color w:val="303030"/>
          <w:spacing w:val="-11"/>
          <w:sz w:val="24"/>
          <w:szCs w:val="24"/>
        </w:rPr>
        <w:t xml:space="preserve"> </w:t>
      </w:r>
      <w:r w:rsidRPr="00B8148C">
        <w:rPr>
          <w:color w:val="303030"/>
          <w:sz w:val="24"/>
          <w:szCs w:val="24"/>
        </w:rPr>
        <w:t>separated</w:t>
      </w:r>
      <w:r w:rsidRPr="00B8148C">
        <w:rPr>
          <w:color w:val="303030"/>
          <w:spacing w:val="-8"/>
          <w:sz w:val="24"/>
          <w:szCs w:val="24"/>
        </w:rPr>
        <w:t xml:space="preserve"> </w:t>
      </w:r>
      <w:r w:rsidRPr="00B8148C">
        <w:rPr>
          <w:color w:val="303030"/>
          <w:sz w:val="24"/>
          <w:szCs w:val="24"/>
        </w:rPr>
        <w:t>from</w:t>
      </w:r>
      <w:r w:rsidRPr="00B8148C">
        <w:rPr>
          <w:color w:val="303030"/>
          <w:spacing w:val="-11"/>
          <w:sz w:val="24"/>
          <w:szCs w:val="24"/>
        </w:rPr>
        <w:t xml:space="preserve"> </w:t>
      </w:r>
      <w:r w:rsidRPr="00B8148C">
        <w:rPr>
          <w:color w:val="303030"/>
          <w:sz w:val="24"/>
          <w:szCs w:val="24"/>
        </w:rPr>
        <w:t>sustainable</w:t>
      </w:r>
      <w:r w:rsidRPr="00B8148C">
        <w:rPr>
          <w:color w:val="303030"/>
          <w:spacing w:val="-10"/>
          <w:sz w:val="24"/>
          <w:szCs w:val="24"/>
        </w:rPr>
        <w:t xml:space="preserve"> </w:t>
      </w:r>
      <w:r w:rsidRPr="00B8148C">
        <w:rPr>
          <w:color w:val="303030"/>
          <w:sz w:val="24"/>
          <w:szCs w:val="24"/>
        </w:rPr>
        <w:t>development</w:t>
      </w:r>
      <w:r w:rsidRPr="00B8148C">
        <w:rPr>
          <w:color w:val="303030"/>
          <w:spacing w:val="-10"/>
          <w:sz w:val="24"/>
          <w:szCs w:val="24"/>
        </w:rPr>
        <w:t xml:space="preserve"> </w:t>
      </w:r>
      <w:r w:rsidRPr="00B8148C">
        <w:rPr>
          <w:color w:val="303030"/>
          <w:sz w:val="24"/>
          <w:szCs w:val="24"/>
        </w:rPr>
        <w:t>imperatives.</w:t>
      </w:r>
    </w:p>
    <w:p w14:paraId="2FF572F2" w14:textId="77777777" w:rsidR="00CE284E" w:rsidRPr="00B8148C" w:rsidRDefault="00CE284E" w:rsidP="00CE284E">
      <w:pPr>
        <w:pStyle w:val="Liststycke"/>
        <w:tabs>
          <w:tab w:val="left" w:pos="1020"/>
        </w:tabs>
        <w:spacing w:line="244" w:lineRule="auto"/>
        <w:ind w:right="129"/>
        <w:jc w:val="left"/>
        <w:rPr>
          <w:sz w:val="24"/>
          <w:szCs w:val="24"/>
        </w:rPr>
      </w:pPr>
    </w:p>
    <w:p w14:paraId="76476A01" w14:textId="77777777" w:rsidR="00CE284E" w:rsidRPr="00B8148C" w:rsidRDefault="00CE284E" w:rsidP="00CE284E">
      <w:pPr>
        <w:pStyle w:val="Liststycke"/>
        <w:numPr>
          <w:ilvl w:val="1"/>
          <w:numId w:val="1"/>
        </w:numPr>
        <w:tabs>
          <w:tab w:val="left" w:pos="1020"/>
        </w:tabs>
        <w:spacing w:line="244" w:lineRule="auto"/>
        <w:ind w:left="1019" w:right="129"/>
        <w:jc w:val="left"/>
        <w:rPr>
          <w:sz w:val="24"/>
          <w:szCs w:val="24"/>
        </w:rPr>
      </w:pPr>
      <w:r w:rsidRPr="00B8148C">
        <w:rPr>
          <w:b/>
          <w:color w:val="303030"/>
          <w:sz w:val="24"/>
          <w:szCs w:val="24"/>
        </w:rPr>
        <w:t>Explore the idea of using climate and nature</w:t>
      </w:r>
      <w:r w:rsidRPr="00B8148C">
        <w:rPr>
          <w:sz w:val="24"/>
          <w:szCs w:val="24"/>
        </w:rPr>
        <w:t>-linked debt swaps to address the debt crisis facing many emerging market economies, exacerbated by the COVID-19 crisis and lingering economic impacts.</w:t>
      </w:r>
    </w:p>
    <w:p w14:paraId="2CBA9C21" w14:textId="77777777" w:rsidR="00CE284E" w:rsidRPr="00B8148C" w:rsidRDefault="00CE284E" w:rsidP="00CE284E">
      <w:pPr>
        <w:pStyle w:val="Brdtext"/>
        <w:spacing w:before="1"/>
      </w:pPr>
    </w:p>
    <w:p w14:paraId="0E0469E5" w14:textId="77777777" w:rsidR="00CE284E" w:rsidRPr="00B8148C" w:rsidRDefault="00CE284E" w:rsidP="00CE284E">
      <w:pPr>
        <w:pStyle w:val="Liststycke"/>
        <w:numPr>
          <w:ilvl w:val="1"/>
          <w:numId w:val="1"/>
        </w:numPr>
        <w:tabs>
          <w:tab w:val="left" w:pos="1020"/>
        </w:tabs>
        <w:spacing w:line="244" w:lineRule="auto"/>
        <w:ind w:left="1019" w:right="131"/>
        <w:jc w:val="left"/>
        <w:rPr>
          <w:sz w:val="24"/>
          <w:szCs w:val="24"/>
        </w:rPr>
      </w:pPr>
      <w:r w:rsidRPr="00B8148C">
        <w:rPr>
          <w:b/>
          <w:color w:val="303030"/>
          <w:sz w:val="24"/>
          <w:szCs w:val="24"/>
        </w:rPr>
        <w:t>Align prudential regulation frameworks with sustainability risks</w:t>
      </w:r>
      <w:r w:rsidRPr="00B8148C">
        <w:rPr>
          <w:color w:val="303030"/>
          <w:sz w:val="24"/>
          <w:szCs w:val="24"/>
        </w:rPr>
        <w:t xml:space="preserve">: Explore the feasibility to include risks associated with climate and other </w:t>
      </w:r>
      <w:r w:rsidRPr="00B8148C">
        <w:rPr>
          <w:color w:val="303030"/>
          <w:sz w:val="24"/>
          <w:szCs w:val="24"/>
        </w:rPr>
        <w:lastRenderedPageBreak/>
        <w:t>sustainability factors in institutions' risk management policies – building, for instance, on the work</w:t>
      </w:r>
      <w:r w:rsidRPr="00B8148C">
        <w:rPr>
          <w:color w:val="303030"/>
          <w:spacing w:val="-11"/>
          <w:sz w:val="24"/>
          <w:szCs w:val="24"/>
        </w:rPr>
        <w:t xml:space="preserve"> </w:t>
      </w:r>
      <w:r w:rsidRPr="00B8148C">
        <w:rPr>
          <w:color w:val="303030"/>
          <w:sz w:val="24"/>
          <w:szCs w:val="24"/>
        </w:rPr>
        <w:t>of</w:t>
      </w:r>
      <w:r w:rsidRPr="00B8148C">
        <w:rPr>
          <w:color w:val="303030"/>
          <w:spacing w:val="-7"/>
          <w:sz w:val="24"/>
          <w:szCs w:val="24"/>
        </w:rPr>
        <w:t xml:space="preserve"> </w:t>
      </w:r>
      <w:r w:rsidRPr="00B8148C">
        <w:rPr>
          <w:color w:val="303030"/>
          <w:sz w:val="24"/>
          <w:szCs w:val="24"/>
        </w:rPr>
        <w:t>the</w:t>
      </w:r>
      <w:r w:rsidRPr="00B8148C">
        <w:rPr>
          <w:color w:val="303030"/>
          <w:spacing w:val="-6"/>
          <w:sz w:val="24"/>
          <w:szCs w:val="24"/>
        </w:rPr>
        <w:t xml:space="preserve"> </w:t>
      </w:r>
      <w:r w:rsidRPr="00B8148C">
        <w:rPr>
          <w:color w:val="303030"/>
          <w:sz w:val="24"/>
          <w:szCs w:val="24"/>
        </w:rPr>
        <w:t>Task</w:t>
      </w:r>
      <w:r w:rsidRPr="00B8148C">
        <w:rPr>
          <w:color w:val="303030"/>
          <w:spacing w:val="-10"/>
          <w:sz w:val="24"/>
          <w:szCs w:val="24"/>
        </w:rPr>
        <w:t xml:space="preserve"> </w:t>
      </w:r>
      <w:r w:rsidRPr="00B8148C">
        <w:rPr>
          <w:color w:val="303030"/>
          <w:sz w:val="24"/>
          <w:szCs w:val="24"/>
        </w:rPr>
        <w:t>Force</w:t>
      </w:r>
      <w:r w:rsidRPr="00B8148C">
        <w:rPr>
          <w:color w:val="303030"/>
          <w:spacing w:val="-6"/>
          <w:sz w:val="24"/>
          <w:szCs w:val="24"/>
        </w:rPr>
        <w:t xml:space="preserve"> </w:t>
      </w:r>
      <w:r w:rsidRPr="00B8148C">
        <w:rPr>
          <w:color w:val="303030"/>
          <w:sz w:val="24"/>
          <w:szCs w:val="24"/>
        </w:rPr>
        <w:t>on</w:t>
      </w:r>
      <w:r w:rsidRPr="00B8148C">
        <w:rPr>
          <w:color w:val="303030"/>
          <w:spacing w:val="-6"/>
          <w:sz w:val="24"/>
          <w:szCs w:val="24"/>
        </w:rPr>
        <w:t xml:space="preserve"> </w:t>
      </w:r>
      <w:r w:rsidRPr="00B8148C">
        <w:rPr>
          <w:color w:val="303030"/>
          <w:sz w:val="24"/>
          <w:szCs w:val="24"/>
        </w:rPr>
        <w:t>Climate-related</w:t>
      </w:r>
      <w:r w:rsidRPr="00B8148C">
        <w:rPr>
          <w:color w:val="303030"/>
          <w:spacing w:val="-8"/>
          <w:sz w:val="24"/>
          <w:szCs w:val="24"/>
        </w:rPr>
        <w:t xml:space="preserve"> </w:t>
      </w:r>
      <w:r w:rsidRPr="00B8148C">
        <w:rPr>
          <w:color w:val="303030"/>
          <w:sz w:val="24"/>
          <w:szCs w:val="24"/>
        </w:rPr>
        <w:t>Financial</w:t>
      </w:r>
      <w:r w:rsidRPr="00B8148C">
        <w:rPr>
          <w:color w:val="303030"/>
          <w:spacing w:val="-9"/>
          <w:sz w:val="24"/>
          <w:szCs w:val="24"/>
        </w:rPr>
        <w:t xml:space="preserve"> </w:t>
      </w:r>
      <w:r w:rsidRPr="00B8148C">
        <w:rPr>
          <w:color w:val="303030"/>
          <w:sz w:val="24"/>
          <w:szCs w:val="24"/>
        </w:rPr>
        <w:t>Disclosures.</w:t>
      </w:r>
    </w:p>
    <w:p w14:paraId="5A5F29BE" w14:textId="77777777" w:rsidR="00CE284E" w:rsidRPr="00B8148C" w:rsidRDefault="00CE284E" w:rsidP="00CE284E">
      <w:pPr>
        <w:pStyle w:val="Brdtext"/>
        <w:spacing w:before="1"/>
      </w:pPr>
    </w:p>
    <w:p w14:paraId="0FD136AB" w14:textId="77777777" w:rsidR="00CE284E" w:rsidRPr="00B8148C" w:rsidRDefault="00CE284E" w:rsidP="00CE284E">
      <w:pPr>
        <w:pStyle w:val="Liststycke"/>
        <w:numPr>
          <w:ilvl w:val="1"/>
          <w:numId w:val="1"/>
        </w:numPr>
        <w:tabs>
          <w:tab w:val="left" w:pos="1020"/>
        </w:tabs>
        <w:spacing w:line="244" w:lineRule="auto"/>
        <w:ind w:left="1019" w:right="127"/>
        <w:jc w:val="left"/>
        <w:rPr>
          <w:sz w:val="24"/>
          <w:szCs w:val="24"/>
        </w:rPr>
      </w:pPr>
      <w:r w:rsidRPr="00B8148C">
        <w:rPr>
          <w:b/>
          <w:color w:val="303030"/>
          <w:sz w:val="24"/>
          <w:szCs w:val="24"/>
        </w:rPr>
        <w:t xml:space="preserve">Establish sustainable finance taxonomies: </w:t>
      </w:r>
      <w:r w:rsidRPr="00B8148C">
        <w:rPr>
          <w:color w:val="303030"/>
          <w:sz w:val="24"/>
          <w:szCs w:val="24"/>
        </w:rPr>
        <w:t xml:space="preserve">Establish a process to ensure as much alignment as possible between the various taxonomies being developed  for environmentally and socially sustainable investment activities. Such a framework – if sufficiently robust, practical and granular – could allow for comparability within asset classes and provide standard definitions </w:t>
      </w:r>
      <w:r w:rsidRPr="00B8148C">
        <w:rPr>
          <w:color w:val="303030"/>
          <w:spacing w:val="-3"/>
          <w:sz w:val="24"/>
          <w:szCs w:val="24"/>
        </w:rPr>
        <w:t xml:space="preserve">on </w:t>
      </w:r>
      <w:r w:rsidRPr="00B8148C">
        <w:rPr>
          <w:color w:val="303030"/>
          <w:sz w:val="24"/>
          <w:szCs w:val="24"/>
        </w:rPr>
        <w:t xml:space="preserve">which </w:t>
      </w:r>
      <w:r w:rsidRPr="00B8148C">
        <w:rPr>
          <w:color w:val="303030"/>
          <w:spacing w:val="-3"/>
          <w:sz w:val="24"/>
          <w:szCs w:val="24"/>
        </w:rPr>
        <w:t xml:space="preserve">to </w:t>
      </w:r>
      <w:r w:rsidRPr="00B8148C">
        <w:rPr>
          <w:color w:val="303030"/>
          <w:sz w:val="24"/>
          <w:szCs w:val="24"/>
        </w:rPr>
        <w:t xml:space="preserve">base prudential calculations under Basel III/Solvency </w:t>
      </w:r>
      <w:r w:rsidRPr="00B8148C">
        <w:rPr>
          <w:color w:val="303030"/>
          <w:spacing w:val="-2"/>
          <w:sz w:val="24"/>
          <w:szCs w:val="24"/>
        </w:rPr>
        <w:t xml:space="preserve">II. </w:t>
      </w:r>
      <w:r w:rsidRPr="00B8148C">
        <w:rPr>
          <w:color w:val="303030"/>
          <w:sz w:val="24"/>
          <w:szCs w:val="24"/>
        </w:rPr>
        <w:t xml:space="preserve">This could enable stronger alignment between financial stability frameworks and the objectives </w:t>
      </w:r>
      <w:r w:rsidRPr="00B8148C">
        <w:rPr>
          <w:color w:val="303030"/>
          <w:spacing w:val="-3"/>
          <w:sz w:val="24"/>
          <w:szCs w:val="24"/>
        </w:rPr>
        <w:t xml:space="preserve">of </w:t>
      </w:r>
      <w:r w:rsidRPr="00B8148C">
        <w:rPr>
          <w:color w:val="303030"/>
          <w:sz w:val="24"/>
          <w:szCs w:val="24"/>
        </w:rPr>
        <w:t>the Paris Agreement and SDGs – without increasing the overall capital requirements placed on</w:t>
      </w:r>
      <w:r w:rsidRPr="00B8148C">
        <w:rPr>
          <w:color w:val="303030"/>
          <w:spacing w:val="-41"/>
          <w:sz w:val="24"/>
          <w:szCs w:val="24"/>
        </w:rPr>
        <w:t xml:space="preserve"> </w:t>
      </w:r>
      <w:r w:rsidRPr="00B8148C">
        <w:rPr>
          <w:color w:val="303030"/>
          <w:sz w:val="24"/>
          <w:szCs w:val="24"/>
        </w:rPr>
        <w:t>banks and insurers.</w:t>
      </w:r>
    </w:p>
    <w:p w14:paraId="682AED06" w14:textId="77777777" w:rsidR="00CE284E" w:rsidRPr="00B8148C" w:rsidRDefault="00CE284E" w:rsidP="00CE284E">
      <w:pPr>
        <w:pStyle w:val="Liststycke"/>
        <w:jc w:val="left"/>
        <w:rPr>
          <w:b/>
          <w:color w:val="303030"/>
          <w:sz w:val="24"/>
          <w:szCs w:val="24"/>
        </w:rPr>
      </w:pPr>
    </w:p>
    <w:p w14:paraId="51D3F424" w14:textId="77777777" w:rsidR="00CE284E" w:rsidRPr="00B8148C" w:rsidRDefault="00CE284E" w:rsidP="00CE284E">
      <w:pPr>
        <w:pStyle w:val="Liststycke"/>
        <w:numPr>
          <w:ilvl w:val="1"/>
          <w:numId w:val="1"/>
        </w:numPr>
        <w:tabs>
          <w:tab w:val="left" w:pos="1020"/>
        </w:tabs>
        <w:spacing w:line="244" w:lineRule="auto"/>
        <w:ind w:left="1019" w:right="127"/>
        <w:jc w:val="left"/>
        <w:rPr>
          <w:sz w:val="24"/>
          <w:szCs w:val="24"/>
        </w:rPr>
      </w:pPr>
      <w:r w:rsidRPr="00B8148C">
        <w:rPr>
          <w:b/>
          <w:color w:val="303030"/>
          <w:sz w:val="24"/>
          <w:szCs w:val="24"/>
        </w:rPr>
        <w:t xml:space="preserve">Embed sustainability in credit ratings and credit pricing: </w:t>
      </w:r>
      <w:r w:rsidRPr="00B8148C">
        <w:rPr>
          <w:color w:val="303030"/>
          <w:sz w:val="24"/>
          <w:szCs w:val="24"/>
        </w:rPr>
        <w:t>Explore the potential for sustainability factors to be taken into account in: (i) credit analysis and adjudication, with progressive integration into credit rating systems and assessments for both corporate and sovereign debt; and (ii) credit pricing, by giving an incentive on interest rate and fees applicable through a tax leverage during</w:t>
      </w:r>
      <w:r w:rsidRPr="00B8148C">
        <w:rPr>
          <w:color w:val="303030"/>
          <w:spacing w:val="-10"/>
          <w:sz w:val="24"/>
          <w:szCs w:val="24"/>
        </w:rPr>
        <w:t xml:space="preserve"> </w:t>
      </w:r>
      <w:r w:rsidRPr="00B8148C">
        <w:rPr>
          <w:color w:val="303030"/>
          <w:sz w:val="24"/>
          <w:szCs w:val="24"/>
        </w:rPr>
        <w:t>all</w:t>
      </w:r>
      <w:r w:rsidRPr="00B8148C">
        <w:rPr>
          <w:color w:val="303030"/>
          <w:spacing w:val="-6"/>
          <w:sz w:val="24"/>
          <w:szCs w:val="24"/>
        </w:rPr>
        <w:t xml:space="preserve"> </w:t>
      </w:r>
      <w:r w:rsidRPr="00B8148C">
        <w:rPr>
          <w:color w:val="303030"/>
          <w:sz w:val="24"/>
          <w:szCs w:val="24"/>
        </w:rPr>
        <w:t>or</w:t>
      </w:r>
      <w:r w:rsidRPr="00B8148C">
        <w:rPr>
          <w:color w:val="303030"/>
          <w:spacing w:val="-9"/>
          <w:sz w:val="24"/>
          <w:szCs w:val="24"/>
        </w:rPr>
        <w:t xml:space="preserve"> </w:t>
      </w:r>
      <w:r w:rsidRPr="00B8148C">
        <w:rPr>
          <w:color w:val="303030"/>
          <w:sz w:val="24"/>
          <w:szCs w:val="24"/>
        </w:rPr>
        <w:t>part</w:t>
      </w:r>
      <w:r w:rsidRPr="00B8148C">
        <w:rPr>
          <w:color w:val="303030"/>
          <w:spacing w:val="-6"/>
          <w:sz w:val="24"/>
          <w:szCs w:val="24"/>
        </w:rPr>
        <w:t xml:space="preserve"> </w:t>
      </w:r>
      <w:r w:rsidRPr="00B8148C">
        <w:rPr>
          <w:color w:val="303030"/>
          <w:sz w:val="24"/>
          <w:szCs w:val="24"/>
        </w:rPr>
        <w:t>of</w:t>
      </w:r>
      <w:r w:rsidRPr="00B8148C">
        <w:rPr>
          <w:color w:val="303030"/>
          <w:spacing w:val="-6"/>
          <w:sz w:val="24"/>
          <w:szCs w:val="24"/>
        </w:rPr>
        <w:t xml:space="preserve"> </w:t>
      </w:r>
      <w:r w:rsidRPr="00B8148C">
        <w:rPr>
          <w:color w:val="303030"/>
          <w:sz w:val="24"/>
          <w:szCs w:val="24"/>
        </w:rPr>
        <w:t>the</w:t>
      </w:r>
      <w:r w:rsidRPr="00B8148C">
        <w:rPr>
          <w:color w:val="303030"/>
          <w:spacing w:val="-5"/>
          <w:sz w:val="24"/>
          <w:szCs w:val="24"/>
        </w:rPr>
        <w:t xml:space="preserve"> </w:t>
      </w:r>
      <w:r w:rsidRPr="00B8148C">
        <w:rPr>
          <w:color w:val="303030"/>
          <w:sz w:val="24"/>
          <w:szCs w:val="24"/>
        </w:rPr>
        <w:t>financing</w:t>
      </w:r>
      <w:r w:rsidRPr="00B8148C">
        <w:rPr>
          <w:color w:val="303030"/>
          <w:spacing w:val="-6"/>
          <w:sz w:val="24"/>
          <w:szCs w:val="24"/>
        </w:rPr>
        <w:t xml:space="preserve"> </w:t>
      </w:r>
      <w:r w:rsidRPr="00B8148C">
        <w:rPr>
          <w:color w:val="303030"/>
          <w:sz w:val="24"/>
          <w:szCs w:val="24"/>
        </w:rPr>
        <w:t>cycle.</w:t>
      </w:r>
    </w:p>
    <w:p w14:paraId="4B49F7AC" w14:textId="77777777" w:rsidR="00CE284E" w:rsidRPr="00B8148C" w:rsidRDefault="00CE284E" w:rsidP="00CE284E">
      <w:pPr>
        <w:pStyle w:val="Liststycke"/>
        <w:jc w:val="left"/>
        <w:rPr>
          <w:b/>
          <w:color w:val="303030"/>
          <w:sz w:val="24"/>
          <w:szCs w:val="24"/>
        </w:rPr>
      </w:pPr>
    </w:p>
    <w:p w14:paraId="6FAF5F38" w14:textId="77777777" w:rsidR="00CE284E" w:rsidRPr="00B8148C" w:rsidRDefault="00CE284E" w:rsidP="00CE284E">
      <w:pPr>
        <w:pStyle w:val="Liststycke"/>
        <w:numPr>
          <w:ilvl w:val="1"/>
          <w:numId w:val="1"/>
        </w:numPr>
        <w:tabs>
          <w:tab w:val="left" w:pos="1020"/>
        </w:tabs>
        <w:spacing w:line="244" w:lineRule="auto"/>
        <w:ind w:left="1019" w:right="127"/>
        <w:jc w:val="left"/>
        <w:rPr>
          <w:sz w:val="24"/>
          <w:szCs w:val="24"/>
        </w:rPr>
      </w:pPr>
      <w:r w:rsidRPr="00B8148C">
        <w:rPr>
          <w:b/>
          <w:color w:val="303030"/>
          <w:sz w:val="24"/>
          <w:szCs w:val="24"/>
        </w:rPr>
        <w:t xml:space="preserve">Clarify fiduciary duties: </w:t>
      </w:r>
      <w:r w:rsidRPr="00B8148C">
        <w:rPr>
          <w:color w:val="303030"/>
          <w:sz w:val="24"/>
          <w:szCs w:val="24"/>
        </w:rPr>
        <w:t>Establish clear duties for both institutional investors and asset managers in relation to: (i) their own sustainability considerations; and (ii) any investment recommendations they make to non-institutional investors.</w:t>
      </w:r>
    </w:p>
    <w:p w14:paraId="35E4CA1A" w14:textId="77777777" w:rsidR="00CE284E" w:rsidRPr="00B8148C" w:rsidRDefault="00CE284E" w:rsidP="00CE284E">
      <w:pPr>
        <w:pStyle w:val="Liststycke"/>
        <w:jc w:val="left"/>
        <w:rPr>
          <w:b/>
          <w:color w:val="303030"/>
          <w:sz w:val="24"/>
          <w:szCs w:val="24"/>
        </w:rPr>
      </w:pPr>
    </w:p>
    <w:p w14:paraId="252A0A82" w14:textId="77777777" w:rsidR="00CE284E" w:rsidRPr="00B8148C" w:rsidRDefault="00CE284E" w:rsidP="00CE284E">
      <w:pPr>
        <w:pStyle w:val="Liststycke"/>
        <w:numPr>
          <w:ilvl w:val="1"/>
          <w:numId w:val="1"/>
        </w:numPr>
        <w:tabs>
          <w:tab w:val="left" w:pos="1020"/>
        </w:tabs>
        <w:spacing w:line="244" w:lineRule="auto"/>
        <w:ind w:left="1019" w:right="127"/>
        <w:jc w:val="left"/>
        <w:rPr>
          <w:sz w:val="24"/>
          <w:szCs w:val="24"/>
        </w:rPr>
      </w:pPr>
      <w:r w:rsidRPr="00B8148C">
        <w:rPr>
          <w:b/>
          <w:color w:val="303030"/>
          <w:sz w:val="24"/>
          <w:szCs w:val="24"/>
        </w:rPr>
        <w:t xml:space="preserve">Standardise sustainability disclosures: </w:t>
      </w:r>
      <w:r w:rsidRPr="00B8148C">
        <w:rPr>
          <w:bCs/>
          <w:color w:val="303030"/>
          <w:sz w:val="24"/>
          <w:szCs w:val="24"/>
        </w:rPr>
        <w:t xml:space="preserve">As has been proposed by the World Economic Forum’s International Business Council working with global accounting firms in its report </w:t>
      </w:r>
      <w:hyperlink r:id="rId11" w:history="1">
        <w:r w:rsidRPr="00B8148C">
          <w:rPr>
            <w:rStyle w:val="Hyperlnk"/>
            <w:bCs/>
            <w:sz w:val="24"/>
            <w:szCs w:val="24"/>
          </w:rPr>
          <w:t>Measuring Stakeholder Capitalism</w:t>
        </w:r>
      </w:hyperlink>
      <w:r w:rsidRPr="00B8148C">
        <w:rPr>
          <w:color w:val="303030"/>
          <w:sz w:val="24"/>
          <w:szCs w:val="24"/>
        </w:rPr>
        <w:t xml:space="preserve">, work towards greater standardisation of sustainability-related reporting to address growing market fragmentation in Environmental, Social and Governance </w:t>
      </w:r>
      <w:r w:rsidRPr="00B8148C">
        <w:rPr>
          <w:color w:val="303030"/>
          <w:spacing w:val="-3"/>
          <w:sz w:val="24"/>
          <w:szCs w:val="24"/>
        </w:rPr>
        <w:t xml:space="preserve">(“ESG”) </w:t>
      </w:r>
      <w:r w:rsidRPr="00B8148C">
        <w:rPr>
          <w:color w:val="303030"/>
          <w:sz w:val="24"/>
          <w:szCs w:val="24"/>
        </w:rPr>
        <w:t>disclosure frameworks. Efforts should also be made to accelerate alignment between SDG and ESG metrics to ensure effective measurement of social and environmental impact and build public</w:t>
      </w:r>
      <w:r w:rsidRPr="00B8148C">
        <w:rPr>
          <w:color w:val="303030"/>
          <w:spacing w:val="-2"/>
          <w:sz w:val="24"/>
          <w:szCs w:val="24"/>
        </w:rPr>
        <w:t xml:space="preserve"> </w:t>
      </w:r>
      <w:r w:rsidRPr="00B8148C">
        <w:rPr>
          <w:color w:val="303030"/>
          <w:sz w:val="24"/>
          <w:szCs w:val="24"/>
        </w:rPr>
        <w:t>trust.</w:t>
      </w:r>
    </w:p>
    <w:p w14:paraId="58E1E681" w14:textId="77777777" w:rsidR="00CE284E" w:rsidRPr="00B8148C" w:rsidRDefault="00CE284E" w:rsidP="00CE284E">
      <w:pPr>
        <w:pStyle w:val="Liststycke"/>
        <w:jc w:val="left"/>
        <w:rPr>
          <w:b/>
          <w:color w:val="303030"/>
          <w:sz w:val="24"/>
          <w:szCs w:val="24"/>
        </w:rPr>
      </w:pPr>
    </w:p>
    <w:p w14:paraId="6D54D56D" w14:textId="77777777" w:rsidR="00CE284E" w:rsidRPr="00B8148C" w:rsidRDefault="00CE284E" w:rsidP="00CE284E">
      <w:pPr>
        <w:pStyle w:val="Liststycke"/>
        <w:numPr>
          <w:ilvl w:val="1"/>
          <w:numId w:val="1"/>
        </w:numPr>
        <w:tabs>
          <w:tab w:val="left" w:pos="1020"/>
        </w:tabs>
        <w:spacing w:line="244" w:lineRule="auto"/>
        <w:ind w:left="1019" w:right="127"/>
        <w:jc w:val="left"/>
        <w:rPr>
          <w:sz w:val="24"/>
          <w:szCs w:val="24"/>
        </w:rPr>
      </w:pPr>
      <w:r w:rsidRPr="00B8148C">
        <w:rPr>
          <w:b/>
          <w:color w:val="303030"/>
          <w:sz w:val="24"/>
          <w:szCs w:val="24"/>
        </w:rPr>
        <w:t xml:space="preserve">Establish sustainable finance standards for “transition” projects: </w:t>
      </w:r>
      <w:r w:rsidRPr="00B8148C">
        <w:rPr>
          <w:color w:val="303030"/>
          <w:sz w:val="24"/>
          <w:szCs w:val="24"/>
        </w:rPr>
        <w:t>Work towards the development of frameworks and/or metrics to scale financing for industrial pilot projects aimed at improving the environmental footprint – for climate change as well as  biodiversity – of traditional industrial</w:t>
      </w:r>
      <w:r w:rsidRPr="00B8148C">
        <w:rPr>
          <w:color w:val="303030"/>
          <w:spacing w:val="-10"/>
          <w:sz w:val="24"/>
          <w:szCs w:val="24"/>
        </w:rPr>
        <w:t xml:space="preserve"> </w:t>
      </w:r>
      <w:r w:rsidRPr="00B8148C">
        <w:rPr>
          <w:color w:val="303030"/>
          <w:sz w:val="24"/>
          <w:szCs w:val="24"/>
        </w:rPr>
        <w:t>sectors.</w:t>
      </w:r>
    </w:p>
    <w:p w14:paraId="6A8CAC62" w14:textId="77777777" w:rsidR="00CE284E" w:rsidRPr="00B8148C" w:rsidRDefault="00CE284E" w:rsidP="00CE284E">
      <w:pPr>
        <w:pStyle w:val="Liststycke"/>
        <w:jc w:val="left"/>
        <w:rPr>
          <w:b/>
          <w:color w:val="303030"/>
          <w:sz w:val="24"/>
          <w:szCs w:val="24"/>
        </w:rPr>
      </w:pPr>
    </w:p>
    <w:p w14:paraId="31BE1A1F" w14:textId="77777777" w:rsidR="00CE284E" w:rsidRPr="00B8148C" w:rsidRDefault="00CE284E" w:rsidP="00CE284E">
      <w:pPr>
        <w:pStyle w:val="Liststycke"/>
        <w:numPr>
          <w:ilvl w:val="1"/>
          <w:numId w:val="1"/>
        </w:numPr>
        <w:tabs>
          <w:tab w:val="left" w:pos="1020"/>
        </w:tabs>
        <w:spacing w:line="244" w:lineRule="auto"/>
        <w:ind w:left="1019" w:right="127"/>
        <w:jc w:val="left"/>
        <w:rPr>
          <w:sz w:val="24"/>
          <w:szCs w:val="24"/>
        </w:rPr>
      </w:pPr>
      <w:r w:rsidRPr="00B8148C">
        <w:rPr>
          <w:b/>
          <w:color w:val="303030"/>
          <w:sz w:val="24"/>
          <w:szCs w:val="24"/>
        </w:rPr>
        <w:t xml:space="preserve">Empower consumers: </w:t>
      </w:r>
      <w:r w:rsidRPr="00B8148C">
        <w:rPr>
          <w:color w:val="303030"/>
          <w:sz w:val="24"/>
          <w:szCs w:val="24"/>
        </w:rPr>
        <w:t>Require sustainability preferences to be taken into account when assessing a client’s investment needs  and  establish  simple “ECO” labelling of sustainable finance products. This could be achieved operationally by linking sustainability preferences to  existing,  legally mandated “know your client” processes in investment</w:t>
      </w:r>
      <w:r w:rsidRPr="00B8148C">
        <w:rPr>
          <w:color w:val="303030"/>
          <w:spacing w:val="-32"/>
          <w:sz w:val="24"/>
          <w:szCs w:val="24"/>
        </w:rPr>
        <w:t xml:space="preserve"> </w:t>
      </w:r>
      <w:r w:rsidRPr="00B8148C">
        <w:rPr>
          <w:color w:val="303030"/>
          <w:sz w:val="24"/>
          <w:szCs w:val="24"/>
        </w:rPr>
        <w:t>finance.</w:t>
      </w:r>
    </w:p>
    <w:p w14:paraId="64FCEE07" w14:textId="77777777" w:rsidR="00CE284E" w:rsidRPr="00B8148C" w:rsidRDefault="00CE284E" w:rsidP="00CE284E">
      <w:pPr>
        <w:pStyle w:val="Liststycke"/>
        <w:jc w:val="left"/>
        <w:rPr>
          <w:b/>
          <w:color w:val="303030"/>
          <w:sz w:val="24"/>
          <w:szCs w:val="24"/>
        </w:rPr>
      </w:pPr>
    </w:p>
    <w:p w14:paraId="297CA95F" w14:textId="77777777" w:rsidR="00CE284E" w:rsidRPr="00CE284E" w:rsidRDefault="00CE284E" w:rsidP="00CE284E">
      <w:pPr>
        <w:pStyle w:val="Liststycke"/>
        <w:numPr>
          <w:ilvl w:val="1"/>
          <w:numId w:val="1"/>
        </w:numPr>
        <w:tabs>
          <w:tab w:val="left" w:pos="1020"/>
        </w:tabs>
        <w:spacing w:line="244" w:lineRule="auto"/>
        <w:ind w:left="1019" w:right="127"/>
        <w:jc w:val="left"/>
        <w:rPr>
          <w:sz w:val="24"/>
          <w:szCs w:val="24"/>
        </w:rPr>
      </w:pPr>
      <w:r w:rsidRPr="00B8148C">
        <w:rPr>
          <w:b/>
          <w:color w:val="303030"/>
          <w:sz w:val="24"/>
          <w:szCs w:val="24"/>
        </w:rPr>
        <w:t xml:space="preserve">Unlock dormant assets: </w:t>
      </w:r>
      <w:r w:rsidRPr="00B8148C">
        <w:rPr>
          <w:color w:val="303030"/>
          <w:sz w:val="24"/>
          <w:szCs w:val="24"/>
        </w:rPr>
        <w:t xml:space="preserve">Establish innovative schemes to unlock the estimated US$100 billion of assets that lie “dormant” where financial  </w:t>
      </w:r>
      <w:r w:rsidRPr="00B8148C">
        <w:rPr>
          <w:color w:val="303030"/>
          <w:sz w:val="24"/>
          <w:szCs w:val="24"/>
        </w:rPr>
        <w:lastRenderedPageBreak/>
        <w:t xml:space="preserve">institutions  </w:t>
      </w:r>
      <w:r w:rsidRPr="00B8148C">
        <w:rPr>
          <w:color w:val="303030"/>
          <w:spacing w:val="-4"/>
          <w:sz w:val="24"/>
          <w:szCs w:val="24"/>
        </w:rPr>
        <w:t xml:space="preserve">have </w:t>
      </w:r>
      <w:r w:rsidRPr="00B8148C">
        <w:rPr>
          <w:color w:val="303030"/>
          <w:sz w:val="24"/>
          <w:szCs w:val="24"/>
        </w:rPr>
        <w:t xml:space="preserve">lost contact with  their beneficial owner  –  building on existing good practices  in a number of  countries.  Where  nationally  appropriate,  such  assets  </w:t>
      </w:r>
      <w:r w:rsidRPr="00B8148C">
        <w:rPr>
          <w:color w:val="303030"/>
          <w:spacing w:val="-3"/>
          <w:sz w:val="24"/>
          <w:szCs w:val="24"/>
        </w:rPr>
        <w:t xml:space="preserve">could  </w:t>
      </w:r>
      <w:r w:rsidRPr="00B8148C">
        <w:rPr>
          <w:color w:val="303030"/>
          <w:sz w:val="24"/>
          <w:szCs w:val="24"/>
        </w:rPr>
        <w:t>be earmarked towards SDG implementation projects nationally or on a global level.</w:t>
      </w:r>
    </w:p>
    <w:p w14:paraId="2E7A5D9B" w14:textId="77777777" w:rsidR="00CE284E" w:rsidRPr="00CE284E" w:rsidRDefault="00CE284E" w:rsidP="00CE284E">
      <w:pPr>
        <w:pStyle w:val="Liststycke"/>
        <w:rPr>
          <w:b/>
          <w:sz w:val="24"/>
          <w:szCs w:val="24"/>
        </w:rPr>
      </w:pPr>
    </w:p>
    <w:p w14:paraId="3E691378" w14:textId="4271F97B" w:rsidR="00CE284E" w:rsidRPr="00CE284E" w:rsidRDefault="00CE284E" w:rsidP="00CE284E">
      <w:pPr>
        <w:pStyle w:val="Liststycke"/>
        <w:numPr>
          <w:ilvl w:val="1"/>
          <w:numId w:val="1"/>
        </w:numPr>
        <w:tabs>
          <w:tab w:val="left" w:pos="1020"/>
        </w:tabs>
        <w:spacing w:line="244" w:lineRule="auto"/>
        <w:ind w:left="1019" w:right="127"/>
        <w:jc w:val="left"/>
        <w:rPr>
          <w:sz w:val="24"/>
          <w:szCs w:val="24"/>
        </w:rPr>
      </w:pPr>
      <w:r w:rsidRPr="00CE284E">
        <w:rPr>
          <w:b/>
          <w:sz w:val="24"/>
          <w:szCs w:val="24"/>
        </w:rPr>
        <w:t xml:space="preserve">Promote sustainable finance partnerships and accelerate the deployment of public-private investments: </w:t>
      </w:r>
      <w:r w:rsidRPr="00CE284E">
        <w:rPr>
          <w:sz w:val="24"/>
          <w:szCs w:val="24"/>
        </w:rPr>
        <w:t>Through dialogue and coordination with relevant stakeholders, develop incentives to scale financing linked to the sustainability of business operations and value chains, including through voluntary carbon markets. In addition, work to accelerate</w:t>
      </w:r>
      <w:r w:rsidRPr="00CE284E">
        <w:rPr>
          <w:spacing w:val="-9"/>
          <w:sz w:val="24"/>
          <w:szCs w:val="24"/>
        </w:rPr>
        <w:t xml:space="preserve"> </w:t>
      </w:r>
      <w:r w:rsidRPr="00CE284E">
        <w:rPr>
          <w:sz w:val="24"/>
          <w:szCs w:val="24"/>
        </w:rPr>
        <w:t>the</w:t>
      </w:r>
      <w:r w:rsidRPr="00CE284E">
        <w:rPr>
          <w:spacing w:val="-9"/>
          <w:sz w:val="24"/>
          <w:szCs w:val="24"/>
        </w:rPr>
        <w:t xml:space="preserve"> </w:t>
      </w:r>
      <w:r w:rsidRPr="00CE284E">
        <w:rPr>
          <w:sz w:val="24"/>
          <w:szCs w:val="24"/>
        </w:rPr>
        <w:t>deployment</w:t>
      </w:r>
      <w:r w:rsidRPr="00CE284E">
        <w:rPr>
          <w:spacing w:val="-6"/>
          <w:sz w:val="24"/>
          <w:szCs w:val="24"/>
        </w:rPr>
        <w:t xml:space="preserve"> </w:t>
      </w:r>
      <w:r w:rsidRPr="00CE284E">
        <w:rPr>
          <w:sz w:val="24"/>
          <w:szCs w:val="24"/>
        </w:rPr>
        <w:t>of</w:t>
      </w:r>
      <w:r w:rsidRPr="00CE284E">
        <w:rPr>
          <w:spacing w:val="-10"/>
          <w:sz w:val="24"/>
          <w:szCs w:val="24"/>
        </w:rPr>
        <w:t xml:space="preserve"> </w:t>
      </w:r>
      <w:r w:rsidRPr="00CE284E">
        <w:rPr>
          <w:sz w:val="24"/>
          <w:szCs w:val="24"/>
        </w:rPr>
        <w:t>innovative</w:t>
      </w:r>
      <w:r w:rsidRPr="00CE284E">
        <w:rPr>
          <w:spacing w:val="-10"/>
          <w:sz w:val="24"/>
          <w:szCs w:val="24"/>
        </w:rPr>
        <w:t xml:space="preserve"> </w:t>
      </w:r>
      <w:r w:rsidRPr="00CE284E">
        <w:rPr>
          <w:sz w:val="24"/>
          <w:szCs w:val="24"/>
        </w:rPr>
        <w:t>public-private</w:t>
      </w:r>
      <w:r w:rsidRPr="00CE284E">
        <w:rPr>
          <w:spacing w:val="-7"/>
          <w:sz w:val="24"/>
          <w:szCs w:val="24"/>
        </w:rPr>
        <w:t xml:space="preserve"> </w:t>
      </w:r>
      <w:r w:rsidRPr="00CE284E">
        <w:rPr>
          <w:sz w:val="24"/>
          <w:szCs w:val="24"/>
        </w:rPr>
        <w:t>partnerships</w:t>
      </w:r>
      <w:r w:rsidRPr="00CE284E">
        <w:rPr>
          <w:spacing w:val="-7"/>
          <w:sz w:val="24"/>
          <w:szCs w:val="24"/>
        </w:rPr>
        <w:t xml:space="preserve"> </w:t>
      </w:r>
      <w:r w:rsidRPr="00CE284E">
        <w:rPr>
          <w:sz w:val="24"/>
          <w:szCs w:val="24"/>
        </w:rPr>
        <w:t>(PPPs)</w:t>
      </w:r>
      <w:r w:rsidRPr="00CE284E">
        <w:rPr>
          <w:spacing w:val="-7"/>
          <w:sz w:val="24"/>
          <w:szCs w:val="24"/>
        </w:rPr>
        <w:t xml:space="preserve"> </w:t>
      </w:r>
      <w:r w:rsidRPr="00CE284E">
        <w:rPr>
          <w:sz w:val="24"/>
          <w:szCs w:val="24"/>
        </w:rPr>
        <w:t>–</w:t>
      </w:r>
      <w:r w:rsidRPr="00CE284E">
        <w:rPr>
          <w:spacing w:val="-10"/>
          <w:sz w:val="24"/>
          <w:szCs w:val="24"/>
        </w:rPr>
        <w:t xml:space="preserve"> </w:t>
      </w:r>
      <w:r w:rsidRPr="00CE284E">
        <w:rPr>
          <w:sz w:val="24"/>
          <w:szCs w:val="24"/>
        </w:rPr>
        <w:t xml:space="preserve">not least given the growing evidence that PPPs tend to have better and more sustainable outcomes than pure publicly financed initiatives. Public policy impediments to implementation of such initiatives should be identified </w:t>
      </w:r>
      <w:r w:rsidRPr="00CE284E">
        <w:rPr>
          <w:spacing w:val="-2"/>
          <w:sz w:val="24"/>
          <w:szCs w:val="24"/>
        </w:rPr>
        <w:t xml:space="preserve">and </w:t>
      </w:r>
      <w:r w:rsidRPr="00CE284E">
        <w:rPr>
          <w:sz w:val="24"/>
          <w:szCs w:val="24"/>
        </w:rPr>
        <w:t>removed.</w:t>
      </w:r>
    </w:p>
    <w:p w14:paraId="601CC56C" w14:textId="77777777" w:rsidR="00CE284E" w:rsidRPr="00B8148C" w:rsidRDefault="00CE284E" w:rsidP="00CE284E">
      <w:pPr>
        <w:pStyle w:val="Brdtext"/>
        <w:spacing w:before="3"/>
      </w:pPr>
    </w:p>
    <w:p w14:paraId="4ACEB07A" w14:textId="1A97FE51" w:rsidR="00EF27F7" w:rsidRPr="00CE284E" w:rsidRDefault="00CE284E" w:rsidP="00EF27F7">
      <w:pPr>
        <w:pStyle w:val="Brdtext"/>
        <w:spacing w:line="244" w:lineRule="auto"/>
        <w:ind w:left="299" w:right="130"/>
        <w:rPr>
          <w:color w:val="303030"/>
        </w:rPr>
        <w:sectPr w:rsidR="00EF27F7" w:rsidRPr="00CE284E" w:rsidSect="00EF27F7">
          <w:footerReference w:type="default" r:id="rId12"/>
          <w:pgSz w:w="11900" w:h="16860"/>
          <w:pgMar w:top="1417" w:right="1417" w:bottom="1417" w:left="1417" w:header="843" w:footer="1249" w:gutter="0"/>
          <w:cols w:space="720"/>
          <w:docGrid w:linePitch="299"/>
        </w:sectPr>
      </w:pPr>
      <w:r w:rsidRPr="00B8148C">
        <w:rPr>
          <w:color w:val="303030"/>
        </w:rPr>
        <w:t>Taken together – and in conjunction with existing voluntary efforts from financial institutions – we believe that this suite of policy measures has the ability to shift financial flows definitively towards mitigation and adaptation-related investments, as well as the SDGs. We call on governments  to give consideration to how they can advance this agenda at the global level – including through the United Nations Global Investors for Sustainable Development Alliance and the Financial Stability Board – as well as considering appropriate national interventions within the boundaries of existing international and regional framewor</w:t>
      </w:r>
      <w:r w:rsidR="00EF27F7">
        <w:rPr>
          <w:color w:val="303030"/>
        </w:rPr>
        <w:t>k.</w:t>
      </w:r>
    </w:p>
    <w:p w14:paraId="272E4321" w14:textId="13945513" w:rsidR="00DE200C" w:rsidRPr="00CE284E" w:rsidRDefault="00DE200C" w:rsidP="00EF27F7">
      <w:pPr>
        <w:pStyle w:val="Brdtext"/>
        <w:spacing w:before="100" w:line="242" w:lineRule="auto"/>
        <w:ind w:right="125"/>
        <w:jc w:val="both"/>
      </w:pPr>
    </w:p>
    <w:sectPr w:rsidR="00DE200C" w:rsidRPr="00CE284E" w:rsidSect="00EF27F7">
      <w:footerReference w:type="default" r:id="rId13"/>
      <w:pgSz w:w="11906" w:h="16838" w:code="9"/>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982B3" w14:textId="77777777" w:rsidR="00992972" w:rsidRDefault="00992972" w:rsidP="00CE284E">
      <w:pPr>
        <w:spacing w:after="0" w:line="240" w:lineRule="auto"/>
      </w:pPr>
      <w:r>
        <w:separator/>
      </w:r>
    </w:p>
  </w:endnote>
  <w:endnote w:type="continuationSeparator" w:id="0">
    <w:p w14:paraId="41B24C38" w14:textId="77777777" w:rsidR="00992972" w:rsidRDefault="00992972" w:rsidP="00CE2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B9D95" w14:textId="77777777" w:rsidR="00CE284E" w:rsidRDefault="00CE28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32575" w14:textId="77777777" w:rsidR="00CE284E" w:rsidRDefault="00CE284E" w:rsidP="000B352E">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42048" w14:textId="77777777" w:rsidR="00992972" w:rsidRDefault="00992972" w:rsidP="00CE284E">
      <w:pPr>
        <w:spacing w:after="0" w:line="240" w:lineRule="auto"/>
      </w:pPr>
      <w:r>
        <w:separator/>
      </w:r>
    </w:p>
  </w:footnote>
  <w:footnote w:type="continuationSeparator" w:id="0">
    <w:p w14:paraId="5B204CA1" w14:textId="77777777" w:rsidR="00992972" w:rsidRDefault="00992972" w:rsidP="00CE2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85158"/>
    <w:multiLevelType w:val="hybridMultilevel"/>
    <w:tmpl w:val="DC7C264A"/>
    <w:lvl w:ilvl="0" w:tplc="46D6152A">
      <w:numFmt w:val="bullet"/>
      <w:lvlText w:val="–"/>
      <w:lvlJc w:val="left"/>
      <w:pPr>
        <w:ind w:left="300" w:hanging="183"/>
      </w:pPr>
      <w:rPr>
        <w:rFonts w:ascii="Cambria" w:eastAsia="Cambria" w:hAnsi="Cambria" w:cs="Cambria" w:hint="default"/>
        <w:color w:val="303030"/>
        <w:w w:val="100"/>
        <w:sz w:val="24"/>
        <w:szCs w:val="24"/>
        <w:lang w:val="en-US" w:eastAsia="en-US" w:bidi="ar-SA"/>
      </w:rPr>
    </w:lvl>
    <w:lvl w:ilvl="1" w:tplc="6BC28500">
      <w:start w:val="1"/>
      <w:numFmt w:val="decimal"/>
      <w:lvlText w:val="%2."/>
      <w:lvlJc w:val="left"/>
      <w:pPr>
        <w:ind w:left="1020" w:hanging="360"/>
      </w:pPr>
      <w:rPr>
        <w:rFonts w:ascii="Cambria" w:eastAsia="Cambria" w:hAnsi="Cambria" w:cs="Cambria" w:hint="default"/>
        <w:b/>
        <w:bCs/>
        <w:color w:val="303030"/>
        <w:spacing w:val="-1"/>
        <w:w w:val="100"/>
        <w:sz w:val="24"/>
        <w:szCs w:val="24"/>
        <w:lang w:val="en-US" w:eastAsia="en-US" w:bidi="ar-SA"/>
      </w:rPr>
    </w:lvl>
    <w:lvl w:ilvl="2" w:tplc="D6841BE6">
      <w:numFmt w:val="bullet"/>
      <w:lvlText w:val="•"/>
      <w:lvlJc w:val="left"/>
      <w:pPr>
        <w:ind w:left="1957" w:hanging="360"/>
      </w:pPr>
      <w:rPr>
        <w:rFonts w:hint="default"/>
        <w:lang w:val="en-US" w:eastAsia="en-US" w:bidi="ar-SA"/>
      </w:rPr>
    </w:lvl>
    <w:lvl w:ilvl="3" w:tplc="B37411F2">
      <w:numFmt w:val="bullet"/>
      <w:lvlText w:val="•"/>
      <w:lvlJc w:val="left"/>
      <w:pPr>
        <w:ind w:left="2895" w:hanging="360"/>
      </w:pPr>
      <w:rPr>
        <w:rFonts w:hint="default"/>
        <w:lang w:val="en-US" w:eastAsia="en-US" w:bidi="ar-SA"/>
      </w:rPr>
    </w:lvl>
    <w:lvl w:ilvl="4" w:tplc="C5CEF144">
      <w:numFmt w:val="bullet"/>
      <w:lvlText w:val="•"/>
      <w:lvlJc w:val="left"/>
      <w:pPr>
        <w:ind w:left="3833" w:hanging="360"/>
      </w:pPr>
      <w:rPr>
        <w:rFonts w:hint="default"/>
        <w:lang w:val="en-US" w:eastAsia="en-US" w:bidi="ar-SA"/>
      </w:rPr>
    </w:lvl>
    <w:lvl w:ilvl="5" w:tplc="421C9666">
      <w:numFmt w:val="bullet"/>
      <w:lvlText w:val="•"/>
      <w:lvlJc w:val="left"/>
      <w:pPr>
        <w:ind w:left="4770" w:hanging="360"/>
      </w:pPr>
      <w:rPr>
        <w:rFonts w:hint="default"/>
        <w:lang w:val="en-US" w:eastAsia="en-US" w:bidi="ar-SA"/>
      </w:rPr>
    </w:lvl>
    <w:lvl w:ilvl="6" w:tplc="39B8C3BA">
      <w:numFmt w:val="bullet"/>
      <w:lvlText w:val="•"/>
      <w:lvlJc w:val="left"/>
      <w:pPr>
        <w:ind w:left="5708" w:hanging="360"/>
      </w:pPr>
      <w:rPr>
        <w:rFonts w:hint="default"/>
        <w:lang w:val="en-US" w:eastAsia="en-US" w:bidi="ar-SA"/>
      </w:rPr>
    </w:lvl>
    <w:lvl w:ilvl="7" w:tplc="4CBEA064">
      <w:numFmt w:val="bullet"/>
      <w:lvlText w:val="•"/>
      <w:lvlJc w:val="left"/>
      <w:pPr>
        <w:ind w:left="6646" w:hanging="360"/>
      </w:pPr>
      <w:rPr>
        <w:rFonts w:hint="default"/>
        <w:lang w:val="en-US" w:eastAsia="en-US" w:bidi="ar-SA"/>
      </w:rPr>
    </w:lvl>
    <w:lvl w:ilvl="8" w:tplc="9F8C5CB0">
      <w:numFmt w:val="bullet"/>
      <w:lvlText w:val="•"/>
      <w:lvlJc w:val="left"/>
      <w:pPr>
        <w:ind w:left="758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4E"/>
    <w:rsid w:val="002B7762"/>
    <w:rsid w:val="00495580"/>
    <w:rsid w:val="008177A2"/>
    <w:rsid w:val="00992972"/>
    <w:rsid w:val="00BA2A8D"/>
    <w:rsid w:val="00C80A3C"/>
    <w:rsid w:val="00CB7D45"/>
    <w:rsid w:val="00CE284E"/>
    <w:rsid w:val="00DE200C"/>
    <w:rsid w:val="00E948AD"/>
    <w:rsid w:val="00EF27F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B9AE"/>
  <w15:chartTrackingRefBased/>
  <w15:docId w15:val="{696A86CC-B9E9-4B69-B1B2-8EE85A35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CE284E"/>
    <w:pPr>
      <w:widowControl w:val="0"/>
      <w:autoSpaceDE w:val="0"/>
      <w:autoSpaceDN w:val="0"/>
      <w:spacing w:after="0" w:line="240" w:lineRule="auto"/>
      <w:ind w:left="300"/>
      <w:jc w:val="both"/>
      <w:outlineLvl w:val="0"/>
    </w:pPr>
    <w:rPr>
      <w:rFonts w:ascii="Cambria" w:eastAsia="Cambria" w:hAnsi="Cambria" w:cs="Cambria"/>
      <w:b/>
      <w:bCs/>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284E"/>
    <w:rPr>
      <w:rFonts w:ascii="Cambria" w:eastAsia="Cambria" w:hAnsi="Cambria" w:cs="Cambria"/>
      <w:b/>
      <w:bCs/>
      <w:sz w:val="24"/>
      <w:szCs w:val="24"/>
      <w:lang w:val="en-US" w:eastAsia="en-US"/>
    </w:rPr>
  </w:style>
  <w:style w:type="paragraph" w:styleId="Brdtext">
    <w:name w:val="Body Text"/>
    <w:basedOn w:val="Normal"/>
    <w:link w:val="BrdtextChar"/>
    <w:uiPriority w:val="1"/>
    <w:qFormat/>
    <w:rsid w:val="00CE284E"/>
    <w:pPr>
      <w:widowControl w:val="0"/>
      <w:autoSpaceDE w:val="0"/>
      <w:autoSpaceDN w:val="0"/>
      <w:spacing w:after="0" w:line="240" w:lineRule="auto"/>
    </w:pPr>
    <w:rPr>
      <w:rFonts w:ascii="Cambria" w:eastAsia="Cambria" w:hAnsi="Cambria" w:cs="Cambria"/>
      <w:sz w:val="24"/>
      <w:szCs w:val="24"/>
      <w:lang w:val="en-US" w:eastAsia="en-US"/>
    </w:rPr>
  </w:style>
  <w:style w:type="character" w:customStyle="1" w:styleId="BrdtextChar">
    <w:name w:val="Brödtext Char"/>
    <w:basedOn w:val="Standardstycketeckensnitt"/>
    <w:link w:val="Brdtext"/>
    <w:uiPriority w:val="1"/>
    <w:rsid w:val="00CE284E"/>
    <w:rPr>
      <w:rFonts w:ascii="Cambria" w:eastAsia="Cambria" w:hAnsi="Cambria" w:cs="Cambria"/>
      <w:sz w:val="24"/>
      <w:szCs w:val="24"/>
      <w:lang w:val="en-US" w:eastAsia="en-US"/>
    </w:rPr>
  </w:style>
  <w:style w:type="paragraph" w:styleId="Liststycke">
    <w:name w:val="List Paragraph"/>
    <w:basedOn w:val="Normal"/>
    <w:uiPriority w:val="1"/>
    <w:qFormat/>
    <w:rsid w:val="00CE284E"/>
    <w:pPr>
      <w:widowControl w:val="0"/>
      <w:autoSpaceDE w:val="0"/>
      <w:autoSpaceDN w:val="0"/>
      <w:spacing w:after="0" w:line="240" w:lineRule="auto"/>
      <w:ind w:left="1019" w:right="169" w:hanging="360"/>
      <w:jc w:val="both"/>
    </w:pPr>
    <w:rPr>
      <w:rFonts w:ascii="Cambria" w:eastAsia="Cambria" w:hAnsi="Cambria" w:cs="Cambria"/>
      <w:lang w:val="en-US" w:eastAsia="en-US"/>
    </w:rPr>
  </w:style>
  <w:style w:type="character" w:styleId="Hyperlnk">
    <w:name w:val="Hyperlink"/>
    <w:basedOn w:val="Standardstycketeckensnitt"/>
    <w:uiPriority w:val="99"/>
    <w:unhideWhenUsed/>
    <w:rsid w:val="00CE284E"/>
    <w:rPr>
      <w:color w:val="0563C1" w:themeColor="hyperlink"/>
      <w:u w:val="single"/>
    </w:rPr>
  </w:style>
  <w:style w:type="paragraph" w:styleId="Sidhuvud">
    <w:name w:val="header"/>
    <w:basedOn w:val="Normal"/>
    <w:link w:val="SidhuvudChar"/>
    <w:uiPriority w:val="99"/>
    <w:unhideWhenUsed/>
    <w:rsid w:val="00CE284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E284E"/>
  </w:style>
  <w:style w:type="paragraph" w:styleId="Sidfot">
    <w:name w:val="footer"/>
    <w:basedOn w:val="Normal"/>
    <w:link w:val="SidfotChar"/>
    <w:uiPriority w:val="99"/>
    <w:unhideWhenUsed/>
    <w:rsid w:val="00CE284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E2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forum.org/reports/measuring-stakeholder-capitalism-towards-common-metrics-and-consistent-reporting-of-sustainable-value-cre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98f140b-4145-4024-8bcc-6d7083f15a24"/>
    <cd566fe4f739453c890791ece589dd09 xmlns="6e0672cc-2b49-4aef-a692-9dbb21d7e3f3">
      <Terms xmlns="http://schemas.microsoft.com/office/infopath/2007/PartnerControls"/>
    </cd566fe4f739453c890791ece589dd0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E3D1B2D00823408CE8450BC0946B1D" ma:contentTypeVersion="14" ma:contentTypeDescription="Create a new document." ma:contentTypeScope="" ma:versionID="05276382ccac13e998fe41065e2125f1">
  <xsd:schema xmlns:xsd="http://www.w3.org/2001/XMLSchema" xmlns:xs="http://www.w3.org/2001/XMLSchema" xmlns:p="http://schemas.microsoft.com/office/2006/metadata/properties" xmlns:ns2="6e0672cc-2b49-4aef-a692-9dbb21d7e3f3" xmlns:ns3="465ae127-5d1e-48f1-8bba-a4710e9de403" xmlns:ns4="598f140b-4145-4024-8bcc-6d7083f15a24" xmlns:ns5="42195723-b6d9-4926-97c3-bdd7cf343cf8" targetNamespace="http://schemas.microsoft.com/office/2006/metadata/properties" ma:root="true" ma:fieldsID="b25eeabc45c86300dc0c40143a5f5953" ns2:_="" ns3:_="" ns4:_="" ns5:_="">
    <xsd:import namespace="6e0672cc-2b49-4aef-a692-9dbb21d7e3f3"/>
    <xsd:import namespace="465ae127-5d1e-48f1-8bba-a4710e9de403"/>
    <xsd:import namespace="598f140b-4145-4024-8bcc-6d7083f15a24"/>
    <xsd:import namespace="42195723-b6d9-4926-97c3-bdd7cf343cf8"/>
    <xsd:element name="properties">
      <xsd:complexType>
        <xsd:sequence>
          <xsd:element name="documentManagement">
            <xsd:complexType>
              <xsd:all>
                <xsd:element ref="ns2:cd566fe4f739453c890791ece589dd09" minOccurs="0"/>
                <xsd:element ref="ns4:TaxCatchAl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3:SharedWithUsers" minOccurs="0"/>
                <xsd:element ref="ns3:SharedWithDetail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72cc-2b49-4aef-a692-9dbb21d7e3f3" elementFormDefault="qualified">
    <xsd:import namespace="http://schemas.microsoft.com/office/2006/documentManagement/types"/>
    <xsd:import namespace="http://schemas.microsoft.com/office/infopath/2007/PartnerControls"/>
    <xsd:element name="cd566fe4f739453c890791ece589dd09" ma:index="8" nillable="true" ma:taxonomy="true" ma:internalName="cd566fe4f739453c890791ece589dd09" ma:taxonomyFieldName="Provenance" ma:displayName="Provenance" ma:default="" ma:fieldId="{cd566fe4-f739-453c-8907-91ece589dd09}" ma:sspId="b34d393a-c683-4ae6-92a3-16801d27c9b4" ma:termSetId="9e01a060-767e-4e44-bf53-df9ed62d73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195723-b6d9-4926-97c3-bdd7cf343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E7280-AED2-47DC-B59F-08D37464FEB1}">
  <ds:schemaRefs>
    <ds:schemaRef ds:uri="http://schemas.openxmlformats.org/officeDocument/2006/bibliography"/>
  </ds:schemaRefs>
</ds:datastoreItem>
</file>

<file path=customXml/itemProps2.xml><?xml version="1.0" encoding="utf-8"?>
<ds:datastoreItem xmlns:ds="http://schemas.openxmlformats.org/officeDocument/2006/customXml" ds:itemID="{784E2526-661C-4EDD-A0EF-21FF61BA6B97}">
  <ds:schemaRefs>
    <ds:schemaRef ds:uri="http://schemas.microsoft.com/office/2006/metadata/properties"/>
    <ds:schemaRef ds:uri="http://schemas.microsoft.com/office/infopath/2007/PartnerControls"/>
    <ds:schemaRef ds:uri="598f140b-4145-4024-8bcc-6d7083f15a24"/>
    <ds:schemaRef ds:uri="6e0672cc-2b49-4aef-a692-9dbb21d7e3f3"/>
  </ds:schemaRefs>
</ds:datastoreItem>
</file>

<file path=customXml/itemProps3.xml><?xml version="1.0" encoding="utf-8"?>
<ds:datastoreItem xmlns:ds="http://schemas.openxmlformats.org/officeDocument/2006/customXml" ds:itemID="{570E757B-39B2-4BC6-9E6E-BF967AB31863}">
  <ds:schemaRefs>
    <ds:schemaRef ds:uri="http://schemas.microsoft.com/sharepoint/v3/contenttype/forms"/>
  </ds:schemaRefs>
</ds:datastoreItem>
</file>

<file path=customXml/itemProps4.xml><?xml version="1.0" encoding="utf-8"?>
<ds:datastoreItem xmlns:ds="http://schemas.openxmlformats.org/officeDocument/2006/customXml" ds:itemID="{9A952B7E-DE09-41D2-8D66-3A367AFE6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72cc-2b49-4aef-a692-9dbb21d7e3f3"/>
    <ds:schemaRef ds:uri="465ae127-5d1e-48f1-8bba-a4710e9de403"/>
    <ds:schemaRef ds:uri="598f140b-4145-4024-8bcc-6d7083f15a24"/>
    <ds:schemaRef ds:uri="42195723-b6d9-4926-97c3-bdd7cf343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1725</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 Sandra</dc:creator>
  <cp:keywords/>
  <dc:description/>
  <cp:lastModifiedBy>Emma Nordin</cp:lastModifiedBy>
  <cp:revision>2</cp:revision>
  <dcterms:created xsi:type="dcterms:W3CDTF">2020-11-10T17:02:00Z</dcterms:created>
  <dcterms:modified xsi:type="dcterms:W3CDTF">2020-11-10T17:02:00Z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0x010100C9E3D1B2D00823408CE8450BC0946B1D</vt:lpwstr>
  </property>
  <property fmtid="{D5CDD505-2E9C-101B-9397-08002B2CF9AE}" pid="3" name="Provenance">
    <vt:lpwstr/>
  </property>
</Properties>
</file>